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4"/>
        </w:rPr>
      </w:pPr>
    </w:p>
    <w:p>
      <w:pPr>
        <w:pStyle w:val="Title"/>
        <w:spacing w:line="1332" w:lineRule="exact"/>
      </w:pPr>
      <w:r>
        <w:t>大型猪屠宰场屠宰污水处理</w:t>
      </w:r>
    </w:p>
    <w:p>
      <w:pPr>
        <w:pStyle w:val="Title"/>
        <w:spacing w:before="625"/>
        <w:ind w:right="989"/>
      </w:pPr>
      <w:r>
        <w:t>设计技术方案</w:t>
      </w:r>
    </w:p>
    <w:p>
      <w:pPr>
        <w:pStyle w:val="BodyText"/>
        <w:spacing w:before="8"/>
        <w:rPr>
          <w:rFonts w:ascii="宋体"/>
          <w:b/>
          <w:sz w:val="78"/>
        </w:rPr>
      </w:pPr>
    </w:p>
    <w:p>
      <w:pPr>
        <w:spacing w:before="0"/>
        <w:ind w:left="10148" w:right="0" w:firstLine="0"/>
        <w:jc w:val="left"/>
        <w:rPr>
          <w:sz w:val="48"/>
        </w:rPr>
      </w:pPr>
      <w:r>
        <w:rPr>
          <w:sz w:val="48"/>
        </w:rPr>
        <w:t>（沪）TZ0006 号</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5"/>
        <w:rPr>
          <w:sz w:val="46"/>
        </w:rPr>
      </w:pPr>
    </w:p>
    <w:p>
      <w:pPr>
        <w:spacing w:before="0"/>
        <w:ind w:left="0" w:right="310" w:firstLine="0"/>
        <w:jc w:val="center"/>
        <w:rPr>
          <w:b/>
          <w:sz w:val="54"/>
        </w:rPr>
      </w:pPr>
      <w:r>
        <w:rPr>
          <w:b/>
          <w:sz w:val="54"/>
        </w:rPr>
        <w:t>上海名天环保科技有限公司</w:t>
      </w:r>
    </w:p>
    <w:p>
      <w:pPr>
        <w:pStyle w:val="Heading2"/>
        <w:spacing w:before="22"/>
        <w:ind w:left="0" w:right="461"/>
        <w:jc w:val="center"/>
      </w:pPr>
      <w:r>
        <w:t>二零一一年六月十一日</w:t>
      </w:r>
    </w:p>
    <w:p>
      <w:pPr>
        <w:tabs>
          <w:tab w:val="left" w:pos="1584"/>
        </w:tabs>
        <w:spacing w:before="188"/>
        <w:ind w:left="0" w:right="956" w:firstLine="0"/>
        <w:jc w:val="center"/>
        <w:rPr>
          <w:b/>
          <w:sz w:val="45"/>
        </w:rPr>
      </w:pPr>
      <w:r>
        <w:rPr>
          <w:b/>
          <w:sz w:val="45"/>
        </w:rPr>
        <w:t>目</w:t>
        <w:tab/>
        <w:t>录</w:t>
      </w:r>
    </w:p>
    <w:p>
      <w:pPr>
        <w:pStyle w:val="BodyText"/>
        <w:spacing w:before="11"/>
        <w:rPr>
          <w:b/>
          <w:sz w:val="53"/>
        </w:rPr>
      </w:pPr>
    </w:p>
    <w:p>
      <w:pPr>
        <w:tabs>
          <w:tab w:val="left" w:pos="1205"/>
          <w:tab w:val="left" w:leader="dot" w:pos="9944"/>
        </w:tabs>
        <w:spacing w:before="0"/>
        <w:ind w:left="0" w:right="804" w:firstLine="0"/>
        <w:jc w:val="center"/>
        <w:rPr>
          <w:rFonts w:ascii="宋体" w:eastAsia="宋体" w:hint="eastAsia"/>
          <w:b/>
          <w:sz w:val="30"/>
        </w:rPr>
      </w:pPr>
      <w:r>
        <w:rPr>
          <w:b/>
          <w:sz w:val="30"/>
        </w:rPr>
        <w:t>第一章</w:t>
        <w:tab/>
        <w:t>项目概述</w:t>
        <w:tab/>
      </w:r>
      <w:r>
        <w:rPr>
          <w:rFonts w:ascii="宋体" w:eastAsia="宋体" w:hint="eastAsia"/>
          <w:b/>
          <w:sz w:val="30"/>
        </w:rPr>
        <w:t>错</w:t>
      </w:r>
      <w:r>
        <w:rPr>
          <w:rFonts w:ascii="宋体" w:eastAsia="宋体" w:hint="eastAsia"/>
          <w:b/>
          <w:spacing w:val="8"/>
          <w:sz w:val="30"/>
        </w:rPr>
        <w:t>误</w:t>
      </w:r>
      <w:r>
        <w:rPr>
          <w:rFonts w:ascii="Arial" w:eastAsia="Arial"/>
          <w:b/>
          <w:spacing w:val="-3"/>
          <w:sz w:val="30"/>
        </w:rPr>
        <w:t>!</w:t>
      </w:r>
      <w:r>
        <w:rPr>
          <w:rFonts w:ascii="宋体" w:eastAsia="宋体" w:hint="eastAsia"/>
          <w:b/>
          <w:sz w:val="30"/>
        </w:rPr>
        <w:t>未定义书签。</w:t>
      </w:r>
    </w:p>
    <w:p>
      <w:pPr>
        <w:spacing w:after="0"/>
        <w:jc w:val="center"/>
        <w:rPr>
          <w:rFonts w:ascii="宋体" w:eastAsia="宋体" w:hint="eastAsia"/>
          <w:sz w:val="30"/>
        </w:rPr>
        <w:sectPr>
          <w:type w:val="continuous"/>
          <w:pgSz w:w="17860" w:h="25260"/>
          <w:pgMar w:top="2420" w:right="680" w:bottom="280" w:left="1460" w:header="708" w:footer="708"/>
          <w:cols w:space="708"/>
        </w:sectPr>
      </w:pPr>
    </w:p>
    <w:p>
      <w:pPr>
        <w:tabs>
          <w:tab w:val="left" w:leader="dot" w:pos="11181"/>
        </w:tabs>
        <w:spacing w:before="66"/>
        <w:ind w:left="1553" w:right="0" w:firstLine="0"/>
        <w:jc w:val="left"/>
        <w:rPr>
          <w:rFonts w:ascii="宋体" w:eastAsia="宋体" w:hint="eastAsia"/>
          <w:b/>
          <w:sz w:val="30"/>
        </w:rPr>
      </w:pPr>
      <w:r>
        <w:rPr>
          <w:b/>
          <w:sz w:val="30"/>
        </w:rPr>
        <w:t>一、项目背景</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rPr>
          <w:rFonts w:ascii="宋体"/>
          <w:b/>
          <w:sz w:val="31"/>
        </w:rPr>
      </w:pPr>
    </w:p>
    <w:p>
      <w:pPr>
        <w:tabs>
          <w:tab w:val="left" w:leader="dot" w:pos="11181"/>
        </w:tabs>
        <w:spacing w:before="0"/>
        <w:ind w:left="1553" w:right="0" w:firstLine="0"/>
        <w:jc w:val="left"/>
        <w:rPr>
          <w:rFonts w:ascii="宋体" w:eastAsia="宋体" w:hint="eastAsia"/>
          <w:b/>
          <w:sz w:val="30"/>
        </w:rPr>
      </w:pPr>
      <w:r>
        <w:rPr>
          <w:b/>
          <w:sz w:val="30"/>
        </w:rPr>
        <w:t>二、可污染评估</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81"/>
        </w:tabs>
        <w:spacing w:before="0"/>
        <w:ind w:left="1553" w:right="0" w:firstLine="0"/>
        <w:jc w:val="left"/>
        <w:rPr>
          <w:rFonts w:ascii="宋体" w:eastAsia="宋体" w:hint="eastAsia"/>
          <w:b/>
          <w:sz w:val="30"/>
        </w:rPr>
      </w:pPr>
      <w:r>
        <w:rPr>
          <w:b/>
          <w:sz w:val="30"/>
        </w:rPr>
        <w:t>三、治理的必要性</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23"/>
        </w:tabs>
        <w:spacing w:before="0"/>
        <w:ind w:left="1867" w:right="0" w:firstLine="0"/>
        <w:jc w:val="left"/>
        <w:rPr>
          <w:rFonts w:ascii="宋体" w:eastAsia="宋体" w:hint="eastAsia"/>
          <w:b/>
          <w:sz w:val="30"/>
        </w:rPr>
      </w:pPr>
      <w:r>
        <w:rPr>
          <w:sz w:val="30"/>
        </w:rPr>
        <w:t>、对水体的污染</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rPr>
          <w:rFonts w:ascii="宋体"/>
          <w:b/>
          <w:sz w:val="31"/>
        </w:rPr>
      </w:pPr>
    </w:p>
    <w:p>
      <w:pPr>
        <w:tabs>
          <w:tab w:val="left" w:pos="2468"/>
          <w:tab w:val="left" w:leader="dot" w:pos="11123"/>
        </w:tabs>
        <w:spacing w:before="0"/>
        <w:ind w:left="1867" w:right="0" w:firstLine="0"/>
        <w:jc w:val="left"/>
        <w:rPr>
          <w:rFonts w:ascii="宋体" w:eastAsia="宋体" w:hint="eastAsia"/>
          <w:b/>
          <w:sz w:val="30"/>
        </w:rPr>
      </w:pPr>
      <w:r>
        <w:rPr>
          <w:sz w:val="30"/>
        </w:rPr>
        <w:t>、</w:t>
        <w:tab/>
        <w:t>对农田及作物的影响</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23"/>
        </w:tabs>
        <w:spacing w:before="0"/>
        <w:ind w:left="1867" w:right="0" w:firstLine="0"/>
        <w:jc w:val="left"/>
        <w:rPr>
          <w:rFonts w:ascii="宋体" w:eastAsia="宋体" w:hint="eastAsia"/>
          <w:b/>
          <w:sz w:val="30"/>
        </w:rPr>
      </w:pPr>
      <w:r>
        <w:rPr>
          <w:sz w:val="30"/>
        </w:rPr>
        <w:t>、</w:t>
      </w:r>
      <w:r>
        <w:rPr>
          <w:spacing w:val="-5"/>
          <w:sz w:val="30"/>
        </w:rPr>
        <w:t xml:space="preserve"> </w:t>
      </w:r>
      <w:r>
        <w:rPr>
          <w:sz w:val="30"/>
        </w:rPr>
        <w:t>矿物元素和重金属污染</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23"/>
        </w:tabs>
        <w:spacing w:before="0"/>
        <w:ind w:left="1867" w:right="0" w:firstLine="0"/>
        <w:jc w:val="left"/>
        <w:rPr>
          <w:rFonts w:ascii="宋体" w:eastAsia="宋体" w:hint="eastAsia"/>
          <w:b/>
          <w:sz w:val="30"/>
        </w:rPr>
      </w:pPr>
      <w:r>
        <w:rPr>
          <w:sz w:val="30"/>
        </w:rPr>
        <w:t>、残留兽药的污染</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1"/>
        <w:rPr>
          <w:rFonts w:ascii="宋体"/>
          <w:b/>
          <w:sz w:val="31"/>
        </w:rPr>
      </w:pPr>
    </w:p>
    <w:p>
      <w:pPr>
        <w:tabs>
          <w:tab w:val="left" w:leader="dot" w:pos="11123"/>
        </w:tabs>
        <w:spacing w:before="0"/>
        <w:ind w:left="1867" w:right="0" w:firstLine="0"/>
        <w:jc w:val="left"/>
        <w:rPr>
          <w:rFonts w:ascii="宋体" w:eastAsia="宋体" w:hint="eastAsia"/>
          <w:b/>
          <w:sz w:val="30"/>
        </w:rPr>
      </w:pPr>
      <w:r>
        <w:rPr>
          <w:sz w:val="30"/>
        </w:rPr>
        <w:t>、微生物污染</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9"/>
        <w:rPr>
          <w:rFonts w:ascii="宋体"/>
          <w:b/>
          <w:sz w:val="44"/>
        </w:rPr>
      </w:pPr>
    </w:p>
    <w:p>
      <w:pPr>
        <w:tabs>
          <w:tab w:val="left" w:leader="dot" w:pos="11181"/>
        </w:tabs>
        <w:spacing w:before="0"/>
        <w:ind w:left="1237" w:right="0" w:firstLine="0"/>
        <w:jc w:val="left"/>
        <w:rPr>
          <w:rFonts w:ascii="宋体" w:eastAsia="宋体" w:hint="eastAsia"/>
          <w:b/>
          <w:sz w:val="30"/>
        </w:rPr>
      </w:pPr>
      <w:r>
        <w:rPr>
          <w:b/>
          <w:sz w:val="30"/>
        </w:rPr>
        <w:t>第二章</w:t>
      </w:r>
      <w:r>
        <w:rPr>
          <w:b/>
          <w:spacing w:val="-1"/>
          <w:sz w:val="30"/>
        </w:rPr>
        <w:t xml:space="preserve"> </w:t>
      </w:r>
      <w:r>
        <w:rPr>
          <w:b/>
          <w:sz w:val="30"/>
        </w:rPr>
        <w:t>设计参数</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rPr>
          <w:rFonts w:ascii="宋体"/>
          <w:b/>
          <w:sz w:val="45"/>
        </w:rPr>
      </w:pPr>
    </w:p>
    <w:p>
      <w:pPr>
        <w:tabs>
          <w:tab w:val="left" w:leader="dot" w:pos="11181"/>
        </w:tabs>
        <w:spacing w:before="1"/>
        <w:ind w:left="1553" w:right="0" w:firstLine="0"/>
        <w:jc w:val="left"/>
        <w:rPr>
          <w:rFonts w:ascii="宋体" w:eastAsia="宋体" w:hint="eastAsia"/>
          <w:b/>
          <w:sz w:val="30"/>
        </w:rPr>
      </w:pPr>
      <w:r>
        <w:rPr>
          <w:b/>
          <w:sz w:val="30"/>
        </w:rPr>
        <w:t>一、设计原则</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81"/>
        </w:tabs>
        <w:spacing w:before="0"/>
        <w:ind w:left="1553" w:right="0" w:firstLine="0"/>
        <w:jc w:val="left"/>
        <w:rPr>
          <w:rFonts w:ascii="宋体" w:eastAsia="宋体" w:hint="eastAsia"/>
          <w:b/>
          <w:sz w:val="30"/>
        </w:rPr>
      </w:pPr>
      <w:r>
        <w:rPr>
          <w:b/>
          <w:sz w:val="30"/>
        </w:rPr>
        <w:t>二、设计依据</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81"/>
        </w:tabs>
        <w:spacing w:before="0"/>
        <w:ind w:left="1553" w:right="0" w:firstLine="0"/>
        <w:jc w:val="left"/>
        <w:rPr>
          <w:rFonts w:ascii="宋体" w:eastAsia="宋体" w:hint="eastAsia"/>
          <w:b/>
          <w:sz w:val="30"/>
        </w:rPr>
      </w:pPr>
      <w:r>
        <w:rPr>
          <w:b/>
          <w:sz w:val="30"/>
        </w:rPr>
        <w:t>三、基础资料</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23"/>
        </w:tabs>
        <w:spacing w:before="0"/>
        <w:ind w:left="1867" w:right="0" w:firstLine="0"/>
        <w:jc w:val="left"/>
        <w:rPr>
          <w:rFonts w:ascii="宋体" w:eastAsia="宋体" w:hint="eastAsia"/>
          <w:b/>
          <w:sz w:val="30"/>
        </w:rPr>
      </w:pPr>
      <w:r>
        <w:rPr>
          <w:sz w:val="30"/>
        </w:rPr>
        <w:t>、设计水量</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rPr>
          <w:rFonts w:ascii="宋体"/>
          <w:b/>
          <w:sz w:val="31"/>
        </w:rPr>
      </w:pPr>
    </w:p>
    <w:p>
      <w:pPr>
        <w:tabs>
          <w:tab w:val="left" w:leader="dot" w:pos="11123"/>
        </w:tabs>
        <w:spacing w:before="0"/>
        <w:ind w:left="1867" w:right="0" w:firstLine="0"/>
        <w:jc w:val="left"/>
        <w:rPr>
          <w:rFonts w:ascii="宋体" w:eastAsia="宋体" w:hint="eastAsia"/>
          <w:b/>
          <w:sz w:val="30"/>
        </w:rPr>
      </w:pPr>
      <w:r>
        <w:rPr>
          <w:sz w:val="30"/>
        </w:rPr>
        <w:t>、设计水质</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10"/>
        <w:rPr>
          <w:rFonts w:ascii="宋体"/>
          <w:b/>
          <w:sz w:val="44"/>
        </w:rPr>
      </w:pPr>
    </w:p>
    <w:p>
      <w:pPr>
        <w:tabs>
          <w:tab w:val="left" w:pos="2442"/>
          <w:tab w:val="left" w:leader="dot" w:pos="11181"/>
        </w:tabs>
        <w:spacing w:before="0"/>
        <w:ind w:left="1237" w:right="0" w:firstLine="0"/>
        <w:jc w:val="left"/>
        <w:rPr>
          <w:rFonts w:ascii="宋体" w:eastAsia="宋体" w:hint="eastAsia"/>
          <w:b/>
          <w:sz w:val="30"/>
        </w:rPr>
      </w:pPr>
      <w:r>
        <w:rPr>
          <w:b/>
          <w:sz w:val="30"/>
        </w:rPr>
        <w:t>第三章</w:t>
        <w:tab/>
        <w:t>工艺方案</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rPr>
          <w:rFonts w:ascii="宋体"/>
          <w:b/>
          <w:sz w:val="45"/>
        </w:rPr>
      </w:pPr>
    </w:p>
    <w:p>
      <w:pPr>
        <w:tabs>
          <w:tab w:val="left" w:leader="dot" w:pos="11181"/>
        </w:tabs>
        <w:spacing w:before="0"/>
        <w:ind w:left="1553" w:right="0" w:firstLine="0"/>
        <w:jc w:val="left"/>
        <w:rPr>
          <w:rFonts w:ascii="宋体" w:eastAsia="宋体" w:hint="eastAsia"/>
          <w:b/>
          <w:sz w:val="30"/>
        </w:rPr>
      </w:pPr>
      <w:r>
        <w:rPr>
          <w:b/>
          <w:sz w:val="30"/>
        </w:rPr>
        <w:t>一、原则及指导思想</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rPr>
          <w:rFonts w:ascii="宋体"/>
          <w:b/>
          <w:sz w:val="31"/>
        </w:rPr>
      </w:pPr>
    </w:p>
    <w:p>
      <w:pPr>
        <w:tabs>
          <w:tab w:val="left" w:leader="dot" w:pos="11181"/>
        </w:tabs>
        <w:spacing w:before="0"/>
        <w:ind w:left="1553" w:right="0" w:firstLine="0"/>
        <w:jc w:val="left"/>
        <w:rPr>
          <w:rFonts w:ascii="宋体" w:eastAsia="宋体" w:hint="eastAsia"/>
          <w:b/>
          <w:sz w:val="30"/>
        </w:rPr>
      </w:pPr>
      <w:r>
        <w:rPr>
          <w:b/>
          <w:sz w:val="30"/>
        </w:rPr>
        <w:t>二、工艺方案选择</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23"/>
        </w:tabs>
        <w:spacing w:before="0"/>
        <w:ind w:left="1867" w:right="0" w:firstLine="0"/>
        <w:jc w:val="left"/>
        <w:rPr>
          <w:rFonts w:ascii="宋体" w:eastAsia="宋体" w:hint="eastAsia"/>
          <w:b/>
          <w:sz w:val="30"/>
        </w:rPr>
      </w:pPr>
      <w:r>
        <w:rPr>
          <w:sz w:val="30"/>
        </w:rPr>
        <w:t>、传统一次性处理法</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23"/>
        </w:tabs>
        <w:spacing w:before="0"/>
        <w:ind w:left="1867" w:right="0" w:firstLine="0"/>
        <w:jc w:val="left"/>
        <w:rPr>
          <w:rFonts w:ascii="宋体" w:eastAsia="宋体" w:hint="eastAsia"/>
          <w:b/>
          <w:sz w:val="30"/>
        </w:rPr>
      </w:pPr>
      <w:r>
        <w:rPr>
          <w:spacing w:val="3"/>
          <w:sz w:val="30"/>
        </w:rPr>
        <w:t>、</w:t>
      </w:r>
      <w:r>
        <w:rPr>
          <w:sz w:val="30"/>
        </w:rPr>
        <w:t>MT-污水快速处理一体机</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rPr>
          <w:rFonts w:ascii="宋体"/>
          <w:b/>
          <w:sz w:val="31"/>
        </w:rPr>
      </w:pPr>
    </w:p>
    <w:p>
      <w:pPr>
        <w:tabs>
          <w:tab w:val="left" w:leader="dot" w:pos="11123"/>
        </w:tabs>
        <w:spacing w:before="0"/>
        <w:ind w:left="1867" w:right="0" w:firstLine="0"/>
        <w:jc w:val="left"/>
        <w:rPr>
          <w:rFonts w:ascii="宋体" w:eastAsia="宋体" w:hint="eastAsia"/>
          <w:b/>
          <w:sz w:val="30"/>
        </w:rPr>
      </w:pPr>
      <w:r>
        <w:rPr>
          <w:sz w:val="30"/>
        </w:rPr>
        <w:t>、工艺对比</w:t>
        <w:tab/>
      </w:r>
      <w:r>
        <w:rPr>
          <w:rFonts w:ascii="宋体" w:eastAsia="宋体" w:hint="eastAsia"/>
          <w:b/>
          <w:w w:val="95"/>
          <w:sz w:val="30"/>
        </w:rPr>
        <w:t>错</w:t>
      </w:r>
      <w:r>
        <w:rPr>
          <w:rFonts w:ascii="宋体" w:eastAsia="宋体" w:hint="eastAsia"/>
          <w:b/>
          <w:spacing w:val="3"/>
          <w:w w:val="95"/>
          <w:sz w:val="30"/>
        </w:rPr>
        <w:t>误</w:t>
      </w:r>
      <w:r>
        <w:rPr>
          <w:rFonts w:ascii="新宋体" w:eastAsia="新宋体" w:hint="eastAsia"/>
          <w:b/>
          <w:spacing w:val="6"/>
          <w:w w:val="95"/>
          <w:sz w:val="30"/>
        </w:rPr>
        <w:t>!</w:t>
      </w:r>
      <w:r>
        <w:rPr>
          <w:rFonts w:ascii="宋体" w:eastAsia="宋体" w:hint="eastAsia"/>
          <w:b/>
          <w:w w:val="95"/>
          <w:sz w:val="30"/>
        </w:rPr>
        <w:t>未定义书签。</w:t>
      </w:r>
    </w:p>
    <w:p>
      <w:pPr>
        <w:pStyle w:val="BodyText"/>
        <w:spacing w:before="10"/>
        <w:rPr>
          <w:rFonts w:ascii="宋体"/>
          <w:b/>
          <w:sz w:val="44"/>
        </w:rPr>
      </w:pPr>
    </w:p>
    <w:p>
      <w:pPr>
        <w:tabs>
          <w:tab w:val="left" w:pos="2442"/>
          <w:tab w:val="left" w:leader="dot" w:pos="11181"/>
        </w:tabs>
        <w:spacing w:before="0"/>
        <w:ind w:left="1237" w:right="0" w:firstLine="0"/>
        <w:jc w:val="left"/>
        <w:rPr>
          <w:rFonts w:ascii="宋体" w:eastAsia="宋体" w:hint="eastAsia"/>
          <w:b/>
          <w:sz w:val="30"/>
        </w:rPr>
      </w:pPr>
      <w:r>
        <w:rPr>
          <w:b/>
          <w:sz w:val="30"/>
        </w:rPr>
        <w:t>第四章</w:t>
        <w:tab/>
        <w:t>主要构筑物及设备选型</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rPr>
          <w:rFonts w:ascii="宋体"/>
          <w:b/>
          <w:sz w:val="45"/>
        </w:rPr>
      </w:pPr>
    </w:p>
    <w:p>
      <w:pPr>
        <w:tabs>
          <w:tab w:val="left" w:leader="dot" w:pos="11181"/>
        </w:tabs>
        <w:spacing w:before="1"/>
        <w:ind w:left="1553" w:right="0" w:firstLine="0"/>
        <w:jc w:val="left"/>
        <w:rPr>
          <w:rFonts w:ascii="宋体" w:eastAsia="宋体" w:hint="eastAsia"/>
          <w:b/>
          <w:sz w:val="30"/>
        </w:rPr>
      </w:pPr>
      <w:r>
        <w:rPr>
          <w:sz w:val="30"/>
        </w:rPr>
        <w:t>、粗细格栅</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、污水收集池（调节池）</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、设备选型</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、整套设备清单</w:t>
        <w:tab/>
      </w:r>
      <w:r>
        <w:rPr>
          <w:rFonts w:ascii="宋体" w:eastAsia="宋体" w:hint="eastAsia"/>
          <w:b/>
          <w:w w:val="95"/>
          <w:sz w:val="30"/>
        </w:rPr>
        <w:t>错</w:t>
      </w:r>
      <w:r>
        <w:rPr>
          <w:rFonts w:ascii="宋体" w:eastAsia="宋体" w:hint="eastAsia"/>
          <w:b/>
          <w:spacing w:val="8"/>
          <w:w w:val="95"/>
          <w:sz w:val="30"/>
        </w:rPr>
        <w:t>误</w:t>
      </w:r>
      <w:r>
        <w:rPr>
          <w:rFonts w:ascii="Times New Roman" w:eastAsia="Times New Roman"/>
          <w:b/>
          <w:spacing w:val="-3"/>
          <w:w w:val="95"/>
          <w:sz w:val="30"/>
        </w:rPr>
        <w:t>!</w:t>
      </w:r>
      <w:r>
        <w:rPr>
          <w:rFonts w:ascii="宋体" w:eastAsia="宋体" w:hint="eastAsia"/>
          <w:b/>
          <w:w w:val="95"/>
          <w:sz w:val="30"/>
        </w:rPr>
        <w:t>未定义书签。</w:t>
      </w:r>
    </w:p>
    <w:p>
      <w:pPr>
        <w:spacing w:after="0"/>
        <w:jc w:val="left"/>
        <w:rPr>
          <w:rFonts w:ascii="宋体" w:eastAsia="宋体" w:hint="eastAsia"/>
          <w:sz w:val="30"/>
        </w:rPr>
        <w:sectPr>
          <w:pgSz w:w="17860" w:h="25260"/>
          <w:pgMar w:top="2020" w:right="680" w:bottom="280" w:left="1460" w:header="708" w:footer="708"/>
          <w:pgNumType w:start="2"/>
          <w:cols w:space="708"/>
        </w:sectPr>
      </w:pPr>
    </w:p>
    <w:p>
      <w:pPr>
        <w:tabs>
          <w:tab w:val="left" w:leader="dot" w:pos="11181"/>
        </w:tabs>
        <w:spacing w:before="66"/>
        <w:ind w:left="1553" w:right="0" w:firstLine="0"/>
        <w:jc w:val="left"/>
        <w:rPr>
          <w:rFonts w:ascii="宋体" w:eastAsia="宋体" w:hint="eastAsia"/>
          <w:b/>
          <w:sz w:val="30"/>
        </w:rPr>
      </w:pPr>
      <w:r>
        <w:rPr>
          <w:sz w:val="30"/>
        </w:rPr>
        <w:t>、运行费用分析</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1"/>
        <w:rPr>
          <w:rFonts w:ascii="宋体"/>
          <w:b/>
          <w:sz w:val="45"/>
        </w:rPr>
      </w:pPr>
    </w:p>
    <w:p>
      <w:pPr>
        <w:tabs>
          <w:tab w:val="left" w:leader="dot" w:pos="11181"/>
        </w:tabs>
        <w:spacing w:before="0"/>
        <w:ind w:left="1237" w:right="0" w:firstLine="0"/>
        <w:jc w:val="left"/>
        <w:rPr>
          <w:rFonts w:ascii="宋体" w:eastAsia="宋体" w:hint="eastAsia"/>
          <w:b/>
          <w:sz w:val="30"/>
        </w:rPr>
      </w:pPr>
      <w:r>
        <w:rPr>
          <w:b/>
          <w:sz w:val="30"/>
        </w:rPr>
        <w:t>第五章</w:t>
      </w:r>
      <w:r>
        <w:rPr>
          <w:b/>
          <w:spacing w:val="-11"/>
          <w:sz w:val="30"/>
        </w:rPr>
        <w:t xml:space="preserve"> </w:t>
      </w:r>
      <w:r>
        <w:rPr>
          <w:b/>
          <w:sz w:val="30"/>
        </w:rPr>
        <w:t>工程投资报价（单位以万元计）</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9"/>
        <w:rPr>
          <w:rFonts w:ascii="宋体"/>
          <w:b/>
          <w:sz w:val="44"/>
        </w:rPr>
      </w:pPr>
    </w:p>
    <w:p>
      <w:pPr>
        <w:tabs>
          <w:tab w:val="left" w:pos="2442"/>
          <w:tab w:val="left" w:leader="dot" w:pos="11181"/>
        </w:tabs>
        <w:spacing w:before="0"/>
        <w:ind w:left="1237" w:right="0" w:firstLine="0"/>
        <w:jc w:val="left"/>
        <w:rPr>
          <w:rFonts w:ascii="宋体" w:eastAsia="宋体" w:hint="eastAsia"/>
          <w:b/>
          <w:sz w:val="30"/>
        </w:rPr>
      </w:pPr>
      <w:r>
        <w:rPr>
          <w:b/>
          <w:sz w:val="30"/>
        </w:rPr>
        <w:t>第六章</w:t>
        <w:tab/>
        <w:t>环境保护、安全卫生及节能措施</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rPr>
          <w:rFonts w:ascii="宋体"/>
          <w:b/>
          <w:sz w:val="45"/>
        </w:rPr>
      </w:pPr>
    </w:p>
    <w:p>
      <w:pPr>
        <w:tabs>
          <w:tab w:val="left" w:leader="dot" w:pos="11181"/>
        </w:tabs>
        <w:spacing w:before="1"/>
        <w:ind w:left="1553" w:right="0" w:firstLine="0"/>
        <w:jc w:val="left"/>
        <w:rPr>
          <w:rFonts w:ascii="宋体" w:eastAsia="宋体" w:hint="eastAsia"/>
          <w:b/>
          <w:sz w:val="30"/>
        </w:rPr>
      </w:pPr>
      <w:r>
        <w:rPr>
          <w:sz w:val="30"/>
        </w:rPr>
        <w:t>、环境保护</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、安全生产</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9"/>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、节能措施</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12"/>
        <w:rPr>
          <w:rFonts w:ascii="宋体"/>
          <w:b/>
          <w:sz w:val="30"/>
        </w:rPr>
      </w:pPr>
    </w:p>
    <w:p>
      <w:pPr>
        <w:tabs>
          <w:tab w:val="left" w:leader="dot" w:pos="11181"/>
        </w:tabs>
        <w:spacing w:before="0"/>
        <w:ind w:left="1553" w:right="0" w:firstLine="0"/>
        <w:jc w:val="left"/>
        <w:rPr>
          <w:rFonts w:ascii="宋体" w:eastAsia="宋体" w:hint="eastAsia"/>
          <w:b/>
          <w:sz w:val="30"/>
        </w:rPr>
      </w:pPr>
      <w:r>
        <w:rPr>
          <w:sz w:val="30"/>
        </w:rPr>
        <w:t>、消防</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spacing w:before="1"/>
        <w:rPr>
          <w:rFonts w:ascii="宋体"/>
          <w:b/>
          <w:sz w:val="45"/>
        </w:rPr>
      </w:pPr>
    </w:p>
    <w:p>
      <w:pPr>
        <w:tabs>
          <w:tab w:val="left" w:pos="2442"/>
          <w:tab w:val="left" w:leader="dot" w:pos="11181"/>
        </w:tabs>
        <w:spacing w:before="0"/>
        <w:ind w:left="1237" w:right="0" w:firstLine="0"/>
        <w:jc w:val="left"/>
        <w:rPr>
          <w:rFonts w:ascii="宋体" w:eastAsia="宋体" w:hint="eastAsia"/>
          <w:b/>
          <w:sz w:val="30"/>
        </w:rPr>
      </w:pPr>
      <w:r>
        <w:rPr>
          <w:b/>
          <w:sz w:val="30"/>
        </w:rPr>
        <w:t>第七章</w:t>
        <w:tab/>
        <w:t>售后服务与承诺</w:t>
        <w:tab/>
      </w:r>
      <w:r>
        <w:rPr>
          <w:rFonts w:ascii="宋体" w:eastAsia="宋体" w:hint="eastAsia"/>
          <w:b/>
          <w:w w:val="95"/>
          <w:sz w:val="30"/>
        </w:rPr>
        <w:t>错</w:t>
      </w:r>
      <w:r>
        <w:rPr>
          <w:rFonts w:ascii="宋体" w:eastAsia="宋体" w:hint="eastAsia"/>
          <w:b/>
          <w:spacing w:val="8"/>
          <w:w w:val="95"/>
          <w:sz w:val="30"/>
        </w:rPr>
        <w:t>误</w:t>
      </w:r>
      <w:r>
        <w:rPr>
          <w:rFonts w:ascii="Arial" w:eastAsia="Arial"/>
          <w:b/>
          <w:spacing w:val="-3"/>
          <w:w w:val="95"/>
          <w:sz w:val="30"/>
        </w:rPr>
        <w:t>!</w:t>
      </w:r>
      <w:r>
        <w:rPr>
          <w:rFonts w:ascii="宋体" w:eastAsia="宋体" w:hint="eastAsia"/>
          <w:b/>
          <w:w w:val="95"/>
          <w:sz w:val="30"/>
        </w:rPr>
        <w:t>未定义书签。</w:t>
      </w:r>
    </w:p>
    <w:p>
      <w:pPr>
        <w:pStyle w:val="BodyText"/>
        <w:rPr>
          <w:rFonts w:ascii="宋体"/>
          <w:b/>
          <w:sz w:val="36"/>
        </w:rPr>
      </w:pPr>
    </w:p>
    <w:p>
      <w:pPr>
        <w:pStyle w:val="BodyText"/>
        <w:rPr>
          <w:rFonts w:ascii="宋体"/>
          <w:b/>
          <w:sz w:val="36"/>
        </w:rPr>
      </w:pPr>
    </w:p>
    <w:p>
      <w:pPr>
        <w:pStyle w:val="BodyText"/>
        <w:spacing w:before="5"/>
        <w:rPr>
          <w:rFonts w:ascii="宋体"/>
          <w:b/>
          <w:sz w:val="37"/>
        </w:rPr>
      </w:pPr>
    </w:p>
    <w:p>
      <w:pPr>
        <w:pStyle w:val="Heading1"/>
        <w:tabs>
          <w:tab w:val="left" w:pos="2649"/>
        </w:tabs>
      </w:pPr>
      <w:r>
        <w:t>第一章</w:t>
        <w:tab/>
        <w:t>项目概述</w:t>
      </w:r>
    </w:p>
    <w:p>
      <w:pPr>
        <w:pStyle w:val="BodyText"/>
        <w:spacing w:before="8"/>
        <w:rPr>
          <w:b/>
          <w:sz w:val="66"/>
        </w:rPr>
      </w:pPr>
    </w:p>
    <w:p>
      <w:pPr>
        <w:pStyle w:val="Heading2"/>
      </w:pPr>
      <w:r>
        <w:t>一、项目背景</w:t>
      </w:r>
    </w:p>
    <w:p>
      <w:pPr>
        <w:pStyle w:val="BodyText"/>
        <w:spacing w:before="410" w:line="417" w:lineRule="auto"/>
        <w:ind w:left="1237" w:right="2187" w:firstLine="838"/>
        <w:jc w:val="both"/>
      </w:pPr>
      <w:r>
        <w:t>近年来，随着社会的不断发展进步，市场对肉类食品的不断需求，与此相关的屠宰行业发展越来越紧俏，国内目前分布着很多小型屠宰场，如何将这些小型屠宰场规范化与资源化是目前的主要任务。现上海松林工贸有限公司拟打算投资新建一大型屠宰场，总屠</w:t>
      </w:r>
      <w:r>
        <w:rPr>
          <w:spacing w:val="3"/>
        </w:rPr>
        <w:t xml:space="preserve">宰量达 </w:t>
      </w:r>
      <w:r>
        <w:t>2000～3000</w:t>
      </w:r>
      <w:r>
        <w:rPr>
          <w:spacing w:val="-69"/>
        </w:rPr>
        <w:t xml:space="preserve"> 余头</w:t>
      </w:r>
      <w:r>
        <w:t>（只</w:t>
      </w:r>
      <w:r>
        <w:rPr>
          <w:spacing w:val="-108"/>
        </w:rPr>
        <w:t>）</w:t>
      </w:r>
      <w:r>
        <w:rPr>
          <w:spacing w:val="-19"/>
        </w:rPr>
        <w:t xml:space="preserve">每天，每天排出生猪屠宰污水近 </w:t>
      </w:r>
      <w:r>
        <w:rPr>
          <w:spacing w:val="-4"/>
        </w:rPr>
        <w:t xml:space="preserve">1000 </w:t>
      </w:r>
      <w:r>
        <w:t>吨左右。</w:t>
      </w:r>
    </w:p>
    <w:p>
      <w:pPr>
        <w:pStyle w:val="BodyText"/>
        <w:spacing w:line="417" w:lineRule="auto"/>
        <w:ind w:left="1237" w:right="1848" w:firstLine="838"/>
      </w:pPr>
      <w:r>
        <w:rPr>
          <w:spacing w:val="-1"/>
        </w:rPr>
        <w:t>由于本工程日排污量较大、污水污染程度高，因此该项目领导、</w:t>
      </w:r>
      <w:r>
        <w:t>当地政府等有关部门对此非常重视，特根据现场污水实际情况以及 周围环境影响等因素，由上海名天环保科技有限公司对其高浓度屠 宰废水处理进行全面设计，以确保排水水质达到国家相关规定与标 准，保障当地生态环境与民生用水安全。</w:t>
      </w:r>
    </w:p>
    <w:p>
      <w:pPr>
        <w:spacing w:after="0" w:line="417" w:lineRule="auto"/>
        <w:sectPr>
          <w:pgSz w:w="17860" w:h="25260"/>
          <w:pgMar w:top="2020" w:right="680" w:bottom="280" w:left="1460" w:header="708" w:footer="708"/>
          <w:pgNumType w:start="3"/>
          <w:cols w:space="708"/>
        </w:sectPr>
      </w:pPr>
    </w:p>
    <w:p>
      <w:pPr>
        <w:pStyle w:val="Heading2"/>
        <w:spacing w:before="12"/>
      </w:pPr>
      <w:r>
        <w:t>二、可污染评估</w:t>
      </w:r>
    </w:p>
    <w:p>
      <w:pPr>
        <w:pStyle w:val="BodyText"/>
        <w:spacing w:before="409" w:line="417" w:lineRule="auto"/>
        <w:ind w:left="1237" w:right="2060" w:firstLine="838"/>
      </w:pPr>
      <w:r>
        <w:rPr>
          <w:spacing w:val="-10"/>
        </w:rPr>
        <w:t xml:space="preserve">该项目屠宰场每天屠宰量 </w:t>
      </w:r>
      <w:r>
        <w:t>2000～3000</w:t>
      </w:r>
      <w:r>
        <w:rPr>
          <w:spacing w:val="-19"/>
        </w:rPr>
        <w:t xml:space="preserve"> 头左右，其中一期工程屠</w:t>
      </w:r>
      <w:r>
        <w:rPr>
          <w:spacing w:val="-43"/>
        </w:rPr>
        <w:t xml:space="preserve">宰量 </w:t>
      </w:r>
      <w:r>
        <w:t>2000</w:t>
      </w:r>
      <w:r>
        <w:rPr>
          <w:spacing w:val="-12"/>
        </w:rPr>
        <w:t xml:space="preserve"> 头左右，屠宰场废水主要来自生猪屠宰清洗、猪血、猪身</w:t>
      </w:r>
      <w:r>
        <w:t>残留污秽等。目前，如果其废水直接排放进入河流，将会给河流的</w:t>
      </w:r>
      <w:r>
        <w:rPr>
          <w:spacing w:val="-10"/>
        </w:rPr>
        <w:t>水体造成严重污染。 由于屠宰场废水属于富含大量病原体的高浓度有机废水，直接排放进入水体或存放地点不合适，生猪粪尿和屠宰场的冲洗水的淋溶性很强，粪尿中的氮、磷及水溶性有机物等淋溶量很大，如不妥善处理，就会通过地表径流和渗滤进入地下水层污染地下水。大量有机物质进入水体后，有机物的分解将大量消耗水中的溶解氧，使水体发臭，导致水生生物大量死亡；同时，废水中的大量悬浮物可使水体浑浊，降低水中藻类的光合作用和水体自净能力，限制水生生物的正常活动，严重地破坏了水体生态平衡；粪尿中的一些病菌、病毒等随水流动蔓延可能导致某些流行病的传播等。按照相关法律法规及环保要求，养殖废水必须经处理达标后方可排放。</w:t>
      </w:r>
    </w:p>
    <w:p>
      <w:pPr>
        <w:pStyle w:val="Heading2"/>
        <w:spacing w:line="524" w:lineRule="exact"/>
      </w:pPr>
      <w:r>
        <w:rPr>
          <w:w w:val="95"/>
        </w:rPr>
        <w:t>三、治理的必要性</w:t>
      </w:r>
    </w:p>
    <w:p>
      <w:pPr>
        <w:pStyle w:val="BodyText"/>
        <w:spacing w:before="409" w:line="417" w:lineRule="auto"/>
        <w:ind w:left="1237" w:right="2265" w:firstLine="838"/>
        <w:jc w:val="both"/>
      </w:pPr>
      <w:r>
        <w:rPr>
          <w:spacing w:val="-1"/>
        </w:rPr>
        <w:t>规模化屠宰场每天排放的废水量大、集中，并且废水中含有大量污染物，主要有猪冲洗水、残留的污秽物和大量的病原体等，因此如不经过处理就排放于环境或直接农用，将会造成当地生态环境</w:t>
      </w:r>
      <w:r>
        <w:t>和农田的严重污染。</w:t>
      </w:r>
    </w:p>
    <w:p>
      <w:pPr>
        <w:spacing w:after="0" w:line="417" w:lineRule="auto"/>
        <w:jc w:val="both"/>
        <w:sectPr>
          <w:pgSz w:w="17860" w:h="25260"/>
          <w:pgMar w:top="1880" w:right="680" w:bottom="280" w:left="1460" w:header="708" w:footer="708"/>
          <w:pgNumType w:start="4"/>
          <w:cols w:space="708"/>
        </w:sectPr>
      </w:pPr>
    </w:p>
    <w:p>
      <w:pPr>
        <w:pStyle w:val="Heading3"/>
        <w:spacing w:before="24"/>
      </w:pPr>
      <w:r>
        <w:t>、对水体的污染</w:t>
      </w:r>
    </w:p>
    <w:p>
      <w:pPr>
        <w:pStyle w:val="BodyText"/>
        <w:spacing w:before="1"/>
        <w:rPr>
          <w:b/>
          <w:sz w:val="61"/>
        </w:rPr>
      </w:pPr>
    </w:p>
    <w:p>
      <w:pPr>
        <w:pStyle w:val="BodyText"/>
        <w:spacing w:line="417" w:lineRule="auto"/>
        <w:ind w:left="1237" w:right="2187" w:firstLine="838"/>
        <w:jc w:val="both"/>
      </w:pPr>
      <w:r>
        <w:rPr>
          <w:spacing w:val="-6"/>
        </w:rPr>
        <w:t>养殖业废水属于富含大量病原体的高浓度有机废水， 直接排放</w:t>
      </w:r>
      <w:r>
        <w:t>进入水体或存放地点的选择不恰当，受雨水冲洗进入水体，将可能造成地表水或地下水水质的严重恶化。</w:t>
      </w:r>
    </w:p>
    <w:p>
      <w:pPr>
        <w:pStyle w:val="BodyText"/>
        <w:spacing w:before="7"/>
        <w:rPr>
          <w:sz w:val="30"/>
        </w:rPr>
      </w:pPr>
    </w:p>
    <w:p>
      <w:pPr>
        <w:pStyle w:val="Heading3"/>
        <w:jc w:val="both"/>
      </w:pPr>
      <w:r>
        <w:t>、 对农田及作物的影响</w:t>
      </w:r>
    </w:p>
    <w:p>
      <w:pPr>
        <w:pStyle w:val="BodyText"/>
        <w:spacing w:before="6"/>
        <w:rPr>
          <w:b/>
          <w:sz w:val="61"/>
        </w:rPr>
      </w:pPr>
    </w:p>
    <w:p>
      <w:pPr>
        <w:pStyle w:val="BodyText"/>
        <w:spacing w:line="417" w:lineRule="auto"/>
        <w:ind w:left="1237" w:right="1909" w:firstLine="838"/>
      </w:pPr>
      <w:r>
        <w:t>屠宰废水中含有较多的氮、磷、钾等养分，如能做到合理施用</w:t>
      </w:r>
      <w:r>
        <w:rPr>
          <w:spacing w:val="-7"/>
        </w:rPr>
        <w:t>可有效地提高土壤肥力，改良土壤的理化特性，促进农作物的生长。</w:t>
      </w:r>
      <w:r>
        <w:t>但如果未经任何处理就直接、连续、过量的施用，则会给土壤和农作物的生长造成不良的影响，如引起作物徒长、返青、倒伏，使产量大大降低，推迟成熟期，影响后续作物的生产等。废水中的大量</w:t>
      </w:r>
      <w:r>
        <w:rPr>
          <w:spacing w:val="-6"/>
        </w:rPr>
        <w:t>有机物质在土壤中不断累积，虽然可为土壤中栖居的小动物、昆虫、真菌、细菌等提供营养物质和适宜的环境，但也可导致一些病原菌大量孳生引起病虫害的发生；此外，大量有机物的积累也会使土壤呈强还原性，而强还原性的条件不仅影响作物的根系生长，而且易使土壤中原本处于惰性状态的有害元素得到还原而释放；大量无机盐在土壤中的积聚则会引起作物的盐害。</w:t>
      </w:r>
    </w:p>
    <w:p>
      <w:pPr>
        <w:pStyle w:val="BodyText"/>
        <w:spacing w:before="6"/>
        <w:rPr>
          <w:sz w:val="30"/>
        </w:rPr>
      </w:pPr>
    </w:p>
    <w:p>
      <w:pPr>
        <w:pStyle w:val="Heading3"/>
      </w:pPr>
      <w:r>
        <w:t>、 矿物元素和重金属污染</w:t>
      </w:r>
    </w:p>
    <w:p>
      <w:pPr>
        <w:pStyle w:val="BodyText"/>
        <w:spacing w:before="5"/>
        <w:rPr>
          <w:b/>
          <w:sz w:val="61"/>
        </w:rPr>
      </w:pPr>
    </w:p>
    <w:p>
      <w:pPr>
        <w:pStyle w:val="BodyText"/>
        <w:spacing w:line="417" w:lineRule="auto"/>
        <w:ind w:left="1237" w:right="2203" w:firstLine="838"/>
        <w:jc w:val="both"/>
      </w:pPr>
      <w:r>
        <w:t>一方面，在养殖饲料中大量添加的无机磷约 75%为植酸磷，由于植酸磷不能被动物吸收利用而直接排出体外，引起污染。另一方面，各饲料厂和养殖场均普遍采用高铜、高铁、高锌等微量元素添</w:t>
      </w:r>
    </w:p>
    <w:p>
      <w:pPr>
        <w:spacing w:after="0" w:line="417" w:lineRule="auto"/>
        <w:jc w:val="both"/>
        <w:sectPr>
          <w:pgSz w:w="17860" w:h="25260"/>
          <w:pgMar w:top="1960" w:right="680" w:bottom="280" w:left="1460" w:header="708" w:footer="708"/>
          <w:pgNumType w:start="5"/>
          <w:cols w:space="708"/>
        </w:sectPr>
      </w:pPr>
    </w:p>
    <w:p>
      <w:pPr>
        <w:pStyle w:val="BodyText"/>
        <w:spacing w:line="417" w:lineRule="auto"/>
        <w:ind w:left="1237" w:right="2265"/>
        <w:rPr>
          <w:rFonts w:ascii="幼圆" w:eastAsia="幼圆" w:hint="eastAsia"/>
        </w:rPr>
      </w:pPr>
      <w:r>
        <w:rPr>
          <w:rFonts w:ascii="幼圆" w:eastAsia="幼圆" w:hint="eastAsia"/>
        </w:rPr>
        <w:t>加剂，由于这些金属元素的吸收率和利用率都很低易随粪便排出体外进入环境，已成为我国的一大环境公害。</w:t>
      </w:r>
    </w:p>
    <w:p>
      <w:pPr>
        <w:pStyle w:val="BodyText"/>
        <w:spacing w:before="7"/>
        <w:rPr>
          <w:rFonts w:ascii="幼圆"/>
          <w:sz w:val="30"/>
        </w:rPr>
      </w:pPr>
    </w:p>
    <w:p>
      <w:pPr>
        <w:pStyle w:val="Heading3"/>
        <w:rPr>
          <w:rFonts w:ascii="幼圆" w:eastAsia="幼圆" w:hint="eastAsia"/>
        </w:rPr>
      </w:pPr>
      <w:r>
        <w:rPr>
          <w:rFonts w:ascii="幼圆" w:eastAsia="幼圆" w:hint="eastAsia"/>
        </w:rPr>
        <w:t>、残留兽药的污染</w:t>
      </w:r>
    </w:p>
    <w:p>
      <w:pPr>
        <w:pStyle w:val="BodyText"/>
        <w:spacing w:before="5"/>
        <w:rPr>
          <w:rFonts w:ascii="幼圆"/>
          <w:b/>
          <w:sz w:val="61"/>
        </w:rPr>
      </w:pPr>
    </w:p>
    <w:p>
      <w:pPr>
        <w:pStyle w:val="BodyText"/>
        <w:spacing w:before="1" w:line="417" w:lineRule="auto"/>
        <w:ind w:left="1237" w:right="1896" w:firstLine="838"/>
        <w:rPr>
          <w:rFonts w:ascii="幼圆" w:eastAsia="幼圆" w:hAnsi="幼圆" w:hint="eastAsia"/>
        </w:rPr>
      </w:pPr>
      <w:r>
        <w:rPr>
          <w:rFonts w:ascii="幼圆" w:eastAsia="幼圆" w:hAnsi="幼圆" w:hint="eastAsia"/>
        </w:rPr>
        <w:t>在养殖过程中，为了防治养殖的多发性疾病，常在饲料中添加抗菌素和其他药物，这些药物随饲料进入动物消化道后，短时间内进入动物血液循环，最终绝大多数的药物经肾脏过滤随尿液排出体</w:t>
      </w:r>
      <w:r>
        <w:rPr>
          <w:rFonts w:ascii="幼圆" w:eastAsia="幼圆" w:hAnsi="幼圆" w:hint="eastAsia"/>
          <w:spacing w:val="-9"/>
        </w:rPr>
        <w:t xml:space="preserve">外，只有极少部分的药物和抗菌素残留在动物体内。大量研究表明， </w:t>
      </w:r>
      <w:r>
        <w:rPr>
          <w:rFonts w:ascii="幼圆" w:eastAsia="幼圆" w:hAnsi="幼圆" w:hint="eastAsia"/>
        </w:rPr>
        <w:t>大多数饲料用抗菌素都有残留，只是残留量大小不同。随着科技水平的不断提高，人们发现抗生素作为饲料添加剂使用，对养殖环境已造成了严重的负面后果。首先，使养殖体内的耐药病原菌或变异病原菌不断产生并不断向环境中排放；其次，养殖场生猪不断向环境中排泄这些抗生素或其代谢产物，使环境中的耐药病原菌与变异病原菌不断产生。这两者反过来又刺激生产者增加用药剂量、更新药物品种，这就造成了“药物污染环境→耐药或变异病原菌产生→ 加大用药剂量→环境被进一步污染”的恶性循环。另外，养殖产品</w:t>
      </w:r>
      <w:r>
        <w:rPr>
          <w:rFonts w:ascii="幼圆" w:eastAsia="幼圆" w:hAnsi="幼圆" w:hint="eastAsia"/>
          <w:spacing w:val="-11"/>
        </w:rPr>
        <w:t>中药物残留进入环境后，可能转化为环境激素或环境激素的前体物， 从而直接破坏生态平衡并威胁人类的身体健康。</w:t>
      </w:r>
    </w:p>
    <w:p>
      <w:pPr>
        <w:pStyle w:val="BodyText"/>
        <w:spacing w:before="5"/>
        <w:rPr>
          <w:rFonts w:ascii="幼圆"/>
          <w:sz w:val="30"/>
        </w:rPr>
      </w:pPr>
    </w:p>
    <w:p>
      <w:pPr>
        <w:pStyle w:val="Heading3"/>
        <w:rPr>
          <w:rFonts w:ascii="幼圆" w:eastAsia="幼圆" w:hint="eastAsia"/>
        </w:rPr>
      </w:pPr>
      <w:r>
        <w:rPr>
          <w:rFonts w:ascii="幼圆" w:eastAsia="幼圆" w:hint="eastAsia"/>
        </w:rPr>
        <w:t>、微生物污染</w:t>
      </w:r>
    </w:p>
    <w:p>
      <w:pPr>
        <w:pStyle w:val="BodyText"/>
        <w:spacing w:before="2"/>
        <w:rPr>
          <w:rFonts w:ascii="幼圆"/>
          <w:b/>
          <w:sz w:val="61"/>
        </w:rPr>
      </w:pPr>
    </w:p>
    <w:p>
      <w:pPr>
        <w:pStyle w:val="BodyText"/>
        <w:spacing w:line="417" w:lineRule="auto"/>
        <w:ind w:left="1237" w:right="2265" w:firstLine="838"/>
        <w:rPr>
          <w:rFonts w:ascii="幼圆" w:eastAsia="幼圆" w:hint="eastAsia"/>
        </w:rPr>
      </w:pPr>
      <w:r>
        <w:rPr>
          <w:rFonts w:ascii="幼圆" w:eastAsia="幼圆" w:hint="eastAsia"/>
        </w:rPr>
        <w:t>养殖体内的微生物主要是通过消化道排出体外，通过养殖场废物的排放进入环境从而造成严重的微生物污染。如果对这些粪污不</w:t>
      </w:r>
    </w:p>
    <w:p>
      <w:pPr>
        <w:spacing w:after="0" w:line="417" w:lineRule="auto"/>
        <w:rPr>
          <w:rFonts w:ascii="幼圆" w:eastAsia="幼圆" w:hint="eastAsia"/>
        </w:rPr>
        <w:sectPr>
          <w:pgSz w:w="17860" w:h="25260"/>
          <w:pgMar w:top="1980" w:right="680" w:bottom="280" w:left="1460" w:header="708" w:footer="708"/>
          <w:pgNumType w:start="6"/>
          <w:cols w:space="708"/>
        </w:sectPr>
      </w:pPr>
    </w:p>
    <w:p>
      <w:pPr>
        <w:pStyle w:val="BodyText"/>
        <w:spacing w:before="20" w:line="417" w:lineRule="auto"/>
        <w:ind w:left="1237" w:right="2145"/>
        <w:jc w:val="both"/>
      </w:pPr>
      <w:r>
        <w:t>进行无害化处理，大量的有害病菌一旦进入环境，不仅会直接威胁</w:t>
      </w:r>
      <w:r>
        <w:rPr>
          <w:spacing w:val="-4"/>
        </w:rPr>
        <w:t>养殖自身的生存，还会严重危害人体健康。 综上所述，养殖场废水</w:t>
      </w:r>
      <w:r>
        <w:t>直接排放不仅对受纳水体造成污染，影响周围环境，同时，还对居民生活及身体健康带来较大的影响。所以，对上海松林工贸有限公司屠宰场排放废水的处理迫在眉睫。</w:t>
      </w:r>
    </w:p>
    <w:p>
      <w:pPr>
        <w:spacing w:after="0" w:line="417" w:lineRule="auto"/>
        <w:jc w:val="both"/>
        <w:sectPr>
          <w:pgSz w:w="17860" w:h="25260"/>
          <w:pgMar w:top="1960" w:right="680" w:bottom="280" w:left="1460" w:header="708" w:footer="708"/>
          <w:pgNumType w:start="7"/>
          <w:cols w:space="708"/>
        </w:sectPr>
      </w:pPr>
    </w:p>
    <w:p>
      <w:pPr>
        <w:pStyle w:val="Heading1"/>
        <w:spacing w:line="828" w:lineRule="exact"/>
      </w:pPr>
      <w:r>
        <w:t>第二章 设计参数</w:t>
      </w:r>
    </w:p>
    <w:p>
      <w:pPr>
        <w:pStyle w:val="BodyText"/>
        <w:rPr>
          <w:b/>
          <w:sz w:val="20"/>
        </w:rPr>
      </w:pPr>
    </w:p>
    <w:p>
      <w:pPr>
        <w:pStyle w:val="BodyText"/>
        <w:rPr>
          <w:b/>
          <w:sz w:val="20"/>
        </w:rPr>
      </w:pPr>
    </w:p>
    <w:p>
      <w:pPr>
        <w:pStyle w:val="BodyText"/>
        <w:spacing w:before="1"/>
        <w:rPr>
          <w:b/>
          <w:sz w:val="24"/>
        </w:rPr>
      </w:pPr>
    </w:p>
    <w:p>
      <w:pPr>
        <w:pStyle w:val="Heading2"/>
        <w:spacing w:before="32"/>
      </w:pPr>
      <w:r>
        <w:t>一、设计原则</w:t>
      </w:r>
    </w:p>
    <w:p>
      <w:pPr>
        <w:spacing w:before="409" w:line="398" w:lineRule="auto"/>
        <w:ind w:left="1237" w:right="1991" w:firstLine="0"/>
        <w:jc w:val="both"/>
        <w:rPr>
          <w:sz w:val="42"/>
        </w:rPr>
      </w:pPr>
      <w:r>
        <w:rPr>
          <w:spacing w:val="1"/>
          <w:sz w:val="42"/>
        </w:rPr>
        <w:t>、采用先进合理的废水处理工艺，尽量按照</w:t>
      </w:r>
      <w:r>
        <w:rPr>
          <w:sz w:val="42"/>
        </w:rPr>
        <w:t>CDM</w:t>
      </w:r>
      <w:r>
        <w:rPr>
          <w:position w:val="-6"/>
          <w:sz w:val="34"/>
        </w:rPr>
        <w:t xml:space="preserve">(即清洁发展机制，Clean </w:t>
      </w:r>
      <w:r>
        <w:rPr>
          <w:sz w:val="34"/>
        </w:rPr>
        <w:t>Development</w:t>
      </w:r>
      <w:r>
        <w:rPr>
          <w:spacing w:val="65"/>
          <w:sz w:val="34"/>
        </w:rPr>
        <w:t xml:space="preserve"> </w:t>
      </w:r>
      <w:r>
        <w:rPr>
          <w:sz w:val="34"/>
        </w:rPr>
        <w:t>Mechanism</w:t>
      </w:r>
      <w:r>
        <w:rPr>
          <w:spacing w:val="-16"/>
          <w:sz w:val="34"/>
        </w:rPr>
        <w:t xml:space="preserve"> 的简称)</w:t>
      </w:r>
      <w:r>
        <w:rPr>
          <w:spacing w:val="-1"/>
          <w:position w:val="6"/>
          <w:sz w:val="42"/>
        </w:rPr>
        <w:t>思路进行设计，确保处理后出水及废渣进</w:t>
      </w:r>
      <w:r>
        <w:rPr>
          <w:sz w:val="42"/>
        </w:rPr>
        <w:t>行资源合理化利用；</w:t>
      </w:r>
    </w:p>
    <w:p>
      <w:pPr>
        <w:pStyle w:val="BodyText"/>
        <w:spacing w:before="43"/>
        <w:ind w:left="1237"/>
      </w:pPr>
      <w:r>
        <w:t>、充分进行废水处理工艺方案比选，尽量减少工程投资；</w:t>
      </w:r>
    </w:p>
    <w:p>
      <w:pPr>
        <w:pStyle w:val="BodyText"/>
        <w:spacing w:before="1"/>
        <w:rPr>
          <w:sz w:val="31"/>
        </w:rPr>
      </w:pPr>
    </w:p>
    <w:p>
      <w:pPr>
        <w:pStyle w:val="BodyText"/>
        <w:spacing w:before="1"/>
        <w:ind w:left="1237"/>
      </w:pPr>
      <w:r>
        <w:t>、避免对周围环境造成二次污染；</w:t>
      </w:r>
    </w:p>
    <w:p>
      <w:pPr>
        <w:pStyle w:val="BodyText"/>
        <w:rPr>
          <w:sz w:val="31"/>
        </w:rPr>
      </w:pPr>
    </w:p>
    <w:p>
      <w:pPr>
        <w:pStyle w:val="BodyText"/>
        <w:spacing w:line="417" w:lineRule="auto"/>
        <w:ind w:left="1237" w:right="1844"/>
      </w:pPr>
      <w:r>
        <w:t>、贯彻执行国家有关环境保护的政策，按照国家颁布的有关法规、规范及标准进行设计。</w:t>
      </w:r>
    </w:p>
    <w:p>
      <w:pPr>
        <w:pStyle w:val="BodyText"/>
        <w:spacing w:line="417" w:lineRule="auto"/>
        <w:ind w:left="1237" w:right="1423"/>
        <w:jc w:val="both"/>
      </w:pPr>
      <w:r>
        <w:t>、根据设计进水水质和循环用水的要求，污水处理选用工艺技术先进， 处理效果好，操作管理简单，运行稳定可靠，占地面积少，工程投资省和运行费用低的方案。</w:t>
      </w:r>
    </w:p>
    <w:p>
      <w:pPr>
        <w:pStyle w:val="BodyText"/>
        <w:spacing w:line="538" w:lineRule="exact"/>
        <w:ind w:left="1237"/>
      </w:pPr>
      <w:r>
        <w:t>、选用性能可靠、效果好，能耗低的国内先进设备。</w:t>
      </w:r>
    </w:p>
    <w:p>
      <w:pPr>
        <w:pStyle w:val="BodyText"/>
        <w:rPr>
          <w:sz w:val="31"/>
        </w:rPr>
      </w:pPr>
    </w:p>
    <w:p>
      <w:pPr>
        <w:pStyle w:val="BodyText"/>
        <w:ind w:left="1237"/>
      </w:pPr>
      <w:r>
        <w:t>、充分考虑防止二次污染，低噪声，基本无异味，不影响周围环境。</w:t>
      </w:r>
    </w:p>
    <w:p>
      <w:pPr>
        <w:pStyle w:val="BodyText"/>
        <w:spacing w:before="1"/>
        <w:rPr>
          <w:sz w:val="31"/>
        </w:rPr>
      </w:pPr>
    </w:p>
    <w:p>
      <w:pPr>
        <w:pStyle w:val="BodyText"/>
        <w:ind w:left="1237"/>
      </w:pPr>
      <w:r>
        <w:t>、自动化控制程度高，降低劳动强度。</w:t>
      </w:r>
    </w:p>
    <w:p>
      <w:pPr>
        <w:pStyle w:val="Heading2"/>
        <w:spacing w:before="310"/>
      </w:pPr>
      <w:r>
        <w:t>二、设计依据</w:t>
      </w:r>
    </w:p>
    <w:p>
      <w:pPr>
        <w:pStyle w:val="BodyText"/>
        <w:spacing w:before="409"/>
        <w:ind w:left="1237"/>
      </w:pPr>
      <w:r>
        <w:t>1、《中华人民共和国环境保护法》</w:t>
      </w:r>
    </w:p>
    <w:p>
      <w:pPr>
        <w:pStyle w:val="BodyText"/>
        <w:spacing w:before="1"/>
        <w:rPr>
          <w:sz w:val="31"/>
        </w:rPr>
      </w:pPr>
    </w:p>
    <w:p>
      <w:pPr>
        <w:pStyle w:val="BodyText"/>
        <w:ind w:left="1237"/>
      </w:pPr>
      <w:r>
        <w:t>2 、中华人民共和国《肉类加工工业水污染物排放标准》(GB</w:t>
      </w:r>
    </w:p>
    <w:p>
      <w:pPr>
        <w:pStyle w:val="BodyText"/>
        <w:spacing w:before="1"/>
        <w:rPr>
          <w:sz w:val="31"/>
        </w:rPr>
      </w:pPr>
    </w:p>
    <w:p>
      <w:pPr>
        <w:pStyle w:val="BodyText"/>
        <w:ind w:left="1237"/>
      </w:pPr>
      <w:r>
        <w:t>13457-1992)</w:t>
      </w:r>
    </w:p>
    <w:p>
      <w:pPr>
        <w:pStyle w:val="BodyText"/>
        <w:spacing w:before="1"/>
        <w:rPr>
          <w:sz w:val="31"/>
        </w:rPr>
      </w:pPr>
    </w:p>
    <w:p>
      <w:pPr>
        <w:pStyle w:val="BodyText"/>
        <w:ind w:left="1237"/>
      </w:pPr>
      <w:r>
        <w:t>3、《污水综合排放标准》GB8978-1996</w:t>
      </w:r>
    </w:p>
    <w:p>
      <w:pPr>
        <w:pStyle w:val="BodyText"/>
        <w:rPr>
          <w:sz w:val="31"/>
        </w:rPr>
      </w:pPr>
    </w:p>
    <w:p>
      <w:pPr>
        <w:pStyle w:val="BodyText"/>
        <w:spacing w:before="1"/>
        <w:ind w:left="1237"/>
      </w:pPr>
      <w:r>
        <w:t>4、《生活杂用水水质标准》</w:t>
      </w:r>
    </w:p>
    <w:p>
      <w:pPr>
        <w:pStyle w:val="BodyText"/>
        <w:rPr>
          <w:sz w:val="31"/>
        </w:rPr>
      </w:pPr>
    </w:p>
    <w:p>
      <w:pPr>
        <w:pStyle w:val="BodyText"/>
        <w:ind w:left="1237"/>
      </w:pPr>
      <w:r>
        <w:t>5、《城市区域环境噪声标准》GB3096-93</w:t>
      </w:r>
    </w:p>
    <w:p>
      <w:pPr>
        <w:spacing w:after="0"/>
        <w:sectPr>
          <w:pgSz w:w="17860" w:h="25260"/>
          <w:pgMar w:top="1640" w:right="680" w:bottom="280" w:left="1460" w:header="708" w:footer="708"/>
          <w:pgNumType w:start="8"/>
          <w:cols w:space="708"/>
        </w:sectPr>
      </w:pPr>
    </w:p>
    <w:p>
      <w:pPr>
        <w:pStyle w:val="BodyText"/>
        <w:spacing w:before="20"/>
        <w:ind w:left="1237"/>
      </w:pPr>
      <w:r>
        <w:rPr>
          <w:spacing w:val="-1"/>
        </w:rPr>
        <w:t>6</w:t>
      </w:r>
      <w:r>
        <w:rPr>
          <w:spacing w:val="-18"/>
        </w:rPr>
        <w:t>、《通用用电设备配电设计规范》</w:t>
      </w:r>
      <w:r>
        <w:t>GB50055-93</w:t>
      </w:r>
    </w:p>
    <w:p>
      <w:pPr>
        <w:pStyle w:val="BodyText"/>
        <w:spacing w:before="1"/>
        <w:rPr>
          <w:sz w:val="31"/>
        </w:rPr>
      </w:pPr>
    </w:p>
    <w:p>
      <w:pPr>
        <w:pStyle w:val="BodyText"/>
        <w:ind w:left="1237"/>
      </w:pPr>
      <w:r>
        <w:rPr>
          <w:spacing w:val="-1"/>
        </w:rPr>
        <w:t>7</w:t>
      </w:r>
      <w:r>
        <w:rPr>
          <w:spacing w:val="-18"/>
        </w:rPr>
        <w:t>、《低压配电装置及线路设计规范》</w:t>
      </w:r>
      <w:r>
        <w:t>GBJ54-83</w:t>
      </w:r>
    </w:p>
    <w:p>
      <w:pPr>
        <w:pStyle w:val="BodyText"/>
        <w:rPr>
          <w:sz w:val="31"/>
        </w:rPr>
      </w:pPr>
    </w:p>
    <w:p>
      <w:pPr>
        <w:pStyle w:val="BodyText"/>
        <w:ind w:left="1237"/>
      </w:pPr>
      <w:r>
        <w:t>8、《建筑结构荷载规范》GBJ9-87</w:t>
      </w:r>
    </w:p>
    <w:p>
      <w:pPr>
        <w:pStyle w:val="BodyText"/>
        <w:spacing w:before="1"/>
        <w:rPr>
          <w:sz w:val="31"/>
        </w:rPr>
      </w:pPr>
    </w:p>
    <w:p>
      <w:pPr>
        <w:pStyle w:val="BodyText"/>
        <w:ind w:left="1237"/>
      </w:pPr>
      <w:r>
        <w:t>9、《城镇污水处理厂污染物排放标准》GB18918-2002</w:t>
      </w:r>
    </w:p>
    <w:p>
      <w:pPr>
        <w:pStyle w:val="BodyText"/>
        <w:spacing w:before="1"/>
        <w:rPr>
          <w:sz w:val="31"/>
        </w:rPr>
      </w:pPr>
    </w:p>
    <w:p>
      <w:pPr>
        <w:pStyle w:val="BodyText"/>
        <w:ind w:left="1237"/>
      </w:pPr>
      <w:r>
        <w:t>10、《室外排水设计规范》（GB50014-2006）</w:t>
      </w:r>
    </w:p>
    <w:p>
      <w:pPr>
        <w:pStyle w:val="BodyText"/>
        <w:rPr>
          <w:sz w:val="31"/>
        </w:rPr>
      </w:pPr>
    </w:p>
    <w:p>
      <w:pPr>
        <w:pStyle w:val="BodyText"/>
        <w:spacing w:before="1"/>
        <w:ind w:left="1237"/>
      </w:pPr>
      <w:r>
        <w:t>11、业主提供的相关资料</w:t>
      </w:r>
    </w:p>
    <w:p>
      <w:pPr>
        <w:pStyle w:val="BodyText"/>
        <w:spacing w:before="1"/>
        <w:rPr>
          <w:sz w:val="31"/>
        </w:rPr>
      </w:pPr>
    </w:p>
    <w:p>
      <w:pPr>
        <w:pStyle w:val="BodyText"/>
        <w:ind w:left="1237"/>
      </w:pPr>
      <w:r>
        <w:t>12、现场踏勘资料</w:t>
      </w:r>
    </w:p>
    <w:p>
      <w:pPr>
        <w:pStyle w:val="Heading2"/>
        <w:spacing w:before="310"/>
      </w:pPr>
      <w:r>
        <w:t>三、基础资料</w:t>
      </w:r>
    </w:p>
    <w:p>
      <w:pPr>
        <w:pStyle w:val="BodyText"/>
        <w:spacing w:before="7"/>
        <w:rPr>
          <w:b/>
          <w:sz w:val="62"/>
        </w:rPr>
      </w:pPr>
    </w:p>
    <w:p>
      <w:pPr>
        <w:pStyle w:val="Heading3"/>
      </w:pPr>
      <w:r>
        <w:t>、设计水量</w:t>
      </w:r>
    </w:p>
    <w:p>
      <w:pPr>
        <w:pStyle w:val="BodyText"/>
        <w:spacing w:before="5"/>
        <w:rPr>
          <w:b/>
          <w:sz w:val="61"/>
        </w:rPr>
      </w:pPr>
    </w:p>
    <w:p>
      <w:pPr>
        <w:pStyle w:val="BodyText"/>
        <w:tabs>
          <w:tab w:val="left" w:pos="7955"/>
        </w:tabs>
        <w:spacing w:line="417" w:lineRule="auto"/>
        <w:ind w:left="1237" w:right="2189" w:firstLine="838"/>
      </w:pPr>
      <w:r>
        <w:t>按照建设方提供的资料数据</w:t>
      </w:r>
      <w:r>
        <w:rPr>
          <w:spacing w:val="-120"/>
        </w:rPr>
        <w:t>，</w:t>
      </w:r>
      <w:r>
        <w:t>设计处理水量为</w:t>
      </w:r>
      <w:r>
        <w:rPr>
          <w:spacing w:val="25"/>
        </w:rPr>
        <w:t xml:space="preserve"> </w:t>
      </w:r>
      <w:r>
        <w:rPr>
          <w:spacing w:val="-6"/>
        </w:rPr>
        <w:t>1000m</w:t>
      </w:r>
      <w:r>
        <w:rPr>
          <w:spacing w:val="-6"/>
          <w:position w:val="3"/>
          <w:sz w:val="29"/>
        </w:rPr>
        <w:t>3</w:t>
      </w:r>
      <w:r>
        <w:rPr>
          <w:spacing w:val="-6"/>
        </w:rPr>
        <w:t>/d</w:t>
      </w:r>
      <w:r>
        <w:rPr>
          <w:spacing w:val="-314"/>
        </w:rPr>
        <w:t>。</w:t>
      </w:r>
      <w:r>
        <w:t>（一</w:t>
      </w:r>
      <w:r>
        <w:rPr>
          <w:spacing w:val="-16"/>
        </w:rPr>
        <w:t>天</w:t>
      </w:r>
      <w:r>
        <w:t>内屠宰场集中向外排放废水时间按</w:t>
        <w:tab/>
        <w:t>小时计）</w:t>
      </w:r>
    </w:p>
    <w:p>
      <w:pPr>
        <w:pStyle w:val="BodyText"/>
        <w:spacing w:before="8"/>
        <w:rPr>
          <w:sz w:val="30"/>
        </w:rPr>
      </w:pPr>
    </w:p>
    <w:p>
      <w:pPr>
        <w:pStyle w:val="Heading3"/>
      </w:pPr>
      <w:r>
        <w:t>、设计水质</w:t>
      </w:r>
    </w:p>
    <w:p>
      <w:pPr>
        <w:pStyle w:val="BodyText"/>
        <w:spacing w:before="1"/>
        <w:rPr>
          <w:b/>
          <w:sz w:val="61"/>
        </w:rPr>
      </w:pPr>
    </w:p>
    <w:p>
      <w:pPr>
        <w:pStyle w:val="ListParagraph"/>
        <w:numPr>
          <w:ilvl w:val="0"/>
          <w:numId w:val="7"/>
        </w:numPr>
        <w:tabs>
          <w:tab w:val="left" w:pos="2497"/>
        </w:tabs>
        <w:spacing w:before="1" w:after="0" w:line="240" w:lineRule="auto"/>
        <w:ind w:left="2497" w:right="0" w:hanging="1260"/>
        <w:jc w:val="left"/>
        <w:rPr>
          <w:sz w:val="42"/>
        </w:rPr>
      </w:pPr>
      <w:r>
        <w:rPr>
          <w:sz w:val="42"/>
        </w:rPr>
        <w:t>进水水质：</w:t>
      </w:r>
    </w:p>
    <w:p>
      <w:pPr>
        <w:pStyle w:val="BodyText"/>
        <w:rPr>
          <w:sz w:val="31"/>
        </w:rPr>
      </w:pPr>
    </w:p>
    <w:p>
      <w:pPr>
        <w:pStyle w:val="BodyText"/>
        <w:spacing w:line="417" w:lineRule="auto"/>
        <w:ind w:left="1237" w:right="2265" w:firstLine="838"/>
      </w:pPr>
      <w:r>
        <w:t xml:space="preserve">废水原水中的污染物浓度的高低决定了对废水处理工艺的选 </w:t>
      </w:r>
      <w:r>
        <w:rPr>
          <w:spacing w:val="-1"/>
        </w:rPr>
        <w:t>择，并且与废水处理的基建投资和运行费用密切相关。同时，废水的进水水质与周边居民的生活水平、生活用水量、工业用水量以及处理后出水受纳水体的水域功能有关，因此要准确预测废水的进水</w:t>
      </w:r>
    </w:p>
    <w:p>
      <w:pPr>
        <w:pStyle w:val="BodyText"/>
        <w:spacing w:line="417" w:lineRule="auto"/>
        <w:ind w:left="1237" w:right="2058"/>
      </w:pPr>
      <w:r>
        <w:rPr>
          <w:spacing w:val="-1"/>
        </w:rPr>
        <w:t xml:space="preserve">水质。 因无实测水质资料，本方案在确定屠宰场废水水质指标时， </w:t>
      </w:r>
      <w:r>
        <w:t>设计水质按省内同类行业废水水质及实际同行业取样分析数据设  计，并充分考虑当地经济状况及近年来的发展状况以及废水收集系</w:t>
      </w:r>
    </w:p>
    <w:p>
      <w:pPr>
        <w:spacing w:after="0" w:line="417" w:lineRule="auto"/>
        <w:sectPr>
          <w:pgSz w:w="17860" w:h="25260"/>
          <w:pgMar w:top="1960" w:right="680" w:bottom="280" w:left="1460" w:header="708" w:footer="708"/>
          <w:pgNumType w:start="9"/>
          <w:cols w:space="708"/>
        </w:sectPr>
      </w:pPr>
    </w:p>
    <w:p>
      <w:pPr>
        <w:pStyle w:val="BodyText"/>
        <w:spacing w:before="20" w:line="417" w:lineRule="auto"/>
        <w:ind w:left="1237" w:right="2265"/>
        <w:jc w:val="both"/>
      </w:pPr>
      <w:r>
        <w:pict>
          <v:group id="_x0000_s1025" style="width:515.75pt;height:99.95pt;margin-top:134.1pt;margin-left:107pt;mso-position-horizontal-relative:page;position:absolute;z-index:-251658240" coordorigin="2140,2682" coordsize="10315,1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315;height:1999;left:2140;position:absolute;top:2682" stroked="f">
              <v:imagedata r:id="rId4" o:title=""/>
            </v:shape>
            <v:shapetype id="_x0000_t202" coordsize="21600,21600" o:spt="202" path="m,l,21600r21600,l21600,xe">
              <v:stroke joinstyle="miter"/>
              <v:path gradientshapeok="t" o:connecttype="rect"/>
            </v:shapetype>
            <v:shape id="_x0000_s1027" type="#_x0000_t202" style="width:1493;height:422;left:3989;position:absolute;top:2900" filled="f" stroked="f">
              <v:textbox inset="0,0,0,0">
                <w:txbxContent>
                  <w:p>
                    <w:pPr>
                      <w:spacing w:before="0" w:line="421" w:lineRule="exact"/>
                      <w:ind w:left="0" w:right="0" w:firstLine="0"/>
                      <w:jc w:val="left"/>
                      <w:rPr>
                        <w:sz w:val="42"/>
                      </w:rPr>
                    </w:pPr>
                    <w:r>
                      <w:rPr>
                        <w:sz w:val="42"/>
                      </w:rPr>
                      <w:t>PH：7～</w:t>
                    </w:r>
                  </w:p>
                </w:txbxContent>
              </v:textbox>
            </v:shape>
            <v:shape id="_x0000_s1028" type="#_x0000_t202" style="width:2967;height:422;left:8105;position:absolute;top:2900" filled="f" stroked="f">
              <v:textbox inset="0,0,0,0">
                <w:txbxContent>
                  <w:p>
                    <w:pPr>
                      <w:spacing w:before="0" w:line="421" w:lineRule="exact"/>
                      <w:ind w:left="0" w:right="0" w:firstLine="0"/>
                      <w:jc w:val="left"/>
                      <w:rPr>
                        <w:sz w:val="42"/>
                      </w:rPr>
                    </w:pPr>
                    <w:r>
                      <w:rPr>
                        <w:sz w:val="42"/>
                      </w:rPr>
                      <w:t>BOD：3800 mg/L</w:t>
                    </w:r>
                  </w:p>
                </w:txbxContent>
              </v:textbox>
            </v:shape>
            <v:shape id="_x0000_s1029" type="#_x0000_t202" style="width:2969;height:422;left:3193;position:absolute;top:3850" filled="f" stroked="f">
              <v:textbox inset="0,0,0,0">
                <w:txbxContent>
                  <w:p>
                    <w:pPr>
                      <w:spacing w:before="0" w:line="421" w:lineRule="exact"/>
                      <w:ind w:left="0" w:right="0" w:firstLine="0"/>
                      <w:jc w:val="left"/>
                      <w:rPr>
                        <w:sz w:val="42"/>
                      </w:rPr>
                    </w:pPr>
                    <w:r>
                      <w:rPr>
                        <w:sz w:val="42"/>
                      </w:rPr>
                      <w:t>NH3-N: 350mg/L</w:t>
                    </w:r>
                  </w:p>
                </w:txbxContent>
              </v:textbox>
            </v:shape>
            <v:shape id="_x0000_s1030" type="#_x0000_t202" style="width:2967;height:422;left:8105;position:absolute;top:3850" filled="f" stroked="f">
              <v:textbox inset="0,0,0,0">
                <w:txbxContent>
                  <w:p>
                    <w:pPr>
                      <w:spacing w:before="0" w:line="421" w:lineRule="exact"/>
                      <w:ind w:left="0" w:right="0" w:firstLine="0"/>
                      <w:jc w:val="left"/>
                      <w:rPr>
                        <w:sz w:val="42"/>
                      </w:rPr>
                    </w:pPr>
                    <w:r>
                      <w:rPr>
                        <w:sz w:val="42"/>
                      </w:rPr>
                      <w:t>COD：4500 mg/L</w:t>
                    </w:r>
                  </w:p>
                </w:txbxContent>
              </v:textbox>
            </v:shape>
          </v:group>
        </w:pict>
      </w:r>
      <w:r>
        <w:t>统的方式，同时结合国内其他地区屠宰废水水质，大量参考国内外同类废水水质指标及相关资料，科学地研究分析确定进水水质指标为：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7"/>
        </w:numPr>
        <w:tabs>
          <w:tab w:val="left" w:pos="2290"/>
        </w:tabs>
        <w:spacing w:before="196" w:after="0" w:line="417" w:lineRule="auto"/>
        <w:ind w:left="1237" w:right="11323" w:firstLine="0"/>
        <w:jc w:val="left"/>
        <w:rPr>
          <w:sz w:val="42"/>
        </w:rPr>
      </w:pPr>
      <w:r>
        <w:pict>
          <v:group id="_x0000_s1031" style="width:515.75pt;height:106.95pt;margin-top:95.96pt;margin-left:107pt;mso-position-horizontal-relative:page;position:absolute;z-index:-251657216" coordorigin="2140,1919" coordsize="10315,2139">
            <v:shape id="_x0000_s1032" type="#_x0000_t75" style="width:10315;height:2139;left:2140;position:absolute;top:1919" stroked="f">
              <v:imagedata r:id="rId5" o:title=""/>
            </v:shape>
            <v:shape id="_x0000_s1033" type="#_x0000_t202" style="width:1703;height:422;left:4011;position:absolute;top:2141" filled="f" stroked="f">
              <v:textbox inset="0,0,0,0">
                <w:txbxContent>
                  <w:p>
                    <w:pPr>
                      <w:spacing w:before="0" w:line="421" w:lineRule="exact"/>
                      <w:ind w:left="0" w:right="0" w:firstLine="0"/>
                      <w:jc w:val="left"/>
                      <w:rPr>
                        <w:sz w:val="42"/>
                      </w:rPr>
                    </w:pPr>
                    <w:r>
                      <w:rPr>
                        <w:sz w:val="42"/>
                      </w:rPr>
                      <w:t>PH：6～9</w:t>
                    </w:r>
                  </w:p>
                </w:txbxContent>
              </v:textbox>
            </v:shape>
            <v:shape id="_x0000_s1034" type="#_x0000_t202" style="width:2968;height:422;left:8231;position:absolute;top:2141" filled="f" stroked="f">
              <v:textbox inset="0,0,0,0">
                <w:txbxContent>
                  <w:p>
                    <w:pPr>
                      <w:spacing w:before="0" w:line="421" w:lineRule="exact"/>
                      <w:ind w:left="0" w:right="0" w:firstLine="0"/>
                      <w:jc w:val="left"/>
                      <w:rPr>
                        <w:sz w:val="42"/>
                      </w:rPr>
                    </w:pPr>
                    <w:r>
                      <w:rPr>
                        <w:sz w:val="42"/>
                      </w:rPr>
                      <w:t>BOD：＜30 mg/L</w:t>
                    </w:r>
                  </w:p>
                </w:txbxContent>
              </v:textbox>
            </v:shape>
            <v:shape id="_x0000_s1035" type="#_x0000_t202" style="width:3174;height:422;left:3276;position:absolute;top:3188" filled="f" stroked="f">
              <v:textbox inset="0,0,0,0">
                <w:txbxContent>
                  <w:p>
                    <w:pPr>
                      <w:spacing w:before="0" w:line="421" w:lineRule="exact"/>
                      <w:ind w:left="0" w:right="0" w:firstLine="0"/>
                      <w:jc w:val="left"/>
                      <w:rPr>
                        <w:sz w:val="42"/>
                      </w:rPr>
                    </w:pPr>
                    <w:r>
                      <w:rPr>
                        <w:sz w:val="42"/>
                      </w:rPr>
                      <w:t>NH3-N: ＜20mg/L</w:t>
                    </w:r>
                  </w:p>
                </w:txbxContent>
              </v:textbox>
            </v:shape>
            <v:shape id="_x0000_s1036" type="#_x0000_t202" style="width:3178;height:422;left:8126;position:absolute;top:3188" filled="f" stroked="f">
              <v:textbox inset="0,0,0,0">
                <w:txbxContent>
                  <w:p>
                    <w:pPr>
                      <w:spacing w:before="0" w:line="421" w:lineRule="exact"/>
                      <w:ind w:left="0" w:right="0" w:firstLine="0"/>
                      <w:jc w:val="left"/>
                      <w:rPr>
                        <w:sz w:val="42"/>
                      </w:rPr>
                    </w:pPr>
                    <w:r>
                      <w:rPr>
                        <w:sz w:val="42"/>
                      </w:rPr>
                      <w:t>COD：＜:300mg/L</w:t>
                    </w:r>
                  </w:p>
                </w:txbxContent>
              </v:textbox>
            </v:shape>
          </v:group>
        </w:pict>
      </w:r>
      <w:r>
        <w:rPr>
          <w:spacing w:val="-4"/>
          <w:sz w:val="42"/>
        </w:rPr>
        <w:t xml:space="preserve">出水水质： </w:t>
      </w:r>
      <w:r>
        <w:rPr>
          <w:sz w:val="42"/>
        </w:rPr>
        <w:t>处理出水要求：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tabs>
          <w:tab w:val="left" w:pos="2649"/>
        </w:tabs>
        <w:spacing w:before="146"/>
      </w:pPr>
      <w:r>
        <w:t>第三章</w:t>
        <w:tab/>
        <w:t>工艺方案</w:t>
      </w:r>
    </w:p>
    <w:p>
      <w:pPr>
        <w:pStyle w:val="BodyText"/>
        <w:spacing w:before="8"/>
        <w:rPr>
          <w:b/>
          <w:sz w:val="66"/>
        </w:rPr>
      </w:pPr>
    </w:p>
    <w:p>
      <w:pPr>
        <w:pStyle w:val="Heading2"/>
      </w:pPr>
      <w:r>
        <w:t>一、原则及指导思想</w:t>
      </w:r>
    </w:p>
    <w:p>
      <w:pPr>
        <w:pStyle w:val="BodyText"/>
        <w:spacing w:before="409" w:line="417" w:lineRule="auto"/>
        <w:ind w:left="1237" w:right="2265" w:firstLine="838"/>
        <w:jc w:val="both"/>
      </w:pPr>
      <w:r>
        <w:rPr>
          <w:spacing w:val="-1"/>
        </w:rPr>
        <w:t>工艺流程原则上应采用先进、合理、成熟可靠的处理工艺，在运行中具有较大的灵活性，并适应水量、水质的变化，运行费用经济。严格执行国家环保有关规定，确保水处理系统水质稳定，达到相关水质标准，并结合现场情况及地理特点，因地制宜，选择合适</w:t>
      </w:r>
      <w:r>
        <w:t>的工艺及处理设施。</w:t>
      </w:r>
    </w:p>
    <w:p>
      <w:pPr>
        <w:pStyle w:val="Heading2"/>
        <w:spacing w:line="527" w:lineRule="exact"/>
      </w:pPr>
      <w:r>
        <w:rPr>
          <w:w w:val="95"/>
        </w:rPr>
        <w:t>二、工艺方案选择</w:t>
      </w:r>
    </w:p>
    <w:p>
      <w:pPr>
        <w:pStyle w:val="BodyText"/>
        <w:spacing w:before="7"/>
        <w:rPr>
          <w:b/>
          <w:sz w:val="62"/>
        </w:rPr>
      </w:pPr>
    </w:p>
    <w:p>
      <w:pPr>
        <w:pStyle w:val="Heading3"/>
      </w:pPr>
      <w:r>
        <w:t>、传统工艺处理法</w:t>
      </w:r>
    </w:p>
    <w:p>
      <w:pPr>
        <w:pStyle w:val="BodyText"/>
        <w:spacing w:before="5"/>
        <w:rPr>
          <w:b/>
          <w:sz w:val="61"/>
        </w:rPr>
      </w:pPr>
    </w:p>
    <w:p>
      <w:pPr>
        <w:pStyle w:val="BodyText"/>
        <w:ind w:right="193"/>
        <w:jc w:val="center"/>
      </w:pPr>
      <w:r>
        <w:t>目前国内外相关类猪养殖场以及屠宰场等一系列污水处理工艺</w:t>
      </w:r>
    </w:p>
    <w:p>
      <w:pPr>
        <w:spacing w:after="0"/>
        <w:jc w:val="center"/>
        <w:sectPr>
          <w:pgSz w:w="17860" w:h="25260"/>
          <w:pgMar w:top="1960" w:right="680" w:bottom="280" w:left="1460" w:header="708" w:footer="708"/>
          <w:pgNumType w:start="10"/>
          <w:cols w:space="708"/>
        </w:sectPr>
      </w:pPr>
    </w:p>
    <w:p>
      <w:pPr>
        <w:pStyle w:val="BodyText"/>
        <w:spacing w:before="20" w:line="417" w:lineRule="auto"/>
        <w:ind w:left="1237" w:right="2127"/>
        <w:jc w:val="both"/>
      </w:pPr>
      <w:r>
        <w:rPr>
          <w:spacing w:val="-9"/>
        </w:rPr>
        <w:t>较统一，处理方法也大径相同，基本上采用厌氧+接触氧化等生物化</w:t>
      </w:r>
      <w:r>
        <w:rPr>
          <w:spacing w:val="-14"/>
        </w:rPr>
        <w:t>学方法对其进行处理，其中采用较多的是厌氧-好氧工艺，该工艺流</w:t>
      </w:r>
      <w:r>
        <w:rPr>
          <w:spacing w:val="-18"/>
        </w:rPr>
        <w:t xml:space="preserve">程具体如图 </w:t>
      </w:r>
      <w:r>
        <w:t>1：</w:t>
      </w:r>
    </w:p>
    <w:p>
      <w:pPr>
        <w:pStyle w:val="BodyText"/>
        <w:rPr>
          <w:sz w:val="20"/>
        </w:rPr>
      </w:pPr>
    </w:p>
    <w:p>
      <w:pPr>
        <w:pStyle w:val="BodyText"/>
        <w:rPr>
          <w:sz w:val="20"/>
        </w:rPr>
      </w:pPr>
    </w:p>
    <w:p>
      <w:pPr>
        <w:pStyle w:val="BodyText"/>
        <w:spacing w:before="1"/>
        <w:rPr>
          <w:sz w:val="14"/>
        </w:rPr>
      </w:pPr>
    </w:p>
    <w:p>
      <w:pPr>
        <w:pStyle w:val="BodyText"/>
        <w:ind w:left="-120"/>
        <w:rPr>
          <w:sz w:val="20"/>
        </w:rPr>
      </w:pPr>
      <w:r>
        <w:rPr>
          <w:sz w:val="20"/>
        </w:rPr>
        <w:pict>
          <v:group id="_x0000_i1037" style="width:690pt;height:293.5pt;mso-position-horizontal-relative:char;mso-position-vertical-relative:line" coordorigin="0,0" coordsize="13800,5870">
            <v:shape id="_x0000_s1038" type="#_x0000_t75" style="width:13800;height:5860;position:absolute" stroked="f">
              <v:imagedata r:id="rId6" o:title=""/>
            </v:shape>
            <v:shape id="_x0000_s1039" type="#_x0000_t202" style="width:1100;height:360;left:2663;position:absolute;top:329" filled="f" stroked="f">
              <v:textbox inset="0,0,0,0">
                <w:txbxContent>
                  <w:p>
                    <w:pPr>
                      <w:spacing w:before="0" w:line="360" w:lineRule="exact"/>
                      <w:ind w:left="0" w:right="0" w:firstLine="0"/>
                      <w:jc w:val="left"/>
                      <w:rPr>
                        <w:sz w:val="36"/>
                      </w:rPr>
                    </w:pPr>
                    <w:r>
                      <w:rPr>
                        <w:sz w:val="36"/>
                      </w:rPr>
                      <w:t>冲洗水</w:t>
                    </w:r>
                  </w:p>
                </w:txbxContent>
              </v:textbox>
            </v:shape>
            <v:shape id="_x0000_s1040" type="#_x0000_t202" style="width:1100;height:360;left:4554;position:absolute;top:560" filled="f" stroked="f">
              <v:textbox inset="0,0,0,0">
                <w:txbxContent>
                  <w:p>
                    <w:pPr>
                      <w:spacing w:before="0" w:line="360" w:lineRule="exact"/>
                      <w:ind w:left="0" w:right="0" w:firstLine="0"/>
                      <w:jc w:val="left"/>
                      <w:rPr>
                        <w:sz w:val="36"/>
                      </w:rPr>
                    </w:pPr>
                    <w:r>
                      <w:rPr>
                        <w:sz w:val="36"/>
                      </w:rPr>
                      <w:t>粗格栅</w:t>
                    </w:r>
                  </w:p>
                </w:txbxContent>
              </v:textbox>
            </v:shape>
            <v:shape id="_x0000_s1041" type="#_x0000_t202" style="width:1100;height:360;left:6444;position:absolute;top:560" filled="f" stroked="f">
              <v:textbox inset="0,0,0,0">
                <w:txbxContent>
                  <w:p>
                    <w:pPr>
                      <w:spacing w:before="0" w:line="360" w:lineRule="exact"/>
                      <w:ind w:left="0" w:right="0" w:firstLine="0"/>
                      <w:jc w:val="left"/>
                      <w:rPr>
                        <w:sz w:val="36"/>
                      </w:rPr>
                    </w:pPr>
                    <w:r>
                      <w:rPr>
                        <w:sz w:val="36"/>
                      </w:rPr>
                      <w:t>细格栅</w:t>
                    </w:r>
                  </w:p>
                </w:txbxContent>
              </v:textbox>
            </v:shape>
            <v:shape id="_x0000_s1042" type="#_x0000_t202" style="width:1187;height:360;left:8335;position:absolute;top:563" filled="f" stroked="f">
              <v:textbox inset="0,0,0,0">
                <w:txbxContent>
                  <w:p>
                    <w:pPr>
                      <w:spacing w:before="0" w:line="360" w:lineRule="exact"/>
                      <w:ind w:left="0" w:right="0" w:firstLine="0"/>
                      <w:jc w:val="left"/>
                      <w:rPr>
                        <w:sz w:val="36"/>
                      </w:rPr>
                    </w:pPr>
                    <w:r>
                      <w:rPr>
                        <w:sz w:val="36"/>
                      </w:rPr>
                      <w:t>沉淀调</w:t>
                    </w:r>
                  </w:p>
                </w:txbxContent>
              </v:textbox>
            </v:shape>
            <v:shape id="_x0000_s1043" type="#_x0000_t202" style="width:1187;height:360;left:10225;position:absolute;top:563" filled="f" stroked="f">
              <v:textbox inset="0,0,0,0">
                <w:txbxContent>
                  <w:p>
                    <w:pPr>
                      <w:spacing w:before="0" w:line="360" w:lineRule="exact"/>
                      <w:ind w:left="0" w:right="0" w:firstLine="0"/>
                      <w:jc w:val="left"/>
                      <w:rPr>
                        <w:sz w:val="36"/>
                      </w:rPr>
                    </w:pPr>
                    <w:r>
                      <w:rPr>
                        <w:sz w:val="36"/>
                      </w:rPr>
                      <w:t>UASB</w:t>
                    </w:r>
                    <w:r>
                      <w:rPr>
                        <w:spacing w:val="-47"/>
                        <w:sz w:val="36"/>
                      </w:rPr>
                      <w:t xml:space="preserve"> 反</w:t>
                    </w:r>
                  </w:p>
                </w:txbxContent>
              </v:textbox>
            </v:shape>
            <v:shape id="_x0000_s1044" type="#_x0000_t202" style="width:1100;height:360;left:12116;position:absolute;top:563" filled="f" stroked="f">
              <v:textbox inset="0,0,0,0">
                <w:txbxContent>
                  <w:p>
                    <w:pPr>
                      <w:spacing w:before="0" w:line="360" w:lineRule="exact"/>
                      <w:ind w:left="0" w:right="0" w:firstLine="0"/>
                      <w:jc w:val="left"/>
                      <w:rPr>
                        <w:sz w:val="36"/>
                      </w:rPr>
                    </w:pPr>
                    <w:r>
                      <w:rPr>
                        <w:sz w:val="36"/>
                      </w:rPr>
                      <w:t>接触氧</w:t>
                    </w:r>
                  </w:p>
                </w:txbxContent>
              </v:textbox>
            </v:shape>
            <v:shape id="_x0000_s1045" type="#_x0000_t202" style="width:917;height:422;left:233;position:absolute;top:1412" filled="f" stroked="f">
              <v:textbox inset="0,0,0,0">
                <w:txbxContent>
                  <w:p>
                    <w:pPr>
                      <w:spacing w:before="0" w:line="421" w:lineRule="exact"/>
                      <w:ind w:left="0" w:right="0" w:firstLine="0"/>
                      <w:jc w:val="left"/>
                      <w:rPr>
                        <w:sz w:val="42"/>
                      </w:rPr>
                    </w:pPr>
                    <w:r>
                      <w:rPr>
                        <w:sz w:val="42"/>
                      </w:rPr>
                      <w:t>屠宰</w:t>
                    </w:r>
                  </w:p>
                </w:txbxContent>
              </v:textbox>
            </v:shape>
            <v:shape id="_x0000_s1046" type="#_x0000_t202" style="width:1144;height:360;left:2663;position:absolute;top:1968" filled="f" stroked="f">
              <v:textbox inset="0,0,0,0">
                <w:txbxContent>
                  <w:p>
                    <w:pPr>
                      <w:spacing w:before="0" w:line="360" w:lineRule="exact"/>
                      <w:ind w:left="0" w:right="0" w:firstLine="0"/>
                      <w:jc w:val="left"/>
                      <w:rPr>
                        <w:sz w:val="36"/>
                      </w:rPr>
                    </w:pPr>
                    <w:r>
                      <w:rPr>
                        <w:sz w:val="36"/>
                      </w:rPr>
                      <w:t>污水收</w:t>
                    </w:r>
                  </w:p>
                </w:txbxContent>
              </v:textbox>
            </v:shape>
            <v:shape id="_x0000_s1047" type="#_x0000_t202" style="width:863;height:422;left:233;position:absolute;top:2349" filled="f" stroked="f">
              <v:textbox inset="0,0,0,0">
                <w:txbxContent>
                  <w:p>
                    <w:pPr>
                      <w:spacing w:before="0" w:line="421" w:lineRule="exact"/>
                      <w:ind w:left="0" w:right="0" w:firstLine="0"/>
                      <w:jc w:val="left"/>
                      <w:rPr>
                        <w:sz w:val="42"/>
                      </w:rPr>
                    </w:pPr>
                    <w:r>
                      <w:rPr>
                        <w:sz w:val="42"/>
                      </w:rPr>
                      <w:t>车间</w:t>
                    </w:r>
                  </w:p>
                </w:txbxContent>
              </v:textbox>
            </v:shape>
            <v:shape id="_x0000_s1048" type="#_x0000_t202" style="width:654;height:317;left:5361;position:absolute;top:2258" filled="f" stroked="f">
              <v:textbox inset="0,0,0,0">
                <w:txbxContent>
                  <w:p>
                    <w:pPr>
                      <w:spacing w:before="0" w:line="317" w:lineRule="exact"/>
                      <w:ind w:left="0" w:right="0" w:firstLine="0"/>
                      <w:jc w:val="left"/>
                      <w:rPr>
                        <w:sz w:val="31"/>
                      </w:rPr>
                    </w:pPr>
                    <w:r>
                      <w:rPr>
                        <w:sz w:val="31"/>
                      </w:rPr>
                      <w:t>固废</w:t>
                    </w:r>
                  </w:p>
                </w:txbxContent>
              </v:textbox>
            </v:shape>
            <v:shape id="_x0000_s1049" type="#_x0000_t202" style="width:654;height:317;left:7254;position:absolute;top:2258" filled="f" stroked="f">
              <v:textbox inset="0,0,0,0">
                <w:txbxContent>
                  <w:p>
                    <w:pPr>
                      <w:spacing w:before="0" w:line="317" w:lineRule="exact"/>
                      <w:ind w:left="0" w:right="0" w:firstLine="0"/>
                      <w:jc w:val="left"/>
                      <w:rPr>
                        <w:sz w:val="31"/>
                      </w:rPr>
                    </w:pPr>
                    <w:r>
                      <w:rPr>
                        <w:sz w:val="31"/>
                      </w:rPr>
                      <w:t>固废</w:t>
                    </w:r>
                  </w:p>
                </w:txbxContent>
              </v:textbox>
            </v:shape>
            <v:shape id="_x0000_s1050" type="#_x0000_t202" style="width:654;height:317;left:9145;position:absolute;top:2258" filled="f" stroked="f">
              <v:textbox inset="0,0,0,0">
                <w:txbxContent>
                  <w:p>
                    <w:pPr>
                      <w:spacing w:before="0" w:line="317" w:lineRule="exact"/>
                      <w:ind w:left="0" w:right="0" w:firstLine="0"/>
                      <w:jc w:val="left"/>
                      <w:rPr>
                        <w:sz w:val="31"/>
                      </w:rPr>
                    </w:pPr>
                    <w:r>
                      <w:rPr>
                        <w:sz w:val="31"/>
                      </w:rPr>
                      <w:t>固废</w:t>
                    </w:r>
                  </w:p>
                </w:txbxContent>
              </v:textbox>
            </v:shape>
            <v:shape id="_x0000_s1051" type="#_x0000_t202" style="width:740;height:360;left:2663;position:absolute;top:2746" filled="f" stroked="f">
              <v:textbox inset="0,0,0,0">
                <w:txbxContent>
                  <w:p>
                    <w:pPr>
                      <w:spacing w:before="0" w:line="360" w:lineRule="exact"/>
                      <w:ind w:left="0" w:right="0" w:firstLine="0"/>
                      <w:jc w:val="left"/>
                      <w:rPr>
                        <w:sz w:val="36"/>
                      </w:rPr>
                    </w:pPr>
                    <w:r>
                      <w:rPr>
                        <w:sz w:val="36"/>
                      </w:rPr>
                      <w:t>集池</w:t>
                    </w:r>
                  </w:p>
                </w:txbxContent>
              </v:textbox>
            </v:shape>
            <v:shape id="_x0000_s1052" type="#_x0000_t202" style="width:1100;height:360;left:12116;position:absolute;top:2436" filled="f" stroked="f">
              <v:textbox inset="0,0,0,0">
                <w:txbxContent>
                  <w:p>
                    <w:pPr>
                      <w:spacing w:before="0" w:line="360" w:lineRule="exact"/>
                      <w:ind w:left="0" w:right="0" w:firstLine="0"/>
                      <w:jc w:val="left"/>
                      <w:rPr>
                        <w:sz w:val="36"/>
                      </w:rPr>
                    </w:pPr>
                    <w:r>
                      <w:rPr>
                        <w:sz w:val="36"/>
                      </w:rPr>
                      <w:t>人工湿</w:t>
                    </w:r>
                  </w:p>
                </w:txbxContent>
              </v:textbox>
            </v:shape>
            <v:shape id="_x0000_s1053" type="#_x0000_t202" style="width:2969;height:422;left:5555;position:absolute;top:3130" filled="f" stroked="f">
              <v:textbox inset="0,0,0,0">
                <w:txbxContent>
                  <w:p>
                    <w:pPr>
                      <w:spacing w:before="0" w:line="421" w:lineRule="exact"/>
                      <w:ind w:left="0" w:right="0" w:firstLine="0"/>
                      <w:jc w:val="left"/>
                      <w:rPr>
                        <w:sz w:val="42"/>
                      </w:rPr>
                    </w:pPr>
                    <w:r>
                      <w:rPr>
                        <w:sz w:val="42"/>
                      </w:rPr>
                      <w:t>固体废渣收集器</w:t>
                    </w:r>
                  </w:p>
                </w:txbxContent>
              </v:textbox>
            </v:shape>
            <v:shape id="_x0000_s1054" type="#_x0000_t202" style="width:920;height:317;left:3200;position:absolute;top:3662" filled="f" stroked="f">
              <v:textbox inset="0,0,0,0">
                <w:txbxContent>
                  <w:p>
                    <w:pPr>
                      <w:tabs>
                        <w:tab w:val="left" w:pos="583"/>
                      </w:tabs>
                      <w:spacing w:before="0" w:line="317" w:lineRule="exact"/>
                      <w:ind w:left="0" w:right="0" w:firstLine="0"/>
                      <w:jc w:val="left"/>
                      <w:rPr>
                        <w:sz w:val="31"/>
                      </w:rPr>
                    </w:pPr>
                    <w:r>
                      <w:rPr>
                        <w:sz w:val="31"/>
                      </w:rPr>
                      <w:t>内</w:t>
                      <w:tab/>
                      <w:t>脏</w:t>
                    </w:r>
                  </w:p>
                </w:txbxContent>
              </v:textbox>
            </v:shape>
            <v:shape id="_x0000_s1055" type="#_x0000_t202" style="width:1460;height:360;left:7791;position:absolute;top:4074" filled="f" stroked="f">
              <v:textbox inset="0,0,0,0">
                <w:txbxContent>
                  <w:p>
                    <w:pPr>
                      <w:spacing w:before="0" w:line="360" w:lineRule="exact"/>
                      <w:ind w:left="0" w:right="0" w:firstLine="0"/>
                      <w:jc w:val="left"/>
                      <w:rPr>
                        <w:sz w:val="36"/>
                      </w:rPr>
                    </w:pPr>
                    <w:r>
                      <w:rPr>
                        <w:sz w:val="36"/>
                      </w:rPr>
                      <w:t>外运处理</w:t>
                    </w:r>
                  </w:p>
                </w:txbxContent>
              </v:textbox>
            </v:shape>
            <v:shape id="_x0000_s1056" type="#_x0000_t202" style="width:1100;height:360;left:12116;position:absolute;top:4074" filled="f" stroked="f">
              <v:textbox inset="0,0,0,0">
                <w:txbxContent>
                  <w:p>
                    <w:pPr>
                      <w:spacing w:before="0" w:line="360" w:lineRule="exact"/>
                      <w:ind w:left="0" w:right="0" w:firstLine="0"/>
                      <w:jc w:val="left"/>
                      <w:rPr>
                        <w:sz w:val="36"/>
                      </w:rPr>
                    </w:pPr>
                    <w:r>
                      <w:rPr>
                        <w:sz w:val="36"/>
                      </w:rPr>
                      <w:t>氧化塘</w:t>
                    </w:r>
                  </w:p>
                </w:txbxContent>
              </v:textbox>
            </v:shape>
            <v:shape id="_x0000_s1057" type="#_x0000_t202" style="width:920;height:317;left:3200;position:absolute;top:4440" filled="f" stroked="f">
              <v:textbox inset="0,0,0,0">
                <w:txbxContent>
                  <w:p>
                    <w:pPr>
                      <w:tabs>
                        <w:tab w:val="left" w:pos="583"/>
                      </w:tabs>
                      <w:spacing w:before="0" w:line="317" w:lineRule="exact"/>
                      <w:ind w:left="0" w:right="0" w:firstLine="0"/>
                      <w:jc w:val="left"/>
                      <w:rPr>
                        <w:sz w:val="31"/>
                      </w:rPr>
                    </w:pPr>
                    <w:r>
                      <w:rPr>
                        <w:sz w:val="31"/>
                      </w:rPr>
                      <w:t>及</w:t>
                      <w:tab/>
                      <w:t>表</w:t>
                    </w:r>
                  </w:p>
                </w:txbxContent>
              </v:textbox>
            </v:shape>
            <v:shape id="_x0000_s1058" type="#_x0000_t202" style="width:380;height:360;left:13196;position:absolute;top:5010" filled="f" stroked="f">
              <v:textbox inset="0,0,0,0">
                <w:txbxContent>
                  <w:p>
                    <w:pPr>
                      <w:spacing w:before="0" w:line="360" w:lineRule="exact"/>
                      <w:ind w:left="0" w:right="0" w:firstLine="0"/>
                      <w:jc w:val="left"/>
                      <w:rPr>
                        <w:sz w:val="36"/>
                      </w:rPr>
                    </w:pPr>
                    <w:r>
                      <w:rPr>
                        <w:sz w:val="36"/>
                      </w:rPr>
                      <w:t>排</w:t>
                    </w:r>
                  </w:p>
                </w:txbxContent>
              </v:textbox>
            </v:shape>
            <v:shape id="_x0000_s1059" type="#_x0000_t202" style="width:575;height:317;left:5904;position:absolute;top:5552" filled="f" stroked="f">
              <v:textbox inset="0,0,0,0">
                <w:txbxContent>
                  <w:p>
                    <w:pPr>
                      <w:spacing w:before="0" w:line="317" w:lineRule="exact"/>
                      <w:ind w:left="0" w:right="0" w:firstLine="0"/>
                      <w:jc w:val="left"/>
                      <w:rPr>
                        <w:sz w:val="31"/>
                      </w:rPr>
                    </w:pPr>
                    <w:r>
                      <w:rPr>
                        <w:spacing w:val="-34"/>
                        <w:sz w:val="31"/>
                      </w:rPr>
                      <w:t xml:space="preserve">图 </w:t>
                    </w:r>
                    <w:r>
                      <w:rPr>
                        <w:sz w:val="31"/>
                      </w:rPr>
                      <w:t>1</w:t>
                    </w:r>
                  </w:p>
                </w:txbxContent>
              </v:textbox>
            </v:shape>
            <v:shape id="_x0000_s1060" type="#_x0000_t202" style="width:3440;height:360;left:6775;position:absolute;top:5478" filled="f" stroked="f">
              <v:textbox inset="0,0,0,0">
                <w:txbxContent>
                  <w:p>
                    <w:pPr>
                      <w:spacing w:before="0" w:line="360" w:lineRule="exact"/>
                      <w:ind w:left="0" w:right="0" w:firstLine="0"/>
                      <w:jc w:val="left"/>
                      <w:rPr>
                        <w:sz w:val="36"/>
                      </w:rPr>
                    </w:pPr>
                    <w:r>
                      <w:rPr>
                        <w:sz w:val="36"/>
                      </w:rPr>
                      <w:t>厌氧-好氧工艺流程图</w:t>
                    </w:r>
                  </w:p>
                </w:txbxContent>
              </v:textbox>
            </v:shape>
            <w10:wrap type="none"/>
          </v:group>
        </w:pict>
      </w:r>
    </w:p>
    <w:p>
      <w:pPr>
        <w:pStyle w:val="Heading3"/>
        <w:numPr>
          <w:ilvl w:val="2"/>
          <w:numId w:val="8"/>
        </w:numPr>
        <w:tabs>
          <w:tab w:val="left" w:pos="2296"/>
        </w:tabs>
        <w:spacing w:before="0" w:after="0" w:line="517" w:lineRule="exact"/>
        <w:ind w:left="2295" w:right="0" w:hanging="1059"/>
        <w:jc w:val="left"/>
      </w:pPr>
      <w:r>
        <w:t>、传统工艺优缺点阐述</w:t>
      </w:r>
    </w:p>
    <w:p>
      <w:pPr>
        <w:pStyle w:val="BodyText"/>
        <w:rPr>
          <w:b/>
          <w:sz w:val="31"/>
        </w:rPr>
      </w:pPr>
    </w:p>
    <w:p>
      <w:pPr>
        <w:pStyle w:val="BodyText"/>
        <w:spacing w:line="417" w:lineRule="auto"/>
        <w:ind w:left="1237" w:right="1967" w:firstLine="838"/>
      </w:pPr>
      <w:r>
        <w:rPr>
          <w:spacing w:val="-11"/>
        </w:rPr>
        <w:t xml:space="preserve">该工艺目前国内外使用较多，其对水质污染物去除率相对较高， </w:t>
      </w:r>
      <w:r>
        <w:t>水质也相对比较稳定，但是该工艺存在的最大的问题就是一次性投</w:t>
      </w:r>
      <w:r>
        <w:rPr>
          <w:spacing w:val="-12"/>
        </w:rPr>
        <w:t xml:space="preserve">资较高，日处理量 </w:t>
      </w:r>
      <w:r>
        <w:t>1000</w:t>
      </w:r>
      <w:r>
        <w:rPr>
          <w:spacing w:val="-36"/>
        </w:rPr>
        <w:t xml:space="preserve"> 吨一般为 </w:t>
      </w:r>
      <w:r>
        <w:t>3000</w:t>
      </w:r>
      <w:r>
        <w:rPr>
          <w:spacing w:val="-53"/>
        </w:rPr>
        <w:t xml:space="preserve"> 万</w:t>
      </w:r>
      <w:r>
        <w:t>—4500</w:t>
      </w:r>
      <w:r>
        <w:rPr>
          <w:spacing w:val="-14"/>
        </w:rPr>
        <w:t xml:space="preserve"> 万左右，而且人工劳动强度大、自动化要求高、能耗维修费等也相对较高。</w:t>
      </w:r>
    </w:p>
    <w:p>
      <w:pPr>
        <w:pStyle w:val="Heading3"/>
        <w:numPr>
          <w:ilvl w:val="2"/>
          <w:numId w:val="8"/>
        </w:numPr>
        <w:tabs>
          <w:tab w:val="left" w:pos="2296"/>
        </w:tabs>
        <w:spacing w:before="0" w:after="0" w:line="537" w:lineRule="exact"/>
        <w:ind w:left="2295" w:right="0" w:hanging="1059"/>
        <w:jc w:val="left"/>
      </w:pPr>
      <w:r>
        <w:t>、处理效果及能耗费用</w:t>
      </w:r>
    </w:p>
    <w:p>
      <w:pPr>
        <w:pStyle w:val="BodyText"/>
        <w:spacing w:before="11"/>
        <w:rPr>
          <w:b/>
          <w:sz w:val="15"/>
        </w:rPr>
      </w:pPr>
      <w:r>
        <w:pict>
          <v:group id="_x0000_s1061" style="width:678.75pt;height:256.95pt;margin-top:12.16pt;margin-left:120pt;mso-position-horizontal-relative:page;mso-wrap-distance-left:0;mso-wrap-distance-right:0;position:absolute;z-index:-251656192" coordorigin="2400,243" coordsize="13575,5139">
            <v:shape id="_x0000_s1062" type="#_x0000_t75" style="width:13575;height:5139;left:2400;position:absolute;top:243" stroked="f">
              <v:imagedata r:id="rId7" o:title=""/>
            </v:shape>
            <v:shape id="_x0000_s1063" type="#_x0000_t202" style="width:1705;height:422;left:2823;position:absolute;top:471" filled="f" stroked="f">
              <v:textbox inset="0,0,0,0">
                <w:txbxContent>
                  <w:p>
                    <w:pPr>
                      <w:spacing w:before="0" w:line="421" w:lineRule="exact"/>
                      <w:ind w:left="0" w:right="0" w:firstLine="0"/>
                      <w:jc w:val="left"/>
                      <w:rPr>
                        <w:sz w:val="42"/>
                      </w:rPr>
                    </w:pPr>
                    <w:r>
                      <w:rPr>
                        <w:sz w:val="42"/>
                      </w:rPr>
                      <w:t>项目名称</w:t>
                    </w:r>
                  </w:p>
                </w:txbxContent>
              </v:textbox>
            </v:shape>
            <v:shape id="_x0000_s1064" type="#_x0000_t202" style="width:2021;height:422;left:5451;position:absolute;top:471" filled="f" stroked="f">
              <v:textbox inset="0,0,0,0">
                <w:txbxContent>
                  <w:p>
                    <w:pPr>
                      <w:spacing w:before="0" w:line="421" w:lineRule="exact"/>
                      <w:ind w:left="0" w:right="0" w:firstLine="0"/>
                      <w:jc w:val="left"/>
                      <w:rPr>
                        <w:sz w:val="42"/>
                      </w:rPr>
                    </w:pPr>
                    <w:r>
                      <w:rPr>
                        <w:spacing w:val="-34"/>
                        <w:sz w:val="42"/>
                      </w:rPr>
                      <w:t xml:space="preserve">进水 </w:t>
                    </w:r>
                    <w:r>
                      <w:rPr>
                        <w:sz w:val="42"/>
                      </w:rPr>
                      <w:t>CODcr</w:t>
                    </w:r>
                  </w:p>
                </w:txbxContent>
              </v:textbox>
            </v:shape>
            <v:shape id="_x0000_s1065" type="#_x0000_t202" style="width:2020;height:422;left:8335;position:absolute;top:471" filled="f" stroked="f">
              <v:textbox inset="0,0,0,0">
                <w:txbxContent>
                  <w:p>
                    <w:pPr>
                      <w:spacing w:before="0" w:line="421" w:lineRule="exact"/>
                      <w:ind w:left="0" w:right="0" w:firstLine="0"/>
                      <w:jc w:val="left"/>
                      <w:rPr>
                        <w:sz w:val="42"/>
                      </w:rPr>
                    </w:pPr>
                    <w:r>
                      <w:rPr>
                        <w:spacing w:val="52"/>
                        <w:sz w:val="42"/>
                      </w:rPr>
                      <w:t>出水</w:t>
                    </w:r>
                    <w:r>
                      <w:rPr>
                        <w:sz w:val="42"/>
                      </w:rPr>
                      <w:t>CODcr</w:t>
                    </w:r>
                  </w:p>
                </w:txbxContent>
              </v:textbox>
            </v:shape>
            <v:shape id="_x0000_s1066" type="#_x0000_t202" style="width:1810;height:422;left:11154;position:absolute;top:471" filled="f" stroked="f">
              <v:textbox inset="0,0,0,0">
                <w:txbxContent>
                  <w:p>
                    <w:pPr>
                      <w:spacing w:before="0" w:line="421" w:lineRule="exact"/>
                      <w:ind w:left="0" w:right="0" w:firstLine="0"/>
                      <w:jc w:val="left"/>
                      <w:rPr>
                        <w:sz w:val="42"/>
                      </w:rPr>
                    </w:pPr>
                    <w:r>
                      <w:rPr>
                        <w:spacing w:val="52"/>
                        <w:sz w:val="42"/>
                      </w:rPr>
                      <w:t>进水</w:t>
                    </w:r>
                    <w:r>
                      <w:rPr>
                        <w:sz w:val="42"/>
                      </w:rPr>
                      <w:t>BOD5</w:t>
                    </w:r>
                  </w:p>
                </w:txbxContent>
              </v:textbox>
            </v:shape>
            <v:shape id="_x0000_s1067" type="#_x0000_t202" style="width:1810;height:422;left:13783;position:absolute;top:471" filled="f" stroked="f">
              <v:textbox inset="0,0,0,0">
                <w:txbxContent>
                  <w:p>
                    <w:pPr>
                      <w:spacing w:before="0" w:line="421" w:lineRule="exact"/>
                      <w:ind w:left="0" w:right="0" w:firstLine="0"/>
                      <w:jc w:val="left"/>
                      <w:rPr>
                        <w:sz w:val="42"/>
                      </w:rPr>
                    </w:pPr>
                    <w:r>
                      <w:rPr>
                        <w:spacing w:val="52"/>
                        <w:sz w:val="42"/>
                      </w:rPr>
                      <w:t>出水</w:t>
                    </w:r>
                    <w:r>
                      <w:rPr>
                        <w:sz w:val="42"/>
                      </w:rPr>
                      <w:t>BOD5</w:t>
                    </w:r>
                  </w:p>
                </w:txbxContent>
              </v:textbox>
            </v:shape>
            <v:shape id="_x0000_s1068" type="#_x0000_t202" style="width:2382;height:422;left:2589;position:absolute;top:1490" filled="f" stroked="f">
              <v:textbox inset="0,0,0,0">
                <w:txbxContent>
                  <w:p>
                    <w:pPr>
                      <w:spacing w:before="0" w:line="421" w:lineRule="exact"/>
                      <w:ind w:left="0" w:right="0" w:firstLine="0"/>
                      <w:jc w:val="left"/>
                      <w:rPr>
                        <w:sz w:val="42"/>
                      </w:rPr>
                    </w:pPr>
                    <w:r>
                      <w:rPr>
                        <w:spacing w:val="-82"/>
                        <w:sz w:val="42"/>
                      </w:rPr>
                      <w:t>参数</w:t>
                    </w:r>
                    <w:r>
                      <w:rPr>
                        <w:sz w:val="42"/>
                      </w:rPr>
                      <w:t>（mg/L）</w:t>
                    </w:r>
                  </w:p>
                </w:txbxContent>
              </v:textbox>
            </v:shape>
            <v:shape id="_x0000_s1069" type="#_x0000_t202" style="width:1284;height:422;left:5819;position:absolute;top:1490" filled="f" stroked="f">
              <v:textbox inset="0,0,0,0">
                <w:txbxContent>
                  <w:p>
                    <w:pPr>
                      <w:spacing w:before="0" w:line="421" w:lineRule="exact"/>
                      <w:ind w:left="0" w:right="0" w:firstLine="0"/>
                      <w:jc w:val="left"/>
                      <w:rPr>
                        <w:sz w:val="42"/>
                      </w:rPr>
                    </w:pPr>
                    <w:r>
                      <w:rPr>
                        <w:sz w:val="42"/>
                      </w:rPr>
                      <w:t>＞3000</w:t>
                    </w:r>
                  </w:p>
                </w:txbxContent>
              </v:textbox>
            </v:shape>
            <v:shape id="_x0000_s1070" type="#_x0000_t202" style="width:1073;height:422;left:8807;position:absolute;top:1490" filled="f" stroked="f">
              <v:textbox inset="0,0,0,0">
                <w:txbxContent>
                  <w:p>
                    <w:pPr>
                      <w:spacing w:before="0" w:line="421" w:lineRule="exact"/>
                      <w:ind w:left="0" w:right="0" w:firstLine="0"/>
                      <w:jc w:val="left"/>
                      <w:rPr>
                        <w:sz w:val="42"/>
                      </w:rPr>
                    </w:pPr>
                    <w:r>
                      <w:rPr>
                        <w:sz w:val="42"/>
                      </w:rPr>
                      <w:t>＜300</w:t>
                    </w:r>
                  </w:p>
                </w:txbxContent>
              </v:textbox>
            </v:shape>
            <v:shape id="_x0000_s1071" type="#_x0000_t202" style="width:1073;height:422;left:11522;position:absolute;top:1490" filled="f" stroked="f">
              <v:textbox inset="0,0,0,0">
                <w:txbxContent>
                  <w:p>
                    <w:pPr>
                      <w:spacing w:before="0" w:line="421" w:lineRule="exact"/>
                      <w:ind w:left="0" w:right="0" w:firstLine="0"/>
                      <w:jc w:val="left"/>
                      <w:rPr>
                        <w:sz w:val="42"/>
                      </w:rPr>
                    </w:pPr>
                    <w:r>
                      <w:rPr>
                        <w:sz w:val="42"/>
                      </w:rPr>
                      <w:t>＞200</w:t>
                    </w:r>
                  </w:p>
                </w:txbxContent>
              </v:textbox>
            </v:shape>
            <v:shape id="_x0000_s1072" type="#_x0000_t202" style="width:863;height:422;left:14259;position:absolute;top:1490" filled="f" stroked="f">
              <v:textbox inset="0,0,0,0">
                <w:txbxContent>
                  <w:p>
                    <w:pPr>
                      <w:spacing w:before="0" w:line="421" w:lineRule="exact"/>
                      <w:ind w:left="0" w:right="0" w:firstLine="0"/>
                      <w:jc w:val="left"/>
                      <w:rPr>
                        <w:sz w:val="42"/>
                      </w:rPr>
                    </w:pPr>
                    <w:r>
                      <w:rPr>
                        <w:sz w:val="42"/>
                      </w:rPr>
                      <w:t>＜30</w:t>
                    </w:r>
                  </w:p>
                </w:txbxContent>
              </v:textbox>
            </v:shape>
            <v:shape id="_x0000_s1073" type="#_x0000_t202" style="width:1705;height:422;left:2823;position:absolute;top:2509" filled="f" stroked="f">
              <v:textbox inset="0,0,0,0">
                <w:txbxContent>
                  <w:p>
                    <w:pPr>
                      <w:spacing w:before="0" w:line="421" w:lineRule="exact"/>
                      <w:ind w:left="0" w:right="0" w:firstLine="0"/>
                      <w:jc w:val="left"/>
                      <w:rPr>
                        <w:sz w:val="42"/>
                      </w:rPr>
                    </w:pPr>
                    <w:r>
                      <w:rPr>
                        <w:sz w:val="42"/>
                      </w:rPr>
                      <w:t>项目名称</w:t>
                    </w:r>
                  </w:p>
                </w:txbxContent>
              </v:textbox>
            </v:shape>
            <v:shape id="_x0000_s1074" type="#_x0000_t202" style="width:1388;height:422;left:5768;position:absolute;top:2509" filled="f" stroked="f">
              <v:textbox inset="0,0,0,0">
                <w:txbxContent>
                  <w:p>
                    <w:pPr>
                      <w:spacing w:before="0" w:line="421" w:lineRule="exact"/>
                      <w:ind w:left="0" w:right="0" w:firstLine="0"/>
                      <w:jc w:val="left"/>
                      <w:rPr>
                        <w:sz w:val="42"/>
                      </w:rPr>
                    </w:pPr>
                    <w:r>
                      <w:rPr>
                        <w:spacing w:val="52"/>
                        <w:sz w:val="42"/>
                      </w:rPr>
                      <w:t>进水</w:t>
                    </w:r>
                    <w:r>
                      <w:rPr>
                        <w:sz w:val="42"/>
                      </w:rPr>
                      <w:t>SS</w:t>
                    </w:r>
                  </w:p>
                </w:txbxContent>
              </v:textbox>
            </v:shape>
            <v:shape id="_x0000_s1075" type="#_x0000_t202" style="width:1389;height:422;left:8652;position:absolute;top:2509" filled="f" stroked="f">
              <v:textbox inset="0,0,0,0">
                <w:txbxContent>
                  <w:p>
                    <w:pPr>
                      <w:spacing w:before="0" w:line="421" w:lineRule="exact"/>
                      <w:ind w:left="0" w:right="0" w:firstLine="0"/>
                      <w:jc w:val="left"/>
                      <w:rPr>
                        <w:sz w:val="42"/>
                      </w:rPr>
                    </w:pPr>
                    <w:r>
                      <w:rPr>
                        <w:spacing w:val="-34"/>
                        <w:sz w:val="42"/>
                      </w:rPr>
                      <w:t xml:space="preserve">出水 </w:t>
                    </w:r>
                    <w:r>
                      <w:rPr>
                        <w:sz w:val="42"/>
                      </w:rPr>
                      <w:t>SS</w:t>
                    </w:r>
                  </w:p>
                </w:txbxContent>
              </v:textbox>
            </v:shape>
            <v:shape id="_x0000_s1076" type="#_x0000_t202" style="width:2020;height:422;left:11050;position:absolute;top:2509" filled="f" stroked="f">
              <v:textbox inset="0,0,0,0">
                <w:txbxContent>
                  <w:p>
                    <w:pPr>
                      <w:spacing w:before="0" w:line="421" w:lineRule="exact"/>
                      <w:ind w:left="0" w:right="0" w:firstLine="0"/>
                      <w:jc w:val="left"/>
                      <w:rPr>
                        <w:sz w:val="42"/>
                      </w:rPr>
                    </w:pPr>
                    <w:r>
                      <w:rPr>
                        <w:spacing w:val="52"/>
                        <w:sz w:val="42"/>
                      </w:rPr>
                      <w:t>进水</w:t>
                    </w:r>
                    <w:r>
                      <w:rPr>
                        <w:sz w:val="42"/>
                      </w:rPr>
                      <w:t>NH3-N</w:t>
                    </w:r>
                  </w:p>
                </w:txbxContent>
              </v:textbox>
            </v:shape>
            <v:shape id="_x0000_s1077" type="#_x0000_t202" style="width:2020;height:422;left:13679;position:absolute;top:2509" filled="f" stroked="f">
              <v:textbox inset="0,0,0,0">
                <w:txbxContent>
                  <w:p>
                    <w:pPr>
                      <w:spacing w:before="0" w:line="421" w:lineRule="exact"/>
                      <w:ind w:left="0" w:right="0" w:firstLine="0"/>
                      <w:jc w:val="left"/>
                      <w:rPr>
                        <w:sz w:val="42"/>
                      </w:rPr>
                    </w:pPr>
                    <w:r>
                      <w:rPr>
                        <w:spacing w:val="52"/>
                        <w:sz w:val="42"/>
                      </w:rPr>
                      <w:t>出水</w:t>
                    </w:r>
                    <w:r>
                      <w:rPr>
                        <w:sz w:val="42"/>
                      </w:rPr>
                      <w:t>NH3-N</w:t>
                    </w:r>
                  </w:p>
                </w:txbxContent>
              </v:textbox>
            </v:shape>
            <v:shape id="_x0000_s1078" type="#_x0000_t202" style="width:2382;height:422;left:2589;position:absolute;top:3532" filled="f" stroked="f">
              <v:textbox inset="0,0,0,0">
                <w:txbxContent>
                  <w:p>
                    <w:pPr>
                      <w:spacing w:before="0" w:line="421" w:lineRule="exact"/>
                      <w:ind w:left="0" w:right="0" w:firstLine="0"/>
                      <w:jc w:val="left"/>
                      <w:rPr>
                        <w:sz w:val="42"/>
                      </w:rPr>
                    </w:pPr>
                    <w:r>
                      <w:rPr>
                        <w:spacing w:val="-82"/>
                        <w:sz w:val="42"/>
                      </w:rPr>
                      <w:t>参数</w:t>
                    </w:r>
                    <w:r>
                      <w:rPr>
                        <w:sz w:val="42"/>
                      </w:rPr>
                      <w:t>（mg/L）</w:t>
                    </w:r>
                  </w:p>
                </w:txbxContent>
              </v:textbox>
            </v:shape>
            <v:shape id="_x0000_s1079" type="#_x0000_t202" style="width:1073;height:422;left:5923;position:absolute;top:3532" filled="f" stroked="f">
              <v:textbox inset="0,0,0,0">
                <w:txbxContent>
                  <w:p>
                    <w:pPr>
                      <w:spacing w:before="0" w:line="421" w:lineRule="exact"/>
                      <w:ind w:left="0" w:right="0" w:firstLine="0"/>
                      <w:jc w:val="left"/>
                      <w:rPr>
                        <w:sz w:val="42"/>
                      </w:rPr>
                    </w:pPr>
                    <w:r>
                      <w:rPr>
                        <w:sz w:val="42"/>
                      </w:rPr>
                      <w:t>＞300</w:t>
                    </w:r>
                  </w:p>
                </w:txbxContent>
              </v:textbox>
            </v:shape>
            <v:shape id="_x0000_s1080" type="#_x0000_t202" style="width:863;height:422;left:8915;position:absolute;top:3532" filled="f" stroked="f">
              <v:textbox inset="0,0,0,0">
                <w:txbxContent>
                  <w:p>
                    <w:pPr>
                      <w:spacing w:before="0" w:line="421" w:lineRule="exact"/>
                      <w:ind w:left="0" w:right="0" w:firstLine="0"/>
                      <w:jc w:val="left"/>
                      <w:rPr>
                        <w:sz w:val="42"/>
                      </w:rPr>
                    </w:pPr>
                    <w:r>
                      <w:rPr>
                        <w:sz w:val="42"/>
                      </w:rPr>
                      <w:t>＜20</w:t>
                    </w:r>
                  </w:p>
                </w:txbxContent>
              </v:textbox>
            </v:shape>
            <v:shape id="_x0000_s1081" type="#_x0000_t202" style="width:1073;height:422;left:11522;position:absolute;top:3532" filled="f" stroked="f">
              <v:textbox inset="0,0,0,0">
                <w:txbxContent>
                  <w:p>
                    <w:pPr>
                      <w:spacing w:before="0" w:line="421" w:lineRule="exact"/>
                      <w:ind w:left="0" w:right="0" w:firstLine="0"/>
                      <w:jc w:val="left"/>
                      <w:rPr>
                        <w:sz w:val="42"/>
                      </w:rPr>
                    </w:pPr>
                    <w:r>
                      <w:rPr>
                        <w:sz w:val="42"/>
                      </w:rPr>
                      <w:t>＞100</w:t>
                    </w:r>
                  </w:p>
                </w:txbxContent>
              </v:textbox>
            </v:shape>
            <v:shape id="_x0000_s1082" type="#_x0000_t202" style="width:863;height:422;left:14259;position:absolute;top:3532" filled="f" stroked="f">
              <v:textbox inset="0,0,0,0">
                <w:txbxContent>
                  <w:p>
                    <w:pPr>
                      <w:spacing w:before="0" w:line="421" w:lineRule="exact"/>
                      <w:ind w:left="0" w:right="0" w:firstLine="0"/>
                      <w:jc w:val="left"/>
                      <w:rPr>
                        <w:sz w:val="42"/>
                      </w:rPr>
                    </w:pPr>
                    <w:r>
                      <w:rPr>
                        <w:sz w:val="42"/>
                      </w:rPr>
                      <w:t>＜20</w:t>
                    </w:r>
                  </w:p>
                </w:txbxContent>
              </v:textbox>
            </v:shape>
            <v:shape id="_x0000_s1083" type="#_x0000_t202" style="width:1705;height:422;left:2823;position:absolute;top:4550" filled="f" stroked="f">
              <v:textbox inset="0,0,0,0">
                <w:txbxContent>
                  <w:p>
                    <w:pPr>
                      <w:spacing w:before="0" w:line="421" w:lineRule="exact"/>
                      <w:ind w:left="0" w:right="0" w:firstLine="0"/>
                      <w:jc w:val="left"/>
                      <w:rPr>
                        <w:sz w:val="42"/>
                      </w:rPr>
                    </w:pPr>
                    <w:r>
                      <w:rPr>
                        <w:sz w:val="42"/>
                      </w:rPr>
                      <w:t>项目名称</w:t>
                    </w:r>
                  </w:p>
                </w:txbxContent>
              </v:textbox>
            </v:shape>
            <v:shape id="_x0000_s1084" type="#_x0000_t202" style="width:1388;height:422;left:5768;position:absolute;top:4550" filled="f" stroked="f">
              <v:textbox inset="0,0,0,0">
                <w:txbxContent>
                  <w:p>
                    <w:pPr>
                      <w:spacing w:before="0" w:line="421" w:lineRule="exact"/>
                      <w:ind w:left="0" w:right="0" w:firstLine="0"/>
                      <w:jc w:val="left"/>
                      <w:rPr>
                        <w:sz w:val="42"/>
                      </w:rPr>
                    </w:pPr>
                    <w:r>
                      <w:rPr>
                        <w:spacing w:val="52"/>
                        <w:sz w:val="42"/>
                      </w:rPr>
                      <w:t>进水</w:t>
                    </w:r>
                    <w:r>
                      <w:rPr>
                        <w:sz w:val="42"/>
                      </w:rPr>
                      <w:t>TP</w:t>
                    </w:r>
                  </w:p>
                </w:txbxContent>
              </v:textbox>
            </v:shape>
            <v:shape id="_x0000_s1085" type="#_x0000_t202" style="width:1389;height:422;left:8652;position:absolute;top:4550" filled="f" stroked="f">
              <v:textbox inset="0,0,0,0">
                <w:txbxContent>
                  <w:p>
                    <w:pPr>
                      <w:spacing w:before="0" w:line="421" w:lineRule="exact"/>
                      <w:ind w:left="0" w:right="0" w:firstLine="0"/>
                      <w:jc w:val="left"/>
                      <w:rPr>
                        <w:sz w:val="42"/>
                      </w:rPr>
                    </w:pPr>
                    <w:r>
                      <w:rPr>
                        <w:spacing w:val="-34"/>
                        <w:sz w:val="42"/>
                      </w:rPr>
                      <w:t xml:space="preserve">出水 </w:t>
                    </w:r>
                    <w:r>
                      <w:rPr>
                        <w:sz w:val="42"/>
                      </w:rPr>
                      <w:t>TP</w:t>
                    </w:r>
                  </w:p>
                </w:txbxContent>
              </v:textbox>
            </v:shape>
            <v:shape id="_x0000_s1086" type="#_x0000_t202" style="width:1389;height:422;left:11363;position:absolute;top:4550" filled="f" stroked="f">
              <v:textbox inset="0,0,0,0">
                <w:txbxContent>
                  <w:p>
                    <w:pPr>
                      <w:spacing w:before="0" w:line="421" w:lineRule="exact"/>
                      <w:ind w:left="0" w:right="0" w:firstLine="0"/>
                      <w:jc w:val="left"/>
                      <w:rPr>
                        <w:sz w:val="42"/>
                      </w:rPr>
                    </w:pPr>
                    <w:r>
                      <w:rPr>
                        <w:spacing w:val="52"/>
                        <w:sz w:val="42"/>
                      </w:rPr>
                      <w:t>进水</w:t>
                    </w:r>
                    <w:r>
                      <w:rPr>
                        <w:sz w:val="42"/>
                      </w:rPr>
                      <w:t>pH</w:t>
                    </w:r>
                  </w:p>
                </w:txbxContent>
              </v:textbox>
            </v:shape>
            <v:shape id="_x0000_s1087" type="#_x0000_t202" style="width:1388;height:422;left:13996;position:absolute;top:4550" filled="f" stroked="f">
              <v:textbox inset="0,0,0,0">
                <w:txbxContent>
                  <w:p>
                    <w:pPr>
                      <w:spacing w:before="0" w:line="421" w:lineRule="exact"/>
                      <w:ind w:left="0" w:right="0" w:firstLine="0"/>
                      <w:jc w:val="left"/>
                      <w:rPr>
                        <w:sz w:val="42"/>
                      </w:rPr>
                    </w:pPr>
                    <w:r>
                      <w:rPr>
                        <w:spacing w:val="52"/>
                        <w:sz w:val="42"/>
                      </w:rPr>
                      <w:t>出水</w:t>
                    </w:r>
                    <w:r>
                      <w:rPr>
                        <w:sz w:val="42"/>
                      </w:rPr>
                      <w:t>pH</w:t>
                    </w:r>
                  </w:p>
                </w:txbxContent>
              </v:textbox>
            </v:shape>
            <w10:wrap type="topAndBottom"/>
          </v:group>
        </w:pict>
      </w:r>
    </w:p>
    <w:p>
      <w:pPr>
        <w:spacing w:after="0"/>
        <w:rPr>
          <w:sz w:val="15"/>
        </w:rPr>
      </w:pPr>
      <w:r>
        <w:rPr>
          <w:sz w:val="15"/>
        </w:rPr>
        <w:br/>
      </w:r>
      <w:r>
        <w:rPr>
          <w:sz w:val="15"/>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 w:history="1">
        <w:r>
          <w:rPr>
            <w:rFonts w:ascii="SimSun" w:eastAsia="SimSun" w:hAnsi="SimSun" w:cs="SimSun"/>
            <w:b/>
            <w:bCs/>
            <w:color w:val="0000EE"/>
            <w:sz w:val="30"/>
            <w:szCs w:val="30"/>
            <w:u w:val="single" w:color="0000EE"/>
          </w:rPr>
          <w:t>https://d.book118.com/568054037102006036</w:t>
        </w:r>
      </w:hyperlink>
    </w:p>
    <w:p>
      <w:pPr>
        <w:spacing w:after="0"/>
        <w:rPr>
          <w:sz w:val="15"/>
        </w:rPr>
      </w:pPr>
    </w:p>
    <w:sectPr>
      <w:pgSz w:w="17860" w:h="25260"/>
      <w:pgMar w:top="1960" w:right="680" w:bottom="280" w:left="1460" w:header="708" w:footer="708"/>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新宋体">
    <w:altName w:val="新宋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3130"/>
    <w:multiLevelType w:val="hybridMultilevel"/>
    <w:tmpl w:val="00000000"/>
    <w:lvl w:ilvl="0">
      <w:start w:val="2"/>
      <w:numFmt w:val="decimal"/>
      <w:lvlText w:val="%1"/>
      <w:lvlJc w:val="left"/>
      <w:pPr>
        <w:ind w:left="2295" w:hanging="1059"/>
        <w:jc w:val="left"/>
      </w:pPr>
      <w:rPr>
        <w:rFonts w:hint="default"/>
      </w:rPr>
    </w:lvl>
    <w:lvl w:ilvl="1">
      <w:start w:val="1"/>
      <w:numFmt w:val="decimal"/>
      <w:lvlText w:val="%1.%2"/>
      <w:lvlJc w:val="left"/>
      <w:pPr>
        <w:ind w:left="2295" w:hanging="1059"/>
        <w:jc w:val="left"/>
      </w:pPr>
      <w:rPr>
        <w:rFonts w:hint="default"/>
      </w:rPr>
    </w:lvl>
    <w:lvl w:ilvl="2">
      <w:start w:val="1"/>
      <w:numFmt w:val="decimal"/>
      <w:lvlText w:val="%1.%2.%3"/>
      <w:lvlJc w:val="left"/>
      <w:pPr>
        <w:ind w:left="2295" w:hanging="1059"/>
        <w:jc w:val="left"/>
      </w:pPr>
      <w:rPr>
        <w:rFonts w:ascii="黑体" w:eastAsia="黑体" w:hAnsi="黑体" w:cs="黑体" w:hint="default"/>
        <w:b/>
        <w:bCs/>
        <w:w w:val="99"/>
        <w:sz w:val="40"/>
        <w:szCs w:val="40"/>
      </w:rPr>
    </w:lvl>
    <w:lvl w:ilvl="3">
      <w:start w:val="0"/>
      <w:numFmt w:val="bullet"/>
      <w:lvlText w:val="•"/>
      <w:lvlJc w:val="left"/>
      <w:pPr>
        <w:ind w:left="6325" w:hanging="1059"/>
      </w:pPr>
      <w:rPr>
        <w:rFonts w:hint="default"/>
      </w:rPr>
    </w:lvl>
    <w:lvl w:ilvl="4">
      <w:start w:val="0"/>
      <w:numFmt w:val="bullet"/>
      <w:lvlText w:val="•"/>
      <w:lvlJc w:val="left"/>
      <w:pPr>
        <w:ind w:left="7667" w:hanging="1059"/>
      </w:pPr>
      <w:rPr>
        <w:rFonts w:hint="default"/>
      </w:rPr>
    </w:lvl>
    <w:lvl w:ilvl="5">
      <w:start w:val="0"/>
      <w:numFmt w:val="bullet"/>
      <w:lvlText w:val="•"/>
      <w:lvlJc w:val="left"/>
      <w:pPr>
        <w:ind w:left="9009" w:hanging="1059"/>
      </w:pPr>
      <w:rPr>
        <w:rFonts w:hint="default"/>
      </w:rPr>
    </w:lvl>
    <w:lvl w:ilvl="6">
      <w:start w:val="0"/>
      <w:numFmt w:val="bullet"/>
      <w:lvlText w:val="•"/>
      <w:lvlJc w:val="left"/>
      <w:pPr>
        <w:ind w:left="10351" w:hanging="1059"/>
      </w:pPr>
      <w:rPr>
        <w:rFonts w:hint="default"/>
      </w:rPr>
    </w:lvl>
    <w:lvl w:ilvl="7">
      <w:start w:val="0"/>
      <w:numFmt w:val="bullet"/>
      <w:lvlText w:val="•"/>
      <w:lvlJc w:val="left"/>
      <w:pPr>
        <w:ind w:left="11693" w:hanging="1059"/>
      </w:pPr>
      <w:rPr>
        <w:rFonts w:hint="default"/>
      </w:rPr>
    </w:lvl>
    <w:lvl w:ilvl="8">
      <w:start w:val="0"/>
      <w:numFmt w:val="bullet"/>
      <w:lvlText w:val="•"/>
      <w:lvlJc w:val="left"/>
      <w:pPr>
        <w:ind w:left="13035" w:hanging="1059"/>
      </w:pPr>
      <w:rPr>
        <w:rFonts w:hint="default"/>
      </w:rPr>
    </w:lvl>
  </w:abstractNum>
  <w:abstractNum w:abstractNumId="1">
    <w:nsid w:val="1D37AF90"/>
    <w:multiLevelType w:val="hybridMultilevel"/>
    <w:tmpl w:val="00000000"/>
    <w:lvl w:ilvl="0">
      <w:start w:val="1"/>
      <w:numFmt w:val="decimal"/>
      <w:lvlText w:val="（%1）"/>
      <w:lvlJc w:val="left"/>
      <w:pPr>
        <w:ind w:left="2497" w:hanging="1260"/>
        <w:jc w:val="left"/>
      </w:pPr>
      <w:rPr>
        <w:rFonts w:ascii="黑体" w:eastAsia="黑体" w:hAnsi="黑体" w:cs="黑体" w:hint="default"/>
        <w:spacing w:val="-2"/>
        <w:w w:val="100"/>
        <w:sz w:val="42"/>
        <w:szCs w:val="42"/>
      </w:rPr>
    </w:lvl>
    <w:lvl w:ilvl="1">
      <w:start w:val="0"/>
      <w:numFmt w:val="bullet"/>
      <w:lvlText w:val="•"/>
      <w:lvlJc w:val="left"/>
      <w:pPr>
        <w:ind w:left="3821" w:hanging="1260"/>
      </w:pPr>
      <w:rPr>
        <w:rFonts w:hint="default"/>
      </w:rPr>
    </w:lvl>
    <w:lvl w:ilvl="2">
      <w:start w:val="0"/>
      <w:numFmt w:val="bullet"/>
      <w:lvlText w:val="•"/>
      <w:lvlJc w:val="left"/>
      <w:pPr>
        <w:ind w:left="5143" w:hanging="1260"/>
      </w:pPr>
      <w:rPr>
        <w:rFonts w:hint="default"/>
      </w:rPr>
    </w:lvl>
    <w:lvl w:ilvl="3">
      <w:start w:val="0"/>
      <w:numFmt w:val="bullet"/>
      <w:lvlText w:val="•"/>
      <w:lvlJc w:val="left"/>
      <w:pPr>
        <w:ind w:left="6465" w:hanging="1260"/>
      </w:pPr>
      <w:rPr>
        <w:rFonts w:hint="default"/>
      </w:rPr>
    </w:lvl>
    <w:lvl w:ilvl="4">
      <w:start w:val="0"/>
      <w:numFmt w:val="bullet"/>
      <w:lvlText w:val="•"/>
      <w:lvlJc w:val="left"/>
      <w:pPr>
        <w:ind w:left="7787" w:hanging="1260"/>
      </w:pPr>
      <w:rPr>
        <w:rFonts w:hint="default"/>
      </w:rPr>
    </w:lvl>
    <w:lvl w:ilvl="5">
      <w:start w:val="0"/>
      <w:numFmt w:val="bullet"/>
      <w:lvlText w:val="•"/>
      <w:lvlJc w:val="left"/>
      <w:pPr>
        <w:ind w:left="9109" w:hanging="1260"/>
      </w:pPr>
      <w:rPr>
        <w:rFonts w:hint="default"/>
      </w:rPr>
    </w:lvl>
    <w:lvl w:ilvl="6">
      <w:start w:val="0"/>
      <w:numFmt w:val="bullet"/>
      <w:lvlText w:val="•"/>
      <w:lvlJc w:val="left"/>
      <w:pPr>
        <w:ind w:left="10431" w:hanging="1260"/>
      </w:pPr>
      <w:rPr>
        <w:rFonts w:hint="default"/>
      </w:rPr>
    </w:lvl>
    <w:lvl w:ilvl="7">
      <w:start w:val="0"/>
      <w:numFmt w:val="bullet"/>
      <w:lvlText w:val="•"/>
      <w:lvlJc w:val="left"/>
      <w:pPr>
        <w:ind w:left="11753" w:hanging="1260"/>
      </w:pPr>
      <w:rPr>
        <w:rFonts w:hint="default"/>
      </w:rPr>
    </w:lvl>
    <w:lvl w:ilvl="8">
      <w:start w:val="0"/>
      <w:numFmt w:val="bullet"/>
      <w:lvlText w:val="•"/>
      <w:lvlJc w:val="left"/>
      <w:pPr>
        <w:ind w:left="13075" w:hanging="1260"/>
      </w:pPr>
      <w:rPr>
        <w:rFonts w:hint="default"/>
      </w:rPr>
    </w:lvl>
  </w:abstractNum>
  <w:abstractNum w:abstractNumId="2">
    <w:nsid w:val="40D5DA3E"/>
    <w:multiLevelType w:val="hybridMultilevel"/>
    <w:tmpl w:val="00000000"/>
    <w:lvl w:ilvl="0">
      <w:start w:val="1"/>
      <w:numFmt w:val="decimal"/>
      <w:lvlText w:val="（%1）"/>
      <w:lvlJc w:val="left"/>
      <w:pPr>
        <w:ind w:left="2497" w:hanging="1260"/>
        <w:jc w:val="left"/>
      </w:pPr>
      <w:rPr>
        <w:rFonts w:ascii="黑体" w:eastAsia="黑体" w:hAnsi="黑体" w:cs="黑体" w:hint="default"/>
        <w:spacing w:val="-2"/>
        <w:w w:val="100"/>
        <w:sz w:val="42"/>
        <w:szCs w:val="42"/>
      </w:rPr>
    </w:lvl>
    <w:lvl w:ilvl="1">
      <w:start w:val="0"/>
      <w:numFmt w:val="bullet"/>
      <w:lvlText w:val="•"/>
      <w:lvlJc w:val="left"/>
      <w:pPr>
        <w:ind w:left="3821" w:hanging="1260"/>
      </w:pPr>
      <w:rPr>
        <w:rFonts w:hint="default"/>
      </w:rPr>
    </w:lvl>
    <w:lvl w:ilvl="2">
      <w:start w:val="0"/>
      <w:numFmt w:val="bullet"/>
      <w:lvlText w:val="•"/>
      <w:lvlJc w:val="left"/>
      <w:pPr>
        <w:ind w:left="5143" w:hanging="1260"/>
      </w:pPr>
      <w:rPr>
        <w:rFonts w:hint="default"/>
      </w:rPr>
    </w:lvl>
    <w:lvl w:ilvl="3">
      <w:start w:val="0"/>
      <w:numFmt w:val="bullet"/>
      <w:lvlText w:val="•"/>
      <w:lvlJc w:val="left"/>
      <w:pPr>
        <w:ind w:left="6465" w:hanging="1260"/>
      </w:pPr>
      <w:rPr>
        <w:rFonts w:hint="default"/>
      </w:rPr>
    </w:lvl>
    <w:lvl w:ilvl="4">
      <w:start w:val="0"/>
      <w:numFmt w:val="bullet"/>
      <w:lvlText w:val="•"/>
      <w:lvlJc w:val="left"/>
      <w:pPr>
        <w:ind w:left="7787" w:hanging="1260"/>
      </w:pPr>
      <w:rPr>
        <w:rFonts w:hint="default"/>
      </w:rPr>
    </w:lvl>
    <w:lvl w:ilvl="5">
      <w:start w:val="0"/>
      <w:numFmt w:val="bullet"/>
      <w:lvlText w:val="•"/>
      <w:lvlJc w:val="left"/>
      <w:pPr>
        <w:ind w:left="9109" w:hanging="1260"/>
      </w:pPr>
      <w:rPr>
        <w:rFonts w:hint="default"/>
      </w:rPr>
    </w:lvl>
    <w:lvl w:ilvl="6">
      <w:start w:val="0"/>
      <w:numFmt w:val="bullet"/>
      <w:lvlText w:val="•"/>
      <w:lvlJc w:val="left"/>
      <w:pPr>
        <w:ind w:left="10431" w:hanging="1260"/>
      </w:pPr>
      <w:rPr>
        <w:rFonts w:hint="default"/>
      </w:rPr>
    </w:lvl>
    <w:lvl w:ilvl="7">
      <w:start w:val="0"/>
      <w:numFmt w:val="bullet"/>
      <w:lvlText w:val="•"/>
      <w:lvlJc w:val="left"/>
      <w:pPr>
        <w:ind w:left="11753" w:hanging="1260"/>
      </w:pPr>
      <w:rPr>
        <w:rFonts w:hint="default"/>
      </w:rPr>
    </w:lvl>
    <w:lvl w:ilvl="8">
      <w:start w:val="0"/>
      <w:numFmt w:val="bullet"/>
      <w:lvlText w:val="•"/>
      <w:lvlJc w:val="left"/>
      <w:pPr>
        <w:ind w:left="13075" w:hanging="1260"/>
      </w:pPr>
      <w:rPr>
        <w:rFonts w:hint="default"/>
      </w:rPr>
    </w:lvl>
  </w:abstractNum>
  <w:abstractNum w:abstractNumId="3">
    <w:nsid w:val="47E63E47"/>
    <w:multiLevelType w:val="hybridMultilevel"/>
    <w:tmpl w:val="00000000"/>
    <w:lvl w:ilvl="0">
      <w:start w:val="6"/>
      <w:numFmt w:val="decimal"/>
      <w:lvlText w:val="%1"/>
      <w:lvlJc w:val="left"/>
      <w:pPr>
        <w:ind w:left="2291" w:hanging="1054"/>
        <w:jc w:val="left"/>
      </w:pPr>
      <w:rPr>
        <w:rFonts w:hint="default"/>
      </w:rPr>
    </w:lvl>
    <w:lvl w:ilvl="1">
      <w:start w:val="1"/>
      <w:numFmt w:val="decimal"/>
      <w:lvlText w:val="%1.%2"/>
      <w:lvlJc w:val="left"/>
      <w:pPr>
        <w:ind w:left="2291" w:hanging="1054"/>
        <w:jc w:val="left"/>
      </w:pPr>
      <w:rPr>
        <w:rFonts w:hint="default"/>
      </w:rPr>
    </w:lvl>
    <w:lvl w:ilvl="2">
      <w:start w:val="1"/>
      <w:numFmt w:val="decimal"/>
      <w:lvlText w:val="%1.%2.%3"/>
      <w:lvlJc w:val="left"/>
      <w:pPr>
        <w:ind w:left="2291" w:hanging="1054"/>
        <w:jc w:val="left"/>
      </w:pPr>
      <w:rPr>
        <w:rFonts w:ascii="黑体" w:eastAsia="黑体" w:hAnsi="黑体" w:cs="黑体" w:hint="default"/>
        <w:spacing w:val="-2"/>
        <w:w w:val="100"/>
        <w:sz w:val="40"/>
        <w:szCs w:val="40"/>
      </w:rPr>
    </w:lvl>
    <w:lvl w:ilvl="3">
      <w:start w:val="0"/>
      <w:numFmt w:val="bullet"/>
      <w:lvlText w:val="•"/>
      <w:lvlJc w:val="left"/>
      <w:pPr>
        <w:ind w:left="6325" w:hanging="1054"/>
      </w:pPr>
      <w:rPr>
        <w:rFonts w:hint="default"/>
      </w:rPr>
    </w:lvl>
    <w:lvl w:ilvl="4">
      <w:start w:val="0"/>
      <w:numFmt w:val="bullet"/>
      <w:lvlText w:val="•"/>
      <w:lvlJc w:val="left"/>
      <w:pPr>
        <w:ind w:left="7667" w:hanging="1054"/>
      </w:pPr>
      <w:rPr>
        <w:rFonts w:hint="default"/>
      </w:rPr>
    </w:lvl>
    <w:lvl w:ilvl="5">
      <w:start w:val="0"/>
      <w:numFmt w:val="bullet"/>
      <w:lvlText w:val="•"/>
      <w:lvlJc w:val="left"/>
      <w:pPr>
        <w:ind w:left="9009" w:hanging="1054"/>
      </w:pPr>
      <w:rPr>
        <w:rFonts w:hint="default"/>
      </w:rPr>
    </w:lvl>
    <w:lvl w:ilvl="6">
      <w:start w:val="0"/>
      <w:numFmt w:val="bullet"/>
      <w:lvlText w:val="•"/>
      <w:lvlJc w:val="left"/>
      <w:pPr>
        <w:ind w:left="10351" w:hanging="1054"/>
      </w:pPr>
      <w:rPr>
        <w:rFonts w:hint="default"/>
      </w:rPr>
    </w:lvl>
    <w:lvl w:ilvl="7">
      <w:start w:val="0"/>
      <w:numFmt w:val="bullet"/>
      <w:lvlText w:val="•"/>
      <w:lvlJc w:val="left"/>
      <w:pPr>
        <w:ind w:left="11693" w:hanging="1054"/>
      </w:pPr>
      <w:rPr>
        <w:rFonts w:hint="default"/>
      </w:rPr>
    </w:lvl>
    <w:lvl w:ilvl="8">
      <w:start w:val="0"/>
      <w:numFmt w:val="bullet"/>
      <w:lvlText w:val="•"/>
      <w:lvlJc w:val="left"/>
      <w:pPr>
        <w:ind w:left="13035" w:hanging="1054"/>
      </w:pPr>
      <w:rPr>
        <w:rFonts w:hint="default"/>
      </w:rPr>
    </w:lvl>
  </w:abstractNum>
  <w:abstractNum w:abstractNumId="4">
    <w:nsid w:val="4E0A11F9"/>
    <w:multiLevelType w:val="hybridMultilevel"/>
    <w:tmpl w:val="00000000"/>
    <w:lvl w:ilvl="0">
      <w:start w:val="2"/>
      <w:numFmt w:val="decimal"/>
      <w:lvlText w:val="%1"/>
      <w:lvlJc w:val="left"/>
      <w:pPr>
        <w:ind w:left="2295" w:hanging="1059"/>
        <w:jc w:val="left"/>
      </w:pPr>
      <w:rPr>
        <w:rFonts w:hint="default"/>
      </w:rPr>
    </w:lvl>
    <w:lvl w:ilvl="1">
      <w:start w:val="1"/>
      <w:numFmt w:val="decimal"/>
      <w:lvlText w:val="%1.%2"/>
      <w:lvlJc w:val="left"/>
      <w:pPr>
        <w:ind w:left="2295" w:hanging="1059"/>
        <w:jc w:val="left"/>
      </w:pPr>
      <w:rPr>
        <w:rFonts w:hint="default"/>
      </w:rPr>
    </w:lvl>
    <w:lvl w:ilvl="2">
      <w:start w:val="1"/>
      <w:numFmt w:val="decimal"/>
      <w:lvlText w:val="%1.%2.%3"/>
      <w:lvlJc w:val="left"/>
      <w:pPr>
        <w:ind w:left="2295" w:hanging="1059"/>
        <w:jc w:val="left"/>
      </w:pPr>
      <w:rPr>
        <w:rFonts w:ascii="黑体" w:eastAsia="黑体" w:hAnsi="黑体" w:cs="黑体" w:hint="default"/>
        <w:b/>
        <w:bCs/>
        <w:w w:val="99"/>
        <w:sz w:val="40"/>
        <w:szCs w:val="40"/>
      </w:rPr>
    </w:lvl>
    <w:lvl w:ilvl="3">
      <w:start w:val="0"/>
      <w:numFmt w:val="bullet"/>
      <w:lvlText w:val="•"/>
      <w:lvlJc w:val="left"/>
      <w:pPr>
        <w:ind w:left="6325" w:hanging="1059"/>
      </w:pPr>
      <w:rPr>
        <w:rFonts w:hint="default"/>
      </w:rPr>
    </w:lvl>
    <w:lvl w:ilvl="4">
      <w:start w:val="0"/>
      <w:numFmt w:val="bullet"/>
      <w:lvlText w:val="•"/>
      <w:lvlJc w:val="left"/>
      <w:pPr>
        <w:ind w:left="7667" w:hanging="1059"/>
      </w:pPr>
      <w:rPr>
        <w:rFonts w:hint="default"/>
      </w:rPr>
    </w:lvl>
    <w:lvl w:ilvl="5">
      <w:start w:val="0"/>
      <w:numFmt w:val="bullet"/>
      <w:lvlText w:val="•"/>
      <w:lvlJc w:val="left"/>
      <w:pPr>
        <w:ind w:left="9009" w:hanging="1059"/>
      </w:pPr>
      <w:rPr>
        <w:rFonts w:hint="default"/>
      </w:rPr>
    </w:lvl>
    <w:lvl w:ilvl="6">
      <w:start w:val="0"/>
      <w:numFmt w:val="bullet"/>
      <w:lvlText w:val="•"/>
      <w:lvlJc w:val="left"/>
      <w:pPr>
        <w:ind w:left="10351" w:hanging="1059"/>
      </w:pPr>
      <w:rPr>
        <w:rFonts w:hint="default"/>
      </w:rPr>
    </w:lvl>
    <w:lvl w:ilvl="7">
      <w:start w:val="0"/>
      <w:numFmt w:val="bullet"/>
      <w:lvlText w:val="•"/>
      <w:lvlJc w:val="left"/>
      <w:pPr>
        <w:ind w:left="11693" w:hanging="1059"/>
      </w:pPr>
      <w:rPr>
        <w:rFonts w:hint="default"/>
      </w:rPr>
    </w:lvl>
    <w:lvl w:ilvl="8">
      <w:start w:val="0"/>
      <w:numFmt w:val="bullet"/>
      <w:lvlText w:val="•"/>
      <w:lvlJc w:val="left"/>
      <w:pPr>
        <w:ind w:left="13035" w:hanging="1059"/>
      </w:pPr>
      <w:rPr>
        <w:rFonts w:hint="default"/>
      </w:rPr>
    </w:lvl>
  </w:abstractNum>
  <w:abstractNum w:abstractNumId="5">
    <w:nsid w:val="54E5FCB8"/>
    <w:multiLevelType w:val="hybridMultilevel"/>
    <w:tmpl w:val="00000000"/>
    <w:lvl w:ilvl="0">
      <w:start w:val="6"/>
      <w:numFmt w:val="decimal"/>
      <w:lvlText w:val="%1"/>
      <w:lvlJc w:val="left"/>
      <w:pPr>
        <w:ind w:left="2291" w:hanging="1054"/>
        <w:jc w:val="left"/>
      </w:pPr>
      <w:rPr>
        <w:rFonts w:hint="default"/>
      </w:rPr>
    </w:lvl>
    <w:lvl w:ilvl="1">
      <w:start w:val="3"/>
      <w:numFmt w:val="decimal"/>
      <w:lvlText w:val="%1.%2"/>
      <w:lvlJc w:val="left"/>
      <w:pPr>
        <w:ind w:left="2291" w:hanging="1054"/>
        <w:jc w:val="left"/>
      </w:pPr>
      <w:rPr>
        <w:rFonts w:hint="default"/>
      </w:rPr>
    </w:lvl>
    <w:lvl w:ilvl="2">
      <w:start w:val="1"/>
      <w:numFmt w:val="decimal"/>
      <w:lvlText w:val="%1.%2.%3"/>
      <w:lvlJc w:val="left"/>
      <w:pPr>
        <w:ind w:left="2291" w:hanging="1054"/>
        <w:jc w:val="left"/>
      </w:pPr>
      <w:rPr>
        <w:rFonts w:ascii="黑体" w:eastAsia="黑体" w:hAnsi="黑体" w:cs="黑体" w:hint="default"/>
        <w:spacing w:val="-2"/>
        <w:w w:val="100"/>
        <w:sz w:val="40"/>
        <w:szCs w:val="40"/>
      </w:rPr>
    </w:lvl>
    <w:lvl w:ilvl="3">
      <w:start w:val="0"/>
      <w:numFmt w:val="bullet"/>
      <w:lvlText w:val="•"/>
      <w:lvlJc w:val="left"/>
      <w:pPr>
        <w:ind w:left="6325" w:hanging="1054"/>
      </w:pPr>
      <w:rPr>
        <w:rFonts w:hint="default"/>
      </w:rPr>
    </w:lvl>
    <w:lvl w:ilvl="4">
      <w:start w:val="0"/>
      <w:numFmt w:val="bullet"/>
      <w:lvlText w:val="•"/>
      <w:lvlJc w:val="left"/>
      <w:pPr>
        <w:ind w:left="7667" w:hanging="1054"/>
      </w:pPr>
      <w:rPr>
        <w:rFonts w:hint="default"/>
      </w:rPr>
    </w:lvl>
    <w:lvl w:ilvl="5">
      <w:start w:val="0"/>
      <w:numFmt w:val="bullet"/>
      <w:lvlText w:val="•"/>
      <w:lvlJc w:val="left"/>
      <w:pPr>
        <w:ind w:left="9009" w:hanging="1054"/>
      </w:pPr>
      <w:rPr>
        <w:rFonts w:hint="default"/>
      </w:rPr>
    </w:lvl>
    <w:lvl w:ilvl="6">
      <w:start w:val="0"/>
      <w:numFmt w:val="bullet"/>
      <w:lvlText w:val="•"/>
      <w:lvlJc w:val="left"/>
      <w:pPr>
        <w:ind w:left="10351" w:hanging="1054"/>
      </w:pPr>
      <w:rPr>
        <w:rFonts w:hint="default"/>
      </w:rPr>
    </w:lvl>
    <w:lvl w:ilvl="7">
      <w:start w:val="0"/>
      <w:numFmt w:val="bullet"/>
      <w:lvlText w:val="•"/>
      <w:lvlJc w:val="left"/>
      <w:pPr>
        <w:ind w:left="11693" w:hanging="1054"/>
      </w:pPr>
      <w:rPr>
        <w:rFonts w:hint="default"/>
      </w:rPr>
    </w:lvl>
    <w:lvl w:ilvl="8">
      <w:start w:val="0"/>
      <w:numFmt w:val="bullet"/>
      <w:lvlText w:val="•"/>
      <w:lvlJc w:val="left"/>
      <w:pPr>
        <w:ind w:left="13035" w:hanging="1054"/>
      </w:pPr>
      <w:rPr>
        <w:rFonts w:hint="default"/>
      </w:rPr>
    </w:lvl>
  </w:abstractNum>
  <w:abstractNum w:abstractNumId="6">
    <w:nsid w:val="6C666302"/>
    <w:multiLevelType w:val="hybridMultilevel"/>
    <w:tmpl w:val="00000000"/>
    <w:lvl w:ilvl="0">
      <w:start w:val="4"/>
      <w:numFmt w:val="decimal"/>
      <w:lvlText w:val="%1"/>
      <w:lvlJc w:val="left"/>
      <w:pPr>
        <w:ind w:left="2317" w:hanging="1080"/>
        <w:jc w:val="left"/>
      </w:pPr>
      <w:rPr>
        <w:rFonts w:hint="default"/>
      </w:rPr>
    </w:lvl>
    <w:lvl w:ilvl="1">
      <w:start w:val="6"/>
      <w:numFmt w:val="decimal"/>
      <w:lvlText w:val="%1.%2"/>
      <w:lvlJc w:val="left"/>
      <w:pPr>
        <w:ind w:left="2317" w:hanging="1080"/>
        <w:jc w:val="left"/>
      </w:pPr>
      <w:rPr>
        <w:rFonts w:hint="default"/>
      </w:rPr>
    </w:lvl>
    <w:lvl w:ilvl="2">
      <w:start w:val="1"/>
      <w:numFmt w:val="decimal"/>
      <w:lvlText w:val="%1.%2.%3"/>
      <w:lvlJc w:val="left"/>
      <w:pPr>
        <w:ind w:left="2317" w:hanging="1080"/>
        <w:jc w:val="left"/>
      </w:pPr>
      <w:rPr>
        <w:rFonts w:ascii="黑体" w:eastAsia="黑体" w:hAnsi="黑体" w:cs="黑体" w:hint="default"/>
        <w:w w:val="100"/>
        <w:sz w:val="42"/>
        <w:szCs w:val="42"/>
      </w:rPr>
    </w:lvl>
    <w:lvl w:ilvl="3">
      <w:start w:val="0"/>
      <w:numFmt w:val="bullet"/>
      <w:lvlText w:val="•"/>
      <w:lvlJc w:val="left"/>
      <w:pPr>
        <w:ind w:left="6339" w:hanging="1080"/>
      </w:pPr>
      <w:rPr>
        <w:rFonts w:hint="default"/>
      </w:rPr>
    </w:lvl>
    <w:lvl w:ilvl="4">
      <w:start w:val="0"/>
      <w:numFmt w:val="bullet"/>
      <w:lvlText w:val="•"/>
      <w:lvlJc w:val="left"/>
      <w:pPr>
        <w:ind w:left="7679" w:hanging="1080"/>
      </w:pPr>
      <w:rPr>
        <w:rFonts w:hint="default"/>
      </w:rPr>
    </w:lvl>
    <w:lvl w:ilvl="5">
      <w:start w:val="0"/>
      <w:numFmt w:val="bullet"/>
      <w:lvlText w:val="•"/>
      <w:lvlJc w:val="left"/>
      <w:pPr>
        <w:ind w:left="9019" w:hanging="1080"/>
      </w:pPr>
      <w:rPr>
        <w:rFonts w:hint="default"/>
      </w:rPr>
    </w:lvl>
    <w:lvl w:ilvl="6">
      <w:start w:val="0"/>
      <w:numFmt w:val="bullet"/>
      <w:lvlText w:val="•"/>
      <w:lvlJc w:val="left"/>
      <w:pPr>
        <w:ind w:left="10359" w:hanging="1080"/>
      </w:pPr>
      <w:rPr>
        <w:rFonts w:hint="default"/>
      </w:rPr>
    </w:lvl>
    <w:lvl w:ilvl="7">
      <w:start w:val="0"/>
      <w:numFmt w:val="bullet"/>
      <w:lvlText w:val="•"/>
      <w:lvlJc w:val="left"/>
      <w:pPr>
        <w:ind w:left="11699" w:hanging="1080"/>
      </w:pPr>
      <w:rPr>
        <w:rFonts w:hint="default"/>
      </w:rPr>
    </w:lvl>
    <w:lvl w:ilvl="8">
      <w:start w:val="0"/>
      <w:numFmt w:val="bullet"/>
      <w:lvlText w:val="•"/>
      <w:lvlJc w:val="left"/>
      <w:pPr>
        <w:ind w:left="13039" w:hanging="1080"/>
      </w:pPr>
      <w:rPr>
        <w:rFonts w:hint="default"/>
      </w:rPr>
    </w:lvl>
  </w:abstractNum>
  <w:abstractNum w:abstractNumId="7">
    <w:nsid w:val="756C1ABF"/>
    <w:multiLevelType w:val="hybridMultilevel"/>
    <w:tmpl w:val="00000000"/>
    <w:lvl w:ilvl="0">
      <w:start w:val="2"/>
      <w:numFmt w:val="decimal"/>
      <w:lvlText w:val="%1"/>
      <w:lvlJc w:val="left"/>
      <w:pPr>
        <w:ind w:left="2295" w:hanging="1059"/>
        <w:jc w:val="left"/>
      </w:pPr>
      <w:rPr>
        <w:rFonts w:hint="default"/>
      </w:rPr>
    </w:lvl>
    <w:lvl w:ilvl="1">
      <w:start w:val="3"/>
      <w:numFmt w:val="decimal"/>
      <w:lvlText w:val="%1.%2"/>
      <w:lvlJc w:val="left"/>
      <w:pPr>
        <w:ind w:left="2295" w:hanging="1059"/>
        <w:jc w:val="left"/>
      </w:pPr>
      <w:rPr>
        <w:rFonts w:hint="default"/>
      </w:rPr>
    </w:lvl>
    <w:lvl w:ilvl="2">
      <w:start w:val="1"/>
      <w:numFmt w:val="decimal"/>
      <w:lvlText w:val="%1.%2.%3"/>
      <w:lvlJc w:val="left"/>
      <w:pPr>
        <w:ind w:left="2295" w:hanging="1059"/>
        <w:jc w:val="left"/>
      </w:pPr>
      <w:rPr>
        <w:rFonts w:ascii="黑体" w:eastAsia="黑体" w:hAnsi="黑体" w:cs="黑体" w:hint="default"/>
        <w:b/>
        <w:bCs/>
        <w:w w:val="99"/>
        <w:sz w:val="40"/>
        <w:szCs w:val="40"/>
      </w:rPr>
    </w:lvl>
    <w:lvl w:ilvl="3">
      <w:start w:val="0"/>
      <w:numFmt w:val="bullet"/>
      <w:lvlText w:val="•"/>
      <w:lvlJc w:val="left"/>
      <w:pPr>
        <w:ind w:left="6325" w:hanging="1059"/>
      </w:pPr>
      <w:rPr>
        <w:rFonts w:hint="default"/>
      </w:rPr>
    </w:lvl>
    <w:lvl w:ilvl="4">
      <w:start w:val="0"/>
      <w:numFmt w:val="bullet"/>
      <w:lvlText w:val="•"/>
      <w:lvlJc w:val="left"/>
      <w:pPr>
        <w:ind w:left="7667" w:hanging="1059"/>
      </w:pPr>
      <w:rPr>
        <w:rFonts w:hint="default"/>
      </w:rPr>
    </w:lvl>
    <w:lvl w:ilvl="5">
      <w:start w:val="0"/>
      <w:numFmt w:val="bullet"/>
      <w:lvlText w:val="•"/>
      <w:lvlJc w:val="left"/>
      <w:pPr>
        <w:ind w:left="9009" w:hanging="1059"/>
      </w:pPr>
      <w:rPr>
        <w:rFonts w:hint="default"/>
      </w:rPr>
    </w:lvl>
    <w:lvl w:ilvl="6">
      <w:start w:val="0"/>
      <w:numFmt w:val="bullet"/>
      <w:lvlText w:val="•"/>
      <w:lvlJc w:val="left"/>
      <w:pPr>
        <w:ind w:left="10351" w:hanging="1059"/>
      </w:pPr>
      <w:rPr>
        <w:rFonts w:hint="default"/>
      </w:rPr>
    </w:lvl>
    <w:lvl w:ilvl="7">
      <w:start w:val="0"/>
      <w:numFmt w:val="bullet"/>
      <w:lvlText w:val="•"/>
      <w:lvlJc w:val="left"/>
      <w:pPr>
        <w:ind w:left="11693" w:hanging="1059"/>
      </w:pPr>
      <w:rPr>
        <w:rFonts w:hint="default"/>
      </w:rPr>
    </w:lvl>
    <w:lvl w:ilvl="8">
      <w:start w:val="0"/>
      <w:numFmt w:val="bullet"/>
      <w:lvlText w:val="•"/>
      <w:lvlJc w:val="left"/>
      <w:pPr>
        <w:ind w:left="13035" w:hanging="1059"/>
      </w:pPr>
      <w:rPr>
        <w:rFonts w:hint="default"/>
      </w:rPr>
    </w:lvl>
  </w:abstractNum>
  <w:num w:numId="1">
    <w:abstractNumId w:val="5"/>
  </w:num>
  <w:num w:numId="2">
    <w:abstractNumId w:val="1"/>
  </w:num>
  <w:num w:numId="3">
    <w:abstractNumId w:val="3"/>
  </w:num>
  <w:num w:numId="4">
    <w:abstractNumId w:val="6"/>
  </w:num>
  <w:num w:numId="5">
    <w:abstractNumId w:val="7"/>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right="974"/>
      <w:jc w:val="center"/>
      <w:outlineLvl w:val="0"/>
    </w:pPr>
    <w:rPr>
      <w:rFonts w:ascii="黑体" w:eastAsia="黑体" w:hAnsi="黑体" w:cs="黑体"/>
      <w:b/>
      <w:bCs/>
      <w:sz w:val="66"/>
      <w:szCs w:val="66"/>
    </w:rPr>
  </w:style>
  <w:style w:type="paragraph" w:styleId="Heading2">
    <w:name w:val="heading 2"/>
    <w:basedOn w:val="Normal"/>
    <w:uiPriority w:val="1"/>
    <w:qFormat/>
    <w:pPr>
      <w:ind w:left="1237"/>
      <w:outlineLvl w:val="1"/>
    </w:pPr>
    <w:rPr>
      <w:rFonts w:ascii="黑体" w:eastAsia="黑体" w:hAnsi="黑体" w:cs="黑体"/>
      <w:b/>
      <w:bCs/>
      <w:sz w:val="48"/>
      <w:szCs w:val="48"/>
    </w:rPr>
  </w:style>
  <w:style w:type="paragraph" w:styleId="Heading3">
    <w:name w:val="heading 3"/>
    <w:basedOn w:val="Normal"/>
    <w:uiPriority w:val="1"/>
    <w:qFormat/>
    <w:pPr>
      <w:ind w:left="1237"/>
      <w:outlineLvl w:val="2"/>
    </w:pPr>
    <w:rPr>
      <w:rFonts w:ascii="黑体" w:eastAsia="黑体" w:hAnsi="黑体" w:cs="黑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42"/>
      <w:szCs w:val="42"/>
    </w:rPr>
  </w:style>
  <w:style w:type="paragraph" w:styleId="Title">
    <w:name w:val="Title"/>
    <w:basedOn w:val="Normal"/>
    <w:uiPriority w:val="1"/>
    <w:qFormat/>
    <w:pPr>
      <w:ind w:right="794"/>
      <w:jc w:val="center"/>
    </w:pPr>
    <w:rPr>
      <w:rFonts w:ascii="宋体" w:eastAsia="宋体" w:hAnsi="宋体" w:cs="宋体"/>
      <w:b/>
      <w:bCs/>
      <w:sz w:val="108"/>
      <w:szCs w:val="108"/>
    </w:rPr>
  </w:style>
  <w:style w:type="paragraph" w:styleId="ListParagraph">
    <w:name w:val="List Paragraph"/>
    <w:basedOn w:val="Normal"/>
    <w:uiPriority w:val="1"/>
    <w:qFormat/>
    <w:pPr>
      <w:ind w:left="2497" w:hanging="1260"/>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yperlink" Target="https://d.book118.com/568054037102006036"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2024-01-30T20:40:18Z</dcterms:created>
  <dcterms:modified xsi:type="dcterms:W3CDTF">2024-01-30T20:40:18Z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2022-11-12T00:00:00Z</vt:filetime>
  </property>
  <property fmtid="{D5CDD505-2E9C-101B-9397-08002B2CF9AE}" pid="3" name="LastSaved">
    <vt:filetime>2024-01-30T00:00:00Z</vt:filetime>
  </property>
</Properties>
</file>