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after="312" w:afterLines="100" w:line="360" w:lineRule="auto"/>
        <w:jc w:val="center"/>
        <w:textAlignment w:val="auto"/>
        <w:rPr>
          <w:rFonts w:ascii="华文中宋" w:eastAsia="华文中宋" w:hint="eastAsia"/>
          <w:b/>
          <w:i w:val="0"/>
          <w:sz w:val="44"/>
        </w:rPr>
      </w:pPr>
      <w:r>
        <w:rPr>
          <w:rFonts w:ascii="华文中宋" w:eastAsia="华文中宋" w:hint="eastAsia"/>
          <w:b/>
          <w:i w:val="0"/>
          <w:sz w:val="44"/>
          <w:lang w:val="en-US" w:eastAsia="zh-CN"/>
        </w:rPr>
        <w:t>摘要</w:t>
      </w:r>
    </w:p>
    <w:p>
      <w:pPr>
        <w:snapToGrid/>
        <w:spacing w:beforeAutospacing="0" w:afterAutospacing="0" w:line="360" w:lineRule="auto"/>
        <w:ind w:left="0" w:right="0" w:firstLine="480" w:leftChars="0" w:rightChars="0" w:firstLineChars="200"/>
        <w:jc w:val="both"/>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i w:val="0"/>
          <w:sz w:val="24"/>
          <w:szCs w:val="24"/>
          <w:shd w:val="clear" w:color="auto" w:fill="FFFFFF"/>
          <w:lang w:val="en-US" w:eastAsia="zh-CN"/>
        </w:rPr>
        <w:t>目前，</w:t>
      </w:r>
      <w:r>
        <w:rPr>
          <w:rFonts w:asciiTheme="minorEastAsia" w:eastAsiaTheme="minorEastAsia" w:hAnsiTheme="minorEastAsia" w:cstheme="minorEastAsia" w:hint="eastAsia"/>
          <w:b/>
          <w:i w:val="0"/>
          <w:sz w:val="24"/>
          <w:szCs w:val="24"/>
          <w:shd w:val="clear" w:color="auto" w:fill="FFFFFF"/>
        </w:rPr>
        <w:t>商</w:t>
      </w:r>
      <w:r>
        <w:rPr>
          <w:rFonts w:asciiTheme="minorEastAsia" w:eastAsiaTheme="minorEastAsia" w:hAnsiTheme="minorEastAsia" w:cstheme="minorEastAsia" w:hint="eastAsia"/>
          <w:b/>
          <w:i w:val="0"/>
          <w:sz w:val="24"/>
          <w:szCs w:val="24"/>
          <w:shd w:val="clear" w:color="auto" w:fill="FFFFFF"/>
          <w:lang w:val="en-US" w:eastAsia="zh-CN"/>
        </w:rPr>
        <w:t>业</w:t>
      </w:r>
      <w:r>
        <w:rPr>
          <w:rFonts w:asciiTheme="minorEastAsia" w:eastAsiaTheme="minorEastAsia" w:hAnsiTheme="minorEastAsia" w:cstheme="minorEastAsia" w:hint="eastAsia"/>
          <w:b/>
          <w:i w:val="0"/>
          <w:sz w:val="24"/>
          <w:szCs w:val="24"/>
          <w:shd w:val="clear" w:color="auto" w:fill="FFFFFF"/>
        </w:rPr>
        <w:t>银行</w:t>
      </w:r>
      <w:r>
        <w:rPr>
          <w:rFonts w:asciiTheme="minorEastAsia" w:eastAsiaTheme="minorEastAsia" w:hAnsiTheme="minorEastAsia" w:cstheme="minorEastAsia" w:hint="eastAsia"/>
          <w:b/>
          <w:i w:val="0"/>
          <w:sz w:val="24"/>
          <w:szCs w:val="24"/>
          <w:shd w:val="clear" w:color="auto" w:fill="FFFFFF"/>
          <w:lang w:val="en-US" w:eastAsia="zh-CN"/>
        </w:rPr>
        <w:t>越来越重视</w:t>
      </w:r>
      <w:r>
        <w:rPr>
          <w:rFonts w:asciiTheme="minorEastAsia" w:eastAsiaTheme="minorEastAsia" w:hAnsiTheme="minorEastAsia" w:cstheme="minorEastAsia" w:hint="eastAsia"/>
          <w:b/>
          <w:i w:val="0"/>
          <w:sz w:val="24"/>
          <w:szCs w:val="24"/>
          <w:shd w:val="clear" w:color="auto" w:fill="FFFFFF"/>
        </w:rPr>
        <w:t>社会利益的维护和促</w:t>
      </w:r>
      <w:r>
        <w:rPr>
          <w:rFonts w:asciiTheme="minorEastAsia" w:eastAsiaTheme="minorEastAsia" w:hAnsiTheme="minorEastAsia" w:cstheme="minorEastAsia" w:hint="eastAsia"/>
          <w:b/>
          <w:i w:val="0"/>
          <w:sz w:val="24"/>
          <w:szCs w:val="24"/>
          <w:shd w:val="clear" w:color="auto" w:fill="FFFFFF"/>
          <w:lang w:val="en-US" w:eastAsia="zh-CN"/>
        </w:rPr>
        <w:t>进。中国邮政储蓄银行作为新进的大型国有银行，除了国有银行的特征外，还有上市银行的特征，同时其业务定位为大型零售商业银行，服务于社区、中小企业、“三农”等。因此研究中国储蓄银行具有重大的现实意义。</w:t>
      </w:r>
    </w:p>
    <w:p>
      <w:pPr>
        <w:snapToGrid/>
        <w:spacing w:beforeAutospacing="0" w:afterAutospacing="0" w:line="360" w:lineRule="auto"/>
        <w:ind w:left="0" w:right="0" w:firstLine="480" w:leftChars="0" w:rightChars="0" w:firstLineChars="200"/>
        <w:jc w:val="both"/>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b/>
          <w:i w:val="0"/>
          <w:sz w:val="24"/>
          <w:lang w:val="en-US" w:eastAsia="zh-CN"/>
        </w:rPr>
        <w:t>本文主要采用实证和实例分析，结合商业银行社会责任的有关理论进行梳理，通过对比国内外典型商业银行的社会责任履行状况，发现中国邮政储蓄银行的不足和提出相应的解决措施，以促进中国邮政储蓄银行服务社会、服务“三农”等社会责任的践行。</w:t>
      </w:r>
    </w:p>
    <w:p>
      <w:pPr>
        <w:snapToGrid/>
        <w:spacing w:beforeAutospacing="0" w:afterAutospacing="0" w:line="360" w:lineRule="auto"/>
        <w:ind w:left="0" w:right="0" w:firstLine="0" w:leftChars="0" w:rightChars="0" w:firstLineChars="0"/>
        <w:jc w:val="both"/>
        <w:rPr>
          <w:rFonts w:asciiTheme="minorEastAsia" w:eastAsiaTheme="minorEastAsia" w:hAnsiTheme="minorEastAsia" w:cstheme="minorEastAsia" w:hint="eastAsia"/>
          <w:b/>
          <w:i w:val="0"/>
          <w:sz w:val="24"/>
        </w:rPr>
      </w:pPr>
    </w:p>
    <w:p>
      <w:pPr>
        <w:snapToGrid/>
        <w:spacing w:beforeAutospacing="0" w:afterAutospacing="0" w:line="360" w:lineRule="auto"/>
        <w:ind w:left="0" w:right="0" w:firstLine="0" w:leftChars="0" w:rightChars="0" w:firstLineChars="0"/>
        <w:jc w:val="left"/>
        <w:rPr>
          <w:rFonts w:hint="eastAsia"/>
          <w:sz w:val="24"/>
          <w:szCs w:val="24"/>
        </w:rPr>
      </w:pPr>
      <w:r>
        <w:rPr>
          <w:rFonts w:asciiTheme="minorEastAsia" w:eastAsiaTheme="minorEastAsia" w:hAnsiTheme="minorEastAsia" w:cstheme="minorEastAsia" w:hint="eastAsia"/>
          <w:b/>
          <w:i w:val="0"/>
          <w:sz w:val="24"/>
          <w:szCs w:val="24"/>
        </w:rPr>
        <w:t>关键词</w:t>
      </w:r>
      <w:r>
        <w:rPr>
          <w:rFonts w:asciiTheme="minorEastAsia" w:eastAsiaTheme="minorEastAsia" w:hAnsiTheme="minorEastAsia" w:cstheme="minorEastAsia" w:hint="eastAsia"/>
          <w:b/>
          <w:i w:val="0"/>
          <w:sz w:val="24"/>
        </w:rPr>
        <w:t>:</w:t>
      </w:r>
      <w:r>
        <w:rPr>
          <w:rFonts w:asciiTheme="minorEastAsia" w:eastAsiaTheme="minorEastAsia" w:hAnsiTheme="minorEastAsia" w:cstheme="minorEastAsia" w:hint="eastAsia"/>
          <w:b/>
          <w:i w:val="0"/>
          <w:sz w:val="24"/>
          <w:szCs w:val="24"/>
        </w:rPr>
        <w:t>商业银行</w:t>
      </w:r>
      <w:r>
        <w:rPr>
          <w:rFonts w:asciiTheme="minorEastAsia" w:eastAsiaTheme="minorEastAsia" w:hAnsiTheme="minorEastAsia" w:cstheme="minorEastAsia" w:hint="eastAsia"/>
          <w:b/>
          <w:i w:val="0"/>
          <w:sz w:val="24"/>
          <w:szCs w:val="24"/>
          <w:lang w:eastAsia="zh-CN"/>
        </w:rPr>
        <w:t>；</w:t>
      </w:r>
      <w:r>
        <w:rPr>
          <w:rFonts w:asciiTheme="minorEastAsia" w:eastAsiaTheme="minorEastAsia" w:hAnsiTheme="minorEastAsia" w:cstheme="minorEastAsia" w:hint="eastAsia"/>
          <w:b/>
          <w:i w:val="0"/>
          <w:sz w:val="24"/>
          <w:szCs w:val="24"/>
        </w:rPr>
        <w:t>社会责任</w:t>
      </w:r>
      <w:r>
        <w:rPr>
          <w:rFonts w:asciiTheme="minorEastAsia" w:eastAsiaTheme="minorEastAsia" w:hAnsiTheme="minorEastAsia" w:cstheme="minorEastAsia" w:hint="eastAsia"/>
          <w:b/>
          <w:i w:val="0"/>
          <w:sz w:val="24"/>
          <w:szCs w:val="24"/>
          <w:lang w:eastAsia="zh-CN"/>
        </w:rPr>
        <w:t>；</w:t>
      </w:r>
      <w:r>
        <w:rPr>
          <w:rFonts w:asciiTheme="minorEastAsia" w:eastAsiaTheme="minorEastAsia" w:hAnsiTheme="minorEastAsia" w:cstheme="minorEastAsia" w:hint="eastAsia"/>
          <w:b/>
          <w:i w:val="0"/>
          <w:sz w:val="24"/>
          <w:szCs w:val="24"/>
          <w:lang w:val="en-US" w:eastAsia="zh-CN"/>
        </w:rPr>
        <w:t>政策建议</w:t>
      </w:r>
    </w:p>
    <w:p>
      <w:pPr>
        <w:rPr>
          <w:rFonts w:hint="eastAsia"/>
        </w:rPr>
      </w:pPr>
    </w:p>
    <w:p>
      <w:pPr>
        <w:rPr>
          <w:rFonts w:hint="eastAsia"/>
        </w:rPr>
      </w:pPr>
    </w:p>
    <w:p>
      <w:pPr>
        <w:snapToGrid w:val="0"/>
        <w:spacing w:before="936" w:beforeLines="300" w:beforeAutospacing="0" w:after="624" w:afterLines="200" w:afterAutospacing="0" w:line="360" w:lineRule="auto"/>
        <w:ind w:left="0" w:right="0" w:firstLine="0" w:leftChars="0" w:rightChars="0" w:firstLineChars="0"/>
        <w:jc w:val="center"/>
        <w:rPr>
          <w:rFonts w:ascii="Times New Roman" w:eastAsia="华文中宋" w:hint="default"/>
          <w:b/>
          <w:i w:val="0"/>
          <w:sz w:val="44"/>
        </w:rPr>
      </w:pPr>
    </w:p>
    <w:p>
      <w:pPr>
        <w:snapToGrid w:val="0"/>
        <w:spacing w:before="936" w:beforeLines="300" w:beforeAutospacing="0" w:after="624" w:afterLines="200" w:afterAutospacing="0" w:line="360" w:lineRule="auto"/>
        <w:ind w:left="0" w:right="0" w:firstLine="0" w:leftChars="0" w:rightChars="0" w:firstLineChars="0"/>
        <w:jc w:val="center"/>
        <w:rPr>
          <w:rFonts w:ascii="Times New Roman" w:eastAsia="华文中宋" w:hint="default"/>
          <w:b/>
          <w:i w:val="0"/>
          <w:sz w:val="44"/>
        </w:rPr>
      </w:pPr>
    </w:p>
    <w:p>
      <w:pPr>
        <w:snapToGrid w:val="0"/>
        <w:spacing w:before="936" w:beforeLines="300" w:beforeAutospacing="0" w:after="624" w:afterLines="200" w:afterAutospacing="0" w:line="360" w:lineRule="auto"/>
        <w:ind w:left="0" w:right="0" w:firstLine="0" w:leftChars="0" w:rightChars="0" w:firstLineChars="0"/>
        <w:jc w:val="center"/>
        <w:rPr>
          <w:rFonts w:ascii="Times New Roman" w:eastAsia="华文中宋" w:hint="default"/>
          <w:b/>
          <w:i w:val="0"/>
          <w:sz w:val="44"/>
        </w:rPr>
      </w:pPr>
    </w:p>
    <w:p>
      <w:pPr>
        <w:keepNext w:val="0"/>
        <w:keepLines w:val="0"/>
        <w:pageBreakBefore w:val="0"/>
        <w:widowControl w:val="0"/>
        <w:kinsoku/>
        <w:wordWrap/>
        <w:overflowPunct/>
        <w:topLinePunct w:val="0"/>
        <w:autoSpaceDE/>
        <w:autoSpaceDN/>
        <w:bidi w:val="0"/>
        <w:adjustRightInd/>
        <w:snapToGrid w:val="0"/>
        <w:spacing w:before="312" w:beforeLines="100" w:beforeAutospacing="0" w:after="312" w:afterLines="100" w:afterAutospacing="0" w:line="360" w:lineRule="auto"/>
        <w:ind w:left="0" w:right="0" w:firstLine="0" w:leftChars="0" w:rightChars="0" w:firstLineChars="0"/>
        <w:jc w:val="center"/>
        <w:textAlignment w:val="auto"/>
        <w:rPr>
          <w:rFonts w:ascii="Times New Roman" w:eastAsia="华文中宋" w:hint="default"/>
          <w:b/>
          <w:i w:val="0"/>
          <w:sz w:val="44"/>
        </w:rPr>
        <w:sectPr>
          <w:footerReference w:type="default" r:id="rId5"/>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before="312" w:beforeLines="100" w:beforeAutospacing="0" w:after="312" w:afterLines="100" w:afterAutospacing="0" w:line="360" w:lineRule="auto"/>
        <w:ind w:left="0" w:right="0" w:firstLine="0" w:leftChars="0" w:rightChars="0" w:firstLineChars="0"/>
        <w:jc w:val="center"/>
        <w:textAlignment w:val="auto"/>
        <w:rPr>
          <w:rFonts w:ascii="Times New Roman" w:eastAsia="华文中宋" w:hAnsi="Times New Roman" w:hint="default"/>
          <w:b/>
          <w:i w:val="0"/>
          <w:sz w:val="44"/>
        </w:rPr>
      </w:pPr>
    </w:p>
    <w:p>
      <w:pPr>
        <w:keepNext w:val="0"/>
        <w:keepLines w:val="0"/>
        <w:pageBreakBefore w:val="0"/>
        <w:widowControl w:val="0"/>
        <w:kinsoku/>
        <w:wordWrap/>
        <w:overflowPunct/>
        <w:topLinePunct w:val="0"/>
        <w:autoSpaceDE/>
        <w:autoSpaceDN/>
        <w:bidi w:val="0"/>
        <w:adjustRightInd/>
        <w:snapToGrid w:val="0"/>
        <w:spacing w:before="936" w:beforeLines="300" w:beforeAutospacing="0" w:after="624" w:afterLines="200" w:afterAutospacing="0" w:line="360" w:lineRule="auto"/>
        <w:ind w:left="0" w:right="0" w:firstLine="0" w:leftChars="0" w:rightChars="0" w:firstLineChars="0"/>
        <w:jc w:val="center"/>
        <w:textAlignment w:val="auto"/>
        <w:rPr>
          <w:rFonts w:ascii="Times New Roman" w:eastAsia="华文中宋" w:hAnsi="Times New Roman" w:hint="eastAsia"/>
          <w:b/>
          <w:i w:val="0"/>
          <w:sz w:val="44"/>
        </w:rPr>
      </w:pPr>
      <w:r>
        <w:rPr>
          <w:rFonts w:ascii="Times New Roman" w:eastAsia="华文中宋" w:hAnsi="Times New Roman" w:hint="default"/>
          <w:b/>
          <w:i w:val="0"/>
          <w:sz w:val="44"/>
          <w:lang w:val="en-US" w:eastAsia="zh-CN"/>
        </w:rPr>
        <w:t>ABSTRA</w:t>
      </w:r>
      <w:r>
        <w:rPr>
          <w:rFonts w:ascii="Times New Roman" w:eastAsia="华文中宋" w:hAnsi="Times New Roman" w:hint="eastAsia"/>
          <w:b/>
          <w:i w:val="0"/>
          <w:sz w:val="44"/>
          <w:lang w:val="en-US" w:eastAsia="zh-CN"/>
        </w:rPr>
        <w:t>CT</w:t>
      </w:r>
    </w:p>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right="0" w:firstLine="480" w:leftChars="0" w:rightChars="0" w:firstLineChars="200"/>
        <w:jc w:val="both"/>
        <w:textAlignment w:val="auto"/>
        <w:rPr>
          <w:rFonts w:ascii="Times New Roman" w:eastAsia="华文中宋" w:hAnsi="Times New Roman" w:hint="default"/>
          <w:b/>
          <w:bCs w:val="0"/>
          <w:i w:val="0"/>
          <w:sz w:val="24"/>
          <w:szCs w:val="24"/>
        </w:rPr>
      </w:pPr>
      <w:r>
        <w:rPr>
          <w:rFonts w:ascii="Times New Roman" w:eastAsia="华文中宋" w:hAnsi="Times New Roman" w:cs="Times New Roman" w:hint="default"/>
          <w:b/>
          <w:bCs w:val="0"/>
          <w:i w:val="0"/>
          <w:sz w:val="24"/>
          <w:szCs w:val="24"/>
          <w:lang w:val="en-US" w:eastAsia="zh-CN"/>
        </w:rPr>
        <w:t>Currently, commercial banks are paying increasing attention to the protection and promotion of social interests. As a new large state bank, China Post Office has the characteristics of state-owned banks and listed banks. Its activities are aimed at large retail banks, municipalities, small and medium-sized enterprises, agriculture, rural areas, etc. Therefore, it is important to study the Chinese savings bank.</w:t>
      </w:r>
    </w:p>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right="0" w:firstLine="480" w:leftChars="0" w:rightChars="0" w:firstLineChars="200"/>
        <w:jc w:val="both"/>
        <w:textAlignment w:val="auto"/>
        <w:rPr>
          <w:rFonts w:ascii="Times New Roman" w:eastAsia="华文中宋" w:hAnsi="Times New Roman" w:hint="default"/>
          <w:b/>
          <w:bCs w:val="0"/>
          <w:i w:val="0"/>
          <w:sz w:val="24"/>
          <w:szCs w:val="24"/>
        </w:rPr>
      </w:pPr>
      <w:r>
        <w:rPr>
          <w:rFonts w:ascii="Times New Roman" w:eastAsia="华文中宋" w:hAnsi="Times New Roman" w:cs="Times New Roman" w:hint="default"/>
          <w:b/>
          <w:bCs w:val="0"/>
          <w:i w:val="0"/>
          <w:sz w:val="24"/>
          <w:szCs w:val="24"/>
          <w:lang w:val="en-US" w:eastAsia="zh-CN"/>
        </w:rPr>
        <w:t xml:space="preserve">Comparing the performance of traditional commercial banks in </w:t>
      </w:r>
      <w:r>
        <w:rPr>
          <w:rFonts w:ascii="Times New Roman" w:eastAsia="华文中宋" w:hAnsi="Times New Roman" w:cs="Times New Roman" w:hint="eastAsia"/>
          <w:b/>
          <w:bCs w:val="0"/>
          <w:i w:val="0"/>
          <w:sz w:val="24"/>
          <w:szCs w:val="24"/>
          <w:lang w:val="en-US" w:eastAsia="zh-CN"/>
        </w:rPr>
        <w:t>China</w:t>
      </w:r>
      <w:r>
        <w:rPr>
          <w:rFonts w:ascii="Times New Roman" w:eastAsia="华文中宋" w:hAnsi="Times New Roman" w:cs="Times New Roman" w:hint="default"/>
          <w:b/>
          <w:bCs w:val="0"/>
          <w:i w:val="0"/>
          <w:sz w:val="24"/>
          <w:szCs w:val="24"/>
          <w:lang w:val="en-US" w:eastAsia="zh-CN"/>
        </w:rPr>
        <w:t xml:space="preserve"> and abroad, combining empirica</w:t>
      </w:r>
      <w:r>
        <w:rPr>
          <w:rFonts w:ascii="Times New Roman" w:eastAsia="华文中宋" w:hAnsi="Times New Roman" w:cs="Times New Roman" w:hint="eastAsia"/>
          <w:b/>
          <w:bCs w:val="0"/>
          <w:i w:val="0"/>
          <w:sz w:val="24"/>
          <w:szCs w:val="24"/>
          <w:lang w:val="en-US" w:eastAsia="zh-CN"/>
        </w:rPr>
        <w:t>l</w:t>
      </w:r>
      <w:r>
        <w:rPr>
          <w:rFonts w:ascii="Times New Roman" w:eastAsia="华文中宋" w:hAnsi="Times New Roman" w:cs="Times New Roman" w:hint="default"/>
          <w:b/>
          <w:bCs w:val="0"/>
          <w:i w:val="0"/>
          <w:sz w:val="24"/>
          <w:szCs w:val="24"/>
          <w:lang w:val="en-US" w:eastAsia="zh-CN"/>
        </w:rPr>
        <w:t xml:space="preserve"> research and case studies, and empirical analysis of the China Post Savings Bank's theory of social responsibility, This document highlights the shortcomings of the social responsibility of China Post Savings Bank.Company. </w:t>
      </w:r>
      <w:r>
        <w:rPr>
          <w:rFonts w:ascii="Times New Roman" w:eastAsia="华文中宋" w:hAnsi="Times New Roman" w:cs="Times New Roman" w:hint="eastAsia"/>
          <w:b/>
          <w:bCs w:val="0"/>
          <w:i w:val="0"/>
          <w:sz w:val="24"/>
          <w:szCs w:val="24"/>
          <w:lang w:val="en-US" w:eastAsia="zh-CN"/>
        </w:rPr>
        <w:t>So that we should p</w:t>
      </w:r>
      <w:r>
        <w:rPr>
          <w:rFonts w:ascii="Times New Roman" w:eastAsia="华文中宋" w:hAnsi="Times New Roman" w:cs="Times New Roman" w:hint="default"/>
          <w:b/>
          <w:bCs w:val="0"/>
          <w:i w:val="0"/>
          <w:sz w:val="24"/>
          <w:szCs w:val="24"/>
          <w:lang w:val="en-US" w:eastAsia="zh-CN"/>
        </w:rPr>
        <w:t>romot</w:t>
      </w:r>
      <w:r>
        <w:rPr>
          <w:rFonts w:ascii="Times New Roman" w:eastAsia="华文中宋" w:hAnsi="Times New Roman" w:cs="Times New Roman" w:hint="eastAsia"/>
          <w:b/>
          <w:bCs w:val="0"/>
          <w:i w:val="0"/>
          <w:sz w:val="24"/>
          <w:szCs w:val="24"/>
          <w:lang w:val="en-US" w:eastAsia="zh-CN"/>
        </w:rPr>
        <w:t>e</w:t>
      </w:r>
      <w:r>
        <w:rPr>
          <w:rFonts w:ascii="Times New Roman" w:eastAsia="华文中宋" w:hAnsi="Times New Roman" w:cs="Times New Roman" w:hint="default"/>
          <w:b/>
          <w:bCs w:val="0"/>
          <w:i w:val="0"/>
          <w:sz w:val="24"/>
          <w:szCs w:val="24"/>
          <w:lang w:val="en-US" w:eastAsia="zh-CN"/>
        </w:rPr>
        <w:t xml:space="preserve"> social responsibility</w:t>
      </w:r>
      <w:r>
        <w:rPr>
          <w:rFonts w:ascii="Times New Roman" w:eastAsia="华文中宋" w:hAnsi="Times New Roman" w:cs="Times New Roman" w:hint="eastAsia"/>
          <w:b/>
          <w:bCs w:val="0"/>
          <w:i w:val="0"/>
          <w:sz w:val="24"/>
          <w:szCs w:val="24"/>
          <w:lang w:val="en-US" w:eastAsia="zh-CN"/>
        </w:rPr>
        <w:t xml:space="preserve"> </w:t>
      </w:r>
      <w:r>
        <w:rPr>
          <w:rFonts w:ascii="Times New Roman" w:eastAsia="华文中宋" w:hAnsi="Times New Roman" w:cs="Times New Roman" w:hint="default"/>
          <w:b/>
          <w:bCs w:val="0"/>
          <w:i w:val="0"/>
          <w:sz w:val="24"/>
          <w:szCs w:val="24"/>
          <w:lang w:val="en-US" w:eastAsia="zh-CN"/>
        </w:rPr>
        <w:t>practice</w:t>
      </w:r>
      <w:r>
        <w:rPr>
          <w:rFonts w:ascii="Times New Roman" w:eastAsia="华文中宋" w:hAnsi="Times New Roman" w:cs="Times New Roman" w:hint="eastAsia"/>
          <w:b/>
          <w:bCs w:val="0"/>
          <w:i w:val="0"/>
          <w:sz w:val="24"/>
          <w:szCs w:val="24"/>
          <w:lang w:val="en-US" w:eastAsia="zh-CN"/>
        </w:rPr>
        <w:t xml:space="preserve"> of </w:t>
      </w:r>
      <w:r>
        <w:rPr>
          <w:rFonts w:ascii="Times New Roman" w:eastAsia="华文中宋" w:hAnsi="Times New Roman" w:cs="Times New Roman" w:hint="default"/>
          <w:b/>
          <w:bCs w:val="0"/>
          <w:i w:val="0"/>
          <w:sz w:val="24"/>
          <w:szCs w:val="24"/>
          <w:lang w:val="en-US" w:eastAsia="zh-CN"/>
        </w:rPr>
        <w:t>China Post Savings Bank</w:t>
      </w:r>
      <w:r>
        <w:rPr>
          <w:rFonts w:ascii="Times New Roman" w:eastAsia="华文中宋" w:hAnsi="Times New Roman" w:cs="Times New Roman" w:hint="eastAsia"/>
          <w:b/>
          <w:bCs w:val="0"/>
          <w:i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right="0" w:firstLine="480" w:leftChars="0" w:rightChars="0" w:firstLineChars="200"/>
        <w:jc w:val="both"/>
        <w:textAlignment w:val="auto"/>
        <w:rPr>
          <w:rFonts w:ascii="Times New Roman" w:eastAsia="华文中宋" w:hAnsi="Times New Roman" w:hint="default"/>
          <w:b/>
          <w:bCs w:val="0"/>
          <w:i w:val="0"/>
          <w:sz w:val="24"/>
          <w:szCs w:val="24"/>
        </w:rPr>
      </w:pP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right="0" w:rightChars="0"/>
        <w:jc w:val="left"/>
        <w:textAlignment w:val="auto"/>
        <w:rPr>
          <w:rFonts w:ascii="Times New Roman" w:eastAsia="华文中宋" w:hAnsi="Times New Roman" w:hint="default"/>
          <w:b/>
          <w:i w:val="0"/>
          <w:sz w:val="24"/>
          <w:szCs w:val="24"/>
        </w:rPr>
      </w:pPr>
      <w:r>
        <w:rPr>
          <w:rFonts w:ascii="Times New Roman" w:eastAsia="华文中宋" w:hAnsi="Times New Roman" w:cs="Times New Roman" w:hint="default"/>
          <w:b/>
          <w:i w:val="0"/>
          <w:sz w:val="24"/>
          <w:szCs w:val="24"/>
          <w:lang w:val="en-US" w:eastAsia="zh-CN"/>
        </w:rPr>
        <w:t>Key words: Commercial Bank; Social respo</w:t>
      </w:r>
      <w:r>
        <w:rPr>
          <w:rFonts w:ascii="Times New Roman" w:eastAsia="华文中宋" w:hAnsi="Times New Roman" w:cs="Times New Roman" w:hint="eastAsia"/>
          <w:b/>
          <w:i w:val="0"/>
          <w:sz w:val="24"/>
          <w:szCs w:val="24"/>
          <w:lang w:val="en-US" w:eastAsia="zh-CN"/>
        </w:rPr>
        <w:t>n</w:t>
      </w:r>
      <w:r>
        <w:rPr>
          <w:rFonts w:ascii="Times New Roman" w:eastAsia="华文中宋" w:hAnsi="Times New Roman" w:cs="Times New Roman" w:hint="default"/>
          <w:b/>
          <w:i w:val="0"/>
          <w:sz w:val="24"/>
          <w:szCs w:val="24"/>
          <w:lang w:val="en-US" w:eastAsia="zh-CN"/>
        </w:rPr>
        <w:t>si</w:t>
      </w:r>
      <w:r>
        <w:rPr>
          <w:rFonts w:ascii="Times New Roman" w:eastAsia="华文中宋" w:hAnsi="Times New Roman" w:cs="Times New Roman" w:hint="eastAsia"/>
          <w:b/>
          <w:i w:val="0"/>
          <w:sz w:val="24"/>
          <w:szCs w:val="24"/>
          <w:lang w:val="en-US" w:eastAsia="zh-CN"/>
        </w:rPr>
        <w:t>bi</w:t>
      </w:r>
      <w:r>
        <w:rPr>
          <w:rFonts w:ascii="Times New Roman" w:eastAsia="华文中宋" w:hAnsi="Times New Roman" w:cs="Times New Roman" w:hint="default"/>
          <w:b/>
          <w:i w:val="0"/>
          <w:sz w:val="24"/>
          <w:szCs w:val="24"/>
          <w:lang w:val="en-US" w:eastAsia="zh-CN"/>
        </w:rPr>
        <w:t>lity; Policy suggestions</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br/>
      </w:r>
      <w:r>
        <w:rPr>
          <w:rFonts w:hint="eastAsia"/>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https://d.book118.com/568055103134006034</w:t>
        </w:r>
      </w:hyperlink>
    </w:p>
    <w:p>
      <w:pPr>
        <w:rPr>
          <w:rFonts w:hint="eastAsia"/>
        </w:rPr>
      </w:pPr>
    </w:p>
    <w:sectPr>
      <w:footerReference w:type="default" r:id="rId7"/>
      <w:type w:val="nextPage"/>
      <w:pgSz w:w="11906" w:h="16838"/>
      <w:pgMar w:top="1440" w:right="1800" w:bottom="1440" w:left="1800" w:header="851" w:footer="992" w:gutter="0"/>
      <w:pgNumType w:fmt="decimal"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Beijing">
    <w:altName w:val="黑体"/>
    <w:panose1 w:val="00000000000000000000"/>
    <w:charset w:val="86"/>
    <w:family w:val="auto"/>
    <w:pitch w:val="default"/>
    <w:sig w:usb0="00000000" w:usb1="00000000" w:usb2="10000000" w:usb3="00000000" w:csb0="00040000" w:csb1="00000000"/>
  </w:font>
  <w:font w:name="+中文正文">
    <w:altName w:val="Segoe Print"/>
    <w:panose1 w:val="00000000000000000000"/>
    <w:charset w:val="00"/>
    <w:family w:val="auto"/>
    <w:pitch w:val="default"/>
    <w:sig w:usb0="00000000" w:usb1="00000000" w:usb2="00000000" w:usb3="00000000" w:csb0="00000001"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7101C5D"/>
    <w:multiLevelType w:val="singleLevel"/>
    <w:tmpl w:val="C7101C5D"/>
    <w:lvl w:ilvl="0">
      <w:start w:val="7"/>
      <w:numFmt w:val="decimal"/>
      <w:lvlText w:val="[%1]"/>
      <w:lvlJc w:val="left"/>
      <w:pPr>
        <w:tabs>
          <w:tab w:val="left" w:pos="312"/>
        </w:tabs>
      </w:pPr>
    </w:lvl>
  </w:abstractNum>
  <w:abstractNum w:abstractNumId="1">
    <w:nsid w:val="CE825DC9"/>
    <w:multiLevelType w:val="singleLevel"/>
    <w:tmpl w:val="CE825DC9"/>
    <w:lvl w:ilvl="0">
      <w:start w:val="6"/>
      <w:numFmt w:val="decimal"/>
      <w:suff w:val="space"/>
      <w:lvlText w:val="第%1章"/>
      <w:lvlJc w:val="left"/>
    </w:lvl>
  </w:abstractNum>
  <w:abstractNum w:abstractNumId="2">
    <w:nsid w:val="F5E16B17"/>
    <w:multiLevelType w:val="singleLevel"/>
    <w:tmpl w:val="F5E16B17"/>
    <w:lvl w:ilvl="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451CB"/>
    <w:rsid w:val="06F21A02"/>
    <w:rsid w:val="16BA7273"/>
    <w:rsid w:val="225B1036"/>
    <w:rsid w:val="2A575647"/>
    <w:rsid w:val="3F616283"/>
    <w:rsid w:val="4DA357F1"/>
    <w:rsid w:val="5EB451CB"/>
    <w:rsid w:val="61753F8B"/>
    <w:rsid w:val="630B4082"/>
    <w:rsid w:val="67014068"/>
    <w:rsid w:val="6C010273"/>
    <w:rsid w:val="7AD26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qFormat/>
    <w:pPr>
      <w:snapToGrid w:val="0"/>
      <w:jc w:val="left"/>
    </w:pPr>
    <w:rPr>
      <w:sz w:val="18"/>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FootnoteReference">
    <w:name w:val="footnote reference"/>
    <w:basedOn w:val="DefaultParagraphFont"/>
    <w:qFormat/>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568055103134006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qzuser</dc:creator>
  <cp:lastModifiedBy>mac</cp:lastModifiedBy>
  <cp:revision>1</cp:revision>
  <dcterms:created xsi:type="dcterms:W3CDTF">2020-03-30T13:24:00Z</dcterms:created>
  <dcterms:modified xsi:type="dcterms:W3CDTF">2020-04-02T10:54:43Z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