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气体掺混设备项目规划设计方案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6" w:history="1">
        <w:r>
          <w:rPr>
            <w:rFonts w:ascii="仿宋" w:eastAsia="仿宋" w:hAnsi="仿宋" w:cs="仿宋" w:hint="eastAsia"/>
            <w:lang w:eastAsia="zh-CN"/>
          </w:rPr>
          <w:t>序言</w:t>
        </w:r>
        <w:r>
          <w:tab/>
        </w:r>
        <w:r>
          <w:fldChar w:fldCharType="begin"/>
        </w:r>
        <w:r>
          <w:instrText xml:space="preserve"> PAGEREF _Toc31676 \h </w:instrText>
        </w:r>
        <w:r>
          <w:fldChar w:fldCharType="separate"/>
        </w:r>
        <w:r>
          <w:t>3</w:t>
        </w:r>
        <w:r>
          <w:fldChar w:fldCharType="end"/>
        </w:r>
      </w:hyperlink>
    </w:p>
    <w:p>
      <w:pPr>
        <w:pStyle w:val="TOC1"/>
        <w:tabs>
          <w:tab w:val="right" w:leader="dot" w:pos="8306"/>
        </w:tabs>
      </w:pPr>
      <w:hyperlink w:anchor="_Toc15828" w:history="1">
        <w:r>
          <w:rPr>
            <w:rFonts w:ascii="仿宋" w:eastAsia="仿宋" w:hAnsi="仿宋" w:cs="仿宋" w:hint="eastAsia"/>
            <w:lang w:eastAsia="zh-CN"/>
          </w:rPr>
          <w:t>一、市场分析、调研</w:t>
        </w:r>
        <w:r>
          <w:tab/>
        </w:r>
        <w:r>
          <w:fldChar w:fldCharType="begin"/>
        </w:r>
        <w:r>
          <w:instrText xml:space="preserve"> PAGEREF _Toc15828 \h </w:instrText>
        </w:r>
        <w:r>
          <w:fldChar w:fldCharType="separate"/>
        </w:r>
        <w:r>
          <w:t>3</w:t>
        </w:r>
        <w:r>
          <w:fldChar w:fldCharType="end"/>
        </w:r>
      </w:hyperlink>
    </w:p>
    <w:p>
      <w:pPr>
        <w:pStyle w:val="TOC2"/>
        <w:tabs>
          <w:tab w:val="right" w:leader="dot" w:pos="8306"/>
        </w:tabs>
      </w:pPr>
      <w:hyperlink w:anchor="_Toc29862" w:history="1">
        <w:r>
          <w:rPr>
            <w:rFonts w:ascii="仿宋" w:eastAsia="仿宋" w:hAnsi="仿宋" w:cs="仿宋" w:hint="eastAsia"/>
            <w:lang w:eastAsia="zh-CN"/>
          </w:rPr>
          <w:t>(一)、气体掺混设备行业分析</w:t>
        </w:r>
        <w:r>
          <w:tab/>
        </w:r>
        <w:r>
          <w:fldChar w:fldCharType="begin"/>
        </w:r>
        <w:r>
          <w:instrText xml:space="preserve"> PAGEREF _Toc29862 \h </w:instrText>
        </w:r>
        <w:r>
          <w:fldChar w:fldCharType="separate"/>
        </w:r>
        <w:r>
          <w:t>3</w:t>
        </w:r>
        <w:r>
          <w:fldChar w:fldCharType="end"/>
        </w:r>
      </w:hyperlink>
    </w:p>
    <w:p>
      <w:pPr>
        <w:pStyle w:val="TOC2"/>
        <w:tabs>
          <w:tab w:val="right" w:leader="dot" w:pos="8306"/>
        </w:tabs>
      </w:pPr>
      <w:hyperlink w:anchor="_Toc31315" w:history="1">
        <w:r>
          <w:rPr>
            <w:rFonts w:ascii="仿宋" w:eastAsia="仿宋" w:hAnsi="仿宋" w:cs="仿宋" w:hint="eastAsia"/>
            <w:lang w:eastAsia="zh-CN"/>
          </w:rPr>
          <w:t>(二)、气体掺混设备市场分析预测</w:t>
        </w:r>
        <w:r>
          <w:tab/>
        </w:r>
        <w:r>
          <w:fldChar w:fldCharType="begin"/>
        </w:r>
        <w:r>
          <w:instrText xml:space="preserve"> PAGEREF _Toc31315 \h </w:instrText>
        </w:r>
        <w:r>
          <w:fldChar w:fldCharType="separate"/>
        </w:r>
        <w:r>
          <w:t>4</w:t>
        </w:r>
        <w:r>
          <w:fldChar w:fldCharType="end"/>
        </w:r>
      </w:hyperlink>
    </w:p>
    <w:p>
      <w:pPr>
        <w:pStyle w:val="TOC1"/>
        <w:tabs>
          <w:tab w:val="right" w:leader="dot" w:pos="8306"/>
        </w:tabs>
      </w:pPr>
      <w:hyperlink w:anchor="_Toc18066" w:history="1">
        <w:r>
          <w:rPr>
            <w:rFonts w:ascii="仿宋" w:eastAsia="仿宋" w:hAnsi="仿宋" w:cs="仿宋" w:hint="eastAsia"/>
            <w:lang w:eastAsia="zh-CN"/>
          </w:rPr>
          <w:t>二、产品规划分析</w:t>
        </w:r>
        <w:r>
          <w:tab/>
        </w:r>
        <w:r>
          <w:fldChar w:fldCharType="begin"/>
        </w:r>
        <w:r>
          <w:instrText xml:space="preserve"> PAGEREF _Toc18066 \h </w:instrText>
        </w:r>
        <w:r>
          <w:fldChar w:fldCharType="separate"/>
        </w:r>
        <w:r>
          <w:t>5</w:t>
        </w:r>
        <w:r>
          <w:fldChar w:fldCharType="end"/>
        </w:r>
      </w:hyperlink>
    </w:p>
    <w:p>
      <w:pPr>
        <w:pStyle w:val="TOC2"/>
        <w:tabs>
          <w:tab w:val="right" w:leader="dot" w:pos="8306"/>
        </w:tabs>
      </w:pPr>
      <w:hyperlink w:anchor="_Toc30450" w:history="1">
        <w:r>
          <w:rPr>
            <w:rFonts w:ascii="仿宋" w:eastAsia="仿宋" w:hAnsi="仿宋" w:cs="仿宋" w:hint="eastAsia"/>
            <w:lang w:eastAsia="zh-CN"/>
          </w:rPr>
          <w:t>(一)、产品规划</w:t>
        </w:r>
        <w:r>
          <w:tab/>
        </w:r>
        <w:r>
          <w:fldChar w:fldCharType="begin"/>
        </w:r>
        <w:r>
          <w:instrText xml:space="preserve"> PAGEREF _Toc30450 \h </w:instrText>
        </w:r>
        <w:r>
          <w:fldChar w:fldCharType="separate"/>
        </w:r>
        <w:r>
          <w:t>5</w:t>
        </w:r>
        <w:r>
          <w:fldChar w:fldCharType="end"/>
        </w:r>
      </w:hyperlink>
    </w:p>
    <w:p>
      <w:pPr>
        <w:pStyle w:val="TOC2"/>
        <w:tabs>
          <w:tab w:val="right" w:leader="dot" w:pos="8306"/>
        </w:tabs>
      </w:pPr>
      <w:hyperlink w:anchor="_Toc24491" w:history="1">
        <w:r>
          <w:rPr>
            <w:rFonts w:ascii="仿宋" w:eastAsia="仿宋" w:hAnsi="仿宋" w:cs="仿宋" w:hint="eastAsia"/>
            <w:lang w:eastAsia="zh-CN"/>
          </w:rPr>
          <w:t>(二)、建设规模</w:t>
        </w:r>
        <w:r>
          <w:tab/>
        </w:r>
        <w:r>
          <w:fldChar w:fldCharType="begin"/>
        </w:r>
        <w:r>
          <w:instrText xml:space="preserve"> PAGEREF _Toc24491 \h </w:instrText>
        </w:r>
        <w:r>
          <w:fldChar w:fldCharType="separate"/>
        </w:r>
        <w:r>
          <w:t>5</w:t>
        </w:r>
        <w:r>
          <w:fldChar w:fldCharType="end"/>
        </w:r>
      </w:hyperlink>
    </w:p>
    <w:p>
      <w:pPr>
        <w:pStyle w:val="TOC1"/>
        <w:tabs>
          <w:tab w:val="right" w:leader="dot" w:pos="8306"/>
        </w:tabs>
      </w:pPr>
      <w:hyperlink w:anchor="_Toc19554" w:history="1">
        <w:r>
          <w:rPr>
            <w:rFonts w:ascii="仿宋" w:eastAsia="仿宋" w:hAnsi="仿宋" w:cs="仿宋" w:hint="eastAsia"/>
            <w:lang w:eastAsia="zh-CN"/>
          </w:rPr>
          <w:t>三、气体掺混设备项目建设背景及必要性分析</w:t>
        </w:r>
        <w:r>
          <w:tab/>
        </w:r>
        <w:r>
          <w:fldChar w:fldCharType="begin"/>
        </w:r>
        <w:r>
          <w:instrText xml:space="preserve"> PAGEREF _Toc19554 \h </w:instrText>
        </w:r>
        <w:r>
          <w:fldChar w:fldCharType="separate"/>
        </w:r>
        <w:r>
          <w:t>7</w:t>
        </w:r>
        <w:r>
          <w:fldChar w:fldCharType="end"/>
        </w:r>
      </w:hyperlink>
    </w:p>
    <w:p>
      <w:pPr>
        <w:pStyle w:val="TOC2"/>
        <w:tabs>
          <w:tab w:val="right" w:leader="dot" w:pos="8306"/>
        </w:tabs>
      </w:pPr>
      <w:hyperlink w:anchor="_Toc5193" w:history="1">
        <w:r>
          <w:rPr>
            <w:rFonts w:ascii="仿宋" w:eastAsia="仿宋" w:hAnsi="仿宋" w:cs="仿宋" w:hint="eastAsia"/>
            <w:lang w:eastAsia="zh-CN"/>
          </w:rPr>
          <w:t>(一)、气体掺混设备项目背景分析</w:t>
        </w:r>
        <w:r>
          <w:tab/>
        </w:r>
        <w:r>
          <w:fldChar w:fldCharType="begin"/>
        </w:r>
        <w:r>
          <w:instrText xml:space="preserve"> PAGEREF _Toc5193 \h </w:instrText>
        </w:r>
        <w:r>
          <w:fldChar w:fldCharType="separate"/>
        </w:r>
        <w:r>
          <w:t>7</w:t>
        </w:r>
        <w:r>
          <w:fldChar w:fldCharType="end"/>
        </w:r>
      </w:hyperlink>
    </w:p>
    <w:p>
      <w:pPr>
        <w:pStyle w:val="TOC2"/>
        <w:tabs>
          <w:tab w:val="right" w:leader="dot" w:pos="8306"/>
        </w:tabs>
      </w:pPr>
      <w:hyperlink w:anchor="_Toc19036" w:history="1">
        <w:r>
          <w:rPr>
            <w:rFonts w:ascii="仿宋" w:eastAsia="仿宋" w:hAnsi="仿宋" w:cs="仿宋" w:hint="eastAsia"/>
            <w:lang w:eastAsia="zh-CN"/>
          </w:rPr>
          <w:t>(二)、气体掺混设备项目建设必要性分析</w:t>
        </w:r>
        <w:r>
          <w:tab/>
        </w:r>
        <w:r>
          <w:fldChar w:fldCharType="begin"/>
        </w:r>
        <w:r>
          <w:instrText xml:space="preserve"> PAGEREF _Toc19036 \h </w:instrText>
        </w:r>
        <w:r>
          <w:fldChar w:fldCharType="separate"/>
        </w:r>
        <w:r>
          <w:t>8</w:t>
        </w:r>
        <w:r>
          <w:fldChar w:fldCharType="end"/>
        </w:r>
      </w:hyperlink>
    </w:p>
    <w:p>
      <w:pPr>
        <w:pStyle w:val="TOC1"/>
        <w:tabs>
          <w:tab w:val="right" w:leader="dot" w:pos="8306"/>
        </w:tabs>
      </w:pPr>
      <w:hyperlink w:anchor="_Toc5884" w:history="1">
        <w:r>
          <w:rPr>
            <w:rFonts w:ascii="仿宋" w:eastAsia="仿宋" w:hAnsi="仿宋" w:cs="仿宋" w:hint="eastAsia"/>
            <w:lang w:eastAsia="zh-CN"/>
          </w:rPr>
          <w:t>四、气体掺混设备项目绩效评估</w:t>
        </w:r>
        <w:r>
          <w:tab/>
        </w:r>
        <w:r>
          <w:fldChar w:fldCharType="begin"/>
        </w:r>
        <w:r>
          <w:instrText xml:space="preserve"> PAGEREF _Toc5884 \h </w:instrText>
        </w:r>
        <w:r>
          <w:fldChar w:fldCharType="separate"/>
        </w:r>
        <w:r>
          <w:t>10</w:t>
        </w:r>
        <w:r>
          <w:fldChar w:fldCharType="end"/>
        </w:r>
      </w:hyperlink>
    </w:p>
    <w:p>
      <w:pPr>
        <w:pStyle w:val="TOC2"/>
        <w:tabs>
          <w:tab w:val="right" w:leader="dot" w:pos="8306"/>
        </w:tabs>
      </w:pPr>
      <w:hyperlink w:anchor="_Toc23557" w:history="1">
        <w:r>
          <w:rPr>
            <w:rFonts w:ascii="仿宋" w:eastAsia="仿宋" w:hAnsi="仿宋" w:cs="仿宋" w:hint="eastAsia"/>
            <w:lang w:eastAsia="zh-CN"/>
          </w:rPr>
          <w:t>(一)、绩效评估指标</w:t>
        </w:r>
        <w:r>
          <w:tab/>
        </w:r>
        <w:r>
          <w:fldChar w:fldCharType="begin"/>
        </w:r>
        <w:r>
          <w:instrText xml:space="preserve"> PAGEREF _Toc23557 \h </w:instrText>
        </w:r>
        <w:r>
          <w:fldChar w:fldCharType="separate"/>
        </w:r>
        <w:r>
          <w:t>10</w:t>
        </w:r>
        <w:r>
          <w:fldChar w:fldCharType="end"/>
        </w:r>
      </w:hyperlink>
    </w:p>
    <w:p>
      <w:pPr>
        <w:pStyle w:val="TOC2"/>
        <w:tabs>
          <w:tab w:val="right" w:leader="dot" w:pos="8306"/>
        </w:tabs>
      </w:pPr>
      <w:hyperlink w:anchor="_Toc26074" w:history="1">
        <w:r>
          <w:rPr>
            <w:rFonts w:ascii="仿宋" w:eastAsia="仿宋" w:hAnsi="仿宋" w:cs="仿宋" w:hint="eastAsia"/>
            <w:lang w:eastAsia="zh-CN"/>
          </w:rPr>
          <w:t>(二)、绩效评估方法</w:t>
        </w:r>
        <w:r>
          <w:tab/>
        </w:r>
        <w:r>
          <w:fldChar w:fldCharType="begin"/>
        </w:r>
        <w:r>
          <w:instrText xml:space="preserve"> PAGEREF _Toc26074 \h </w:instrText>
        </w:r>
        <w:r>
          <w:fldChar w:fldCharType="separate"/>
        </w:r>
        <w:r>
          <w:t>11</w:t>
        </w:r>
        <w:r>
          <w:fldChar w:fldCharType="end"/>
        </w:r>
      </w:hyperlink>
    </w:p>
    <w:p>
      <w:pPr>
        <w:pStyle w:val="TOC2"/>
        <w:tabs>
          <w:tab w:val="right" w:leader="dot" w:pos="8306"/>
        </w:tabs>
      </w:pPr>
      <w:hyperlink w:anchor="_Toc28796" w:history="1">
        <w:r>
          <w:rPr>
            <w:rFonts w:ascii="仿宋" w:eastAsia="仿宋" w:hAnsi="仿宋" w:cs="仿宋" w:hint="eastAsia"/>
            <w:lang w:eastAsia="zh-CN"/>
          </w:rPr>
          <w:t>(三)、绩效评估周期</w:t>
        </w:r>
        <w:r>
          <w:tab/>
        </w:r>
        <w:r>
          <w:fldChar w:fldCharType="begin"/>
        </w:r>
        <w:r>
          <w:instrText xml:space="preserve"> PAGEREF _Toc28796 \h </w:instrText>
        </w:r>
        <w:r>
          <w:fldChar w:fldCharType="separate"/>
        </w:r>
        <w:r>
          <w:t>12</w:t>
        </w:r>
        <w:r>
          <w:fldChar w:fldCharType="end"/>
        </w:r>
      </w:hyperlink>
    </w:p>
    <w:p>
      <w:pPr>
        <w:pStyle w:val="TOC1"/>
        <w:tabs>
          <w:tab w:val="right" w:leader="dot" w:pos="8306"/>
        </w:tabs>
      </w:pPr>
      <w:hyperlink w:anchor="_Toc32613" w:history="1">
        <w:r>
          <w:rPr>
            <w:rFonts w:ascii="仿宋" w:eastAsia="仿宋" w:hAnsi="仿宋" w:cs="仿宋" w:hint="eastAsia"/>
            <w:lang w:eastAsia="zh-CN"/>
          </w:rPr>
          <w:t>五、气体掺混设备项目土建工程</w:t>
        </w:r>
        <w:r>
          <w:tab/>
        </w:r>
        <w:r>
          <w:fldChar w:fldCharType="begin"/>
        </w:r>
        <w:r>
          <w:instrText xml:space="preserve"> PAGEREF _Toc32613 \h </w:instrText>
        </w:r>
        <w:r>
          <w:fldChar w:fldCharType="separate"/>
        </w:r>
        <w:r>
          <w:t>13</w:t>
        </w:r>
        <w:r>
          <w:fldChar w:fldCharType="end"/>
        </w:r>
      </w:hyperlink>
    </w:p>
    <w:p>
      <w:pPr>
        <w:pStyle w:val="TOC2"/>
        <w:tabs>
          <w:tab w:val="right" w:leader="dot" w:pos="8306"/>
        </w:tabs>
      </w:pPr>
      <w:hyperlink w:anchor="_Toc4267" w:history="1">
        <w:r>
          <w:rPr>
            <w:rFonts w:ascii="仿宋" w:eastAsia="仿宋" w:hAnsi="仿宋" w:cs="仿宋" w:hint="eastAsia"/>
            <w:lang w:eastAsia="zh-CN"/>
          </w:rPr>
          <w:t>(一)、建筑工程设计原则</w:t>
        </w:r>
        <w:r>
          <w:tab/>
        </w:r>
        <w:r>
          <w:fldChar w:fldCharType="begin"/>
        </w:r>
        <w:r>
          <w:instrText xml:space="preserve"> PAGEREF _Toc4267 \h </w:instrText>
        </w:r>
        <w:r>
          <w:fldChar w:fldCharType="separate"/>
        </w:r>
        <w:r>
          <w:t>13</w:t>
        </w:r>
        <w:r>
          <w:fldChar w:fldCharType="end"/>
        </w:r>
      </w:hyperlink>
    </w:p>
    <w:p>
      <w:pPr>
        <w:pStyle w:val="TOC2"/>
        <w:tabs>
          <w:tab w:val="right" w:leader="dot" w:pos="8306"/>
        </w:tabs>
      </w:pPr>
      <w:hyperlink w:anchor="_Toc904" w:history="1">
        <w:r>
          <w:rPr>
            <w:rFonts w:ascii="仿宋" w:eastAsia="仿宋" w:hAnsi="仿宋" w:cs="仿宋" w:hint="eastAsia"/>
            <w:lang w:eastAsia="zh-CN"/>
          </w:rPr>
          <w:t>(二)、土建工程设计年限及安全等级</w:t>
        </w:r>
        <w:r>
          <w:tab/>
        </w:r>
        <w:r>
          <w:fldChar w:fldCharType="begin"/>
        </w:r>
        <w:r>
          <w:instrText xml:space="preserve"> PAGEREF _Toc904 \h </w:instrText>
        </w:r>
        <w:r>
          <w:fldChar w:fldCharType="separate"/>
        </w:r>
        <w:r>
          <w:t>14</w:t>
        </w:r>
        <w:r>
          <w:fldChar w:fldCharType="end"/>
        </w:r>
      </w:hyperlink>
    </w:p>
    <w:p>
      <w:pPr>
        <w:pStyle w:val="TOC2"/>
        <w:tabs>
          <w:tab w:val="right" w:leader="dot" w:pos="8306"/>
        </w:tabs>
      </w:pPr>
      <w:hyperlink w:anchor="_Toc21717" w:history="1">
        <w:r>
          <w:rPr>
            <w:rFonts w:ascii="仿宋" w:eastAsia="仿宋" w:hAnsi="仿宋" w:cs="仿宋" w:hint="eastAsia"/>
            <w:lang w:eastAsia="zh-CN"/>
          </w:rPr>
          <w:t>(三)、建筑工程设计总体要求</w:t>
        </w:r>
        <w:r>
          <w:tab/>
        </w:r>
        <w:r>
          <w:fldChar w:fldCharType="begin"/>
        </w:r>
        <w:r>
          <w:instrText xml:space="preserve"> PAGEREF _Toc21717 \h </w:instrText>
        </w:r>
        <w:r>
          <w:fldChar w:fldCharType="separate"/>
        </w:r>
        <w:r>
          <w:t>15</w:t>
        </w:r>
        <w:r>
          <w:fldChar w:fldCharType="end"/>
        </w:r>
      </w:hyperlink>
    </w:p>
    <w:p>
      <w:pPr>
        <w:pStyle w:val="TOC2"/>
        <w:tabs>
          <w:tab w:val="right" w:leader="dot" w:pos="8306"/>
        </w:tabs>
      </w:pPr>
      <w:hyperlink w:anchor="_Toc18801" w:history="1">
        <w:r>
          <w:rPr>
            <w:rFonts w:ascii="仿宋" w:eastAsia="仿宋" w:hAnsi="仿宋" w:cs="仿宋" w:hint="eastAsia"/>
            <w:lang w:eastAsia="zh-CN"/>
          </w:rPr>
          <w:t>(四)、土建工程建设指标</w:t>
        </w:r>
        <w:r>
          <w:tab/>
        </w:r>
        <w:r>
          <w:fldChar w:fldCharType="begin"/>
        </w:r>
        <w:r>
          <w:instrText xml:space="preserve"> PAGEREF _Toc18801 \h </w:instrText>
        </w:r>
        <w:r>
          <w:fldChar w:fldCharType="separate"/>
        </w:r>
        <w:r>
          <w:t>16</w:t>
        </w:r>
        <w:r>
          <w:fldChar w:fldCharType="end"/>
        </w:r>
      </w:hyperlink>
    </w:p>
    <w:p>
      <w:pPr>
        <w:pStyle w:val="TOC1"/>
        <w:tabs>
          <w:tab w:val="right" w:leader="dot" w:pos="8306"/>
        </w:tabs>
      </w:pPr>
      <w:hyperlink w:anchor="_Toc16257" w:history="1">
        <w:r>
          <w:rPr>
            <w:rFonts w:ascii="仿宋" w:eastAsia="仿宋" w:hAnsi="仿宋" w:cs="仿宋" w:hint="eastAsia"/>
            <w:lang w:eastAsia="zh-CN"/>
          </w:rPr>
          <w:t>六、气体掺混设备项目文档管理</w:t>
        </w:r>
        <w:r>
          <w:tab/>
        </w:r>
        <w:r>
          <w:fldChar w:fldCharType="begin"/>
        </w:r>
        <w:r>
          <w:instrText xml:space="preserve"> PAGEREF _Toc16257 \h </w:instrText>
        </w:r>
        <w:r>
          <w:fldChar w:fldCharType="separate"/>
        </w:r>
        <w:r>
          <w:t>16</w:t>
        </w:r>
        <w:r>
          <w:fldChar w:fldCharType="end"/>
        </w:r>
      </w:hyperlink>
    </w:p>
    <w:p>
      <w:pPr>
        <w:pStyle w:val="TOC2"/>
        <w:tabs>
          <w:tab w:val="right" w:leader="dot" w:pos="8306"/>
        </w:tabs>
      </w:pPr>
      <w:hyperlink w:anchor="_Toc31066" w:history="1">
        <w:r>
          <w:rPr>
            <w:rFonts w:ascii="仿宋" w:eastAsia="仿宋" w:hAnsi="仿宋" w:cs="仿宋" w:hint="eastAsia"/>
            <w:lang w:eastAsia="zh-CN"/>
          </w:rPr>
          <w:t>(一)、文档编制与审查</w:t>
        </w:r>
        <w:r>
          <w:tab/>
        </w:r>
        <w:r>
          <w:fldChar w:fldCharType="begin"/>
        </w:r>
        <w:r>
          <w:instrText xml:space="preserve"> PAGEREF _Toc31066 \h </w:instrText>
        </w:r>
        <w:r>
          <w:fldChar w:fldCharType="separate"/>
        </w:r>
        <w:r>
          <w:t>16</w:t>
        </w:r>
        <w:r>
          <w:fldChar w:fldCharType="end"/>
        </w:r>
      </w:hyperlink>
    </w:p>
    <w:p>
      <w:pPr>
        <w:pStyle w:val="TOC2"/>
        <w:tabs>
          <w:tab w:val="right" w:leader="dot" w:pos="8306"/>
        </w:tabs>
      </w:pPr>
      <w:hyperlink w:anchor="_Toc28834" w:history="1">
        <w:r>
          <w:rPr>
            <w:rFonts w:ascii="仿宋" w:eastAsia="仿宋" w:hAnsi="仿宋" w:cs="仿宋" w:hint="eastAsia"/>
            <w:lang w:eastAsia="zh-CN"/>
          </w:rPr>
          <w:t>(二)、文档发布与分发</w:t>
        </w:r>
        <w:r>
          <w:tab/>
        </w:r>
        <w:r>
          <w:fldChar w:fldCharType="begin"/>
        </w:r>
        <w:r>
          <w:instrText xml:space="preserve"> PAGEREF _Toc28834 \h </w:instrText>
        </w:r>
        <w:r>
          <w:fldChar w:fldCharType="separate"/>
        </w:r>
        <w:r>
          <w:t>18</w:t>
        </w:r>
        <w:r>
          <w:fldChar w:fldCharType="end"/>
        </w:r>
      </w:hyperlink>
    </w:p>
    <w:p>
      <w:pPr>
        <w:pStyle w:val="TOC2"/>
        <w:tabs>
          <w:tab w:val="right" w:leader="dot" w:pos="8306"/>
        </w:tabs>
      </w:pPr>
      <w:hyperlink w:anchor="_Toc29055" w:history="1">
        <w:r>
          <w:rPr>
            <w:rFonts w:ascii="仿宋" w:eastAsia="仿宋" w:hAnsi="仿宋" w:cs="仿宋" w:hint="eastAsia"/>
            <w:lang w:eastAsia="zh-CN"/>
          </w:rPr>
          <w:t>(三)、文档存档与归档</w:t>
        </w:r>
        <w:r>
          <w:tab/>
        </w:r>
        <w:r>
          <w:fldChar w:fldCharType="begin"/>
        </w:r>
        <w:r>
          <w:instrText xml:space="preserve"> PAGEREF _Toc29055 \h </w:instrText>
        </w:r>
        <w:r>
          <w:fldChar w:fldCharType="separate"/>
        </w:r>
        <w:r>
          <w:t>18</w:t>
        </w:r>
        <w:r>
          <w:fldChar w:fldCharType="end"/>
        </w:r>
      </w:hyperlink>
    </w:p>
    <w:p>
      <w:pPr>
        <w:pStyle w:val="TOC1"/>
        <w:tabs>
          <w:tab w:val="right" w:leader="dot" w:pos="8306"/>
        </w:tabs>
      </w:pPr>
      <w:hyperlink w:anchor="_Toc31544" w:history="1">
        <w:r>
          <w:rPr>
            <w:rFonts w:ascii="仿宋" w:eastAsia="仿宋" w:hAnsi="仿宋" w:cs="仿宋" w:hint="eastAsia"/>
            <w:lang w:eastAsia="zh-CN"/>
          </w:rPr>
          <w:t>七、气体掺混设备项目风险管理</w:t>
        </w:r>
        <w:r>
          <w:tab/>
        </w:r>
        <w:r>
          <w:fldChar w:fldCharType="begin"/>
        </w:r>
        <w:r>
          <w:instrText xml:space="preserve"> PAGEREF _Toc31544 \h </w:instrText>
        </w:r>
        <w:r>
          <w:fldChar w:fldCharType="separate"/>
        </w:r>
        <w:r>
          <w:t>20</w:t>
        </w:r>
        <w:r>
          <w:fldChar w:fldCharType="end"/>
        </w:r>
      </w:hyperlink>
    </w:p>
    <w:p>
      <w:pPr>
        <w:pStyle w:val="TOC2"/>
        <w:tabs>
          <w:tab w:val="right" w:leader="dot" w:pos="8306"/>
        </w:tabs>
      </w:pPr>
      <w:hyperlink w:anchor="_Toc14286" w:history="1">
        <w:r>
          <w:rPr>
            <w:rFonts w:ascii="仿宋" w:eastAsia="仿宋" w:hAnsi="仿宋" w:cs="仿宋" w:hint="eastAsia"/>
            <w:lang w:eastAsia="zh-CN"/>
          </w:rPr>
          <w:t>(一)、风险识别与评估</w:t>
        </w:r>
        <w:r>
          <w:tab/>
        </w:r>
        <w:r>
          <w:fldChar w:fldCharType="begin"/>
        </w:r>
        <w:r>
          <w:instrText xml:space="preserve"> PAGEREF _Toc14286 \h </w:instrText>
        </w:r>
        <w:r>
          <w:fldChar w:fldCharType="separate"/>
        </w:r>
        <w:r>
          <w:t>20</w:t>
        </w:r>
        <w:r>
          <w:fldChar w:fldCharType="end"/>
        </w:r>
      </w:hyperlink>
    </w:p>
    <w:p>
      <w:pPr>
        <w:pStyle w:val="TOC2"/>
        <w:tabs>
          <w:tab w:val="right" w:leader="dot" w:pos="8306"/>
        </w:tabs>
      </w:pPr>
      <w:hyperlink w:anchor="_Toc14522" w:history="1">
        <w:r>
          <w:rPr>
            <w:rFonts w:ascii="仿宋" w:eastAsia="仿宋" w:hAnsi="仿宋" w:cs="仿宋" w:hint="eastAsia"/>
            <w:lang w:eastAsia="zh-CN"/>
          </w:rPr>
          <w:t>(二)、风险应对策略</w:t>
        </w:r>
        <w:r>
          <w:tab/>
        </w:r>
        <w:r>
          <w:fldChar w:fldCharType="begin"/>
        </w:r>
        <w:r>
          <w:instrText xml:space="preserve"> PAGEREF _Toc14522 \h </w:instrText>
        </w:r>
        <w:r>
          <w:fldChar w:fldCharType="separate"/>
        </w:r>
        <w:r>
          <w:t>21</w:t>
        </w:r>
        <w:r>
          <w:fldChar w:fldCharType="end"/>
        </w:r>
      </w:hyperlink>
    </w:p>
    <w:p>
      <w:pPr>
        <w:pStyle w:val="TOC2"/>
        <w:tabs>
          <w:tab w:val="right" w:leader="dot" w:pos="8306"/>
        </w:tabs>
      </w:pPr>
      <w:hyperlink w:anchor="_Toc1560" w:history="1">
        <w:r>
          <w:rPr>
            <w:rFonts w:ascii="仿宋" w:eastAsia="仿宋" w:hAnsi="仿宋" w:cs="仿宋" w:hint="eastAsia"/>
            <w:lang w:eastAsia="zh-CN"/>
          </w:rPr>
          <w:t>(三)、风险监控与控制</w:t>
        </w:r>
        <w:r>
          <w:tab/>
        </w:r>
        <w:r>
          <w:fldChar w:fldCharType="begin"/>
        </w:r>
        <w:r>
          <w:instrText xml:space="preserve"> PAGEREF _Toc1560 \h </w:instrText>
        </w:r>
        <w:r>
          <w:fldChar w:fldCharType="separate"/>
        </w:r>
        <w:r>
          <w:t>23</w:t>
        </w:r>
        <w:r>
          <w:fldChar w:fldCharType="end"/>
        </w:r>
      </w:hyperlink>
    </w:p>
    <w:p>
      <w:pPr>
        <w:pStyle w:val="TOC1"/>
        <w:tabs>
          <w:tab w:val="right" w:leader="dot" w:pos="8306"/>
        </w:tabs>
      </w:pPr>
      <w:hyperlink w:anchor="_Toc4360" w:history="1">
        <w:r>
          <w:rPr>
            <w:rFonts w:ascii="仿宋" w:eastAsia="仿宋" w:hAnsi="仿宋" w:cs="仿宋" w:hint="eastAsia"/>
            <w:lang w:eastAsia="zh-CN"/>
          </w:rPr>
          <w:t>八、气体掺混设备项目投资规划</w:t>
        </w:r>
        <w:r>
          <w:tab/>
        </w:r>
        <w:r>
          <w:fldChar w:fldCharType="begin"/>
        </w:r>
        <w:r>
          <w:instrText xml:space="preserve"> PAGEREF _Toc4360 \h </w:instrText>
        </w:r>
        <w:r>
          <w:fldChar w:fldCharType="separate"/>
        </w:r>
        <w:r>
          <w:t>24</w:t>
        </w:r>
        <w:r>
          <w:fldChar w:fldCharType="end"/>
        </w:r>
      </w:hyperlink>
    </w:p>
    <w:p>
      <w:pPr>
        <w:pStyle w:val="TOC2"/>
        <w:tabs>
          <w:tab w:val="right" w:leader="dot" w:pos="8306"/>
        </w:tabs>
      </w:pPr>
      <w:hyperlink w:anchor="_Toc11468" w:history="1">
        <w:r>
          <w:rPr>
            <w:rFonts w:ascii="仿宋" w:eastAsia="仿宋" w:hAnsi="仿宋" w:cs="仿宋" w:hint="eastAsia"/>
            <w:lang w:eastAsia="zh-CN"/>
          </w:rPr>
          <w:t>(一)、气体掺混设备项目总投资估算</w:t>
        </w:r>
        <w:r>
          <w:tab/>
        </w:r>
        <w:r>
          <w:fldChar w:fldCharType="begin"/>
        </w:r>
        <w:r>
          <w:instrText xml:space="preserve"> PAGEREF _Toc11468 \h </w:instrText>
        </w:r>
        <w:r>
          <w:fldChar w:fldCharType="separate"/>
        </w:r>
        <w:r>
          <w:t>24</w:t>
        </w:r>
        <w:r>
          <w:fldChar w:fldCharType="end"/>
        </w:r>
      </w:hyperlink>
    </w:p>
    <w:p>
      <w:pPr>
        <w:pStyle w:val="TOC2"/>
        <w:tabs>
          <w:tab w:val="right" w:leader="dot" w:pos="8306"/>
        </w:tabs>
      </w:pPr>
      <w:hyperlink w:anchor="_Toc8887" w:history="1">
        <w:r>
          <w:rPr>
            <w:rFonts w:ascii="仿宋" w:eastAsia="仿宋" w:hAnsi="仿宋" w:cs="仿宋" w:hint="eastAsia"/>
            <w:lang w:eastAsia="zh-CN"/>
          </w:rPr>
          <w:t>(二)、资金筹措</w:t>
        </w:r>
        <w:r>
          <w:tab/>
        </w:r>
        <w:r>
          <w:fldChar w:fldCharType="begin"/>
        </w:r>
        <w:r>
          <w:instrText xml:space="preserve"> PAGEREF _Toc8887 \h </w:instrText>
        </w:r>
        <w:r>
          <w:fldChar w:fldCharType="separate"/>
        </w:r>
        <w:r>
          <w:t>25</w:t>
        </w:r>
        <w:r>
          <w:fldChar w:fldCharType="end"/>
        </w:r>
      </w:hyperlink>
    </w:p>
    <w:p>
      <w:pPr>
        <w:pStyle w:val="TOC1"/>
        <w:tabs>
          <w:tab w:val="right" w:leader="dot" w:pos="8306"/>
        </w:tabs>
      </w:pPr>
      <w:hyperlink w:anchor="_Toc10368" w:history="1">
        <w:r>
          <w:rPr>
            <w:rFonts w:ascii="仿宋" w:eastAsia="仿宋" w:hAnsi="仿宋" w:cs="仿宋" w:hint="eastAsia"/>
            <w:lang w:eastAsia="zh-CN"/>
          </w:rPr>
          <w:t>九、气体掺混设备项目环境影响分析</w:t>
        </w:r>
        <w:r>
          <w:tab/>
        </w:r>
        <w:r>
          <w:fldChar w:fldCharType="begin"/>
        </w:r>
        <w:r>
          <w:instrText xml:space="preserve"> PAGEREF _Toc10368 \h </w:instrText>
        </w:r>
        <w:r>
          <w:fldChar w:fldCharType="separate"/>
        </w:r>
        <w:r>
          <w:t>26</w:t>
        </w:r>
        <w:r>
          <w:fldChar w:fldCharType="end"/>
        </w:r>
      </w:hyperlink>
    </w:p>
    <w:p>
      <w:pPr>
        <w:pStyle w:val="TOC2"/>
        <w:tabs>
          <w:tab w:val="right" w:leader="dot" w:pos="8306"/>
        </w:tabs>
      </w:pPr>
      <w:hyperlink w:anchor="_Toc22261" w:history="1">
        <w:r>
          <w:rPr>
            <w:rFonts w:ascii="仿宋" w:eastAsia="仿宋" w:hAnsi="仿宋" w:cs="仿宋" w:hint="eastAsia"/>
            <w:lang w:eastAsia="zh-CN"/>
          </w:rPr>
          <w:t>(一)、建设区域环境质量现状</w:t>
        </w:r>
        <w:r>
          <w:tab/>
        </w:r>
        <w:r>
          <w:fldChar w:fldCharType="begin"/>
        </w:r>
        <w:r>
          <w:instrText xml:space="preserve"> PAGEREF _Toc22261 \h </w:instrText>
        </w:r>
        <w:r>
          <w:fldChar w:fldCharType="separate"/>
        </w:r>
        <w:r>
          <w:t>26</w:t>
        </w:r>
        <w:r>
          <w:fldChar w:fldCharType="end"/>
        </w:r>
      </w:hyperlink>
    </w:p>
    <w:p>
      <w:pPr>
        <w:pStyle w:val="TOC2"/>
        <w:tabs>
          <w:tab w:val="right" w:leader="dot" w:pos="8306"/>
        </w:tabs>
      </w:pPr>
      <w:hyperlink w:anchor="_Toc26841" w:history="1">
        <w:r>
          <w:rPr>
            <w:rFonts w:ascii="仿宋" w:eastAsia="仿宋" w:hAnsi="仿宋" w:cs="仿宋" w:hint="eastAsia"/>
            <w:lang w:eastAsia="zh-CN"/>
          </w:rPr>
          <w:t>(二)、建设期环境保护</w:t>
        </w:r>
        <w:r>
          <w:tab/>
        </w:r>
        <w:r>
          <w:fldChar w:fldCharType="begin"/>
        </w:r>
        <w:r>
          <w:instrText xml:space="preserve"> PAGEREF _Toc26841 \h </w:instrText>
        </w:r>
        <w:r>
          <w:fldChar w:fldCharType="separate"/>
        </w:r>
        <w:r>
          <w:t>27</w:t>
        </w:r>
        <w:r>
          <w:fldChar w:fldCharType="end"/>
        </w:r>
      </w:hyperlink>
    </w:p>
    <w:p>
      <w:pPr>
        <w:pStyle w:val="TOC2"/>
        <w:tabs>
          <w:tab w:val="right" w:leader="dot" w:pos="8306"/>
        </w:tabs>
      </w:pPr>
      <w:hyperlink w:anchor="_Toc1367" w:history="1">
        <w:r>
          <w:rPr>
            <w:rFonts w:ascii="仿宋" w:eastAsia="仿宋" w:hAnsi="仿宋" w:cs="仿宋" w:hint="eastAsia"/>
            <w:lang w:eastAsia="zh-CN"/>
          </w:rPr>
          <w:t>(三)、运营期环境保护</w:t>
        </w:r>
        <w:r>
          <w:tab/>
        </w:r>
        <w:r>
          <w:fldChar w:fldCharType="begin"/>
        </w:r>
        <w:r>
          <w:instrText xml:space="preserve"> PAGEREF _Toc1367 \h </w:instrText>
        </w:r>
        <w:r>
          <w:fldChar w:fldCharType="separate"/>
        </w:r>
        <w:r>
          <w:t>28</w:t>
        </w:r>
        <w:r>
          <w:fldChar w:fldCharType="end"/>
        </w:r>
      </w:hyperlink>
    </w:p>
    <w:p>
      <w:pPr>
        <w:pStyle w:val="TOC2"/>
        <w:tabs>
          <w:tab w:val="right" w:leader="dot" w:pos="8306"/>
        </w:tabs>
      </w:pPr>
      <w:hyperlink w:anchor="_Toc31627" w:history="1">
        <w:r>
          <w:rPr>
            <w:rFonts w:ascii="仿宋" w:eastAsia="仿宋" w:hAnsi="仿宋" w:cs="仿宋" w:hint="eastAsia"/>
            <w:lang w:eastAsia="zh-CN"/>
          </w:rPr>
          <w:t>(四)、气体掺混设备项目建设对区域经济的影响</w:t>
        </w:r>
        <w:r>
          <w:tab/>
        </w:r>
        <w:r>
          <w:fldChar w:fldCharType="begin"/>
        </w:r>
        <w:r>
          <w:instrText xml:space="preserve"> PAGEREF _Toc31627 \h </w:instrText>
        </w:r>
        <w:r>
          <w:fldChar w:fldCharType="separate"/>
        </w:r>
        <w:r>
          <w:t>30</w:t>
        </w:r>
        <w:r>
          <w:fldChar w:fldCharType="end"/>
        </w:r>
      </w:hyperlink>
    </w:p>
    <w:p>
      <w:pPr>
        <w:pStyle w:val="TOC2"/>
        <w:tabs>
          <w:tab w:val="right" w:leader="dot" w:pos="8306"/>
        </w:tabs>
      </w:pPr>
      <w:hyperlink w:anchor="_Toc12113" w:history="1">
        <w:r>
          <w:rPr>
            <w:rFonts w:ascii="仿宋" w:eastAsia="仿宋" w:hAnsi="仿宋" w:cs="仿宋" w:hint="eastAsia"/>
            <w:lang w:eastAsia="zh-CN"/>
          </w:rPr>
          <w:t>(五)、废弃物处理</w:t>
        </w:r>
        <w:r>
          <w:tab/>
        </w:r>
        <w:r>
          <w:fldChar w:fldCharType="begin"/>
        </w:r>
        <w:r>
          <w:instrText xml:space="preserve"> PAGEREF _Toc12113 \h </w:instrText>
        </w:r>
        <w:r>
          <w:fldChar w:fldCharType="separate"/>
        </w:r>
        <w:r>
          <w:t>32</w:t>
        </w:r>
        <w:r>
          <w:fldChar w:fldCharType="end"/>
        </w:r>
      </w:hyperlink>
    </w:p>
    <w:p>
      <w:pPr>
        <w:pStyle w:val="TOC2"/>
        <w:tabs>
          <w:tab w:val="right" w:leader="dot" w:pos="8306"/>
        </w:tabs>
      </w:pPr>
      <w:hyperlink w:anchor="_Toc9357" w:history="1">
        <w:r>
          <w:rPr>
            <w:rFonts w:ascii="仿宋" w:eastAsia="仿宋" w:hAnsi="仿宋" w:cs="仿宋" w:hint="eastAsia"/>
            <w:lang w:eastAsia="zh-CN"/>
          </w:rPr>
          <w:t>(六)、特殊环境影响分析</w:t>
        </w:r>
        <w:r>
          <w:tab/>
        </w:r>
        <w:r>
          <w:fldChar w:fldCharType="begin"/>
        </w:r>
        <w:r>
          <w:instrText xml:space="preserve"> PAGEREF _Toc9357 \h </w:instrText>
        </w:r>
        <w:r>
          <w:fldChar w:fldCharType="separate"/>
        </w:r>
        <w:r>
          <w:t>33</w:t>
        </w:r>
        <w:r>
          <w:fldChar w:fldCharType="end"/>
        </w:r>
      </w:hyperlink>
    </w:p>
    <w:p>
      <w:pPr>
        <w:pStyle w:val="TOC2"/>
        <w:tabs>
          <w:tab w:val="right" w:leader="dot" w:pos="8306"/>
        </w:tabs>
      </w:pPr>
      <w:hyperlink w:anchor="_Toc22563" w:history="1">
        <w:r>
          <w:rPr>
            <w:rFonts w:ascii="仿宋" w:eastAsia="仿宋" w:hAnsi="仿宋" w:cs="仿宋" w:hint="eastAsia"/>
            <w:lang w:eastAsia="zh-CN"/>
          </w:rPr>
          <w:t>(七)、清洁生产</w:t>
        </w:r>
        <w:r>
          <w:tab/>
        </w:r>
        <w:r>
          <w:fldChar w:fldCharType="begin"/>
        </w:r>
        <w:r>
          <w:instrText xml:space="preserve"> PAGEREF _Toc22563 \h </w:instrText>
        </w:r>
        <w:r>
          <w:fldChar w:fldCharType="separate"/>
        </w:r>
        <w:r>
          <w:t>34</w:t>
        </w:r>
        <w:r>
          <w:fldChar w:fldCharType="end"/>
        </w:r>
      </w:hyperlink>
    </w:p>
    <w:p>
      <w:pPr>
        <w:pStyle w:val="TOC2"/>
        <w:tabs>
          <w:tab w:val="right" w:leader="dot" w:pos="8306"/>
        </w:tabs>
      </w:pPr>
      <w:hyperlink w:anchor="_Toc29874" w:history="1">
        <w:r>
          <w:rPr>
            <w:rFonts w:ascii="仿宋" w:eastAsia="仿宋" w:hAnsi="仿宋" w:cs="仿宋" w:hint="eastAsia"/>
            <w:lang w:eastAsia="zh-CN"/>
          </w:rPr>
          <w:t>(八)、环境保护综合评价</w:t>
        </w:r>
        <w:r>
          <w:tab/>
        </w:r>
        <w:r>
          <w:fldChar w:fldCharType="begin"/>
        </w:r>
        <w:r>
          <w:instrText xml:space="preserve"> PAGEREF _Toc29874 \h </w:instrText>
        </w:r>
        <w:r>
          <w:fldChar w:fldCharType="separate"/>
        </w:r>
        <w:r>
          <w:t>35</w:t>
        </w:r>
        <w:r>
          <w:fldChar w:fldCharType="end"/>
        </w:r>
      </w:hyperlink>
    </w:p>
    <w:p>
      <w:pPr>
        <w:pStyle w:val="TOC1"/>
        <w:tabs>
          <w:tab w:val="right" w:leader="dot" w:pos="8306"/>
        </w:tabs>
      </w:pPr>
      <w:hyperlink w:anchor="_Toc25986" w:history="1">
        <w:r>
          <w:rPr>
            <w:rFonts w:ascii="仿宋" w:eastAsia="仿宋" w:hAnsi="仿宋" w:cs="仿宋" w:hint="eastAsia"/>
            <w:lang w:eastAsia="zh-CN"/>
          </w:rPr>
          <w:t>十、气体掺混设备项目技术管理</w:t>
        </w:r>
        <w:r>
          <w:tab/>
        </w:r>
        <w:r>
          <w:fldChar w:fldCharType="begin"/>
        </w:r>
        <w:r>
          <w:instrText xml:space="preserve"> PAGEREF _Toc25986 \h </w:instrText>
        </w:r>
        <w:r>
          <w:fldChar w:fldCharType="separate"/>
        </w:r>
        <w:r>
          <w:t>36</w:t>
        </w:r>
        <w:r>
          <w:fldChar w:fldCharType="end"/>
        </w:r>
      </w:hyperlink>
    </w:p>
    <w:p>
      <w:pPr>
        <w:pStyle w:val="TOC2"/>
        <w:tabs>
          <w:tab w:val="right" w:leader="dot" w:pos="8306"/>
        </w:tabs>
      </w:pPr>
      <w:hyperlink w:anchor="_Toc14919" w:history="1">
        <w:r>
          <w:rPr>
            <w:rFonts w:ascii="仿宋" w:eastAsia="仿宋" w:hAnsi="仿宋" w:cs="仿宋" w:hint="eastAsia"/>
            <w:lang w:eastAsia="zh-CN"/>
          </w:rPr>
          <w:t>(一)、技术方案选用方向</w:t>
        </w:r>
        <w:r>
          <w:tab/>
        </w:r>
        <w:r>
          <w:fldChar w:fldCharType="begin"/>
        </w:r>
        <w:r>
          <w:instrText xml:space="preserve"> PAGEREF _Toc14919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0" w:history="1">
        <w:r>
          <w:rPr>
            <w:rFonts w:ascii="仿宋" w:eastAsia="仿宋" w:hAnsi="仿宋" w:cs="仿宋" w:hint="eastAsia"/>
            <w:lang w:eastAsia="zh-CN"/>
          </w:rPr>
          <w:t>(二)、工艺技术方案选用原则</w:t>
        </w:r>
        <w:r>
          <w:tab/>
        </w:r>
        <w:r>
          <w:fldChar w:fldCharType="begin"/>
        </w:r>
        <w:r>
          <w:instrText xml:space="preserve"> PAGEREF _Toc5710 \h </w:instrText>
        </w:r>
        <w:r>
          <w:fldChar w:fldCharType="separate"/>
        </w:r>
        <w:r>
          <w:t>38</w:t>
        </w:r>
        <w:r>
          <w:fldChar w:fldCharType="end"/>
        </w:r>
      </w:hyperlink>
    </w:p>
    <w:p>
      <w:pPr>
        <w:pStyle w:val="TOC2"/>
        <w:tabs>
          <w:tab w:val="right" w:leader="dot" w:pos="8306"/>
        </w:tabs>
      </w:pPr>
      <w:hyperlink w:anchor="_Toc17254" w:history="1">
        <w:r>
          <w:rPr>
            <w:rFonts w:ascii="仿宋" w:eastAsia="仿宋" w:hAnsi="仿宋" w:cs="仿宋" w:hint="eastAsia"/>
            <w:lang w:eastAsia="zh-CN"/>
          </w:rPr>
          <w:t>(三)、工艺技术方案要求</w:t>
        </w:r>
        <w:r>
          <w:tab/>
        </w:r>
        <w:r>
          <w:fldChar w:fldCharType="begin"/>
        </w:r>
        <w:r>
          <w:instrText xml:space="preserve"> PAGEREF _Toc17254 \h </w:instrText>
        </w:r>
        <w:r>
          <w:fldChar w:fldCharType="separate"/>
        </w:r>
        <w:r>
          <w:t>40</w:t>
        </w:r>
        <w:r>
          <w:fldChar w:fldCharType="end"/>
        </w:r>
      </w:hyperlink>
    </w:p>
    <w:p>
      <w:pPr>
        <w:pStyle w:val="TOC1"/>
        <w:tabs>
          <w:tab w:val="right" w:leader="dot" w:pos="8306"/>
        </w:tabs>
      </w:pPr>
      <w:hyperlink w:anchor="_Toc18437" w:history="1">
        <w:r>
          <w:rPr>
            <w:rFonts w:ascii="仿宋" w:eastAsia="仿宋" w:hAnsi="仿宋" w:cs="仿宋" w:hint="eastAsia"/>
            <w:lang w:eastAsia="zh-CN"/>
          </w:rPr>
          <w:t>十一、气体掺混设备项目创新与研发</w:t>
        </w:r>
        <w:r>
          <w:tab/>
        </w:r>
        <w:r>
          <w:fldChar w:fldCharType="begin"/>
        </w:r>
        <w:r>
          <w:instrText xml:space="preserve"> PAGEREF _Toc18437 \h </w:instrText>
        </w:r>
        <w:r>
          <w:fldChar w:fldCharType="separate"/>
        </w:r>
        <w:r>
          <w:t>43</w:t>
        </w:r>
        <w:r>
          <w:fldChar w:fldCharType="end"/>
        </w:r>
      </w:hyperlink>
    </w:p>
    <w:p>
      <w:pPr>
        <w:pStyle w:val="TOC2"/>
        <w:tabs>
          <w:tab w:val="right" w:leader="dot" w:pos="8306"/>
        </w:tabs>
      </w:pPr>
      <w:hyperlink w:anchor="_Toc26655" w:history="1">
        <w:r>
          <w:rPr>
            <w:rFonts w:ascii="仿宋" w:eastAsia="仿宋" w:hAnsi="仿宋" w:cs="仿宋" w:hint="eastAsia"/>
            <w:lang w:eastAsia="zh-CN"/>
          </w:rPr>
          <w:t>(一)、创新策略与方向</w:t>
        </w:r>
        <w:r>
          <w:tab/>
        </w:r>
        <w:r>
          <w:fldChar w:fldCharType="begin"/>
        </w:r>
        <w:r>
          <w:instrText xml:space="preserve"> PAGEREF _Toc26655 \h </w:instrText>
        </w:r>
        <w:r>
          <w:fldChar w:fldCharType="separate"/>
        </w:r>
        <w:r>
          <w:t>43</w:t>
        </w:r>
        <w:r>
          <w:fldChar w:fldCharType="end"/>
        </w:r>
      </w:hyperlink>
    </w:p>
    <w:p>
      <w:pPr>
        <w:pStyle w:val="TOC2"/>
        <w:tabs>
          <w:tab w:val="right" w:leader="dot" w:pos="8306"/>
        </w:tabs>
      </w:pPr>
      <w:hyperlink w:anchor="_Toc18655" w:history="1">
        <w:r>
          <w:rPr>
            <w:rFonts w:ascii="仿宋" w:eastAsia="仿宋" w:hAnsi="仿宋" w:cs="仿宋" w:hint="eastAsia"/>
            <w:lang w:eastAsia="zh-CN"/>
          </w:rPr>
          <w:t>(二)、研发规划与投入</w:t>
        </w:r>
        <w:r>
          <w:tab/>
        </w:r>
        <w:r>
          <w:fldChar w:fldCharType="begin"/>
        </w:r>
        <w:r>
          <w:instrText xml:space="preserve"> PAGEREF _Toc18655 \h </w:instrText>
        </w:r>
        <w:r>
          <w:fldChar w:fldCharType="separate"/>
        </w:r>
        <w:r>
          <w:t>44</w:t>
        </w:r>
        <w:r>
          <w:fldChar w:fldCharType="end"/>
        </w:r>
      </w:hyperlink>
    </w:p>
    <w:p>
      <w:pPr>
        <w:pStyle w:val="TOC1"/>
        <w:tabs>
          <w:tab w:val="right" w:leader="dot" w:pos="8306"/>
        </w:tabs>
      </w:pPr>
      <w:hyperlink w:anchor="_Toc17061" w:history="1">
        <w:r>
          <w:rPr>
            <w:rFonts w:ascii="仿宋" w:eastAsia="仿宋" w:hAnsi="仿宋" w:cs="仿宋" w:hint="eastAsia"/>
            <w:lang w:eastAsia="zh-CN"/>
          </w:rPr>
          <w:t>十二、气体掺混设备项目社会影响</w:t>
        </w:r>
        <w:r>
          <w:tab/>
        </w:r>
        <w:r>
          <w:fldChar w:fldCharType="begin"/>
        </w:r>
        <w:r>
          <w:instrText xml:space="preserve"> PAGEREF _Toc17061 \h </w:instrText>
        </w:r>
        <w:r>
          <w:fldChar w:fldCharType="separate"/>
        </w:r>
        <w:r>
          <w:t>46</w:t>
        </w:r>
        <w:r>
          <w:fldChar w:fldCharType="end"/>
        </w:r>
      </w:hyperlink>
    </w:p>
    <w:p>
      <w:pPr>
        <w:pStyle w:val="TOC2"/>
        <w:tabs>
          <w:tab w:val="right" w:leader="dot" w:pos="8306"/>
        </w:tabs>
      </w:pPr>
      <w:hyperlink w:anchor="_Toc9139" w:history="1">
        <w:r>
          <w:rPr>
            <w:rFonts w:ascii="仿宋" w:eastAsia="仿宋" w:hAnsi="仿宋" w:cs="仿宋" w:hint="eastAsia"/>
            <w:lang w:eastAsia="zh-CN"/>
          </w:rPr>
          <w:t>(一)、社会责任与义务</w:t>
        </w:r>
        <w:r>
          <w:tab/>
        </w:r>
        <w:r>
          <w:fldChar w:fldCharType="begin"/>
        </w:r>
        <w:r>
          <w:instrText xml:space="preserve"> PAGEREF _Toc9139 \h </w:instrText>
        </w:r>
        <w:r>
          <w:fldChar w:fldCharType="separate"/>
        </w:r>
        <w:r>
          <w:t>46</w:t>
        </w:r>
        <w:r>
          <w:fldChar w:fldCharType="end"/>
        </w:r>
      </w:hyperlink>
    </w:p>
    <w:p>
      <w:pPr>
        <w:pStyle w:val="TOC2"/>
        <w:tabs>
          <w:tab w:val="right" w:leader="dot" w:pos="8306"/>
        </w:tabs>
      </w:pPr>
      <w:hyperlink w:anchor="_Toc28188" w:history="1">
        <w:r>
          <w:rPr>
            <w:rFonts w:ascii="仿宋" w:eastAsia="仿宋" w:hAnsi="仿宋" w:cs="仿宋" w:hint="eastAsia"/>
            <w:lang w:eastAsia="zh-CN"/>
          </w:rPr>
          <w:t>(二)、社会参与与沟通</w:t>
        </w:r>
        <w:r>
          <w:tab/>
        </w:r>
        <w:r>
          <w:fldChar w:fldCharType="begin"/>
        </w:r>
        <w:r>
          <w:instrText xml:space="preserve"> PAGEREF _Toc28188 \h </w:instrText>
        </w:r>
        <w:r>
          <w:fldChar w:fldCharType="separate"/>
        </w:r>
        <w:r>
          <w:t>47</w:t>
        </w:r>
        <w:r>
          <w:fldChar w:fldCharType="end"/>
        </w:r>
      </w:hyperlink>
    </w:p>
    <w:p>
      <w:pPr>
        <w:pStyle w:val="TOC1"/>
        <w:tabs>
          <w:tab w:val="right" w:leader="dot" w:pos="8306"/>
        </w:tabs>
      </w:pPr>
      <w:hyperlink w:anchor="_Toc31763" w:history="1">
        <w:r>
          <w:rPr>
            <w:rFonts w:ascii="仿宋" w:eastAsia="仿宋" w:hAnsi="仿宋" w:cs="仿宋" w:hint="eastAsia"/>
            <w:lang w:eastAsia="zh-CN"/>
          </w:rPr>
          <w:t>十三、供应链管理</w:t>
        </w:r>
        <w:r>
          <w:tab/>
        </w:r>
        <w:r>
          <w:fldChar w:fldCharType="begin"/>
        </w:r>
        <w:r>
          <w:instrText xml:space="preserve"> PAGEREF _Toc31763 \h </w:instrText>
        </w:r>
        <w:r>
          <w:fldChar w:fldCharType="separate"/>
        </w:r>
        <w:r>
          <w:t>47</w:t>
        </w:r>
        <w:r>
          <w:fldChar w:fldCharType="end"/>
        </w:r>
      </w:hyperlink>
    </w:p>
    <w:p>
      <w:pPr>
        <w:pStyle w:val="TOC2"/>
        <w:tabs>
          <w:tab w:val="right" w:leader="dot" w:pos="8306"/>
        </w:tabs>
      </w:pPr>
      <w:hyperlink w:anchor="_Toc10442" w:history="1">
        <w:r>
          <w:rPr>
            <w:rFonts w:ascii="仿宋" w:eastAsia="仿宋" w:hAnsi="仿宋" w:cs="仿宋" w:hint="eastAsia"/>
            <w:lang w:eastAsia="zh-CN"/>
          </w:rPr>
          <w:t>(一)、供应链战略规划</w:t>
        </w:r>
        <w:r>
          <w:tab/>
        </w:r>
        <w:r>
          <w:fldChar w:fldCharType="begin"/>
        </w:r>
        <w:r>
          <w:instrText xml:space="preserve"> PAGEREF _Toc10442 \h </w:instrText>
        </w:r>
        <w:r>
          <w:fldChar w:fldCharType="separate"/>
        </w:r>
        <w:r>
          <w:t>47</w:t>
        </w:r>
        <w:r>
          <w:fldChar w:fldCharType="end"/>
        </w:r>
      </w:hyperlink>
    </w:p>
    <w:p>
      <w:pPr>
        <w:pStyle w:val="TOC2"/>
        <w:tabs>
          <w:tab w:val="right" w:leader="dot" w:pos="8306"/>
        </w:tabs>
      </w:pPr>
      <w:hyperlink w:anchor="_Toc1091" w:history="1">
        <w:r>
          <w:rPr>
            <w:rFonts w:ascii="仿宋" w:eastAsia="仿宋" w:hAnsi="仿宋" w:cs="仿宋" w:hint="eastAsia"/>
            <w:lang w:eastAsia="zh-CN"/>
          </w:rPr>
          <w:t>(二)、供应商选择与合作</w:t>
        </w:r>
        <w:r>
          <w:tab/>
        </w:r>
        <w:r>
          <w:fldChar w:fldCharType="begin"/>
        </w:r>
        <w:r>
          <w:instrText xml:space="preserve"> PAGEREF _Toc1091 \h </w:instrText>
        </w:r>
        <w:r>
          <w:fldChar w:fldCharType="separate"/>
        </w:r>
        <w:r>
          <w:t>49</w:t>
        </w:r>
        <w:r>
          <w:fldChar w:fldCharType="end"/>
        </w:r>
      </w:hyperlink>
    </w:p>
    <w:p>
      <w:pPr>
        <w:pStyle w:val="TOC2"/>
        <w:tabs>
          <w:tab w:val="right" w:leader="dot" w:pos="8306"/>
        </w:tabs>
      </w:pPr>
      <w:hyperlink w:anchor="_Toc23720" w:history="1">
        <w:r>
          <w:rPr>
            <w:rFonts w:ascii="仿宋" w:eastAsia="仿宋" w:hAnsi="仿宋" w:cs="仿宋" w:hint="eastAsia"/>
            <w:lang w:eastAsia="zh-CN"/>
          </w:rPr>
          <w:t>(三)、物流与库存管理</w:t>
        </w:r>
        <w:r>
          <w:tab/>
        </w:r>
        <w:r>
          <w:fldChar w:fldCharType="begin"/>
        </w:r>
        <w:r>
          <w:instrText xml:space="preserve"> PAGEREF _Toc23720 \h </w:instrText>
        </w:r>
        <w:r>
          <w:fldChar w:fldCharType="separate"/>
        </w:r>
        <w:r>
          <w:t>50</w:t>
        </w:r>
        <w:r>
          <w:fldChar w:fldCharType="end"/>
        </w:r>
      </w:hyperlink>
    </w:p>
    <w:p>
      <w:pPr>
        <w:pStyle w:val="TOC1"/>
        <w:tabs>
          <w:tab w:val="right" w:leader="dot" w:pos="8306"/>
        </w:tabs>
      </w:pPr>
      <w:hyperlink w:anchor="_Toc9212" w:history="1">
        <w:r>
          <w:rPr>
            <w:rFonts w:ascii="仿宋" w:eastAsia="仿宋" w:hAnsi="仿宋" w:cs="仿宋" w:hint="eastAsia"/>
            <w:lang w:eastAsia="zh-CN"/>
          </w:rPr>
          <w:t>十四、气体掺混设备项目实施保障措施</w:t>
        </w:r>
        <w:r>
          <w:tab/>
        </w:r>
        <w:r>
          <w:fldChar w:fldCharType="begin"/>
        </w:r>
        <w:r>
          <w:instrText xml:space="preserve"> PAGEREF _Toc9212 \h </w:instrText>
        </w:r>
        <w:r>
          <w:fldChar w:fldCharType="separate"/>
        </w:r>
        <w:r>
          <w:t>52</w:t>
        </w:r>
        <w:r>
          <w:fldChar w:fldCharType="end"/>
        </w:r>
      </w:hyperlink>
    </w:p>
    <w:p>
      <w:pPr>
        <w:pStyle w:val="TOC2"/>
        <w:tabs>
          <w:tab w:val="right" w:leader="dot" w:pos="8306"/>
        </w:tabs>
      </w:pPr>
      <w:hyperlink w:anchor="_Toc27049" w:history="1">
        <w:r>
          <w:rPr>
            <w:rFonts w:ascii="仿宋" w:eastAsia="仿宋" w:hAnsi="仿宋" w:cs="仿宋" w:hint="eastAsia"/>
            <w:lang w:eastAsia="zh-CN"/>
          </w:rPr>
          <w:t>(一)、气体掺混设备项目实施保障机制</w:t>
        </w:r>
        <w:r>
          <w:tab/>
        </w:r>
        <w:r>
          <w:fldChar w:fldCharType="begin"/>
        </w:r>
        <w:r>
          <w:instrText xml:space="preserve"> PAGEREF _Toc27049 \h </w:instrText>
        </w:r>
        <w:r>
          <w:fldChar w:fldCharType="separate"/>
        </w:r>
        <w:r>
          <w:t>52</w:t>
        </w:r>
        <w:r>
          <w:fldChar w:fldCharType="end"/>
        </w:r>
      </w:hyperlink>
    </w:p>
    <w:p>
      <w:pPr>
        <w:pStyle w:val="TOC2"/>
        <w:tabs>
          <w:tab w:val="right" w:leader="dot" w:pos="8306"/>
        </w:tabs>
      </w:pPr>
      <w:hyperlink w:anchor="_Toc24081" w:history="1">
        <w:r>
          <w:rPr>
            <w:rFonts w:ascii="仿宋" w:eastAsia="仿宋" w:hAnsi="仿宋" w:cs="仿宋" w:hint="eastAsia"/>
            <w:lang w:eastAsia="zh-CN"/>
          </w:rPr>
          <w:t>(二)、气体掺混设备项目法律合规要求</w:t>
        </w:r>
        <w:r>
          <w:tab/>
        </w:r>
        <w:r>
          <w:fldChar w:fldCharType="begin"/>
        </w:r>
        <w:r>
          <w:instrText xml:space="preserve"> PAGEREF _Toc24081 \h </w:instrText>
        </w:r>
        <w:r>
          <w:fldChar w:fldCharType="separate"/>
        </w:r>
        <w:r>
          <w:t>55</w:t>
        </w:r>
        <w:r>
          <w:fldChar w:fldCharType="end"/>
        </w:r>
      </w:hyperlink>
    </w:p>
    <w:p>
      <w:pPr>
        <w:pStyle w:val="TOC2"/>
        <w:tabs>
          <w:tab w:val="right" w:leader="dot" w:pos="8306"/>
        </w:tabs>
      </w:pPr>
      <w:hyperlink w:anchor="_Toc10048" w:history="1">
        <w:r>
          <w:rPr>
            <w:rFonts w:ascii="仿宋" w:eastAsia="仿宋" w:hAnsi="仿宋" w:cs="仿宋" w:hint="eastAsia"/>
            <w:lang w:eastAsia="zh-CN"/>
          </w:rPr>
          <w:t>(三)、气体掺混设备项目合同管理与法律事务</w:t>
        </w:r>
        <w:r>
          <w:tab/>
        </w:r>
        <w:r>
          <w:fldChar w:fldCharType="begin"/>
        </w:r>
        <w:r>
          <w:instrText xml:space="preserve"> PAGEREF _Toc10048 \h </w:instrText>
        </w:r>
        <w:r>
          <w:fldChar w:fldCharType="separate"/>
        </w:r>
        <w:r>
          <w:t>60</w:t>
        </w:r>
        <w:r>
          <w:fldChar w:fldCharType="end"/>
        </w:r>
      </w:hyperlink>
    </w:p>
    <w:p>
      <w:pPr>
        <w:pStyle w:val="TOC2"/>
        <w:tabs>
          <w:tab w:val="right" w:leader="dot" w:pos="8306"/>
        </w:tabs>
      </w:pPr>
      <w:hyperlink w:anchor="_Toc13423" w:history="1">
        <w:r>
          <w:rPr>
            <w:rFonts w:ascii="仿宋" w:eastAsia="仿宋" w:hAnsi="仿宋" w:cs="仿宋" w:hint="eastAsia"/>
            <w:lang w:eastAsia="zh-CN"/>
          </w:rPr>
          <w:t>(四)、气体掺混设备项目知识产权保护策略</w:t>
        </w:r>
        <w:r>
          <w:tab/>
        </w:r>
        <w:r>
          <w:fldChar w:fldCharType="begin"/>
        </w:r>
        <w:r>
          <w:instrText xml:space="preserve"> PAGEREF _Toc13423 \h </w:instrText>
        </w:r>
        <w:r>
          <w:fldChar w:fldCharType="separate"/>
        </w:r>
        <w:r>
          <w:t>66</w:t>
        </w:r>
        <w:r>
          <w:fldChar w:fldCharType="end"/>
        </w:r>
      </w:hyperlink>
    </w:p>
    <w:p>
      <w:pPr>
        <w:pStyle w:val="TOC1"/>
        <w:tabs>
          <w:tab w:val="right" w:leader="dot" w:pos="8306"/>
        </w:tabs>
      </w:pPr>
      <w:hyperlink w:anchor="_Toc32475" w:history="1">
        <w:r>
          <w:rPr>
            <w:rFonts w:ascii="仿宋" w:eastAsia="仿宋" w:hAnsi="仿宋" w:cs="仿宋" w:hint="eastAsia"/>
            <w:lang w:eastAsia="zh-CN"/>
          </w:rPr>
          <w:t>十五、气体掺混设备项目实施时间节点</w:t>
        </w:r>
        <w:r>
          <w:tab/>
        </w:r>
        <w:r>
          <w:fldChar w:fldCharType="begin"/>
        </w:r>
        <w:r>
          <w:instrText xml:space="preserve"> PAGEREF _Toc32475 \h </w:instrText>
        </w:r>
        <w:r>
          <w:fldChar w:fldCharType="separate"/>
        </w:r>
        <w:r>
          <w:t>68</w:t>
        </w:r>
        <w:r>
          <w:fldChar w:fldCharType="end"/>
        </w:r>
      </w:hyperlink>
    </w:p>
    <w:p>
      <w:pPr>
        <w:pStyle w:val="TOC2"/>
        <w:tabs>
          <w:tab w:val="right" w:leader="dot" w:pos="8306"/>
        </w:tabs>
      </w:pPr>
      <w:hyperlink w:anchor="_Toc1309" w:history="1">
        <w:r>
          <w:rPr>
            <w:rFonts w:ascii="仿宋" w:eastAsia="仿宋" w:hAnsi="仿宋" w:cs="仿宋" w:hint="eastAsia"/>
            <w:lang w:eastAsia="zh-CN"/>
          </w:rPr>
          <w:t>(一)、气体掺混设备项目启动阶段时间节点</w:t>
        </w:r>
        <w:r>
          <w:tab/>
        </w:r>
        <w:r>
          <w:fldChar w:fldCharType="begin"/>
        </w:r>
        <w:r>
          <w:instrText xml:space="preserve"> PAGEREF _Toc1309 \h </w:instrText>
        </w:r>
        <w:r>
          <w:fldChar w:fldCharType="separate"/>
        </w:r>
        <w:r>
          <w:t>68</w:t>
        </w:r>
        <w:r>
          <w:fldChar w:fldCharType="end"/>
        </w:r>
      </w:hyperlink>
    </w:p>
    <w:p>
      <w:pPr>
        <w:pStyle w:val="TOC2"/>
        <w:tabs>
          <w:tab w:val="right" w:leader="dot" w:pos="8306"/>
        </w:tabs>
      </w:pPr>
      <w:hyperlink w:anchor="_Toc20336" w:history="1">
        <w:r>
          <w:rPr>
            <w:rFonts w:ascii="仿宋" w:eastAsia="仿宋" w:hAnsi="仿宋" w:cs="仿宋" w:hint="eastAsia"/>
            <w:lang w:eastAsia="zh-CN"/>
          </w:rPr>
          <w:t>(二)、气体掺混设备项目执行阶段时间节点</w:t>
        </w:r>
        <w:r>
          <w:tab/>
        </w:r>
        <w:r>
          <w:fldChar w:fldCharType="begin"/>
        </w:r>
        <w:r>
          <w:instrText xml:space="preserve"> PAGEREF _Toc20336 \h </w:instrText>
        </w:r>
        <w:r>
          <w:fldChar w:fldCharType="separate"/>
        </w:r>
        <w:r>
          <w:t>70</w:t>
        </w:r>
        <w:r>
          <w:fldChar w:fldCharType="end"/>
        </w:r>
      </w:hyperlink>
    </w:p>
    <w:p>
      <w:pPr>
        <w:pStyle w:val="TOC2"/>
        <w:tabs>
          <w:tab w:val="right" w:leader="dot" w:pos="8306"/>
        </w:tabs>
      </w:pPr>
      <w:hyperlink w:anchor="_Toc28701" w:history="1">
        <w:r>
          <w:rPr>
            <w:rFonts w:ascii="仿宋" w:eastAsia="仿宋" w:hAnsi="仿宋" w:cs="仿宋" w:hint="eastAsia"/>
            <w:lang w:eastAsia="zh-CN"/>
          </w:rPr>
          <w:t>(三)、气体掺混设备项目完成阶段时间节点</w:t>
        </w:r>
        <w:r>
          <w:tab/>
        </w:r>
        <w:r>
          <w:fldChar w:fldCharType="begin"/>
        </w:r>
        <w:r>
          <w:instrText xml:space="preserve"> PAGEREF _Toc28701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862"/>
      <w:r>
        <w:rPr>
          <w:rFonts w:ascii="仿宋" w:eastAsia="仿宋" w:hAnsi="仿宋" w:cs="仿宋" w:hint="eastAsia"/>
          <w:lang w:eastAsia="zh-CN"/>
        </w:rPr>
        <w:t>(一)、气体掺混设备行业分析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行业一直以来都是市场的关注焦点。行业内的发展趋势、竞争态势以及潜在机会都对气体掺混设备项目的推进产生深远的影响。通过深入研究行业的整体概貌，我们将更好地理解行业的核心特征，为气体掺混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行业，技术一直是推动创新和发展的关键因素。我们将对当前技术趋势进行详尽分析，包括但不限于人工智能、大数据应用、先进制造技术等。这有助于气体掺混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体掺混设备项目成功的基础。我们将对主要竞争对手进行深入研究，包括其市场份额、产品特点、市场定位等。通过全面了解竞争对手的优势和劣势，气体掺混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315"/>
      <w:r>
        <w:rPr>
          <w:rFonts w:ascii="仿宋" w:eastAsia="仿宋" w:hAnsi="仿宋" w:cs="仿宋" w:hint="eastAsia"/>
          <w:sz w:val="28"/>
          <w:lang w:eastAsia="zh-CN"/>
        </w:rPr>
        <w:t>(二)、气体掺混设备市场分析预测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体掺混设备市场未来的增长趋势。这包括市场的整体规模、各细分领域的发展趋势等。气体掺混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体掺混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气体掺混设备项目实施过程中需要充分考虑的因素。我们将对市场风险进行全面评估，包括但不限于政策法规风险、市场竞争风险、技术变革风险等。通过对潜在风险的深入分析，气体掺混设备项目可以制定相应的风险缓解策略，降低不确定性对气体掺混设备项目的影响。</w:t>
      </w:r>
    </w:p>
    <w:p>
      <w:pPr>
        <w:pStyle w:val="Heading1"/>
        <w:ind w:firstLine="560" w:firstLineChars="200"/>
        <w:rPr>
          <w:rFonts w:ascii="仿宋" w:eastAsia="仿宋" w:hAnsi="仿宋" w:cs="仿宋" w:hint="eastAsia"/>
          <w:sz w:val="28"/>
          <w:lang w:eastAsia="zh-CN"/>
        </w:rPr>
      </w:pPr>
      <w:bookmarkStart w:id="5" w:name="_Toc1806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4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气体掺混设备项目的主要产品是XXXX，预计年产值为XXX万元。这一产品在市场中占据着重要的地位，其广泛的应用范围使得该气体掺混设备项目的市场前景非常广阔。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体掺混设备项目的xxx产品作为重要的原材料之一，将在多个领域发挥关键作用。其在建筑、交通、能源等方面的广泛应用将为整个产业链提供强大的支持，形成产业协同效应。气体掺混设备项目的年产值XXX万XXX万XXX万万元不仅反映了其在市场上的巨大潜力，更预示着它对国民经济的积极贡献。这种关联度高、涉及面广的产业关系，使得该气体掺混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49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总征地面积为XXXX平方米，相当于约XX.XX亩，其中净用地面积为XXXX平方米，红线范围内相当于约XX.XX亩。这一用地规模充分考虑了气体掺混设备项目的建设需求，保障了气体掺混设备项目在合适的空间内得以充分发展。气体掺混设备项目规划的总建筑面积为XXXX平方米，其中主体工程建设占XXXX平方米，计容建筑面积达XXXX平方米。预计建筑工程的投资将达到XXXX万元，为气体掺混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计划购置的设备共计XXXX台（套），设备购置费用为XXXX万元。这一设备购置计划充分考虑到气体掺混设备项目的生产需求和技术要求，确保了气体掺混设备项目在生产运营中具备先进的技术装备和高效的生产能力。设备的合理配置将为气体掺混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气体掺混设备项目计划总投资为XXXX万元，预计年实现营业收入为XXXX万元。这一产能规模的设定旨在确保气体掺混设备项目能够在投资与回报之间取得平衡，实现长期可持续的发展。气体掺混设备项目的总投资充分考虑到各个方面的需求，包括用地建设、设备购置等多个环节，以确保气体掺混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554"/>
      <w:r>
        <w:rPr>
          <w:rFonts w:ascii="仿宋" w:eastAsia="仿宋" w:hAnsi="仿宋" w:cs="仿宋" w:hint="eastAsia"/>
          <w:sz w:val="28"/>
          <w:lang w:eastAsia="zh-CN"/>
        </w:rPr>
        <w:t>三、气体掺混设备项目建设背景及必要性分析</w:t>
      </w:r>
      <w:bookmarkEnd w:id="8"/>
    </w:p>
    <w:p>
      <w:pPr>
        <w:pStyle w:val="Heading2"/>
        <w:rPr>
          <w:rFonts w:ascii="仿宋" w:eastAsia="仿宋" w:hAnsi="仿宋" w:cs="仿宋" w:hint="eastAsia"/>
          <w:lang w:eastAsia="zh-CN"/>
        </w:rPr>
      </w:pPr>
      <w:bookmarkStart w:id="9" w:name="_Toc5193"/>
      <w:r>
        <w:rPr>
          <w:rFonts w:ascii="仿宋" w:eastAsia="仿宋" w:hAnsi="仿宋" w:cs="仿宋" w:hint="eastAsia"/>
          <w:lang w:eastAsia="zh-CN"/>
        </w:rPr>
        <w:t>(一)、气体掺混设备项目背景分析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体掺混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体掺混设备项目在这个潮流中的定位。同时，我们将关注行业内涌现的新兴机遇，以便气体掺混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体掺混设备项目提供了强大的发展动力。我们将聚焦于行业内最新的技术发展趋势，包括但不限于人工智能、大数据分析、物联网等领域。通过深度的技术研究，我们将确保气体掺混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体掺混设备项目发展的源泉。我们将投入更多的精力对市场需求进行深入剖析，超越表面的需求，深入挖掘潜在的市场痛点和机遇。通过对市场需求的细致了解，气体掺混设备项目将更有针对性地设计解决方案，满足市场的多样化需求，从而更好地促进气体掺混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体掺混设备项目战略至关重要。我们将对竞争态势进行更为深入的分析，包括但不限于市场份额、产品特点、客户满意度等多个维度。通过深度的竞争分析，气体掺混设备项目将能够更准确地把握市场脉搏，制定具有竞争力的气体掺混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体掺混设备项目的发展具有直接的影响。我们将进行更为全面的法规和政策分析，了解行业发展中的潜在法律风险和合规挑战。通过充分了解和遵守相关法规，气体掺混设备项目将确保在法律框架内合法合规运营，为气体掺混设备项目的稳健发展提供有力支持。</w:t>
      </w:r>
    </w:p>
    <w:p>
      <w:pPr>
        <w:pStyle w:val="Heading2"/>
        <w:ind w:firstLine="560" w:firstLineChars="200"/>
        <w:rPr>
          <w:rFonts w:ascii="仿宋" w:eastAsia="仿宋" w:hAnsi="仿宋" w:cs="仿宋" w:hint="eastAsia"/>
          <w:sz w:val="28"/>
          <w:lang w:eastAsia="zh-CN"/>
        </w:rPr>
      </w:pPr>
      <w:bookmarkStart w:id="10" w:name="_Toc19036"/>
      <w:r>
        <w:rPr>
          <w:rFonts w:ascii="仿宋" w:eastAsia="仿宋" w:hAnsi="仿宋" w:cs="仿宋" w:hint="eastAsia"/>
          <w:sz w:val="28"/>
          <w:lang w:eastAsia="zh-CN"/>
        </w:rPr>
        <w:t>(二)、气体掺混设备项目建设必要性分析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建设的迫切性源于对行业发展趋势的深刻洞察。我们正处于一个行业变革的时代，科技创新、数字化转型成为企业发展的关键动力。气体掺混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建设不仅仅是为了跟上潮流，更是为了通过技术创新推动企业的持续发展。通过引入先进的技术和解决方案，气体掺混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体掺混设备项目的建设成为必然选择，通过提高产品质量、拓展服务领域，从而在竞争中获得更多的机会。气体掺混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体掺混设备项目建设的必要性体现在对客户需求更精准的满足。通过气体掺混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建设的背后是对企业持续创新的追求。只有通过不断创新，企业才能在竞争中立于不败之地。气体掺混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5884"/>
      <w:r>
        <w:rPr>
          <w:rFonts w:ascii="仿宋" w:eastAsia="仿宋" w:hAnsi="仿宋" w:cs="仿宋" w:hint="eastAsia"/>
          <w:sz w:val="28"/>
          <w:lang w:eastAsia="zh-CN"/>
        </w:rPr>
        <w:t>四、气体掺混设备项目绩效评估</w:t>
      </w:r>
      <w:bookmarkEnd w:id="11"/>
    </w:p>
    <w:p>
      <w:pPr>
        <w:pStyle w:val="Heading2"/>
        <w:rPr>
          <w:rFonts w:ascii="仿宋" w:eastAsia="仿宋" w:hAnsi="仿宋" w:cs="仿宋" w:hint="eastAsia"/>
          <w:lang w:eastAsia="zh-CN"/>
        </w:rPr>
      </w:pPr>
      <w:bookmarkStart w:id="12" w:name="_Toc2355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中，我们设计了一套全面的绩效评估指标，以确保气体掺混设备项目的可控和成功交付。这些指标跨足气体掺混设备项目目标、成本、进度和质量等多个维度，为我们提供了全面洞察气体掺混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目标达成率是我们关注的首要指标。我们设定了明确的目标，并通过定期监测和评估，迅速发现并应对潜在的目标偏差。这为气体掺混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成本绩效是另一个核心关注点。通过实际成本与预算成本的对比分析，我们深入了解成本差异的原因，及时调整资源分配，保持气体掺混设备项目在经济效益方面的合理水平。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进度作为关键的绩效指标之一，得到了精心的关注。我们制定了详细的气体掺混设备项目进度计划，并设立了进度符合度指标，确保实际进度与计划进度保持一致。这使我们能够快速发现和解决潜在的进度问题，保持气体掺混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体掺混设备项目绩效的不可或缺的一环。我们引入了一系列的质量标准和客户满意度指标，以确保气体掺混设备项目交付的成果在质量上达到或超越预期水平。通过持续监测这些指标，我们努力提升气体掺混设备项目整体质量水平，为气体掺混设备项目的成功交付提供有力保障。通过这些科学且全面的绩效评估，我们能够更好地引导气体掺混设备项目的持续改进，确保气体掺混设备项目目标的顺利达成。</w:t>
      </w:r>
    </w:p>
    <w:p>
      <w:pPr>
        <w:pStyle w:val="Heading2"/>
        <w:ind w:firstLine="560" w:firstLineChars="200"/>
        <w:rPr>
          <w:rFonts w:ascii="仿宋" w:eastAsia="仿宋" w:hAnsi="仿宋" w:cs="仿宋" w:hint="eastAsia"/>
          <w:sz w:val="28"/>
          <w:lang w:eastAsia="zh-CN"/>
        </w:rPr>
      </w:pPr>
      <w:bookmarkStart w:id="13" w:name="_Toc2607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绩效评估是气体掺混设备项目中的关键环节，为确保气体掺混设备项目达到预期目标，我们采用了多层次、多维度的绩效评估方法。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体掺混设备项目的战略目标对齐，确保每个决策和行动都与气体掺混设备项目整体目标保持一致。团队会定期召开战略对齐会议，审视当前工作与气体掺混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体掺混设备项目进度、质量、成本和风险等方面。这些指标通过数据收集和分析，为气体掺混设备项目管理团队提供了客观的评估依据。例如，我们通过气体掺混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绩效评估不仅仅停留在气体掺混设备项目内部，还考虑了气体掺混设备项目对外部环境的影响。我们定期进行干系人满意度调查，以了解各利益相关方对气体掺混设备项目的期望和满意度，并及时做出调整。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这种多层次、多角度的绩效评估方法，使得我们能够全面了解气体掺混设备项目的运行状态，及时做出调整，确保气体掺混设备项目在不断变化的环境中保持稳健前行。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879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为了确保气体掺混设备项目的有效管理和不断优化，我们采用了精心设计的绩效评估周期。这个周期旨在实现灵活、实时和全面的评估，以适应气体掺混设备项目执行中的各种挑战。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体掺混设备项目的不同需求，分为短期、中期和长期。短期评估关注每个迭代或工作周期，以及时发现和解决当前任务中的问题。中期评估涵盖几个迭代，深入了解整体气体掺混设备项目的趋势和性能。长期评估则着眼于整个气体掺混设备项目阶段，确保气体掺混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气体掺混设备项目管理工具和协作平台，团队成员能够随时更新和分享气体掺混设备项目数据。这种实时性的反馈机制使我们能够及时察觉潜在问题，快速调整，保持气体掺混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体掺混设备项目的决策制定密不可分。每个周期的气体掺混设备项目回顾会议成为集体总结经验、识别问题深层次原因并找到创新解决方案的平台。这种定期的反思与调整机制使气体掺混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613"/>
      <w:r>
        <w:rPr>
          <w:rFonts w:ascii="仿宋" w:eastAsia="仿宋" w:hAnsi="仿宋" w:cs="仿宋" w:hint="eastAsia"/>
          <w:sz w:val="28"/>
          <w:lang w:eastAsia="zh-CN"/>
        </w:rPr>
        <w:t>五、气体掺混设备项目土建工程</w:t>
      </w:r>
      <w:bookmarkEnd w:id="15"/>
    </w:p>
    <w:p>
      <w:pPr>
        <w:pStyle w:val="Heading2"/>
        <w:rPr>
          <w:rFonts w:ascii="仿宋" w:eastAsia="仿宋" w:hAnsi="仿宋" w:cs="仿宋" w:hint="eastAsia"/>
          <w:lang w:eastAsia="zh-CN"/>
        </w:rPr>
      </w:pPr>
      <w:bookmarkStart w:id="16" w:name="_Toc426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在气体掺混设备项目的建筑工程设计中，我们将秉承一系列重要的设计原则，以确保气体掺混设备项目建筑在功能、美观、可持续性等方面达到最佳效果。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首要原则是确保建筑的功能性得到最大化的发挥。我们将充分理解气体掺混设备项目的实际需求，合理布局各个功能区域，保证建筑在满足业务需求的同时，提供高效的工作环境。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在建筑设计中，我们将综合考虑建设和运营成本。通过精细的经济效益分析，确保设计方案在高效利用资源的同时，对气体掺混设备项目的长期盈利能力有积极的贡献。</w:t>
      </w:r>
    </w:p>
    <w:p>
      <w:pPr>
        <w:pStyle w:val="Heading2"/>
        <w:ind w:firstLine="560" w:firstLineChars="200"/>
        <w:rPr>
          <w:rFonts w:ascii="仿宋" w:eastAsia="仿宋" w:hAnsi="仿宋" w:cs="仿宋" w:hint="eastAsia"/>
          <w:sz w:val="28"/>
          <w:lang w:eastAsia="zh-CN"/>
        </w:rPr>
      </w:pPr>
      <w:bookmarkStart w:id="17" w:name="_Toc90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的土建工程设计中，我们将精准设定设计年限，结合气体掺混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体掺混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71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气体掺混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体掺混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体掺混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80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本期工程气体掺混设备项目预计总建筑面积XXX平方米，其中：计容建筑面积XXX平方米，计划建筑工程投资XX万元，占气体掺混设备项目总投资的XX%。</w:t>
      </w:r>
    </w:p>
    <w:p>
      <w:pPr>
        <w:pStyle w:val="Heading1"/>
        <w:ind w:firstLine="560" w:firstLineChars="200"/>
        <w:rPr>
          <w:rFonts w:ascii="仿宋" w:eastAsia="仿宋" w:hAnsi="仿宋" w:cs="仿宋" w:hint="eastAsia"/>
          <w:sz w:val="28"/>
          <w:lang w:eastAsia="zh-CN"/>
        </w:rPr>
      </w:pPr>
      <w:bookmarkStart w:id="20" w:name="_Toc16257"/>
      <w:r>
        <w:rPr>
          <w:rFonts w:ascii="仿宋" w:eastAsia="仿宋" w:hAnsi="仿宋" w:cs="仿宋" w:hint="eastAsia"/>
          <w:sz w:val="28"/>
          <w:lang w:eastAsia="zh-CN"/>
        </w:rPr>
        <w:t>六、气体掺混设备项目文档管理</w:t>
      </w:r>
      <w:bookmarkEnd w:id="20"/>
    </w:p>
    <w:p>
      <w:pPr>
        <w:pStyle w:val="Heading2"/>
        <w:rPr>
          <w:rFonts w:ascii="仿宋" w:eastAsia="仿宋" w:hAnsi="仿宋" w:cs="仿宋" w:hint="eastAsia"/>
          <w:lang w:eastAsia="zh-CN"/>
        </w:rPr>
      </w:pPr>
      <w:bookmarkStart w:id="21" w:name="_Toc3106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气体掺混设备项目高度重视文档的质量和准确性，以支持气体掺混设备项目的各项活动和决策。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https://d.book118.com/568055116007006027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20CCB"/>
    <w:rsid w:val="2D020C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551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2024-01-15T17:21:00Z</dcterms:created>
  <dcterms:modified xsi:type="dcterms:W3CDTF">2024-01-15T17:21:21Z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6734731817464BF08E940F3128DF566B_11</vt:lpwstr>
  </property>
  <property fmtid="{D5CDD505-2E9C-101B-9397-08002B2CF9AE}" pid="3" name="KSOProductBuildVer">
    <vt:lpwstr>2052-12.1.0.16120</vt:lpwstr>
  </property>
</Properties>
</file>