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spacing w:before="13"/>
        <w:ind w:left="4654" w:right="4707"/>
        <w:rPr>
          <w:rFonts w:ascii="宋体" w:eastAsia="宋体" w:hint="eastAsia"/>
        </w:rPr>
      </w:pPr>
      <w:r>
        <w:rPr>
          <w:rFonts w:ascii="宋体" w:eastAsia="宋体" w:hint="eastAsia"/>
        </w:rPr>
        <w:t>目录</w:t>
      </w:r>
    </w:p>
    <w:sdt>
      <w:sdtPr>
        <w:id w:val="1316718883"/>
        <w:docPartObj>
          <w:docPartGallery w:val="Table of Contents"/>
          <w:docPartUnique/>
        </w:docPartObj>
      </w:sdtPr>
      <w:sdtContent>
        <w:p>
          <w:pPr>
            <w:pStyle w:val="TOC1"/>
            <w:tabs>
              <w:tab w:val="right" w:leader="dot" w:pos="11179"/>
            </w:tabs>
            <w:spacing w:before="270"/>
          </w:pPr>
          <w:r>
            <w:drawing>
              <wp:anchor distT="0" distB="0" distL="0" distR="0" simplePos="0" relativeHeight="251658240" behindDoc="1" locked="0" layoutInCell="1" allowOverlap="1">
                <wp:simplePos x="0" y="0"/>
                <wp:positionH relativeFrom="page">
                  <wp:posOffset>774700</wp:posOffset>
                </wp:positionH>
                <wp:positionV relativeFrom="paragraph">
                  <wp:posOffset>161416</wp:posOffset>
                </wp:positionV>
                <wp:extent cx="98044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9804400" cy="38100"/>
                        </a:xfrm>
                        <a:prstGeom prst="rect">
                          <a:avLst/>
                        </a:prstGeom>
                      </pic:spPr>
                    </pic:pic>
                  </a:graphicData>
                </a:graphic>
              </wp:anchor>
            </w:drawing>
          </w:r>
          <w:hyperlink w:anchor="_TOC_250026" w:history="1">
            <w:r>
              <w:t>摘要…</w:t>
              <w:tab/>
              <w:t>2</w:t>
            </w:r>
          </w:hyperlink>
        </w:p>
        <w:p>
          <w:pPr>
            <w:pStyle w:val="TOC1"/>
            <w:tabs>
              <w:tab w:val="right" w:leader="dot" w:pos="11179"/>
            </w:tabs>
          </w:pPr>
          <w:hyperlink w:anchor="_TOC_250025" w:history="1">
            <w:r>
              <w:t>第一部分营销背景…</w:t>
              <w:tab/>
              <w:t>3</w:t>
            </w:r>
          </w:hyperlink>
        </w:p>
        <w:p>
          <w:pPr>
            <w:pStyle w:val="TOC4"/>
            <w:tabs>
              <w:tab w:val="left" w:pos="2674"/>
              <w:tab w:val="right" w:leader="dot" w:pos="11892"/>
            </w:tabs>
            <w:spacing w:before="6"/>
          </w:pPr>
          <w:hyperlink w:anchor="_TOC_250024" w:history="1">
            <w:r>
              <w:t>一、</w:t>
              <w:tab/>
              <w:t>志强装饰简介…</w:t>
              <w:tab/>
              <w:t>3</w:t>
            </w:r>
          </w:hyperlink>
        </w:p>
        <w:p>
          <w:pPr>
            <w:pStyle w:val="TOC4"/>
            <w:tabs>
              <w:tab w:val="left" w:pos="2674"/>
              <w:tab w:val="right" w:leader="dot" w:pos="11892"/>
            </w:tabs>
          </w:pPr>
          <w:r>
            <w:t>二、</w:t>
            <w:tab/>
            <w:t>本案思路…</w:t>
            <w:tab/>
            <w:t>3</w:t>
          </w:r>
        </w:p>
        <w:p>
          <w:pPr>
            <w:pStyle w:val="TOC4"/>
            <w:tabs>
              <w:tab w:val="left" w:pos="2674"/>
              <w:tab w:val="right" w:leader="dot" w:pos="11892"/>
            </w:tabs>
          </w:pPr>
          <w:r>
            <w:t>三、</w:t>
            <w:tab/>
            <w:t>实施方案…</w:t>
            <w:tab/>
            <w:t>4</w:t>
          </w:r>
        </w:p>
        <w:p>
          <w:pPr>
            <w:pStyle w:val="TOC1"/>
            <w:tabs>
              <w:tab w:val="right" w:leader="dot" w:pos="11179"/>
            </w:tabs>
          </w:pPr>
          <w:hyperlink w:anchor="_TOC_250023" w:history="1">
            <w:r>
              <w:t>第二部分竞争对手分析…</w:t>
              <w:tab/>
              <w:t>4</w:t>
            </w:r>
          </w:hyperlink>
        </w:p>
        <w:p>
          <w:pPr>
            <w:pStyle w:val="TOC3"/>
            <w:tabs>
              <w:tab w:val="right" w:leader="dot" w:pos="11359"/>
            </w:tabs>
            <w:spacing w:before="6"/>
          </w:pPr>
          <w:hyperlink w:anchor="_TOC_250022" w:history="1">
            <w:r>
              <w:t>一、建材装饰街分析…</w:t>
              <w:tab/>
              <w:t>4</w:t>
            </w:r>
          </w:hyperlink>
        </w:p>
        <w:p>
          <w:pPr>
            <w:pStyle w:val="TOC3"/>
            <w:tabs>
              <w:tab w:val="right" w:leader="dot" w:pos="11359"/>
            </w:tabs>
          </w:pPr>
          <w:hyperlink w:anchor="_TOC_250021" w:history="1">
            <w:r>
              <w:t>二、其他竞争对手分析…</w:t>
              <w:tab/>
              <w:t>5</w:t>
            </w:r>
          </w:hyperlink>
        </w:p>
        <w:p>
          <w:pPr>
            <w:pStyle w:val="TOC1"/>
            <w:tabs>
              <w:tab w:val="right" w:leader="dot" w:pos="11363"/>
            </w:tabs>
          </w:pPr>
          <w:r>
            <w:drawing>
              <wp:anchor distT="0" distB="0" distL="0" distR="0" simplePos="0" relativeHeight="251659264" behindDoc="1" locked="0" layoutInCell="1" allowOverlap="1">
                <wp:simplePos x="0" y="0"/>
                <wp:positionH relativeFrom="page">
                  <wp:posOffset>1511300</wp:posOffset>
                </wp:positionH>
                <wp:positionV relativeFrom="paragraph">
                  <wp:posOffset>271272</wp:posOffset>
                </wp:positionV>
                <wp:extent cx="7975600" cy="72009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7975600" cy="7200900"/>
                        </a:xfrm>
                        <a:prstGeom prst="rect">
                          <a:avLst/>
                        </a:prstGeom>
                      </pic:spPr>
                    </pic:pic>
                  </a:graphicData>
                </a:graphic>
              </wp:anchor>
            </w:drawing>
          </w:r>
          <w:hyperlink w:anchor="_TOC_250020" w:history="1">
            <w:r>
              <w:t>第三部分志强装饰</w:t>
            </w:r>
            <w:r>
              <w:rPr>
                <w:spacing w:val="-78"/>
              </w:rPr>
              <w:t xml:space="preserve"> </w:t>
            </w:r>
            <w:r>
              <w:t>SWOT</w:t>
            </w:r>
            <w:r>
              <w:rPr>
                <w:spacing w:val="-88"/>
              </w:rPr>
              <w:t xml:space="preserve"> </w:t>
            </w:r>
            <w:r>
              <w:t>分析…</w:t>
              <w:tab/>
              <w:t>6</w:t>
            </w:r>
          </w:hyperlink>
        </w:p>
        <w:p>
          <w:pPr>
            <w:pStyle w:val="TOC1"/>
            <w:tabs>
              <w:tab w:val="right" w:leader="dot" w:pos="10095"/>
            </w:tabs>
          </w:pPr>
          <w:hyperlink w:anchor="_TOC_250019" w:history="1">
            <w:r>
              <w:t>一、优势…</w:t>
              <w:tab/>
              <w:t>6</w:t>
            </w:r>
          </w:hyperlink>
        </w:p>
        <w:p>
          <w:pPr>
            <w:pStyle w:val="TOC3"/>
            <w:tabs>
              <w:tab w:val="right" w:leader="dot" w:pos="11359"/>
            </w:tabs>
            <w:spacing w:before="6"/>
          </w:pPr>
          <w:hyperlink w:anchor="_TOC_250018" w:history="1">
            <w:r>
              <w:t>二、劣势…</w:t>
              <w:tab/>
              <w:t>6</w:t>
            </w:r>
          </w:hyperlink>
        </w:p>
        <w:p>
          <w:pPr>
            <w:pStyle w:val="TOC3"/>
            <w:tabs>
              <w:tab w:val="right" w:leader="dot" w:pos="11359"/>
            </w:tabs>
            <w:spacing w:before="8"/>
          </w:pPr>
          <w:hyperlink w:anchor="_TOC_250017" w:history="1">
            <w:r>
              <w:t>三、机会…</w:t>
              <w:tab/>
              <w:t>7</w:t>
            </w:r>
          </w:hyperlink>
        </w:p>
        <w:p>
          <w:pPr>
            <w:pStyle w:val="TOC3"/>
            <w:tabs>
              <w:tab w:val="right" w:leader="dot" w:pos="11359"/>
            </w:tabs>
          </w:pPr>
          <w:r>
            <w:t>四、威胁…</w:t>
            <w:tab/>
            <w:t>8</w:t>
          </w:r>
        </w:p>
        <w:p>
          <w:pPr>
            <w:pStyle w:val="TOC1"/>
            <w:tabs>
              <w:tab w:val="right" w:leader="dot" w:pos="11179"/>
            </w:tabs>
            <w:spacing w:before="6"/>
          </w:pPr>
          <w:hyperlink w:anchor="_TOC_250016" w:history="1">
            <w:r>
              <w:t>第四部分消费者分析…</w:t>
              <w:tab/>
              <w:t>8</w:t>
            </w:r>
          </w:hyperlink>
        </w:p>
        <w:p>
          <w:pPr>
            <w:pStyle w:val="TOC1"/>
            <w:tabs>
              <w:tab w:val="right" w:leader="dot" w:pos="9735"/>
            </w:tabs>
          </w:pPr>
          <w:hyperlink w:anchor="_TOC_250015" w:history="1">
            <w:r>
              <w:t>一、家庭装修人群…</w:t>
              <w:tab/>
              <w:t>8</w:t>
            </w:r>
          </w:hyperlink>
        </w:p>
        <w:p>
          <w:pPr>
            <w:pStyle w:val="TOC1"/>
            <w:tabs>
              <w:tab w:val="right" w:leader="dot" w:pos="9735"/>
            </w:tabs>
          </w:pPr>
          <w:hyperlink w:anchor="_TOC_250014" w:history="1">
            <w:r>
              <w:t>二、公共装修领域…</w:t>
              <w:tab/>
              <w:t>9</w:t>
            </w:r>
          </w:hyperlink>
        </w:p>
        <w:p>
          <w:pPr>
            <w:pStyle w:val="TOC1"/>
            <w:tabs>
              <w:tab w:val="right" w:leader="dot" w:pos="11179"/>
            </w:tabs>
          </w:pPr>
          <w:hyperlink w:anchor="_TOC_250013" w:history="1">
            <w:r>
              <w:t>第五部分营销策略…</w:t>
              <w:tab/>
              <w:t>9</w:t>
            </w:r>
          </w:hyperlink>
        </w:p>
        <w:p>
          <w:pPr>
            <w:pStyle w:val="TOC2"/>
            <w:tabs>
              <w:tab w:val="right" w:leader="dot" w:pos="11132"/>
            </w:tabs>
          </w:pPr>
          <w:hyperlink w:anchor="_TOC_250012" w:history="1">
            <w:r>
              <w:t>一、产品策略…</w:t>
              <w:tab/>
              <w:t>10</w:t>
            </w:r>
          </w:hyperlink>
        </w:p>
        <w:p>
          <w:pPr>
            <w:pStyle w:val="TOC3"/>
            <w:tabs>
              <w:tab w:val="right" w:leader="dot" w:pos="11539"/>
            </w:tabs>
          </w:pPr>
          <w:hyperlink w:anchor="_TOC_250011" w:history="1">
            <w:r>
              <w:t>二、服务策略…</w:t>
              <w:tab/>
              <w:t>10</w:t>
            </w:r>
          </w:hyperlink>
        </w:p>
        <w:p>
          <w:pPr>
            <w:pStyle w:val="TOC3"/>
            <w:tabs>
              <w:tab w:val="right" w:leader="dot" w:pos="11539"/>
            </w:tabs>
          </w:pPr>
          <w:hyperlink w:anchor="_TOC_250010" w:history="1">
            <w:r>
              <w:t>三、价格策略…</w:t>
              <w:tab/>
              <w:t>11</w:t>
            </w:r>
          </w:hyperlink>
        </w:p>
        <w:p>
          <w:pPr>
            <w:pStyle w:val="TOC3"/>
            <w:tabs>
              <w:tab w:val="right" w:leader="dot" w:pos="11539"/>
            </w:tabs>
          </w:pPr>
          <w:r>
            <w:t>四、合作伙伴策略…</w:t>
            <w:tab/>
            <w:t>12</w:t>
          </w:r>
        </w:p>
        <w:p>
          <w:pPr>
            <w:pStyle w:val="TOC3"/>
            <w:tabs>
              <w:tab w:val="right" w:leader="dot" w:pos="11539"/>
            </w:tabs>
            <w:spacing w:before="6"/>
          </w:pPr>
          <w:hyperlink w:anchor="_TOC_250009" w:history="1">
            <w:r>
              <w:t>五、内部营销…</w:t>
              <w:tab/>
              <w:t>13</w:t>
            </w:r>
          </w:hyperlink>
        </w:p>
        <w:p>
          <w:pPr>
            <w:pStyle w:val="TOC3"/>
            <w:tabs>
              <w:tab w:val="right" w:leader="dot" w:pos="11539"/>
            </w:tabs>
            <w:spacing w:before="8"/>
          </w:pPr>
          <w:hyperlink w:anchor="_TOC_250008" w:history="1">
            <w:r>
              <w:t>六、宣传策略…</w:t>
              <w:tab/>
              <w:t>14</w:t>
            </w:r>
          </w:hyperlink>
        </w:p>
        <w:p>
          <w:pPr>
            <w:pStyle w:val="TOC3"/>
            <w:tabs>
              <w:tab w:val="right" w:leader="dot" w:pos="11539"/>
            </w:tabs>
          </w:pPr>
          <w:hyperlink w:anchor="_TOC_250007" w:history="1">
            <w:r>
              <w:t>七、促销策略…</w:t>
              <w:tab/>
              <w:t>16</w:t>
            </w:r>
          </w:hyperlink>
        </w:p>
        <w:p>
          <w:pPr>
            <w:pStyle w:val="TOC1"/>
            <w:tabs>
              <w:tab w:val="right" w:leader="dot" w:pos="11359"/>
            </w:tabs>
            <w:spacing w:before="6"/>
          </w:pPr>
          <w:r>
            <w:t>第六部分成本效益分析…</w:t>
            <w:tab/>
            <w:t>17</w:t>
          </w:r>
        </w:p>
        <w:p>
          <w:pPr>
            <w:pStyle w:val="TOC1"/>
            <w:tabs>
              <w:tab w:val="right" w:leader="dot" w:pos="10275"/>
            </w:tabs>
          </w:pPr>
          <w:r>
            <w:t>一、成本…</w:t>
            <w:tab/>
            <w:t>17</w:t>
          </w:r>
        </w:p>
        <w:p>
          <w:pPr>
            <w:pStyle w:val="TOC3"/>
            <w:tabs>
              <w:tab w:val="right" w:leader="dot" w:pos="11539"/>
            </w:tabs>
          </w:pPr>
          <w:r>
            <w:t>二、当涂市场规模…</w:t>
            <w:tab/>
            <w:t>18</w:t>
          </w:r>
        </w:p>
        <w:p>
          <w:pPr>
            <w:pStyle w:val="TOC3"/>
            <w:tabs>
              <w:tab w:val="right" w:leader="dot" w:pos="11539"/>
            </w:tabs>
          </w:pPr>
          <w:hyperlink w:anchor="_TOC_250006" w:history="1">
            <w:r>
              <w:t>三、效益…</w:t>
              <w:tab/>
              <w:t>19</w:t>
            </w:r>
          </w:hyperlink>
        </w:p>
        <w:p>
          <w:pPr>
            <w:pStyle w:val="TOC1"/>
            <w:tabs>
              <w:tab w:val="right" w:leader="dot" w:pos="11359"/>
            </w:tabs>
            <w:spacing w:before="6"/>
          </w:pPr>
          <w:hyperlink w:anchor="_TOC_250005" w:history="1">
            <w:r>
              <w:t>第七部分开业活动策划…</w:t>
              <w:tab/>
              <w:t>19</w:t>
            </w:r>
          </w:hyperlink>
        </w:p>
        <w:p>
          <w:pPr>
            <w:pStyle w:val="TOC3"/>
            <w:tabs>
              <w:tab w:val="left" w:pos="2674"/>
              <w:tab w:val="right" w:leader="dot" w:pos="12072"/>
            </w:tabs>
            <w:ind w:left="1393"/>
          </w:pPr>
          <w:hyperlink w:anchor="_TOC_250004" w:history="1">
            <w:r>
              <w:t>一、</w:t>
              <w:tab/>
              <w:t>活动目的、…</w:t>
              <w:tab/>
              <w:t>20</w:t>
            </w:r>
          </w:hyperlink>
        </w:p>
        <w:p>
          <w:pPr>
            <w:pStyle w:val="TOC3"/>
            <w:tabs>
              <w:tab w:val="left" w:pos="2674"/>
              <w:tab w:val="right" w:leader="dot" w:pos="12072"/>
            </w:tabs>
            <w:ind w:left="1393"/>
          </w:pPr>
          <w:hyperlink w:anchor="_TOC_250003" w:history="1">
            <w:r>
              <w:t>二、</w:t>
              <w:tab/>
              <w:t>活动安排…</w:t>
              <w:tab/>
              <w:t>20</w:t>
            </w:r>
          </w:hyperlink>
        </w:p>
        <w:p>
          <w:pPr>
            <w:pStyle w:val="TOC3"/>
            <w:tabs>
              <w:tab w:val="left" w:pos="2674"/>
              <w:tab w:val="right" w:leader="dot" w:pos="12072"/>
            </w:tabs>
            <w:ind w:left="1393"/>
          </w:pPr>
          <w:hyperlink w:anchor="_TOC_250002" w:history="1">
            <w:r>
              <w:t>三、</w:t>
              <w:tab/>
              <w:t>活动总结…</w:t>
              <w:tab/>
              <w:t>20</w:t>
            </w:r>
          </w:hyperlink>
        </w:p>
        <w:p>
          <w:pPr>
            <w:pStyle w:val="TOC1"/>
            <w:tabs>
              <w:tab w:val="right" w:leader="dot" w:pos="11359"/>
            </w:tabs>
            <w:spacing w:before="6"/>
          </w:pPr>
          <w:hyperlink w:anchor="_TOC_250001" w:history="1">
            <w:r>
              <w:t>第八部分市场行动检测…</w:t>
              <w:tab/>
              <w:t>21</w:t>
            </w:r>
          </w:hyperlink>
        </w:p>
        <w:p>
          <w:pPr>
            <w:pStyle w:val="TOC1"/>
            <w:tabs>
              <w:tab w:val="right" w:leader="dot" w:pos="11179"/>
            </w:tabs>
          </w:pPr>
          <w:hyperlink w:anchor="_TOC_250000" w:history="1">
            <w:r>
              <w:t>第九部分远</w:t>
            </w:r>
            <w:r>
              <w:rPr>
                <w:spacing w:val="11"/>
              </w:rPr>
              <w:t>景</w:t>
            </w:r>
            <w:r>
              <w:t>/战略规划…</w:t>
              <w:tab/>
              <w:t>21</w:t>
            </w:r>
          </w:hyperlink>
        </w:p>
      </w:sdtContent>
    </w:sdt>
    <w:p>
      <w:pPr>
        <w:pStyle w:val="Heading1"/>
        <w:spacing w:before="63"/>
        <w:ind w:left="4650"/>
        <w:rPr>
          <w:rFonts w:ascii="幼圆" w:eastAsia="幼圆" w:hint="eastAsia"/>
        </w:rPr>
      </w:pPr>
      <w:bookmarkStart w:id="0" w:name="_TOC_250026"/>
      <w:bookmarkEnd w:id="0"/>
      <w:r>
        <w:rPr>
          <w:rFonts w:ascii="幼圆" w:eastAsia="幼圆" w:hint="eastAsia"/>
        </w:rPr>
        <w:t>摘要</w:t>
      </w:r>
    </w:p>
    <w:p>
      <w:pPr>
        <w:pStyle w:val="BodyText"/>
        <w:spacing w:before="385" w:line="364" w:lineRule="auto"/>
        <w:ind w:right="478" w:firstLine="724"/>
        <w:jc w:val="both"/>
        <w:rPr>
          <w:rFonts w:ascii="楷体" w:eastAsia="楷体" w:hint="eastAsia"/>
        </w:rPr>
      </w:pPr>
      <w:r>
        <w:rPr>
          <w:rFonts w:ascii="楷体" w:eastAsia="楷体" w:hint="eastAsia"/>
          <w:spacing w:val="-1"/>
          <w:w w:val="95"/>
        </w:rPr>
        <w:t xml:space="preserve">经过三十多年的改革开放，我国的经济实力得到了很大提升。然而吃、住、穿、行是老百姓   永恒不变的话题，随着人们生活水平的提高人们越来越关注自己的生活品质。人们对房屋内的装   </w:t>
      </w:r>
      <w:r>
        <w:rPr>
          <w:rFonts w:ascii="楷体" w:eastAsia="楷体" w:hint="eastAsia"/>
        </w:rPr>
        <w:t>饰越来越重视，期待能获得一个令人愉悦的生活环境。</w:t>
      </w:r>
    </w:p>
    <w:p>
      <w:pPr>
        <w:pStyle w:val="BodyText"/>
        <w:spacing w:before="2"/>
        <w:ind w:left="878"/>
        <w:jc w:val="both"/>
        <w:rPr>
          <w:rFonts w:ascii="楷体" w:eastAsia="楷体" w:hint="eastAsia"/>
        </w:rPr>
      </w:pPr>
      <w:r>
        <w:rPr>
          <w:rFonts w:ascii="楷体" w:eastAsia="楷体" w:hint="eastAsia"/>
          <w:spacing w:val="-1"/>
        </w:rPr>
        <w:t xml:space="preserve">三十年的改革开放也是我国城市化的进程，平均每年以 </w:t>
      </w:r>
      <w:r>
        <w:rPr>
          <w:rFonts w:ascii="楷体" w:eastAsia="楷体" w:hint="eastAsia"/>
        </w:rPr>
        <w:t>1</w:t>
      </w:r>
      <w:r>
        <w:rPr>
          <w:rFonts w:ascii="楷体" w:eastAsia="楷体" w:hint="eastAsia"/>
          <w:spacing w:val="-8"/>
        </w:rPr>
        <w:t xml:space="preserve"> 个百分点的速度城市化，我国目前</w:t>
      </w:r>
    </w:p>
    <w:p>
      <w:pPr>
        <w:pStyle w:val="BodyText"/>
        <w:rPr>
          <w:rFonts w:ascii="楷体" w:eastAsia="楷体" w:hint="eastAsia"/>
        </w:rPr>
      </w:pPr>
      <w:r>
        <w:rPr>
          <w:rFonts w:ascii="楷体" w:eastAsia="楷体" w:hint="eastAsia"/>
          <w:spacing w:val="-9"/>
        </w:rPr>
        <w:t xml:space="preserve">的城市化率为 </w:t>
      </w:r>
      <w:r>
        <w:rPr>
          <w:rFonts w:ascii="楷体" w:eastAsia="楷体" w:hint="eastAsia"/>
        </w:rPr>
        <w:t>45</w:t>
      </w:r>
      <w:r>
        <w:rPr>
          <w:rFonts w:ascii="楷体" w:eastAsia="楷体" w:hint="eastAsia"/>
          <w:spacing w:val="-4"/>
        </w:rPr>
        <w:t xml:space="preserve">%，假设我国城市化率的目标是 </w:t>
      </w:r>
      <w:r>
        <w:rPr>
          <w:rFonts w:ascii="楷体" w:eastAsia="楷体" w:hint="eastAsia"/>
        </w:rPr>
        <w:t>80</w:t>
      </w:r>
      <w:r>
        <w:rPr>
          <w:rFonts w:ascii="楷体" w:eastAsia="楷体" w:hint="eastAsia"/>
          <w:spacing w:val="-3"/>
        </w:rPr>
        <w:t xml:space="preserve">%，那么整个国家的城市化进程还有大约 </w:t>
      </w:r>
      <w:r>
        <w:rPr>
          <w:rFonts w:ascii="楷体" w:eastAsia="楷体" w:hint="eastAsia"/>
        </w:rPr>
        <w:t>35</w:t>
      </w:r>
      <w:r>
        <w:rPr>
          <w:rFonts w:ascii="楷体" w:eastAsia="楷体" w:hint="eastAsia"/>
          <w:spacing w:val="-36"/>
        </w:rPr>
        <w:t xml:space="preserve"> 年</w:t>
      </w:r>
    </w:p>
    <w:p>
      <w:pPr>
        <w:pStyle w:val="Heading2"/>
        <w:spacing w:before="66"/>
        <w:ind w:left="4634" w:right="4795"/>
        <w:jc w:val="center"/>
      </w:pPr>
      <w:r>
        <w:t>-来源网络，仅供个人学习参考</w:t>
      </w:r>
    </w:p>
    <w:p>
      <w:pPr>
        <w:spacing w:after="0"/>
        <w:jc w:val="center"/>
        <w:sectPr>
          <w:type w:val="continuous"/>
          <w:pgSz w:w="17860" w:h="25260"/>
          <w:pgMar w:top="1580" w:right="980" w:bottom="280" w:left="1120" w:header="708" w:footer="708"/>
          <w:cols w:space="708"/>
        </w:sectPr>
      </w:pPr>
    </w:p>
    <w:p>
      <w:pPr>
        <w:pStyle w:val="BodyText"/>
        <w:spacing w:before="33" w:line="364" w:lineRule="auto"/>
        <w:ind w:right="483"/>
        <w:rPr>
          <w:rFonts w:ascii="楷体" w:eastAsia="楷体" w:hint="eastAsia"/>
        </w:rPr>
      </w:pPr>
      <w:r>
        <w:rPr>
          <w:rFonts w:ascii="楷体" w:eastAsia="楷体" w:hint="eastAsia"/>
          <w:spacing w:val="-1"/>
          <w:w w:val="95"/>
        </w:rPr>
        <w:t xml:space="preserve">时间，城市化进程需要大量的房屋，同时伴随的是大量的建材装饰需求，在这一过程中将产生大   </w:t>
      </w:r>
      <w:r>
        <w:rPr>
          <w:rFonts w:ascii="楷体" w:eastAsia="楷体" w:hint="eastAsia"/>
        </w:rPr>
        <w:t>量的市场机会。</w:t>
      </w:r>
    </w:p>
    <w:p>
      <w:pPr>
        <w:pStyle w:val="BodyText"/>
        <w:spacing w:before="2" w:line="364" w:lineRule="auto"/>
        <w:ind w:right="478" w:firstLine="724"/>
        <w:jc w:val="both"/>
        <w:rPr>
          <w:rFonts w:ascii="楷体" w:eastAsia="楷体" w:hint="eastAsia"/>
        </w:rPr>
      </w:pPr>
      <w:r>
        <w:rPr>
          <w:rFonts w:ascii="楷体" w:eastAsia="楷体" w:hint="eastAsia"/>
          <w:spacing w:val="-1"/>
          <w:w w:val="95"/>
        </w:rPr>
        <w:t xml:space="preserve">然而我国建材装饰零售市场上，北有居然之家，南有红星美凯龙，外有宜家、百安居等一线   巨头及一大批实力强大的地方实力派零售店。他们或是区域巨头或是地方霸主或全国零散布局。   这些零售巨头纷纷在全国一线市场拼杀，由于我国率先在全球金融危机中复苏使得一二线市场得   到激活，并且这些巨头的共同特点是都为完成令人满意的全国一二线市场布局。因此在可预见的   </w:t>
      </w:r>
      <w:r>
        <w:rPr>
          <w:rFonts w:ascii="楷体" w:eastAsia="楷体" w:hint="eastAsia"/>
        </w:rPr>
        <w:t>未来零售巨头们不会大举进攻三四线市场，使得三四线市场存在孕育市场新的宠儿的可能。</w:t>
      </w:r>
    </w:p>
    <w:p>
      <w:pPr>
        <w:pStyle w:val="BodyText"/>
        <w:spacing w:before="5" w:line="364" w:lineRule="auto"/>
        <w:ind w:right="300" w:firstLine="724"/>
        <w:rPr>
          <w:rFonts w:ascii="楷体" w:eastAsia="楷体" w:hint="eastAsia"/>
        </w:rPr>
      </w:pPr>
      <w:r>
        <w:drawing>
          <wp:anchor distT="0" distB="0" distL="0" distR="0" simplePos="0" relativeHeight="251660288" behindDoc="1" locked="0" layoutInCell="1" allowOverlap="1">
            <wp:simplePos x="0" y="0"/>
            <wp:positionH relativeFrom="page">
              <wp:posOffset>1511300</wp:posOffset>
            </wp:positionH>
            <wp:positionV relativeFrom="paragraph">
              <wp:posOffset>50545</wp:posOffset>
            </wp:positionV>
            <wp:extent cx="7975600" cy="7200900"/>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png"/>
                    <pic:cNvPicPr/>
                  </pic:nvPicPr>
                  <pic:blipFill>
                    <a:blip xmlns:r="http://schemas.openxmlformats.org/officeDocument/2006/relationships" r:embed="rId5" cstate="print"/>
                    <a:stretch>
                      <a:fillRect/>
                    </a:stretch>
                  </pic:blipFill>
                  <pic:spPr>
                    <a:xfrm>
                      <a:off x="0" y="0"/>
                      <a:ext cx="7975600" cy="7200900"/>
                    </a:xfrm>
                    <a:prstGeom prst="rect">
                      <a:avLst/>
                    </a:prstGeom>
                  </pic:spPr>
                </pic:pic>
              </a:graphicData>
            </a:graphic>
          </wp:anchor>
        </w:drawing>
      </w:r>
      <w:r>
        <w:rPr>
          <w:rFonts w:ascii="楷体" w:eastAsia="楷体" w:hint="eastAsia"/>
        </w:rPr>
        <w:t>在三四线的建材装饰零售市场上，零售商们的竞争是无序的，主要围绕价格及低水平的服务</w:t>
      </w:r>
      <w:r>
        <w:rPr>
          <w:rFonts w:ascii="楷体" w:eastAsia="楷体" w:hint="eastAsia"/>
          <w:spacing w:val="-3"/>
        </w:rPr>
        <w:t xml:space="preserve">展开竞争。据百度资料显示，安徽马鞍山的人均 </w:t>
      </w:r>
      <w:r>
        <w:rPr>
          <w:rFonts w:ascii="楷体" w:eastAsia="楷体" w:hint="eastAsia"/>
        </w:rPr>
        <w:t>GDP</w:t>
      </w:r>
      <w:r>
        <w:rPr>
          <w:rFonts w:ascii="楷体" w:eastAsia="楷体" w:hint="eastAsia"/>
          <w:spacing w:val="-53"/>
        </w:rPr>
        <w:t xml:space="preserve"> 在 </w:t>
      </w:r>
      <w:r>
        <w:rPr>
          <w:rFonts w:ascii="楷体" w:eastAsia="楷体" w:hint="eastAsia"/>
        </w:rPr>
        <w:t>2008</w:t>
      </w:r>
      <w:r>
        <w:rPr>
          <w:rFonts w:ascii="楷体" w:eastAsia="楷体" w:hint="eastAsia"/>
          <w:spacing w:val="-26"/>
        </w:rPr>
        <w:t xml:space="preserve"> 年达到了 </w:t>
      </w:r>
      <w:r>
        <w:rPr>
          <w:rFonts w:ascii="楷体" w:eastAsia="楷体" w:hint="eastAsia"/>
        </w:rPr>
        <w:t>7000</w:t>
      </w:r>
      <w:r>
        <w:rPr>
          <w:rFonts w:ascii="楷体" w:eastAsia="楷体" w:hint="eastAsia"/>
          <w:spacing w:val="-11"/>
        </w:rPr>
        <w:t xml:space="preserve"> 多美元与南京持平略</w:t>
      </w:r>
      <w:r>
        <w:rPr>
          <w:rFonts w:ascii="楷体" w:eastAsia="楷体" w:hint="eastAsia"/>
          <w:spacing w:val="-19"/>
        </w:rPr>
        <w:t xml:space="preserve">高于江苏人均 </w:t>
      </w:r>
      <w:r>
        <w:rPr>
          <w:rFonts w:ascii="楷体" w:eastAsia="楷体" w:hint="eastAsia"/>
          <w:spacing w:val="-11"/>
        </w:rPr>
        <w:t>GDP</w:t>
      </w:r>
      <w:r>
        <w:rPr>
          <w:rFonts w:ascii="楷体" w:eastAsia="楷体" w:hint="eastAsia"/>
          <w:spacing w:val="-7"/>
        </w:rPr>
        <w:t>，马鞍山市当涂县是全国百强县、安徽三强县。据我们调查并将生活成本考虑在内，当涂县居民有着不低于长三角居民的购买力，我们可以推测当涂县居民对生活品质和消费服务的追求不会太低，但当涂县目前的建材装饰零售商并没有提供与当涂县消费者实际消费需求相当的服务，使得市场存在空白。</w:t>
      </w:r>
    </w:p>
    <w:p>
      <w:pPr>
        <w:pStyle w:val="BodyText"/>
        <w:spacing w:before="6" w:line="364" w:lineRule="auto"/>
        <w:ind w:right="478" w:firstLine="724"/>
        <w:rPr>
          <w:rFonts w:ascii="楷体" w:eastAsia="楷体" w:hint="eastAsia"/>
        </w:rPr>
      </w:pPr>
      <w:r>
        <w:rPr>
          <w:rFonts w:ascii="楷体" w:eastAsia="楷体" w:hint="eastAsia"/>
          <w:spacing w:val="-1"/>
          <w:w w:val="95"/>
        </w:rPr>
        <w:t xml:space="preserve">志强装饰原先是经营一家农村市场的建材装饰零售店，现马鞍山大规模城市化运动，整个当   </w:t>
      </w:r>
      <w:r>
        <w:rPr>
          <w:rFonts w:ascii="楷体" w:eastAsia="楷体" w:hint="eastAsia"/>
        </w:rPr>
        <w:t>涂亦是重点发展，志强装饰积极转变自身角色，争取在这一轮市场浪潮中发展壮大自己。</w:t>
      </w:r>
    </w:p>
    <w:p>
      <w:pPr>
        <w:pStyle w:val="Heading1"/>
        <w:spacing w:line="553" w:lineRule="exact"/>
        <w:ind w:left="6873" w:right="0"/>
        <w:jc w:val="left"/>
      </w:pPr>
      <w:bookmarkStart w:id="1" w:name="_TOC_250025"/>
      <w:bookmarkEnd w:id="1"/>
      <w:r>
        <w:t>第一部分营销背景</w:t>
      </w:r>
    </w:p>
    <w:p>
      <w:pPr>
        <w:pStyle w:val="Heading3"/>
        <w:spacing w:before="413"/>
      </w:pPr>
      <w:bookmarkStart w:id="2" w:name="_TOC_250024"/>
      <w:bookmarkEnd w:id="2"/>
      <w:r>
        <w:t>一、志强装饰简介</w:t>
      </w:r>
    </w:p>
    <w:p>
      <w:pPr>
        <w:pStyle w:val="BodyText"/>
        <w:spacing w:before="370" w:line="364" w:lineRule="auto"/>
        <w:ind w:right="289" w:firstLine="904"/>
      </w:pPr>
      <w:r>
        <w:rPr>
          <w:spacing w:val="-4"/>
        </w:rPr>
        <w:t xml:space="preserve">志强装饰前身是当涂建材经营部，成立于 </w:t>
      </w:r>
      <w:r>
        <w:t>1994</w:t>
      </w:r>
      <w:r>
        <w:rPr>
          <w:spacing w:val="-10"/>
        </w:rPr>
        <w:t xml:space="preserve"> 年，初期主营城镇装饰建材市场，</w:t>
      </w:r>
      <w:r>
        <w:rPr>
          <w:spacing w:val="4"/>
        </w:rPr>
        <w:t>1998</w:t>
      </w:r>
      <w:r>
        <w:rPr>
          <w:spacing w:val="-36"/>
        </w:rPr>
        <w:t xml:space="preserve"> 年由</w:t>
      </w:r>
      <w:r>
        <w:rPr>
          <w:spacing w:val="-4"/>
        </w:rPr>
        <w:t xml:space="preserve">于市场考量将店址由当涂县城迁至黄山乡积极拓展农村建材装饰市场并取得较大成功， </w:t>
      </w:r>
      <w:r>
        <w:t>2008</w:t>
      </w:r>
      <w:r>
        <w:rPr>
          <w:spacing w:val="-35"/>
        </w:rPr>
        <w:t xml:space="preserve"> 年马</w:t>
      </w:r>
      <w:r>
        <w:t>鞍山市政府颁布最新的城市发展规划，志强装饰积极响应并积极求变，于当年着手将店址迁至新</w:t>
      </w:r>
      <w:r>
        <w:rPr>
          <w:spacing w:val="-11"/>
        </w:rPr>
        <w:t xml:space="preserve">城区积极拓展市场，预计志强装饰将于 </w:t>
      </w:r>
      <w:r>
        <w:t>2010</w:t>
      </w:r>
      <w:r>
        <w:rPr>
          <w:spacing w:val="-12"/>
        </w:rPr>
        <w:t xml:space="preserve"> 年下半年完成所有手续正式开张新店为当涂县的消费者提供服务。</w:t>
      </w:r>
    </w:p>
    <w:p>
      <w:pPr>
        <w:pStyle w:val="BodyText"/>
        <w:spacing w:before="5" w:line="364" w:lineRule="auto"/>
        <w:ind w:right="478" w:firstLine="724"/>
        <w:jc w:val="both"/>
      </w:pPr>
      <w:r>
        <w:rPr>
          <w:spacing w:val="-1"/>
          <w:w w:val="95"/>
        </w:rPr>
        <w:t xml:space="preserve">志强装饰在农村的十年时间里经营方式采取更适合农村市场模式的粗放式经营方式，经营种   类齐全，基本囊括了农村市场需求的建材装饰材料，为提高所在地居民的生活质量做出了自己的   贡献。然而在新的市场上志强装饰需要新的转变以适应新的市场角色，志强装饰计划由原先的仅   仅提供一个建材装饰材料的纯零售商转变为为顾客提供一个建材装饰材料性能价格比最优解决方   </w:t>
      </w:r>
      <w:r>
        <w:t>案的服务商。</w:t>
      </w:r>
    </w:p>
    <w:p>
      <w:pPr>
        <w:pStyle w:val="BodyText"/>
        <w:spacing w:before="5" w:line="364" w:lineRule="auto"/>
        <w:ind w:right="478" w:firstLine="724"/>
      </w:pPr>
      <w:r>
        <w:rPr>
          <w:spacing w:val="-1"/>
          <w:w w:val="95"/>
        </w:rPr>
        <w:t xml:space="preserve">志强装饰经营领域包括：一层经营陶瓷卫浴、地板、油漆涂料、水暖、五金工具、灯具、瓷   </w:t>
      </w:r>
      <w:r>
        <w:t>砖、洁具等。</w:t>
      </w:r>
    </w:p>
    <w:p>
      <w:pPr>
        <w:spacing w:after="0" w:line="364" w:lineRule="auto"/>
        <w:sectPr>
          <w:footerReference w:type="default" r:id="rId6"/>
          <w:pgSz w:w="17860" w:h="25260"/>
          <w:pgMar w:top="1620" w:right="980" w:bottom="2380" w:left="1120" w:header="0" w:footer="2194"/>
          <w:pgNumType w:start="2"/>
          <w:cols w:space="708"/>
        </w:sectPr>
      </w:pPr>
    </w:p>
    <w:p>
      <w:pPr>
        <w:pStyle w:val="BodyText"/>
        <w:spacing w:before="33"/>
        <w:ind w:left="878"/>
      </w:pPr>
      <w:r>
        <w:rPr>
          <w:spacing w:val="-4"/>
        </w:rPr>
        <w:t xml:space="preserve">志强装饰位处当涂县城襄河湾，是新城开发的中心位置。志强装饰的营业面积有 </w:t>
      </w:r>
      <w:r>
        <w:t>180</w:t>
      </w:r>
      <w:r>
        <w:rPr>
          <w:spacing w:val="-22"/>
        </w:rPr>
        <w:t xml:space="preserve"> 平方米。</w:t>
      </w:r>
    </w:p>
    <w:p>
      <w:pPr>
        <w:pStyle w:val="BodyText"/>
        <w:spacing w:line="364" w:lineRule="auto"/>
        <w:ind w:right="289" w:firstLine="724"/>
      </w:pPr>
      <w:r>
        <w:rPr>
          <w:spacing w:val="-4"/>
        </w:rPr>
        <w:t xml:space="preserve">志强装饰进军当涂城区市场的同时正值当涂县大规模城市化，我们积极了解了马鞍山 </w:t>
      </w:r>
      <w:r>
        <w:t>1255</w:t>
      </w:r>
      <w:r>
        <w:rPr>
          <w:spacing w:val="-63"/>
        </w:rPr>
        <w:t xml:space="preserve"> 城</w:t>
      </w:r>
      <w:r>
        <w:t>市发展战略，该战略中当涂城区将成为马鞍山现代化大城市建设的重点区域，我们有理由相信这一过程中将制造大量的市场机会，尤其大量的农民居民转成城市居民需要大量的建材装饰材料， 这给志强装饰提供了大量的机会。</w:t>
      </w:r>
    </w:p>
    <w:p>
      <w:pPr>
        <w:pStyle w:val="Heading3"/>
        <w:spacing w:before="32"/>
      </w:pPr>
      <w:r>
        <w:t>二、项目分析</w:t>
      </w:r>
    </w:p>
    <w:p>
      <w:pPr>
        <w:pStyle w:val="BodyText"/>
        <w:spacing w:before="370"/>
      </w:pPr>
      <w:r>
        <w:drawing>
          <wp:anchor distT="0" distB="0" distL="0" distR="0" simplePos="0" relativeHeight="251661312" behindDoc="1" locked="0" layoutInCell="1" allowOverlap="1">
            <wp:simplePos x="0" y="0"/>
            <wp:positionH relativeFrom="page">
              <wp:posOffset>1511300</wp:posOffset>
            </wp:positionH>
            <wp:positionV relativeFrom="paragraph">
              <wp:posOffset>579501</wp:posOffset>
            </wp:positionV>
            <wp:extent cx="7975600" cy="7200900"/>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png"/>
                    <pic:cNvPicPr/>
                  </pic:nvPicPr>
                  <pic:blipFill>
                    <a:blip xmlns:r="http://schemas.openxmlformats.org/officeDocument/2006/relationships" r:embed="rId5" cstate="print"/>
                    <a:stretch>
                      <a:fillRect/>
                    </a:stretch>
                  </pic:blipFill>
                  <pic:spPr>
                    <a:xfrm>
                      <a:off x="0" y="0"/>
                      <a:ext cx="7975600" cy="7200900"/>
                    </a:xfrm>
                    <a:prstGeom prst="rect">
                      <a:avLst/>
                    </a:prstGeom>
                  </pic:spPr>
                </pic:pic>
              </a:graphicData>
            </a:graphic>
          </wp:anchor>
        </w:drawing>
      </w:r>
      <w:r>
        <w:t>1、我国城市化率为 45%，速度为每年 1 个百分点，整个国家城市化进程还需三、四十年时间。</w:t>
      </w:r>
    </w:p>
    <w:p>
      <w:pPr>
        <w:pStyle w:val="BodyText"/>
        <w:spacing w:before="240"/>
      </w:pPr>
      <w:r>
        <w:t>2、根据马鞍山 1255 城市发展战略，当涂县城将成为城市建设重点区域。</w:t>
      </w:r>
    </w:p>
    <w:p>
      <w:pPr>
        <w:pStyle w:val="BodyText"/>
        <w:spacing w:before="242"/>
      </w:pPr>
      <w:r>
        <w:t>3、装饰零售巨头忙于一、二线市场布局，无暇顾及当涂市场。</w:t>
      </w:r>
    </w:p>
    <w:p>
      <w:pPr>
        <w:pStyle w:val="BodyText"/>
      </w:pPr>
      <w:r>
        <w:t>4、志强装饰积极转变自身角色，争取在这一轮市场浪潮中发展壮大自己。</w:t>
      </w:r>
    </w:p>
    <w:p>
      <w:pPr>
        <w:spacing w:before="221"/>
        <w:ind w:left="154" w:right="0" w:firstLine="0"/>
        <w:jc w:val="left"/>
        <w:rPr>
          <w:rFonts w:ascii="黑体" w:eastAsia="黑体" w:hint="eastAsia"/>
          <w:b/>
          <w:sz w:val="45"/>
        </w:rPr>
      </w:pPr>
      <w:r>
        <w:rPr>
          <w:rFonts w:ascii="黑体" w:eastAsia="黑体" w:hint="eastAsia"/>
          <w:b/>
          <w:sz w:val="45"/>
        </w:rPr>
        <w:t>三、本案思路</w:t>
      </w:r>
    </w:p>
    <w:p>
      <w:pPr>
        <w:pStyle w:val="ListParagraph"/>
        <w:numPr>
          <w:ilvl w:val="0"/>
          <w:numId w:val="4"/>
        </w:numPr>
        <w:tabs>
          <w:tab w:val="left" w:pos="1063"/>
        </w:tabs>
        <w:spacing w:before="379" w:after="0" w:line="364" w:lineRule="auto"/>
        <w:ind w:left="154" w:right="297" w:firstLine="0"/>
        <w:jc w:val="left"/>
        <w:rPr>
          <w:b/>
          <w:sz w:val="36"/>
        </w:rPr>
      </w:pPr>
      <w:r>
        <w:rPr>
          <w:b/>
          <w:spacing w:val="-1"/>
          <w:w w:val="95"/>
          <w:sz w:val="36"/>
        </w:rPr>
        <w:t xml:space="preserve">通过准确分析竞争对手的实力，所处位置，对其展开针对性的营销策略，比如进攻型定价策   </w:t>
      </w:r>
      <w:r>
        <w:rPr>
          <w:b/>
          <w:sz w:val="36"/>
        </w:rPr>
        <w:t>略等；</w:t>
      </w:r>
    </w:p>
    <w:p>
      <w:pPr>
        <w:pStyle w:val="ListParagraph"/>
        <w:numPr>
          <w:ilvl w:val="0"/>
          <w:numId w:val="4"/>
        </w:numPr>
        <w:tabs>
          <w:tab w:val="left" w:pos="1059"/>
        </w:tabs>
        <w:spacing w:before="2" w:after="0" w:line="364" w:lineRule="auto"/>
        <w:ind w:left="154" w:right="299" w:firstLine="0"/>
        <w:jc w:val="left"/>
        <w:rPr>
          <w:b/>
          <w:sz w:val="36"/>
        </w:rPr>
      </w:pPr>
      <w:r>
        <w:rPr>
          <w:b/>
          <w:spacing w:val="-1"/>
          <w:w w:val="95"/>
          <w:sz w:val="36"/>
        </w:rPr>
        <w:t xml:space="preserve">通过对目标市场的准确分析，对其展开有针对性的营销活动及宣传活动，比如针对性优惠定   </w:t>
      </w:r>
      <w:r>
        <w:rPr>
          <w:b/>
          <w:sz w:val="36"/>
        </w:rPr>
        <w:t>价、定位宣传等；</w:t>
      </w:r>
    </w:p>
    <w:p>
      <w:pPr>
        <w:pStyle w:val="ListParagraph"/>
        <w:numPr>
          <w:ilvl w:val="0"/>
          <w:numId w:val="4"/>
        </w:numPr>
        <w:tabs>
          <w:tab w:val="left" w:pos="1063"/>
        </w:tabs>
        <w:spacing w:before="2" w:after="0" w:line="364" w:lineRule="auto"/>
        <w:ind w:left="154" w:right="297" w:firstLine="0"/>
        <w:jc w:val="left"/>
        <w:rPr>
          <w:b/>
          <w:sz w:val="36"/>
        </w:rPr>
      </w:pPr>
      <w:r>
        <w:rPr>
          <w:b/>
          <w:spacing w:val="-1"/>
          <w:w w:val="95"/>
          <w:sz w:val="36"/>
        </w:rPr>
        <w:t xml:space="preserve">联合合作伙伴，经营共同市场。仔细辨别出合作伙伴与竞争对手，并根据具体情况制定策略   </w:t>
      </w:r>
      <w:r>
        <w:rPr>
          <w:b/>
          <w:sz w:val="36"/>
        </w:rPr>
        <w:t>携手伙伴共同打击竞争对手；</w:t>
      </w:r>
    </w:p>
    <w:p>
      <w:pPr>
        <w:pStyle w:val="ListParagraph"/>
        <w:numPr>
          <w:ilvl w:val="0"/>
          <w:numId w:val="4"/>
        </w:numPr>
        <w:tabs>
          <w:tab w:val="left" w:pos="1059"/>
        </w:tabs>
        <w:spacing w:before="2" w:after="0" w:line="240" w:lineRule="auto"/>
        <w:ind w:left="1059" w:right="0" w:hanging="905"/>
        <w:jc w:val="left"/>
        <w:rPr>
          <w:b/>
          <w:sz w:val="36"/>
        </w:rPr>
      </w:pPr>
      <w:r>
        <w:rPr>
          <w:b/>
          <w:sz w:val="36"/>
        </w:rPr>
        <w:t>根据我们对市场的了解，准确定位自己；</w:t>
      </w:r>
    </w:p>
    <w:p>
      <w:pPr>
        <w:pStyle w:val="ListParagraph"/>
        <w:numPr>
          <w:ilvl w:val="0"/>
          <w:numId w:val="4"/>
        </w:numPr>
        <w:tabs>
          <w:tab w:val="left" w:pos="1059"/>
        </w:tabs>
        <w:spacing w:before="241" w:after="0" w:line="240" w:lineRule="auto"/>
        <w:ind w:left="1059" w:right="0" w:hanging="905"/>
        <w:jc w:val="left"/>
        <w:rPr>
          <w:b/>
          <w:sz w:val="36"/>
        </w:rPr>
      </w:pPr>
      <w:r>
        <w:rPr>
          <w:b/>
          <w:sz w:val="36"/>
        </w:rPr>
        <w:t>根据我们对全国市场及自身具体情况的把握，我们将制定合适的战略规划。</w:t>
      </w:r>
    </w:p>
    <w:p>
      <w:pPr>
        <w:pStyle w:val="Heading1"/>
        <w:spacing w:before="177"/>
      </w:pPr>
      <w:bookmarkStart w:id="3" w:name="_TOC_250023"/>
      <w:bookmarkEnd w:id="3"/>
      <w:r>
        <w:t>第二部分竞争对手分析</w:t>
      </w:r>
    </w:p>
    <w:p>
      <w:pPr>
        <w:pStyle w:val="BodyText"/>
        <w:spacing w:before="384" w:line="364" w:lineRule="auto"/>
        <w:ind w:right="478" w:firstLine="724"/>
        <w:jc w:val="both"/>
      </w:pPr>
      <w:r>
        <w:rPr>
          <w:spacing w:val="-1"/>
          <w:w w:val="95"/>
        </w:rPr>
        <w:t xml:space="preserve">目前当涂建材装饰零售市场处于无序、混乱状态，没有强大的市场领导者。据我们对当涂市   场的调查显示，在姑孰新城的某条街上大约有一半的店面是经营建材装饰材料的，由于这条街上   的零售店相对集中，竞争对手不强，因此吸引了所辐射地区一半的消费者，所以我们视之为志强   </w:t>
      </w:r>
      <w:r>
        <w:t>装饰未来的主要竞争对手。</w:t>
      </w:r>
    </w:p>
    <w:p>
      <w:pPr>
        <w:pStyle w:val="BodyText"/>
        <w:spacing w:before="5" w:line="364" w:lineRule="auto"/>
        <w:ind w:right="478" w:firstLine="724"/>
        <w:jc w:val="both"/>
      </w:pPr>
      <w:r>
        <w:rPr>
          <w:spacing w:val="-1"/>
          <w:w w:val="95"/>
        </w:rPr>
        <w:t xml:space="preserve">分散在当涂县城其他地点的零散经营者，竞争力不强。以及在一二线市场上的零售巨头，如   居然之家，红星美凯龙，宜家、百安居等，他们暂时不会关注三、四线市场，所以视之为我们其   </w:t>
      </w:r>
      <w:r>
        <w:t>他的竞争对手。</w:t>
      </w:r>
    </w:p>
    <w:p>
      <w:pPr>
        <w:pStyle w:val="BodyText"/>
        <w:spacing w:before="3"/>
        <w:ind w:left="878"/>
      </w:pPr>
      <w:r>
        <w:t>我们对竞争对手分析如下：</w:t>
      </w:r>
    </w:p>
    <w:p>
      <w:pPr>
        <w:pStyle w:val="Heading3"/>
        <w:spacing w:before="268"/>
      </w:pPr>
      <w:bookmarkStart w:id="4" w:name="_TOC_250022"/>
      <w:bookmarkEnd w:id="4"/>
      <w:r>
        <w:t>一、建材装饰街分析</w:t>
      </w:r>
    </w:p>
    <w:p>
      <w:pPr>
        <w:spacing w:after="0"/>
        <w:sectPr>
          <w:footerReference w:type="default" r:id="rId7"/>
          <w:pgSz w:w="17860" w:h="25260"/>
          <w:pgMar w:top="1620" w:right="980" w:bottom="2380" w:left="1120" w:header="0" w:footer="2194"/>
          <w:pgNumType w:start="3"/>
          <w:cols w:space="708"/>
        </w:sectPr>
      </w:pPr>
    </w:p>
    <w:p>
      <w:pPr>
        <w:pStyle w:val="BodyText"/>
        <w:spacing w:before="33"/>
      </w:pPr>
      <w:r>
        <w:t>（一）生存形态</w:t>
      </w:r>
    </w:p>
    <w:p>
      <w:pPr>
        <w:pStyle w:val="BodyText"/>
        <w:ind w:left="878"/>
      </w:pPr>
      <w:r>
        <w:t>据我们调查，建材装饰一条街的零售店主要生存形态有：</w:t>
      </w:r>
    </w:p>
    <w:p>
      <w:pPr>
        <w:pStyle w:val="BodyText"/>
        <w:ind w:left="878"/>
        <w:rPr>
          <w:rFonts w:ascii="黑体" w:eastAsia="黑体" w:hint="eastAsia"/>
        </w:rPr>
      </w:pPr>
      <w:r>
        <w:rPr>
          <w:rFonts w:ascii="黑体" w:eastAsia="黑体" w:hint="eastAsia"/>
        </w:rPr>
        <w:t>1、专卖店</w:t>
      </w:r>
    </w:p>
    <w:p>
      <w:pPr>
        <w:pStyle w:val="BodyText"/>
        <w:spacing w:line="364" w:lineRule="auto"/>
        <w:ind w:right="478" w:firstLine="724"/>
        <w:jc w:val="both"/>
      </w:pPr>
      <w:r>
        <w:rPr>
          <w:spacing w:val="-1"/>
          <w:w w:val="95"/>
        </w:rPr>
        <w:t xml:space="preserve">这种经营方式主要依靠生产商的品牌和广告来拉动销售，但由于品种单一对消费者的吸引力   有限，需要注意的是，单店的能力有限，然而每种品牌一种专卖店，使得专卖店作为一个群体对   </w:t>
      </w:r>
      <w:r>
        <w:t>志强装饰的威胁是不可小觑的；</w:t>
      </w:r>
    </w:p>
    <w:p>
      <w:pPr>
        <w:pStyle w:val="BodyText"/>
        <w:spacing w:before="2"/>
        <w:ind w:left="878"/>
        <w:rPr>
          <w:rFonts w:ascii="黑体" w:eastAsia="黑体" w:hint="eastAsia"/>
        </w:rPr>
      </w:pPr>
      <w:r>
        <w:rPr>
          <w:rFonts w:ascii="黑体" w:eastAsia="黑体" w:hint="eastAsia"/>
        </w:rPr>
        <w:t>2、粗放式零售店</w:t>
      </w:r>
    </w:p>
    <w:p>
      <w:pPr>
        <w:pStyle w:val="BodyText"/>
        <w:spacing w:line="364" w:lineRule="auto"/>
        <w:ind w:right="478" w:firstLine="724"/>
      </w:pPr>
      <w:r>
        <w:drawing>
          <wp:anchor distT="0" distB="0" distL="0" distR="0" simplePos="0" relativeHeight="251662336" behindDoc="1" locked="0" layoutInCell="1" allowOverlap="1">
            <wp:simplePos x="0" y="0"/>
            <wp:positionH relativeFrom="page">
              <wp:posOffset>1511300</wp:posOffset>
            </wp:positionH>
            <wp:positionV relativeFrom="paragraph">
              <wp:posOffset>200405</wp:posOffset>
            </wp:positionV>
            <wp:extent cx="7975600" cy="7200900"/>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png"/>
                    <pic:cNvPicPr/>
                  </pic:nvPicPr>
                  <pic:blipFill>
                    <a:blip xmlns:r="http://schemas.openxmlformats.org/officeDocument/2006/relationships" r:embed="rId5" cstate="print"/>
                    <a:stretch>
                      <a:fillRect/>
                    </a:stretch>
                  </pic:blipFill>
                  <pic:spPr>
                    <a:xfrm>
                      <a:off x="0" y="0"/>
                      <a:ext cx="7975600" cy="7200900"/>
                    </a:xfrm>
                    <a:prstGeom prst="rect">
                      <a:avLst/>
                    </a:prstGeom>
                  </pic:spPr>
                </pic:pic>
              </a:graphicData>
            </a:graphic>
          </wp:anchor>
        </w:drawing>
      </w:r>
      <w:r>
        <w:rPr>
          <w:spacing w:val="-1"/>
          <w:w w:val="95"/>
        </w:rPr>
        <w:t xml:space="preserve">这种类型的店卖的品种多，但店面不整洁，管理混乱，综合服务能力跟不上，一旦遇到强大   </w:t>
      </w:r>
      <w:r>
        <w:t>的竞争对手往往无法抓住主要客户</w:t>
      </w:r>
    </w:p>
    <w:p>
      <w:pPr>
        <w:pStyle w:val="BodyText"/>
        <w:spacing w:before="3"/>
        <w:ind w:left="878"/>
        <w:rPr>
          <w:rFonts w:ascii="黑体" w:eastAsia="黑体" w:hint="eastAsia"/>
        </w:rPr>
      </w:pPr>
      <w:r>
        <w:rPr>
          <w:rFonts w:ascii="黑体" w:eastAsia="黑体" w:hint="eastAsia"/>
        </w:rPr>
        <w:t>3、细分市场零售店</w:t>
      </w:r>
    </w:p>
    <w:p>
      <w:pPr>
        <w:pStyle w:val="BodyText"/>
        <w:ind w:left="878"/>
      </w:pPr>
      <w:r>
        <w:t>比如厨具专卖，这种店在细分市场上有较大竞争力，但缺乏完整的服务；</w:t>
      </w:r>
    </w:p>
    <w:p>
      <w:pPr>
        <w:pStyle w:val="BodyText"/>
        <w:spacing w:before="240"/>
        <w:rPr>
          <w:rFonts w:ascii="黑体" w:eastAsia="黑体" w:hint="eastAsia"/>
        </w:rPr>
      </w:pPr>
      <w:r>
        <w:rPr>
          <w:rFonts w:ascii="黑体" w:eastAsia="黑体" w:hint="eastAsia"/>
        </w:rPr>
        <w:t>（二）优劣势分析</w:t>
      </w:r>
    </w:p>
    <w:p>
      <w:pPr>
        <w:pStyle w:val="BodyText"/>
        <w:ind w:left="878"/>
      </w:pPr>
      <w:r>
        <w:t>综合实际情况我们做出建材装饰街的优劣势分析：</w:t>
      </w:r>
    </w:p>
    <w:p>
      <w:pPr>
        <w:pStyle w:val="BodyText"/>
        <w:ind w:left="878"/>
        <w:rPr>
          <w:rFonts w:ascii="黑体" w:eastAsia="黑体" w:hint="eastAsia"/>
        </w:rPr>
      </w:pPr>
      <w:r>
        <w:rPr>
          <w:rFonts w:ascii="黑体" w:eastAsia="黑体" w:hint="eastAsia"/>
        </w:rPr>
        <w:t>1、建材装饰街优势</w:t>
      </w:r>
    </w:p>
    <w:p>
      <w:pPr>
        <w:pStyle w:val="ListParagraph"/>
        <w:numPr>
          <w:ilvl w:val="1"/>
          <w:numId w:val="4"/>
        </w:numPr>
        <w:tabs>
          <w:tab w:val="left" w:pos="1787"/>
        </w:tabs>
        <w:spacing w:before="241" w:after="0" w:line="364" w:lineRule="auto"/>
        <w:ind w:left="154" w:right="291" w:firstLine="724"/>
        <w:jc w:val="left"/>
        <w:rPr>
          <w:b/>
          <w:sz w:val="36"/>
        </w:rPr>
      </w:pPr>
      <w:r>
        <w:rPr>
          <w:b/>
          <w:spacing w:val="-1"/>
          <w:w w:val="95"/>
          <w:sz w:val="36"/>
        </w:rPr>
        <w:t xml:space="preserve">深入消费者心中。装饰街的存在已有数年，已经深入当涂消费者心中，消费者购买建材  </w:t>
      </w:r>
      <w:r>
        <w:rPr>
          <w:b/>
          <w:sz w:val="36"/>
        </w:rPr>
        <w:t>装饰材料往往优先考虑装饰街；</w:t>
      </w:r>
    </w:p>
    <w:p>
      <w:pPr>
        <w:pStyle w:val="ListParagraph"/>
        <w:numPr>
          <w:ilvl w:val="1"/>
          <w:numId w:val="4"/>
        </w:numPr>
        <w:tabs>
          <w:tab w:val="left" w:pos="1784"/>
        </w:tabs>
        <w:spacing w:before="2" w:after="0" w:line="364" w:lineRule="auto"/>
        <w:ind w:left="154" w:right="295" w:firstLine="724"/>
        <w:jc w:val="left"/>
        <w:rPr>
          <w:b/>
          <w:sz w:val="36"/>
        </w:rPr>
      </w:pPr>
      <w:r>
        <w:rPr>
          <w:b/>
          <w:spacing w:val="-1"/>
          <w:w w:val="95"/>
          <w:sz w:val="36"/>
        </w:rPr>
        <w:t xml:space="preserve">经营种类齐全。虽然装饰街内的单个店面的竞争能力有限，但整体提供了大部分的建材  </w:t>
      </w:r>
      <w:r>
        <w:rPr>
          <w:b/>
          <w:sz w:val="36"/>
        </w:rPr>
        <w:t>装饰材料，种类齐全，是吸引消费者的一大武器。</w:t>
      </w:r>
    </w:p>
    <w:p>
      <w:pPr>
        <w:pStyle w:val="BodyText"/>
        <w:spacing w:before="2"/>
        <w:ind w:left="878"/>
        <w:rPr>
          <w:rFonts w:ascii="黑体" w:eastAsia="黑体" w:hint="eastAsia"/>
        </w:rPr>
      </w:pPr>
      <w:r>
        <w:rPr>
          <w:rFonts w:ascii="黑体" w:eastAsia="黑体" w:hint="eastAsia"/>
        </w:rPr>
        <w:t>2、建材装饰街劣势</w:t>
      </w:r>
    </w:p>
    <w:p>
      <w:pPr>
        <w:pStyle w:val="ListParagraph"/>
        <w:numPr>
          <w:ilvl w:val="0"/>
          <w:numId w:val="3"/>
        </w:numPr>
        <w:tabs>
          <w:tab w:val="left" w:pos="1784"/>
        </w:tabs>
        <w:spacing w:before="241" w:after="0" w:line="364" w:lineRule="auto"/>
        <w:ind w:left="154" w:right="295" w:firstLine="724"/>
        <w:jc w:val="left"/>
        <w:rPr>
          <w:b/>
          <w:sz w:val="36"/>
        </w:rPr>
      </w:pPr>
      <w:r>
        <w:rPr>
          <w:b/>
          <w:spacing w:val="-1"/>
          <w:w w:val="95"/>
          <w:sz w:val="36"/>
        </w:rPr>
        <w:t xml:space="preserve">组织性不强。建材装饰街是由各种建材装饰零售店在姑孰新城零星开出来的，事后形成  </w:t>
      </w:r>
      <w:r>
        <w:rPr>
          <w:b/>
          <w:sz w:val="36"/>
        </w:rPr>
        <w:t>一定规模，他们的组织性不强，内部竞争激烈；</w:t>
      </w:r>
    </w:p>
    <w:p>
      <w:pPr>
        <w:pStyle w:val="ListParagraph"/>
        <w:numPr>
          <w:ilvl w:val="0"/>
          <w:numId w:val="3"/>
        </w:numPr>
        <w:tabs>
          <w:tab w:val="left" w:pos="1784"/>
        </w:tabs>
        <w:spacing w:before="1" w:after="0" w:line="364" w:lineRule="auto"/>
        <w:ind w:left="154" w:right="295" w:firstLine="724"/>
        <w:jc w:val="left"/>
        <w:rPr>
          <w:b/>
          <w:sz w:val="36"/>
        </w:rPr>
      </w:pPr>
      <w:r>
        <w:rPr>
          <w:b/>
          <w:spacing w:val="-1"/>
          <w:w w:val="95"/>
          <w:sz w:val="36"/>
        </w:rPr>
        <w:t xml:space="preserve">专业性不强。装饰街并不是只有建材装饰零售店，还有如饭店、医院、网吧等等公私经  </w:t>
      </w:r>
      <w:r>
        <w:rPr>
          <w:b/>
          <w:sz w:val="36"/>
        </w:rPr>
        <w:t>营者，只是经营建材装饰的相对多些。因此装饰街并不能给消费者一个整体专业的印象；</w:t>
      </w:r>
    </w:p>
    <w:p>
      <w:pPr>
        <w:pStyle w:val="ListParagraph"/>
        <w:numPr>
          <w:ilvl w:val="0"/>
          <w:numId w:val="3"/>
        </w:numPr>
        <w:tabs>
          <w:tab w:val="left" w:pos="1784"/>
        </w:tabs>
        <w:spacing w:before="2" w:after="0" w:line="364" w:lineRule="auto"/>
        <w:ind w:left="154" w:right="295" w:firstLine="724"/>
        <w:jc w:val="left"/>
        <w:rPr>
          <w:b/>
          <w:sz w:val="36"/>
        </w:rPr>
      </w:pPr>
      <w:r>
        <w:rPr>
          <w:b/>
          <w:spacing w:val="-1"/>
          <w:w w:val="95"/>
          <w:sz w:val="36"/>
        </w:rPr>
        <w:t xml:space="preserve">宣传意识不到位。这些零售店大部分都坐等顾客上门，或依靠上游生产商的广告拉动销  </w:t>
      </w:r>
      <w:r>
        <w:rPr>
          <w:b/>
          <w:sz w:val="36"/>
        </w:rPr>
        <w:t>售而没有积极考虑利用自己的零售品牌进行宣传营销，少数明智的零售商选择与装饰公司合作进行宣传，即使是合作宣传，零售店在宣传中往往处于相当的从属地位而难以让消费者认知。</w:t>
      </w:r>
    </w:p>
    <w:p>
      <w:pPr>
        <w:pStyle w:val="Heading3"/>
        <w:spacing w:before="32"/>
      </w:pPr>
      <w:bookmarkStart w:id="5" w:name="_TOC_250021"/>
      <w:bookmarkEnd w:id="5"/>
      <w:r>
        <w:t>二、其他竞争对手分析</w:t>
      </w:r>
    </w:p>
    <w:p>
      <w:pPr>
        <w:pStyle w:val="BodyText"/>
        <w:spacing w:before="370"/>
        <w:rPr>
          <w:rFonts w:ascii="黑体" w:eastAsia="黑体" w:hint="eastAsia"/>
        </w:rPr>
      </w:pPr>
      <w:r>
        <w:rPr>
          <w:rFonts w:ascii="黑体" w:eastAsia="黑体" w:hint="eastAsia"/>
        </w:rPr>
        <w:t>（一）当地分布零散的建材零售店</w:t>
      </w:r>
    </w:p>
    <w:p>
      <w:pPr>
        <w:pStyle w:val="BodyText"/>
        <w:spacing w:before="2" w:line="700" w:lineRule="atLeast"/>
        <w:ind w:right="478" w:firstLine="724"/>
        <w:sectPr>
          <w:footerReference w:type="default" r:id="rId8"/>
          <w:pgSz w:w="17860" w:h="25260"/>
          <w:pgMar w:top="1620" w:right="980" w:bottom="2380" w:left="1120" w:header="0" w:footer="2194"/>
          <w:pgNumType w:start="4"/>
          <w:cols w:space="708"/>
        </w:sectPr>
      </w:pPr>
      <w:r>
        <w:rPr>
          <w:spacing w:val="-1"/>
          <w:w w:val="95"/>
        </w:rPr>
        <w:t>当涂其他地方的建材装饰零售店有专卖店、粗放型零售店、细分市场零售店。共同特点是分</w:t>
      </w:r>
      <w:r>
        <w:rPr>
          <w:spacing w:val="-1"/>
          <w:w w:val="95"/>
        </w:rPr>
        <w:t xml:space="preserve"> </w:t>
      </w:r>
      <w:r>
        <w:rPr>
          <w:spacing w:val="-1"/>
          <w:w w:val="95"/>
        </w:rPr>
        <w:t xml:space="preserve"> </w:t>
      </w:r>
    </w:p>
    <w:p>
      <w:pPr>
        <w:pStyle w:val="BodyText"/>
        <w:spacing w:before="2" w:line="700" w:lineRule="atLeast"/>
        <w:ind w:right="478" w:firstLine="724"/>
      </w:pPr>
      <w:r>
        <w:rPr>
          <w:spacing w:val="-1"/>
          <w:w w:val="95"/>
        </w:rPr>
        <w:t xml:space="preserve"> 布零散，更接近他们附近的消费者，便利性好，然而综合实力不强，宣传不到位，综合服务能力</w:t>
      </w:r>
    </w:p>
    <w:p>
      <w:pPr>
        <w:spacing w:after="0" w:line="700" w:lineRule="atLeast"/>
        <w:sectPr>
          <w:footerReference w:type="default" r:id="rId9"/>
          <w:type w:val="nextPage"/>
          <w:pgSz w:w="17860" w:h="25260"/>
          <w:pgMar w:top="1620" w:right="980" w:bottom="2380" w:left="1120" w:header="0" w:footer="2194"/>
          <w:pgNumType w:start="5"/>
          <w:cols w:space="708"/>
          <w:titlePg w:val="0"/>
        </w:sectPr>
      </w:pPr>
    </w:p>
    <w:p>
      <w:pPr>
        <w:pStyle w:val="BodyText"/>
        <w:spacing w:before="33"/>
      </w:pPr>
      <w:r>
        <w:t>差。</w:t>
      </w:r>
    </w:p>
    <w:p>
      <w:pPr>
        <w:pStyle w:val="BodyText"/>
        <w:rPr>
          <w:rFonts w:ascii="黑体" w:eastAsia="黑体" w:hint="eastAsia"/>
        </w:rPr>
      </w:pPr>
      <w:r>
        <w:rPr>
          <w:rFonts w:ascii="黑体" w:eastAsia="黑体" w:hint="eastAsia"/>
        </w:rPr>
        <w:t>（二）建材零售巨头</w:t>
      </w:r>
    </w:p>
    <w:p>
      <w:pPr>
        <w:pStyle w:val="BodyText"/>
        <w:spacing w:line="364" w:lineRule="auto"/>
        <w:ind w:right="478" w:firstLine="724"/>
        <w:jc w:val="both"/>
      </w:pPr>
      <w:r>
        <w:rPr>
          <w:spacing w:val="-1"/>
          <w:w w:val="95"/>
        </w:rPr>
        <w:t xml:space="preserve">我国建材装饰零售市场上，北有居然之家，南有红星美凯龙，外有宜家、百安居等一线巨头   及一大批实力强大的地方实力派零售店。这些零售巨头纷纷在全国一线市场拼杀，因此在可预见   </w:t>
      </w:r>
      <w:r>
        <w:t>的未来零售巨头们不会大举进攻三四线市场，暂时对我们不会有威胁。</w:t>
      </w:r>
    </w:p>
    <w:p>
      <w:pPr>
        <w:pStyle w:val="Heading1"/>
        <w:spacing w:line="554" w:lineRule="exact"/>
        <w:ind w:left="4654"/>
        <w:rPr>
          <w:rFonts w:ascii="宋体" w:eastAsia="宋体" w:hint="eastAsia"/>
        </w:rPr>
      </w:pPr>
      <w:bookmarkStart w:id="6" w:name="_TOC_250020"/>
      <w:bookmarkEnd w:id="6"/>
      <w:r>
        <w:rPr>
          <w:rFonts w:ascii="宋体" w:eastAsia="宋体" w:hint="eastAsia"/>
        </w:rPr>
        <w:t>第三部分志强装饰 SWOT 分析</w:t>
      </w:r>
    </w:p>
    <w:p>
      <w:pPr>
        <w:pStyle w:val="Heading3"/>
        <w:spacing w:before="412"/>
      </w:pPr>
      <w:r>
        <w:drawing>
          <wp:anchor distT="0" distB="0" distL="0" distR="0" simplePos="0" relativeHeight="251663360" behindDoc="1" locked="0" layoutInCell="1" allowOverlap="1">
            <wp:simplePos x="0" y="0"/>
            <wp:positionH relativeFrom="page">
              <wp:posOffset>1511300</wp:posOffset>
            </wp:positionH>
            <wp:positionV relativeFrom="paragraph">
              <wp:posOffset>588517</wp:posOffset>
            </wp:positionV>
            <wp:extent cx="7975600" cy="7200900"/>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2.png"/>
                    <pic:cNvPicPr/>
                  </pic:nvPicPr>
                  <pic:blipFill>
                    <a:blip xmlns:r="http://schemas.openxmlformats.org/officeDocument/2006/relationships" r:embed="rId5" cstate="print"/>
                    <a:stretch>
                      <a:fillRect/>
                    </a:stretch>
                  </pic:blipFill>
                  <pic:spPr>
                    <a:xfrm>
                      <a:off x="0" y="0"/>
                      <a:ext cx="7975600" cy="7200900"/>
                    </a:xfrm>
                    <a:prstGeom prst="rect">
                      <a:avLst/>
                    </a:prstGeom>
                  </pic:spPr>
                </pic:pic>
              </a:graphicData>
            </a:graphic>
          </wp:anchor>
        </w:drawing>
      </w:r>
      <w:bookmarkStart w:id="7" w:name="_TOC_250019"/>
      <w:bookmarkEnd w:id="7"/>
      <w:r>
        <w:t>一、优势</w:t>
      </w:r>
    </w:p>
    <w:p>
      <w:pPr>
        <w:pStyle w:val="BodyText"/>
        <w:spacing w:before="370"/>
        <w:rPr>
          <w:rFonts w:ascii="黑体" w:eastAsia="黑体" w:hint="eastAsia"/>
        </w:rPr>
      </w:pPr>
      <w:r>
        <w:rPr>
          <w:rFonts w:ascii="黑体" w:eastAsia="黑体" w:hint="eastAsia"/>
        </w:rPr>
        <w:t>（一）地点优势</w:t>
      </w:r>
    </w:p>
    <w:p>
      <w:pPr>
        <w:pStyle w:val="BodyText"/>
        <w:spacing w:before="242" w:line="364" w:lineRule="auto"/>
        <w:ind w:right="152" w:firstLine="724"/>
      </w:pPr>
      <w:r>
        <w:t>志强装饰地处当涂县城北部，临近马鞍山，是当涂融入长三角的发展必经地。根据我们对当涂城区发展规划的了解，已经在建的大规模的住宅楼就在志强装饰的东方和北方，而志强装饰的</w:t>
      </w:r>
      <w:r>
        <w:rPr>
          <w:spacing w:val="-3"/>
          <w:w w:val="95"/>
        </w:rPr>
        <w:t xml:space="preserve">南方就是目前当涂城区最大的住宅区。志强装饰所处地点就在现在也是未来最大的目标市场之中，   </w:t>
      </w:r>
      <w:r>
        <w:t>地点优势非常明显。</w:t>
      </w:r>
    </w:p>
    <w:p>
      <w:pPr>
        <w:pStyle w:val="BodyText"/>
        <w:spacing w:before="4"/>
        <w:rPr>
          <w:rFonts w:ascii="黑体" w:eastAsia="黑体" w:hint="eastAsia"/>
        </w:rPr>
      </w:pPr>
      <w:r>
        <w:rPr>
          <w:rFonts w:ascii="黑体" w:eastAsia="黑体" w:hint="eastAsia"/>
        </w:rPr>
        <w:t>（二）交通优势</w:t>
      </w:r>
    </w:p>
    <w:p>
      <w:pPr>
        <w:pStyle w:val="BodyText"/>
        <w:spacing w:before="240" w:line="364" w:lineRule="auto"/>
        <w:ind w:right="478" w:firstLine="724"/>
        <w:jc w:val="both"/>
      </w:pPr>
      <w:r>
        <w:rPr>
          <w:spacing w:val="-1"/>
          <w:w w:val="95"/>
        </w:rPr>
        <w:t xml:space="preserve">当涂县城及周边近几年所有的道路均非常宽广，志强装饰所处的位置骑摩托车到新政府大楼   不到五分钟，同样我们的送货车从启动到送到当涂目前和将来最主要的住宅区不超过十分钟，交   </w:t>
      </w:r>
      <w:r>
        <w:t>通优势非常明显。</w:t>
      </w:r>
    </w:p>
    <w:p>
      <w:pPr>
        <w:pStyle w:val="BodyText"/>
        <w:spacing w:before="4"/>
        <w:rPr>
          <w:rFonts w:ascii="黑体" w:eastAsia="黑体" w:hint="eastAsia"/>
        </w:rPr>
      </w:pPr>
      <w:r>
        <w:rPr>
          <w:rFonts w:ascii="黑体" w:eastAsia="黑体" w:hint="eastAsia"/>
        </w:rPr>
        <w:t>（三）成本优势</w:t>
      </w:r>
    </w:p>
    <w:p>
      <w:pPr>
        <w:pStyle w:val="BodyText"/>
        <w:spacing w:before="240" w:line="364" w:lineRule="auto"/>
        <w:ind w:right="290" w:firstLine="724"/>
      </w:pPr>
      <w:r>
        <w:t>志强装饰的商品如陶瓷卫浴、地板、油漆涂料等由于销量大直接从生产商进货；中等销量的商品通过阿里巴巴网上进货取得最优价格；销量不大的商品与合作伙伴联合进货（有两家亲戚在</w:t>
      </w:r>
      <w:r>
        <w:rPr>
          <w:w w:val="95"/>
        </w:rPr>
        <w:t>马鞍上市区开装饰材料零售店，三方长期合作，目标市场上三家不冲突，可有他们代进货物</w:t>
      </w:r>
      <w:r>
        <w:rPr>
          <w:spacing w:val="-167"/>
          <w:w w:val="95"/>
        </w:rPr>
        <w:t>）</w:t>
      </w:r>
      <w:r>
        <w:rPr>
          <w:spacing w:val="-9"/>
          <w:w w:val="95"/>
        </w:rPr>
        <w:t xml:space="preserve">。据   </w:t>
      </w:r>
      <w:r>
        <w:t>我们调查，粗放式零售店主要从芜湖、马鞍山、南京的建材装饰批发市场进货，成本相对较高。</w:t>
      </w:r>
    </w:p>
    <w:p>
      <w:pPr>
        <w:pStyle w:val="BodyText"/>
        <w:spacing w:before="4"/>
        <w:rPr>
          <w:rFonts w:ascii="黑体" w:eastAsia="黑体" w:hint="eastAsia"/>
        </w:rPr>
      </w:pPr>
      <w:r>
        <w:rPr>
          <w:rFonts w:ascii="黑体" w:eastAsia="黑体" w:hint="eastAsia"/>
        </w:rPr>
        <w:t>（四）服务优势</w:t>
      </w:r>
    </w:p>
    <w:p>
      <w:pPr>
        <w:pStyle w:val="BodyText"/>
        <w:spacing w:line="364" w:lineRule="auto"/>
        <w:ind w:right="281" w:firstLine="724"/>
      </w:pPr>
      <w:r>
        <w:rPr>
          <w:spacing w:val="-7"/>
          <w:w w:val="99"/>
        </w:rPr>
        <w:t>志强装饰提供产品组合服务并准备在当涂建材装饰零售市场率先提出：“无理由退换货”承诺</w:t>
      </w:r>
      <w:r>
        <w:t>等服务。致力于让消费者更“省时省力省心”的选购建材装饰材料，同时将消费者的购物风险降到最低，让消费者能更放心而无后顾之忧的购物，也进一步把消费者的合法权益提升到一个更高的层次。</w:t>
      </w:r>
    </w:p>
    <w:p>
      <w:pPr>
        <w:pStyle w:val="Heading3"/>
        <w:spacing w:before="32"/>
      </w:pPr>
      <w:bookmarkStart w:id="8" w:name="_TOC_250018"/>
      <w:bookmarkEnd w:id="8"/>
      <w:r>
        <w:t>二、劣势</w:t>
      </w:r>
    </w:p>
    <w:p>
      <w:pPr>
        <w:pStyle w:val="BodyText"/>
        <w:spacing w:before="370"/>
        <w:rPr>
          <w:rFonts w:ascii="黑体" w:eastAsia="黑体" w:hint="eastAsia"/>
        </w:rPr>
      </w:pPr>
      <w:r>
        <w:rPr>
          <w:rFonts w:ascii="黑体" w:eastAsia="黑体" w:hint="eastAsia"/>
        </w:rPr>
        <w:t>（一）员工风险</w:t>
      </w:r>
    </w:p>
    <w:p>
      <w:pPr>
        <w:pStyle w:val="BodyText"/>
        <w:ind w:left="878"/>
      </w:pPr>
      <w:r>
        <w:t>志强装饰拓展新市场将招聘一批新的员工，新员工存在以下令志强装饰担忧的问题：对业务</w:t>
      </w:r>
    </w:p>
    <w:p>
      <w:pPr>
        <w:spacing w:after="0"/>
        <w:sectPr>
          <w:footerReference w:type="default" r:id="rId10"/>
          <w:pgSz w:w="17860" w:h="25260"/>
          <w:pgMar w:top="1620" w:right="980" w:bottom="2380" w:left="1120" w:header="0" w:footer="2194"/>
          <w:pgNumType w:start="6"/>
          <w:cols w:space="708"/>
        </w:sectPr>
      </w:pPr>
    </w:p>
    <w:p>
      <w:pPr>
        <w:pStyle w:val="BodyText"/>
        <w:spacing w:before="33"/>
      </w:pPr>
      <w:r>
        <w:t>的熟练程度、对志强装饰的忠诚度、能力、是否打算长期留下等值的关注的要点。</w:t>
      </w:r>
    </w:p>
    <w:p>
      <w:pPr>
        <w:pStyle w:val="BodyText"/>
        <w:rPr>
          <w:rFonts w:ascii="黑体" w:eastAsia="黑体" w:hint="eastAsia"/>
        </w:rPr>
      </w:pPr>
      <w:r>
        <w:rPr>
          <w:rFonts w:ascii="黑体" w:eastAsia="黑体" w:hint="eastAsia"/>
        </w:rPr>
        <w:t>（二）适应新市场</w:t>
      </w:r>
    </w:p>
    <w:p>
      <w:pPr>
        <w:pStyle w:val="BodyText"/>
        <w:spacing w:line="364" w:lineRule="auto"/>
        <w:ind w:right="478" w:firstLine="724"/>
      </w:pPr>
      <w:r>
        <w:rPr>
          <w:spacing w:val="-1"/>
          <w:w w:val="95"/>
        </w:rPr>
        <w:t xml:space="preserve">进入新的市场，将面对新的消费者、新的消费者习惯、新的竞争者和新的生存环境，志强装   </w:t>
      </w:r>
      <w:r>
        <w:t>饰需要改变自己以尽快适应新市场，适应过程中需面对任何挑战；</w:t>
      </w:r>
    </w:p>
    <w:p>
      <w:pPr>
        <w:pStyle w:val="BodyText"/>
        <w:spacing w:before="2"/>
        <w:rPr>
          <w:rFonts w:ascii="黑体" w:eastAsia="黑体" w:hint="eastAsia"/>
        </w:rPr>
      </w:pPr>
      <w:r>
        <w:rPr>
          <w:rFonts w:ascii="黑体" w:eastAsia="黑体" w:hint="eastAsia"/>
        </w:rPr>
        <w:t>（三）内部管理</w:t>
      </w:r>
    </w:p>
    <w:p>
      <w:pPr>
        <w:pStyle w:val="BodyText"/>
        <w:spacing w:line="364" w:lineRule="auto"/>
        <w:ind w:right="478" w:firstLine="724"/>
      </w:pPr>
      <w:r>
        <w:rPr>
          <w:spacing w:val="-1"/>
          <w:w w:val="95"/>
        </w:rPr>
        <w:t xml:space="preserve">志强装饰内部制度不完善，需建立一套行之有效的新的适应市场变化的制度。新制度的好坏   </w:t>
      </w:r>
      <w:r>
        <w:t>直接关系到志强装饰能否展示核心竞争力、能否兑现对消费者的各项承诺。</w:t>
      </w:r>
    </w:p>
    <w:p>
      <w:pPr>
        <w:pStyle w:val="Heading3"/>
      </w:pPr>
      <w:r>
        <w:drawing>
          <wp:anchor distT="0" distB="0" distL="0" distR="0" simplePos="0" relativeHeight="251664384" behindDoc="1" locked="0" layoutInCell="1" allowOverlap="1">
            <wp:simplePos x="0" y="0"/>
            <wp:positionH relativeFrom="page">
              <wp:posOffset>1511300</wp:posOffset>
            </wp:positionH>
            <wp:positionV relativeFrom="paragraph">
              <wp:posOffset>48132</wp:posOffset>
            </wp:positionV>
            <wp:extent cx="7975600" cy="7200900"/>
            <wp:effectExtent l="0" t="0" r="0" b="0"/>
            <wp:wrapNone/>
            <wp:docPr id="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png"/>
                    <pic:cNvPicPr/>
                  </pic:nvPicPr>
                  <pic:blipFill>
                    <a:blip xmlns:r="http://schemas.openxmlformats.org/officeDocument/2006/relationships" r:embed="rId5" cstate="print"/>
                    <a:stretch>
                      <a:fillRect/>
                    </a:stretch>
                  </pic:blipFill>
                  <pic:spPr>
                    <a:xfrm>
                      <a:off x="0" y="0"/>
                      <a:ext cx="7975600" cy="7200900"/>
                    </a:xfrm>
                    <a:prstGeom prst="rect">
                      <a:avLst/>
                    </a:prstGeom>
                  </pic:spPr>
                </pic:pic>
              </a:graphicData>
            </a:graphic>
          </wp:anchor>
        </w:drawing>
      </w:r>
      <w:bookmarkStart w:id="9" w:name="_TOC_250017"/>
      <w:bookmarkEnd w:id="9"/>
      <w:r>
        <w:t>三、机会</w:t>
      </w:r>
    </w:p>
    <w:p>
      <w:pPr>
        <w:pStyle w:val="BodyText"/>
        <w:spacing w:before="371"/>
        <w:rPr>
          <w:rFonts w:ascii="黑体" w:eastAsia="黑体" w:hint="eastAsia"/>
        </w:rPr>
      </w:pPr>
      <w:r>
        <w:rPr>
          <w:rFonts w:ascii="黑体" w:eastAsia="黑体" w:hint="eastAsia"/>
        </w:rPr>
        <w:t>（一）全国城市化进程市场大</w:t>
      </w:r>
    </w:p>
    <w:p>
      <w:pPr>
        <w:pStyle w:val="BodyText"/>
        <w:ind w:left="878"/>
        <w:jc w:val="both"/>
      </w:pPr>
      <w:r>
        <w:t>我国目前城市化率为 45%，假设目标是 80%，按照每年 1 个百分点的速度，整个国家还有 35</w:t>
      </w:r>
    </w:p>
    <w:p>
      <w:pPr>
        <w:pStyle w:val="BodyText"/>
      </w:pPr>
      <w:r>
        <w:t>年左右时间完成城市化目标。这一过程将带来大量的室内装饰需求；</w:t>
      </w:r>
    </w:p>
    <w:p>
      <w:pPr>
        <w:pStyle w:val="BodyText"/>
        <w:spacing w:before="240"/>
        <w:rPr>
          <w:rFonts w:ascii="黑体" w:eastAsia="黑体" w:hint="eastAsia"/>
        </w:rPr>
      </w:pPr>
      <w:r>
        <w:rPr>
          <w:rFonts w:ascii="黑体" w:eastAsia="黑体" w:hint="eastAsia"/>
        </w:rPr>
        <w:t>（二）马鞍山经济发展前景乐观</w:t>
      </w:r>
    </w:p>
    <w:p>
      <w:pPr>
        <w:pStyle w:val="BodyText"/>
        <w:ind w:left="878"/>
        <w:jc w:val="both"/>
      </w:pPr>
      <w:r>
        <w:t>2010</w:t>
      </w:r>
      <w:r>
        <w:rPr>
          <w:spacing w:val="-60"/>
        </w:rPr>
        <w:t xml:space="preserve"> 年 </w:t>
      </w:r>
      <w:r>
        <w:t>3</w:t>
      </w:r>
      <w:r>
        <w:rPr>
          <w:spacing w:val="-62"/>
        </w:rPr>
        <w:t xml:space="preserve"> 月 </w:t>
      </w:r>
      <w:r>
        <w:t>26</w:t>
      </w:r>
      <w:r>
        <w:rPr>
          <w:spacing w:val="-12"/>
        </w:rPr>
        <w:t xml:space="preserve"> 日马鞍山正式加入长三角城市经济协调会成为长三角一员；同时 </w:t>
      </w:r>
      <w:r>
        <w:t>2010</w:t>
      </w:r>
      <w:r>
        <w:rPr>
          <w:spacing w:val="-59"/>
        </w:rPr>
        <w:t xml:space="preserve"> 年 </w:t>
      </w:r>
      <w:r>
        <w:t>1</w:t>
      </w:r>
      <w:r>
        <w:rPr>
          <w:spacing w:val="-47"/>
        </w:rPr>
        <w:t xml:space="preserve"> 月</w:t>
      </w:r>
    </w:p>
    <w:p>
      <w:pPr>
        <w:pStyle w:val="BodyText"/>
        <w:spacing w:line="364" w:lineRule="auto"/>
        <w:ind w:right="289"/>
        <w:jc w:val="both"/>
      </w:pPr>
      <w:r>
        <w:t>12</w:t>
      </w:r>
      <w:r>
        <w:rPr>
          <w:spacing w:val="-10"/>
        </w:rPr>
        <w:t xml:space="preserve"> 日国务院正式批准实施皖江城市带承接产业转移示范区规划，马鞍山处于示范区“一轴两翼” </w:t>
      </w:r>
      <w:r>
        <w:rPr>
          <w:spacing w:val="-15"/>
        </w:rPr>
        <w:t xml:space="preserve">中“一轴”的最前端；马鞍山市新领导班子提出“ </w:t>
      </w:r>
      <w:r>
        <w:t>1255”城市发展战略，战略中将当涂作为副城</w:t>
      </w:r>
      <w:r>
        <w:rPr>
          <w:spacing w:val="-1"/>
        </w:rPr>
        <w:t xml:space="preserve">区大力建设，当涂城区市民总量在一段时期内将大增。我们可以预测，当涂市民的人均 </w:t>
      </w:r>
      <w:r>
        <w:t>GDP</w:t>
      </w:r>
      <w:r>
        <w:rPr>
          <w:spacing w:val="-21"/>
        </w:rPr>
        <w:t xml:space="preserve"> 将继</w:t>
      </w:r>
      <w:r>
        <w:t>续保持高速增长，同时市民人口总量将大增，我们面对的市场规模将进一步扩大。</w:t>
      </w:r>
    </w:p>
    <w:p>
      <w:pPr>
        <w:pStyle w:val="BodyText"/>
        <w:spacing w:before="4"/>
        <w:rPr>
          <w:rFonts w:ascii="黑体" w:eastAsia="黑体" w:hint="eastAsia"/>
        </w:rPr>
      </w:pPr>
      <w:r>
        <w:rPr>
          <w:rFonts w:ascii="黑体" w:eastAsia="黑体" w:hint="eastAsia"/>
        </w:rPr>
        <w:t>（三）强大的竞争对手无暇顾及当涂市场</w:t>
      </w:r>
    </w:p>
    <w:p>
      <w:pPr>
        <w:pStyle w:val="BodyText"/>
        <w:spacing w:line="364" w:lineRule="auto"/>
        <w:ind w:right="118" w:firstLine="724"/>
      </w:pPr>
      <w:r>
        <w:rPr>
          <w:spacing w:val="-1"/>
          <w:w w:val="95"/>
        </w:rPr>
        <w:t xml:space="preserve">我国经济率先从金融危机中恢复，全国一二线建材装饰市场得到激活，一二线市场尚未饱和，   </w:t>
      </w:r>
      <w:r>
        <w:t>没有市场领导者，零售巨头再次忙于布局一二线市场，短期内无暇顾及三四线市场。</w:t>
      </w:r>
    </w:p>
    <w:p>
      <w:pPr>
        <w:pStyle w:val="Heading3"/>
      </w:pPr>
      <w:r>
        <w:t>一、威胁</w:t>
      </w:r>
    </w:p>
    <w:p>
      <w:pPr>
        <w:pStyle w:val="BodyText"/>
        <w:spacing w:before="370"/>
        <w:rPr>
          <w:rFonts w:ascii="黑体" w:eastAsia="黑体" w:hint="eastAsia"/>
        </w:rPr>
      </w:pPr>
      <w:r>
        <w:rPr>
          <w:rFonts w:ascii="黑体" w:eastAsia="黑体" w:hint="eastAsia"/>
        </w:rPr>
        <w:t>（一）主权债务危机</w:t>
      </w:r>
    </w:p>
    <w:p>
      <w:pPr>
        <w:pStyle w:val="BodyText"/>
        <w:spacing w:line="364" w:lineRule="auto"/>
        <w:ind w:right="123" w:firstLine="724"/>
      </w:pPr>
      <w:r>
        <w:t>希腊主权债务危机愈演愈烈，不仅拖累欧元区及世界经济复苏，更暴露出发达国家（欧猪五</w:t>
      </w:r>
      <w:r>
        <w:rPr>
          <w:w w:val="95"/>
        </w:rPr>
        <w:t>国、美国、日本等）</w:t>
      </w:r>
      <w:r>
        <w:rPr>
          <w:spacing w:val="-1"/>
          <w:w w:val="95"/>
        </w:rPr>
        <w:t xml:space="preserve">长期扩张性财政政策带来的大量主权债务。本次主权债务危机一旦处理不慎，   </w:t>
      </w:r>
      <w:r>
        <w:t>引发第二次全球经济危机，将拖累已经融入全球经济的中国经济。</w:t>
      </w:r>
    </w:p>
    <w:p>
      <w:pPr>
        <w:pStyle w:val="BodyText"/>
        <w:spacing w:before="4"/>
        <w:rPr>
          <w:rFonts w:ascii="黑体" w:eastAsia="黑体" w:hint="eastAsia"/>
        </w:rPr>
      </w:pPr>
      <w:r>
        <w:rPr>
          <w:rFonts w:ascii="黑体" w:eastAsia="黑体" w:hint="eastAsia"/>
        </w:rPr>
        <w:t>（二）房地产有崩盘的可能</w:t>
      </w:r>
    </w:p>
    <w:p>
      <w:pPr>
        <w:pStyle w:val="BodyText"/>
        <w:spacing w:line="364" w:lineRule="auto"/>
        <w:ind w:right="478" w:firstLine="724"/>
      </w:pPr>
      <w:r>
        <w:rPr>
          <w:spacing w:val="-1"/>
          <w:w w:val="95"/>
        </w:rPr>
        <w:t xml:space="preserve">中国房地产的发展轨迹令人担忧，存在崩盘的危险。一旦房地产市场出现动荡，与房地产密   </w:t>
      </w:r>
      <w:r>
        <w:t>切相关的室内装饰也将遭受打击。</w:t>
      </w:r>
    </w:p>
    <w:p>
      <w:pPr>
        <w:pStyle w:val="BodyText"/>
        <w:spacing w:before="1"/>
        <w:rPr>
          <w:rFonts w:ascii="黑体" w:eastAsia="黑体" w:hint="eastAsia"/>
        </w:rPr>
      </w:pPr>
      <w:r>
        <w:rPr>
          <w:rFonts w:ascii="黑体" w:eastAsia="黑体" w:hint="eastAsia"/>
        </w:rPr>
        <w:t>（三）潜在对手威胁</w:t>
      </w:r>
    </w:p>
    <w:p>
      <w:pPr>
        <w:spacing w:after="0"/>
        <w:rPr>
          <w:rFonts w:ascii="黑体" w:eastAsia="黑体" w:hint="eastAsia"/>
        </w:rPr>
        <w:sectPr>
          <w:footerReference w:type="default" r:id="rId11"/>
          <w:pgSz w:w="17860" w:h="25260"/>
          <w:pgMar w:top="1620" w:right="980" w:bottom="2380" w:left="1120" w:header="0" w:footer="2194"/>
          <w:pgNumType w:start="7"/>
          <w:cols w:space="708"/>
        </w:sectPr>
      </w:pPr>
    </w:p>
    <w:p>
      <w:pPr>
        <w:pStyle w:val="BodyText"/>
        <w:spacing w:before="33" w:line="364" w:lineRule="auto"/>
        <w:ind w:right="478" w:firstLine="724"/>
      </w:pPr>
      <w:r>
        <w:rPr>
          <w:spacing w:val="-1"/>
          <w:w w:val="95"/>
        </w:rPr>
        <w:t xml:space="preserve">在这一轮大建设大发展中，当涂市场有可能培养出强大的本地建材装饰零售店，与志强装饰   </w:t>
      </w:r>
      <w:r>
        <w:t>展开竞争；</w:t>
      </w:r>
    </w:p>
    <w:p>
      <w:pPr>
        <w:pStyle w:val="BodyText"/>
        <w:spacing w:before="2"/>
        <w:rPr>
          <w:rFonts w:ascii="黑体" w:eastAsia="黑体" w:hint="eastAsia"/>
        </w:rPr>
      </w:pPr>
      <w:r>
        <w:rPr>
          <w:rFonts w:ascii="黑体" w:eastAsia="黑体" w:hint="eastAsia"/>
        </w:rPr>
        <w:t>（四）恶意攻击</w:t>
      </w:r>
    </w:p>
    <w:p>
      <w:pPr>
        <w:pStyle w:val="BodyText"/>
        <w:spacing w:line="364" w:lineRule="auto"/>
        <w:ind w:right="478" w:firstLine="724"/>
        <w:jc w:val="both"/>
      </w:pPr>
      <w:r>
        <w:rPr>
          <w:spacing w:val="-1"/>
          <w:w w:val="95"/>
        </w:rPr>
        <w:t xml:space="preserve">志强装饰率先在当涂市场上喊出包括“无理由退换货”在内的各种先进服务理念，将会强有   力的攻击那些依然保留旧理念而无法给消费者提供更好服务的建材装饰零售商，存在被竞争对手   </w:t>
      </w:r>
      <w:r>
        <w:t>恶意攻击的可能，这一点志强装饰要统筹各方利益予以还击以保护志强装饰的品牌形象。</w:t>
      </w:r>
    </w:p>
    <w:p>
      <w:pPr>
        <w:pStyle w:val="Heading1"/>
        <w:spacing w:line="554" w:lineRule="exact"/>
        <w:ind w:left="3020" w:right="0"/>
        <w:jc w:val="left"/>
      </w:pPr>
      <w:bookmarkStart w:id="10" w:name="_TOC_250016"/>
      <w:bookmarkEnd w:id="10"/>
      <w:r>
        <w:t>第四部分消费者分析</w:t>
      </w:r>
    </w:p>
    <w:p>
      <w:pPr>
        <w:pStyle w:val="BodyText"/>
        <w:spacing w:before="385"/>
      </w:pPr>
      <w:r>
        <w:drawing>
          <wp:anchor distT="0" distB="0" distL="0" distR="0" simplePos="0" relativeHeight="251665408" behindDoc="1" locked="0" layoutInCell="1" allowOverlap="1">
            <wp:simplePos x="0" y="0"/>
            <wp:positionH relativeFrom="page">
              <wp:posOffset>1511300</wp:posOffset>
            </wp:positionH>
            <wp:positionV relativeFrom="paragraph">
              <wp:posOffset>143255</wp:posOffset>
            </wp:positionV>
            <wp:extent cx="7975600" cy="7200900"/>
            <wp:effectExtent l="0" t="0" r="0" b="0"/>
            <wp:wrapNone/>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2.png"/>
                    <pic:cNvPicPr/>
                  </pic:nvPicPr>
                  <pic:blipFill>
                    <a:blip xmlns:r="http://schemas.openxmlformats.org/officeDocument/2006/relationships" r:embed="rId5" cstate="print"/>
                    <a:stretch>
                      <a:fillRect/>
                    </a:stretch>
                  </pic:blipFill>
                  <pic:spPr>
                    <a:xfrm>
                      <a:off x="0" y="0"/>
                      <a:ext cx="7975600" cy="7200900"/>
                    </a:xfrm>
                    <a:prstGeom prst="rect">
                      <a:avLst/>
                    </a:prstGeom>
                  </pic:spPr>
                </pic:pic>
              </a:graphicData>
            </a:graphic>
          </wp:anchor>
        </w:drawing>
      </w:r>
      <w:r>
        <w:t>我们的目标消费者在室内装饰市场，分为以下两类人群：</w:t>
      </w:r>
    </w:p>
    <w:p>
      <w:pPr>
        <w:pStyle w:val="Heading3"/>
        <w:spacing w:before="269"/>
      </w:pPr>
      <w:bookmarkStart w:id="11" w:name="_TOC_250015"/>
      <w:bookmarkEnd w:id="11"/>
      <w:r>
        <w:t>一、家庭装修人群</w:t>
      </w:r>
    </w:p>
    <w:p>
      <w:pPr>
        <w:pStyle w:val="BodyText"/>
        <w:spacing w:before="370"/>
      </w:pPr>
      <w:r>
        <w:t>室内首次装修人群又可分为三类：</w:t>
      </w:r>
    </w:p>
    <w:p>
      <w:pPr>
        <w:pStyle w:val="BodyText"/>
        <w:rPr>
          <w:rFonts w:ascii="黑体" w:eastAsia="黑体" w:hint="eastAsia"/>
        </w:rPr>
      </w:pPr>
      <w:r>
        <w:rPr>
          <w:rFonts w:ascii="黑体" w:eastAsia="黑体" w:hint="eastAsia"/>
        </w:rPr>
        <w:t>（一）青年结婚人群</w:t>
      </w:r>
    </w:p>
    <w:p>
      <w:pPr>
        <w:pStyle w:val="BodyText"/>
        <w:spacing w:line="364" w:lineRule="auto"/>
        <w:ind w:right="478" w:firstLine="724"/>
      </w:pPr>
      <w:r>
        <w:rPr>
          <w:spacing w:val="-1"/>
          <w:w w:val="95"/>
        </w:rPr>
        <w:t xml:space="preserve">青年结婚将首次置业，婚房的装饰是双方都很重视的一部分。他们对装饰的要求相对较高，   </w:t>
      </w:r>
      <w:r>
        <w:t>在质量上会有一定追求，且装修过程中女性意见大于男性意见，可视女性为决策者；</w:t>
      </w:r>
    </w:p>
    <w:p>
      <w:pPr>
        <w:pStyle w:val="BodyText"/>
        <w:spacing w:before="1" w:line="364" w:lineRule="auto"/>
        <w:ind w:left="878" w:right="5158"/>
      </w:pPr>
      <w:r>
        <w:rPr>
          <w:w w:val="95"/>
        </w:rPr>
        <w:t>针对其特征，我们为其提供高质量，时尚、潮流的商品组合。</w:t>
      </w:r>
      <w:r>
        <w:rPr>
          <w:w w:val="99"/>
        </w:rPr>
        <w:t>打出口号：“让年轻更灿烂的绽放吧！”</w:t>
      </w:r>
    </w:p>
    <w:p>
      <w:pPr>
        <w:pStyle w:val="BodyText"/>
        <w:spacing w:before="2"/>
        <w:rPr>
          <w:rFonts w:ascii="黑体" w:eastAsia="黑体" w:hint="eastAsia"/>
        </w:rPr>
      </w:pPr>
      <w:r>
        <w:rPr>
          <w:rFonts w:ascii="黑体" w:eastAsia="黑体" w:hint="eastAsia"/>
        </w:rPr>
        <w:t>（二）农转非人群</w:t>
      </w:r>
    </w:p>
    <w:p>
      <w:pPr>
        <w:pStyle w:val="BodyText"/>
        <w:spacing w:before="242" w:line="364" w:lineRule="auto"/>
        <w:ind w:right="118" w:firstLine="724"/>
      </w:pPr>
      <w:r>
        <w:rPr>
          <w:spacing w:val="-1"/>
          <w:w w:val="95"/>
        </w:rPr>
        <w:t xml:space="preserve">当涂城市化进程使得大量原来农村客户进入城市生活，农转非客户留有一定的农村生活习性，   </w:t>
      </w:r>
      <w:r>
        <w:t>对于装修大多亲力亲为同时事无巨细的关心，家中男人是决策者，追求低价（也有部分因拆迁得到了钱欲好好享受生活而追求更好的质量）。</w:t>
      </w:r>
    </w:p>
    <w:p>
      <w:pPr>
        <w:pStyle w:val="BodyText"/>
        <w:spacing w:before="2"/>
        <w:ind w:left="878"/>
      </w:pPr>
      <w:r>
        <w:t>针对其特征，提供高性价比的商品组合方案。</w:t>
      </w:r>
    </w:p>
    <w:p>
      <w:pPr>
        <w:pStyle w:val="BodyText"/>
        <w:ind w:left="878"/>
      </w:pPr>
      <w:r>
        <w:rPr>
          <w:spacing w:val="-21"/>
          <w:w w:val="99"/>
        </w:rPr>
        <w:t>打出口号；“老朋友，让我们一起开始新生活吧！”</w:t>
      </w:r>
    </w:p>
    <w:p>
      <w:pPr>
        <w:pStyle w:val="BodyText"/>
        <w:rPr>
          <w:rFonts w:ascii="黑体" w:eastAsia="黑体" w:hint="eastAsia"/>
        </w:rPr>
      </w:pPr>
      <w:r>
        <w:rPr>
          <w:rFonts w:ascii="黑体" w:eastAsia="黑体" w:hint="eastAsia"/>
        </w:rPr>
        <w:t>（三）二次装修人群</w:t>
      </w:r>
    </w:p>
    <w:p>
      <w:pPr>
        <w:pStyle w:val="BodyText"/>
        <w:spacing w:before="240"/>
        <w:ind w:left="878"/>
        <w:jc w:val="both"/>
      </w:pPr>
      <w:r>
        <w:t>二次装修人群基本是 30 岁到 60 岁的城区及周边中年人，事业上基本已经稳定，工作较忙。</w:t>
      </w:r>
    </w:p>
    <w:p>
      <w:pPr>
        <w:pStyle w:val="BodyText"/>
        <w:spacing w:before="242" w:line="364" w:lineRule="auto"/>
        <w:ind w:right="201"/>
        <w:jc w:val="both"/>
      </w:pPr>
      <w:r>
        <w:rPr>
          <w:spacing w:val="-1"/>
        </w:rPr>
        <w:t xml:space="preserve">据我们调查得，目前前往建材装饰购物中心的用户年龄趋向中年化，其中年龄在 </w:t>
      </w:r>
      <w:r>
        <w:t>30</w:t>
      </w:r>
      <w:r>
        <w:rPr>
          <w:spacing w:val="-34"/>
        </w:rPr>
        <w:t xml:space="preserve"> 岁至 </w:t>
      </w:r>
      <w:r>
        <w:t>60</w:t>
      </w:r>
      <w:r>
        <w:rPr>
          <w:spacing w:val="-23"/>
        </w:rPr>
        <w:t xml:space="preserve"> 岁的</w:t>
      </w:r>
      <w:r>
        <w:rPr>
          <w:spacing w:val="-45"/>
        </w:rPr>
        <w:t xml:space="preserve">用户超过 </w:t>
      </w:r>
      <w:r>
        <w:t>70</w:t>
      </w:r>
      <w:r>
        <w:rPr>
          <w:spacing w:val="-1"/>
        </w:rPr>
        <w:t>%。他们往往因为室内装饰某处出现问题或者希望通过局部重新装修来改善生活质量。</w:t>
      </w:r>
      <w:r>
        <w:t>一般家中妇女及子女的意见影响大。</w:t>
      </w:r>
    </w:p>
    <w:p>
      <w:pPr>
        <w:pStyle w:val="BodyText"/>
        <w:spacing w:before="3" w:line="364" w:lineRule="auto"/>
        <w:ind w:left="878" w:right="8758"/>
      </w:pPr>
      <w:r>
        <w:rPr>
          <w:spacing w:val="-1"/>
          <w:w w:val="95"/>
        </w:rPr>
        <w:t>针对其特征，提供高品质的商品组合。</w:t>
      </w:r>
      <w:r>
        <w:rPr>
          <w:spacing w:val="-26"/>
          <w:w w:val="99"/>
        </w:rPr>
        <w:t>打出口号：“让生活更加美好！”</w:t>
      </w:r>
    </w:p>
    <w:p>
      <w:pPr>
        <w:pStyle w:val="Heading3"/>
      </w:pPr>
      <w:bookmarkStart w:id="12" w:name="_TOC_250014"/>
      <w:bookmarkEnd w:id="12"/>
      <w:r>
        <w:t>二、公共装修领域</w:t>
      </w:r>
    </w:p>
    <w:p>
      <w:pPr>
        <w:spacing w:after="0"/>
        <w:sectPr>
          <w:footerReference w:type="default" r:id="rId12"/>
          <w:pgSz w:w="17860" w:h="25260"/>
          <w:pgMar w:top="1620" w:right="980" w:bottom="2380" w:left="1120" w:header="0" w:footer="2194"/>
          <w:pgNumType w:start="8"/>
          <w:cols w:space="708"/>
        </w:sectPr>
      </w:pPr>
    </w:p>
    <w:p>
      <w:pPr>
        <w:pStyle w:val="BodyText"/>
        <w:spacing w:before="33"/>
        <w:rPr>
          <w:rFonts w:ascii="黑体" w:eastAsia="黑体" w:hint="eastAsia"/>
        </w:rPr>
      </w:pPr>
      <w:r>
        <w:rPr>
          <w:rFonts w:ascii="黑体" w:eastAsia="黑体" w:hint="eastAsia"/>
        </w:rPr>
        <w:t>（一）企、事业单位</w:t>
      </w:r>
    </w:p>
    <w:p>
      <w:pPr>
        <w:pStyle w:val="BodyText"/>
        <w:spacing w:line="355" w:lineRule="auto"/>
        <w:ind w:right="478" w:firstLine="724"/>
        <w:rPr>
          <w:sz w:val="45"/>
        </w:rPr>
      </w:pPr>
      <w:r>
        <w:rPr>
          <w:spacing w:val="-1"/>
          <w:w w:val="95"/>
        </w:rPr>
        <w:t xml:space="preserve">在当涂市场上，一些企、事业单位他们的装修一般需要的材料量较大，能一次性给志强装饰   </w:t>
      </w:r>
      <w:r>
        <w:rPr>
          <w:spacing w:val="1"/>
          <w:position w:val="-7"/>
        </w:rPr>
        <w:t>带来很多利润，</w:t>
      </w:r>
      <w:r>
        <w:rPr>
          <w:sz w:val="45"/>
        </w:rPr>
        <w:t>重质量，还价能力强。</w:t>
      </w:r>
    </w:p>
    <w:p>
      <w:pPr>
        <w:spacing w:before="28"/>
        <w:ind w:left="1058" w:right="0" w:firstLine="0"/>
        <w:jc w:val="left"/>
        <w:rPr>
          <w:b/>
          <w:sz w:val="36"/>
        </w:rPr>
      </w:pPr>
      <w:r>
        <w:rPr>
          <w:b/>
          <w:sz w:val="45"/>
        </w:rPr>
        <w:t>针对其特提供性能价格比较高的商品组合，积极</w:t>
      </w:r>
      <w:r>
        <w:rPr>
          <w:b/>
          <w:position w:val="-7"/>
          <w:sz w:val="36"/>
        </w:rPr>
        <w:t>争取这些经济大客户；</w:t>
      </w:r>
    </w:p>
    <w:p>
      <w:pPr>
        <w:pStyle w:val="BodyText"/>
        <w:spacing w:before="324"/>
        <w:rPr>
          <w:rFonts w:ascii="黑体" w:eastAsia="黑体" w:hint="eastAsia"/>
        </w:rPr>
      </w:pPr>
      <w:r>
        <w:rPr>
          <w:rFonts w:ascii="黑体" w:eastAsia="黑体" w:hint="eastAsia"/>
        </w:rPr>
        <w:t>（二）行政机构</w:t>
      </w:r>
    </w:p>
    <w:p>
      <w:pPr>
        <w:pStyle w:val="BodyText"/>
        <w:spacing w:line="364" w:lineRule="auto"/>
        <w:ind w:right="478" w:firstLine="724"/>
        <w:jc w:val="both"/>
      </w:pPr>
      <w:r>
        <w:drawing>
          <wp:anchor distT="0" distB="0" distL="0" distR="0" simplePos="0" relativeHeight="251666432" behindDoc="1" locked="0" layoutInCell="1" allowOverlap="1">
            <wp:simplePos x="0" y="0"/>
            <wp:positionH relativeFrom="page">
              <wp:posOffset>1511300</wp:posOffset>
            </wp:positionH>
            <wp:positionV relativeFrom="paragraph">
              <wp:posOffset>794765</wp:posOffset>
            </wp:positionV>
            <wp:extent cx="7975600" cy="7200900"/>
            <wp:effectExtent l="0" t="0" r="0" b="0"/>
            <wp:wrapNone/>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2.png"/>
                    <pic:cNvPicPr/>
                  </pic:nvPicPr>
                  <pic:blipFill>
                    <a:blip xmlns:r="http://schemas.openxmlformats.org/officeDocument/2006/relationships" r:embed="rId5" cstate="print"/>
                    <a:stretch>
                      <a:fillRect/>
                    </a:stretch>
                  </pic:blipFill>
                  <pic:spPr>
                    <a:xfrm>
                      <a:off x="0" y="0"/>
                      <a:ext cx="7975600" cy="7200900"/>
                    </a:xfrm>
                    <a:prstGeom prst="rect">
                      <a:avLst/>
                    </a:prstGeom>
                  </pic:spPr>
                </pic:pic>
              </a:graphicData>
            </a:graphic>
          </wp:anchor>
        </w:drawing>
      </w:r>
      <w:r>
        <w:rPr>
          <w:spacing w:val="-1"/>
          <w:w w:val="95"/>
        </w:rPr>
        <w:t xml:space="preserve">政府行政机构，更加重质量，重效果。当他们需要装修时，能给我们带来大量利润。但我们   更看重政府行政机构给志强装饰带来的社会资本，由于政府行政机构在社会运行中的重要作用，   </w:t>
      </w:r>
      <w:r>
        <w:t>我们相信与之打好关系能间接给志强装饰带来更多潜在的经济利益；</w:t>
      </w:r>
    </w:p>
    <w:p>
      <w:pPr>
        <w:pStyle w:val="BodyText"/>
        <w:spacing w:before="4"/>
        <w:ind w:left="878"/>
      </w:pPr>
      <w:r>
        <w:t>针对其特征提供高端、高质量的商品组合</w:t>
      </w:r>
    </w:p>
    <w:p>
      <w:pPr>
        <w:pStyle w:val="Heading1"/>
        <w:spacing w:before="177"/>
        <w:ind w:left="4635"/>
      </w:pPr>
      <w:bookmarkStart w:id="13" w:name="_TOC_250013"/>
      <w:bookmarkEnd w:id="13"/>
      <w:r>
        <w:t>第五部分营销策略</w:t>
      </w:r>
    </w:p>
    <w:p>
      <w:pPr>
        <w:pStyle w:val="Heading3"/>
        <w:spacing w:before="412"/>
      </w:pPr>
      <w:bookmarkStart w:id="14" w:name="_TOC_250012"/>
      <w:bookmarkEnd w:id="14"/>
      <w:r>
        <w:t>一、产品策略</w:t>
      </w:r>
    </w:p>
    <w:p>
      <w:pPr>
        <w:pStyle w:val="BodyText"/>
        <w:spacing w:before="370"/>
        <w:rPr>
          <w:rFonts w:ascii="黑体" w:eastAsia="黑体" w:hint="eastAsia"/>
        </w:rPr>
      </w:pPr>
      <w:r>
        <w:rPr>
          <w:rFonts w:ascii="黑体" w:eastAsia="黑体" w:hint="eastAsia"/>
        </w:rPr>
        <w:t>（一）商品种类及标准</w:t>
      </w:r>
    </w:p>
    <w:p>
      <w:pPr>
        <w:pStyle w:val="BodyText"/>
        <w:spacing w:line="364" w:lineRule="auto"/>
        <w:ind w:right="478" w:firstLine="724"/>
      </w:pPr>
      <w:r>
        <w:rPr>
          <w:spacing w:val="-1"/>
          <w:w w:val="95"/>
        </w:rPr>
        <w:t xml:space="preserve">志强装饰经营领域包括：一层经营陶瓷卫浴、地板、油漆涂料、水暖、五金工具、灯具、瓷   </w:t>
      </w:r>
      <w:r>
        <w:t>砖、洁具等。志强装饰所售商品一律符合以下标准：</w:t>
      </w:r>
    </w:p>
    <w:p>
      <w:pPr>
        <w:pStyle w:val="BodyText"/>
        <w:spacing w:before="2"/>
        <w:rPr>
          <w:rFonts w:ascii="黑体" w:eastAsia="黑体" w:hint="eastAsia"/>
        </w:rPr>
      </w:pPr>
      <w:r>
        <w:rPr>
          <w:rFonts w:ascii="黑体" w:eastAsia="黑体" w:hint="eastAsia"/>
        </w:rPr>
        <w:t>1、均为品质过硬的品牌商品</w:t>
      </w:r>
    </w:p>
    <w:p>
      <w:pPr>
        <w:pStyle w:val="BodyText"/>
        <w:spacing w:line="364" w:lineRule="auto"/>
        <w:ind w:right="478" w:firstLine="724"/>
      </w:pPr>
      <w:r>
        <w:rPr>
          <w:spacing w:val="-1"/>
          <w:w w:val="95"/>
        </w:rPr>
        <w:t xml:space="preserve">据百度数据中心资料显示，在建材装饰产品的关注度最高的是品牌。因此，志强装饰所有进   </w:t>
      </w:r>
      <w:r>
        <w:t>货产品一律是在成熟市场上得到检验的品质过硬的有一定市场知名度的品牌产品。</w:t>
      </w:r>
    </w:p>
    <w:p>
      <w:pPr>
        <w:pStyle w:val="BodyText"/>
        <w:spacing w:before="2"/>
        <w:rPr>
          <w:rFonts w:ascii="黑体" w:eastAsia="黑体" w:hint="eastAsia"/>
        </w:rPr>
      </w:pPr>
      <w:r>
        <w:rPr>
          <w:rFonts w:ascii="黑体" w:eastAsia="黑体" w:hint="eastAsia"/>
        </w:rPr>
        <w:t>2、均为绿色环保商品</w:t>
      </w:r>
    </w:p>
    <w:p>
      <w:pPr>
        <w:pStyle w:val="BodyText"/>
        <w:spacing w:line="364" w:lineRule="auto"/>
        <w:ind w:right="478" w:firstLine="724"/>
        <w:jc w:val="both"/>
      </w:pPr>
      <w:r>
        <w:rPr>
          <w:spacing w:val="-1"/>
          <w:w w:val="95"/>
        </w:rPr>
        <w:t xml:space="preserve">室内装饰关系到消费者的长期居住环境的好坏，很多消费者对商品是否有利于身心健康的关   注已经超过对价格的关注。因此这要求我们对上架的建材装饰商品有一个最低绿色环保标准，未   </w:t>
      </w:r>
      <w:r>
        <w:t>达标准的商品坚决不允许上架，这也是我们对消费者的一项郑重承诺。</w:t>
      </w:r>
    </w:p>
    <w:p>
      <w:pPr>
        <w:pStyle w:val="BodyText"/>
        <w:spacing w:before="2"/>
        <w:rPr>
          <w:rFonts w:ascii="黑体" w:eastAsia="黑体" w:hint="eastAsia"/>
        </w:rPr>
      </w:pPr>
      <w:r>
        <w:rPr>
          <w:rFonts w:ascii="黑体" w:eastAsia="黑体" w:hint="eastAsia"/>
        </w:rPr>
        <w:t>（二）商品组合</w:t>
      </w:r>
    </w:p>
    <w:p>
      <w:pPr>
        <w:pStyle w:val="BodyText"/>
        <w:spacing w:before="242" w:line="364" w:lineRule="auto"/>
        <w:ind w:right="478" w:firstLine="724"/>
      </w:pPr>
      <w:r>
        <w:rPr>
          <w:spacing w:val="-1"/>
          <w:w w:val="95"/>
        </w:rPr>
        <w:t xml:space="preserve">对于房屋装修的客户，由于对商品种类需求量较大，本着方便顾客的原则我们提供数套商品   </w:t>
      </w:r>
      <w:r>
        <w:t>组合供顾客选择，组合商品的总价将在一定程度上优惠于单个商品价格的累计。</w:t>
      </w:r>
    </w:p>
    <w:p>
      <w:pPr>
        <w:pStyle w:val="Heading3"/>
        <w:spacing w:before="30"/>
      </w:pPr>
      <w:bookmarkStart w:id="15" w:name="_TOC_250011"/>
      <w:bookmarkEnd w:id="15"/>
      <w:r>
        <w:t>二、服务策略</w:t>
      </w:r>
    </w:p>
    <w:p>
      <w:pPr>
        <w:pStyle w:val="BodyText"/>
        <w:spacing w:before="370" w:line="364" w:lineRule="auto"/>
        <w:ind w:right="298" w:firstLine="904"/>
      </w:pPr>
      <w:r>
        <w:rPr>
          <w:spacing w:val="-1"/>
          <w:w w:val="95"/>
        </w:rPr>
        <w:t xml:space="preserve">现在的零售企业日益同质化，所卖商品大家都有进货渠道，很难凭商品的独特性取胜。因此   </w:t>
      </w:r>
      <w:r>
        <w:t>志强装饰将更加重视服务在竞争中的重要性，我们为志强装饰制定了以下几条服务策略：</w:t>
      </w:r>
    </w:p>
    <w:p>
      <w:pPr>
        <w:pStyle w:val="BodyText"/>
        <w:spacing w:before="1"/>
        <w:rPr>
          <w:rFonts w:ascii="黑体" w:eastAsia="黑体" w:hint="eastAsia"/>
        </w:rPr>
      </w:pPr>
      <w:r>
        <w:rPr>
          <w:rFonts w:ascii="黑体" w:eastAsia="黑体" w:hint="eastAsia"/>
        </w:rPr>
        <w:t>（一）售前承诺/服务</w:t>
      </w:r>
    </w:p>
    <w:p>
      <w:pPr>
        <w:spacing w:after="0"/>
        <w:rPr>
          <w:rFonts w:ascii="黑体" w:eastAsia="黑体" w:hint="eastAsia"/>
        </w:rPr>
        <w:sectPr>
          <w:footerReference w:type="default" r:id="rId13"/>
          <w:pgSz w:w="17860" w:h="25260"/>
          <w:pgMar w:top="1620" w:right="980" w:bottom="2380" w:left="1120" w:header="0" w:footer="2194"/>
          <w:pgNumType w:start="9"/>
          <w:cols w:space="708"/>
        </w:sectPr>
      </w:pPr>
    </w:p>
    <w:p>
      <w:pPr>
        <w:pStyle w:val="BodyText"/>
        <w:spacing w:before="33"/>
        <w:rPr>
          <w:rFonts w:ascii="黑体" w:eastAsia="黑体" w:hint="eastAsia"/>
        </w:rPr>
      </w:pPr>
      <w:r>
        <w:rPr>
          <w:rFonts w:ascii="黑体" w:eastAsia="黑体" w:hint="eastAsia"/>
        </w:rPr>
        <w:t>1、无理由退换货</w:t>
      </w:r>
    </w:p>
    <w:p>
      <w:pPr>
        <w:pStyle w:val="BodyText"/>
        <w:ind w:left="853"/>
      </w:pPr>
      <w:r>
        <w:t>所有在志强装饰购买的产品消费者不喜欢，一个月内无理由退换；</w:t>
      </w:r>
    </w:p>
    <w:p>
      <w:pPr>
        <w:pStyle w:val="BodyText"/>
        <w:rPr>
          <w:rFonts w:ascii="黑体" w:eastAsia="黑体" w:hint="eastAsia"/>
        </w:rPr>
      </w:pPr>
      <w:r>
        <w:rPr>
          <w:rFonts w:ascii="黑体" w:eastAsia="黑体" w:hint="eastAsia"/>
        </w:rPr>
        <w:t>2、所售商品一律环保绿色</w:t>
      </w:r>
    </w:p>
    <w:p>
      <w:pPr>
        <w:pStyle w:val="BodyText"/>
        <w:ind w:left="853"/>
      </w:pPr>
      <w:r>
        <w:t>如果消费者在志强装饰所购产品环保不达标，志强装饰无条件退款并加倍赔偿；</w:t>
      </w:r>
    </w:p>
    <w:p>
      <w:pPr>
        <w:pStyle w:val="BodyText"/>
        <w:rPr>
          <w:rFonts w:ascii="黑体" w:eastAsia="黑体" w:hint="eastAsia"/>
        </w:rPr>
      </w:pPr>
      <w:r>
        <w:rPr>
          <w:rFonts w:ascii="黑体" w:eastAsia="黑体" w:hint="eastAsia"/>
        </w:rPr>
        <w:t>3、缺货代购</w:t>
      </w:r>
    </w:p>
    <w:p>
      <w:pPr>
        <w:pStyle w:val="BodyText"/>
        <w:spacing w:before="240" w:line="364" w:lineRule="auto"/>
        <w:ind w:right="505" w:firstLine="699"/>
      </w:pPr>
      <w:r>
        <w:rPr>
          <w:spacing w:val="-1"/>
          <w:w w:val="95"/>
        </w:rPr>
        <w:t xml:space="preserve">考虑到顾客工作繁忙，有些装饰物件不易购买，同时志强装饰又没有的，本着方便顾客的思   </w:t>
      </w:r>
      <w:r>
        <w:t>想，志强装饰将利用自己的专业渠道为顾客进行缺货代购服务。</w:t>
      </w:r>
    </w:p>
    <w:p>
      <w:pPr>
        <w:pStyle w:val="BodyText"/>
        <w:spacing w:before="2"/>
        <w:rPr>
          <w:rFonts w:ascii="黑体" w:eastAsia="黑体" w:hint="eastAsia"/>
        </w:rPr>
      </w:pPr>
      <w:r>
        <w:drawing>
          <wp:anchor distT="0" distB="0" distL="0" distR="0" simplePos="0" relativeHeight="251667456" behindDoc="1" locked="0" layoutInCell="1" allowOverlap="1">
            <wp:simplePos x="0" y="0"/>
            <wp:positionH relativeFrom="page">
              <wp:posOffset>1511300</wp:posOffset>
            </wp:positionH>
            <wp:positionV relativeFrom="paragraph">
              <wp:posOffset>48640</wp:posOffset>
            </wp:positionV>
            <wp:extent cx="7975600" cy="7200900"/>
            <wp:effectExtent l="0" t="0" r="0" b="0"/>
            <wp:wrapNone/>
            <wp:docPr id="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2.png"/>
                    <pic:cNvPicPr/>
                  </pic:nvPicPr>
                  <pic:blipFill>
                    <a:blip xmlns:r="http://schemas.openxmlformats.org/officeDocument/2006/relationships" r:embed="rId5" cstate="print"/>
                    <a:stretch>
                      <a:fillRect/>
                    </a:stretch>
                  </pic:blipFill>
                  <pic:spPr>
                    <a:xfrm>
                      <a:off x="0" y="0"/>
                      <a:ext cx="7975600" cy="7200900"/>
                    </a:xfrm>
                    <a:prstGeom prst="rect">
                      <a:avLst/>
                    </a:prstGeom>
                  </pic:spPr>
                </pic:pic>
              </a:graphicData>
            </a:graphic>
          </wp:anchor>
        </w:drawing>
      </w:r>
      <w:r>
        <w:rPr>
          <w:rFonts w:ascii="黑体" w:eastAsia="黑体" w:hint="eastAsia"/>
        </w:rPr>
        <w:t>4、免费专业知识指导</w:t>
      </w:r>
    </w:p>
    <w:p>
      <w:pPr>
        <w:pStyle w:val="BodyText"/>
        <w:spacing w:line="364" w:lineRule="auto"/>
        <w:ind w:right="505" w:firstLine="699"/>
      </w:pPr>
      <w:r>
        <w:rPr>
          <w:spacing w:val="-1"/>
          <w:w w:val="95"/>
        </w:rPr>
        <w:t xml:space="preserve">我们通过各种途径向消费者宣传我店为消费者提供的各种服务，免费向消费者介绍专业的装   </w:t>
      </w:r>
      <w:r>
        <w:t>饰知识。</w:t>
      </w:r>
    </w:p>
    <w:p>
      <w:pPr>
        <w:pStyle w:val="BodyText"/>
        <w:spacing w:before="2"/>
        <w:rPr>
          <w:rFonts w:ascii="黑体" w:eastAsia="黑体" w:hint="eastAsia"/>
        </w:rPr>
      </w:pPr>
      <w:r>
        <w:rPr>
          <w:rFonts w:ascii="黑体" w:eastAsia="黑体" w:hint="eastAsia"/>
        </w:rPr>
        <w:t>（二）售中服务</w:t>
      </w:r>
    </w:p>
    <w:p>
      <w:pPr>
        <w:pStyle w:val="BodyText"/>
        <w:rPr>
          <w:rFonts w:ascii="黑体" w:eastAsia="黑体" w:hint="eastAsia"/>
        </w:rPr>
      </w:pPr>
      <w:r>
        <w:rPr>
          <w:rFonts w:ascii="黑体" w:eastAsia="黑体" w:hint="eastAsia"/>
        </w:rPr>
        <w:t>1、热情服务</w:t>
      </w:r>
    </w:p>
    <w:p>
      <w:pPr>
        <w:pStyle w:val="BodyText"/>
        <w:ind w:left="875"/>
      </w:pPr>
      <w:r>
        <w:t>志强装饰的导购员始终保持主动、热情、耐心周到的服务；</w:t>
      </w:r>
    </w:p>
    <w:p>
      <w:pPr>
        <w:pStyle w:val="BodyText"/>
        <w:rPr>
          <w:rFonts w:ascii="黑体" w:eastAsia="黑体" w:hint="eastAsia"/>
        </w:rPr>
      </w:pPr>
      <w:r>
        <w:rPr>
          <w:rFonts w:ascii="黑体" w:eastAsia="黑体" w:hint="eastAsia"/>
        </w:rPr>
        <w:t>2、提供解决问题方案</w:t>
      </w:r>
    </w:p>
    <w:p>
      <w:pPr>
        <w:pStyle w:val="BodyText"/>
        <w:spacing w:before="240"/>
        <w:ind w:left="875"/>
      </w:pPr>
      <w:r>
        <w:t>志强装饰导购员的任务为消费者提供符合消费者具体情况的最优性能价格比解决方案。</w:t>
      </w:r>
    </w:p>
    <w:p>
      <w:pPr>
        <w:pStyle w:val="BodyText"/>
        <w:rPr>
          <w:rFonts w:ascii="黑体" w:eastAsia="黑体" w:hint="eastAsia"/>
        </w:rPr>
      </w:pPr>
      <w:r>
        <w:rPr>
          <w:rFonts w:ascii="黑体" w:eastAsia="黑体" w:hint="eastAsia"/>
        </w:rPr>
        <w:t>（三）售后服务</w:t>
      </w:r>
    </w:p>
    <w:p>
      <w:pPr>
        <w:pStyle w:val="BodyText"/>
        <w:rPr>
          <w:rFonts w:ascii="黑体" w:eastAsia="黑体" w:hint="eastAsia"/>
        </w:rPr>
      </w:pPr>
      <w:r>
        <w:rPr>
          <w:rFonts w:ascii="黑体" w:eastAsia="黑体" w:hint="eastAsia"/>
        </w:rPr>
        <w:t>1、免费送货</w:t>
      </w:r>
    </w:p>
    <w:p>
      <w:pPr>
        <w:pStyle w:val="BodyText"/>
        <w:ind w:left="875"/>
      </w:pPr>
      <w:r>
        <w:t>在当涂县城区及周边地区，消费者所购商品不便自提的商品志强装饰免费送货上门。</w:t>
      </w:r>
    </w:p>
    <w:p>
      <w:pPr>
        <w:pStyle w:val="BodyText"/>
        <w:rPr>
          <w:rFonts w:ascii="黑体" w:eastAsia="黑体" w:hint="eastAsia"/>
        </w:rPr>
      </w:pPr>
      <w:r>
        <w:rPr>
          <w:rFonts w:ascii="黑体" w:eastAsia="黑体" w:hint="eastAsia"/>
        </w:rPr>
        <w:t>2、售后回访</w:t>
      </w:r>
    </w:p>
    <w:p>
      <w:pPr>
        <w:pStyle w:val="BodyText"/>
      </w:pPr>
      <w:r>
        <w:t>我店会按照规定对顾客进行定期随机电话回访，对大客户进行登门拜访。</w:t>
      </w:r>
    </w:p>
    <w:p>
      <w:pPr>
        <w:pStyle w:val="Heading3"/>
        <w:spacing w:before="268"/>
      </w:pPr>
      <w:bookmarkStart w:id="16" w:name="_TOC_250010"/>
      <w:bookmarkEnd w:id="16"/>
      <w:r>
        <w:t>三、价格策略</w:t>
      </w:r>
    </w:p>
    <w:p>
      <w:pPr>
        <w:pStyle w:val="BodyText"/>
        <w:spacing w:before="370" w:line="364" w:lineRule="auto"/>
        <w:ind w:right="291" w:firstLine="724"/>
      </w:pPr>
      <w:r>
        <w:rPr>
          <w:spacing w:val="-39"/>
        </w:rPr>
        <w:t xml:space="preserve">营销 </w:t>
      </w:r>
      <w:r>
        <w:t>4P</w:t>
      </w:r>
      <w:r>
        <w:rPr>
          <w:spacing w:val="-13"/>
        </w:rPr>
        <w:t xml:space="preserve"> 中价格的作用是最直接、有效的。我们在经过对竞争对手和目标消费者深入分析之后</w:t>
      </w:r>
      <w:r>
        <w:t>作出以下定价策略：</w:t>
      </w:r>
    </w:p>
    <w:p>
      <w:pPr>
        <w:pStyle w:val="BodyText"/>
        <w:spacing w:before="3"/>
        <w:rPr>
          <w:rFonts w:ascii="黑体" w:eastAsia="黑体" w:hint="eastAsia"/>
        </w:rPr>
      </w:pPr>
      <w:r>
        <w:rPr>
          <w:rFonts w:ascii="黑体" w:eastAsia="黑体" w:hint="eastAsia"/>
        </w:rPr>
        <w:t>（一）阻击进攻/引诱型价格策略</w:t>
      </w:r>
    </w:p>
    <w:p>
      <w:pPr>
        <w:pStyle w:val="BodyText"/>
        <w:ind w:left="878"/>
      </w:pPr>
      <w:r>
        <w:t>该定价的的方式是在不亏损的情况下尽可能的低价，并取得以下两种效果：</w:t>
      </w:r>
    </w:p>
    <w:p>
      <w:pPr>
        <w:pStyle w:val="BodyText"/>
        <w:rPr>
          <w:rFonts w:ascii="黑体" w:eastAsia="黑体" w:hint="eastAsia"/>
        </w:rPr>
      </w:pPr>
      <w:r>
        <w:rPr>
          <w:rFonts w:ascii="黑体" w:eastAsia="黑体" w:hint="eastAsia"/>
        </w:rPr>
        <w:t>1、有效打击竞争对手</w:t>
      </w:r>
    </w:p>
    <w:p>
      <w:pPr>
        <w:pStyle w:val="BodyText"/>
        <w:spacing w:before="240" w:line="364" w:lineRule="auto"/>
        <w:ind w:right="478" w:firstLine="724"/>
        <w:jc w:val="both"/>
        <w:sectPr>
          <w:footerReference w:type="default" r:id="rId14"/>
          <w:pgSz w:w="17860" w:h="25260"/>
          <w:pgMar w:top="1620" w:right="980" w:bottom="2380" w:left="1120" w:header="0" w:footer="2194"/>
          <w:pgNumType w:start="10"/>
          <w:cols w:space="708"/>
        </w:sectPr>
      </w:pPr>
      <w:r>
        <w:rPr>
          <w:spacing w:val="-1"/>
          <w:w w:val="95"/>
        </w:rPr>
        <w:t xml:space="preserve">我们的竞争对手中有粗放型建材装饰零售店、细分市场零售店、品牌专卖店，正如竞争对手   分析中所说，品牌专卖店作为一个群体对志强装饰是个不小的威胁。我们选取品牌专卖店中的油   </w:t>
      </w:r>
      <w:r>
        <w:t>漆涂料店作为主打对象，与一家大的油漆涂料品牌合作，在当涂推行低价，打击油漆涂料店；</w:t>
      </w:r>
    </w:p>
    <w:p>
      <w:pPr>
        <w:pStyle w:val="BodyText"/>
        <w:spacing w:before="3"/>
        <w:rPr>
          <w:rFonts w:ascii="黑体" w:eastAsia="黑体" w:hint="eastAsia"/>
        </w:rPr>
      </w:pPr>
      <w:r>
        <w:rPr>
          <w:rFonts w:ascii="黑体" w:eastAsia="黑体" w:hint="eastAsia"/>
        </w:rPr>
        <w:t>2、吸引消费者</w:t>
      </w:r>
    </w:p>
    <w:p>
      <w:pPr>
        <w:spacing w:after="0"/>
        <w:rPr>
          <w:rFonts w:ascii="黑体" w:eastAsia="黑体" w:hint="eastAsia"/>
        </w:rPr>
      </w:pPr>
      <w:r>
        <w:rPr>
          <w:rFonts w:ascii="黑体" w:eastAsia="黑体" w:hint="eastAsia"/>
        </w:rPr>
        <w:br/>
      </w:r>
      <w:r>
        <w:rPr>
          <w:rFonts w:ascii="黑体" w:eastAsia="黑体" w:hint="eastAsia"/>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5" w:history="1">
        <w:r>
          <w:rPr>
            <w:rFonts w:ascii="SimSun" w:eastAsia="SimSun" w:hAnsi="SimSun" w:cs="SimSun"/>
            <w:b/>
            <w:bCs/>
            <w:color w:val="0000EE"/>
            <w:sz w:val="30"/>
            <w:szCs w:val="30"/>
            <w:u w:val="single" w:color="0000EE"/>
          </w:rPr>
          <w:t>https://d.book118.com/568072135065006025</w:t>
        </w:r>
      </w:hyperlink>
    </w:p>
    <w:p>
      <w:pPr>
        <w:spacing w:after="0"/>
        <w:rPr>
          <w:rFonts w:ascii="黑体" w:eastAsia="黑体" w:hint="eastAsia"/>
        </w:rPr>
      </w:pPr>
    </w:p>
    <w:sectPr>
      <w:footerReference w:type="default" r:id="rId16"/>
      <w:type w:val="nextPage"/>
      <w:pgSz w:w="17860" w:h="25260"/>
      <w:pgMar w:top="1620" w:right="980" w:bottom="2380" w:left="1120" w:header="0" w:footer="2194"/>
      <w:pgNumType w:start="11"/>
      <w:cols w:space="708"/>
      <w:titlePg w:val="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楷体">
    <w:altName w:val="楷体"/>
    <w:charset w:val="86"/>
    <w:family w:val="modern"/>
    <w:pitch w:val="fixed"/>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ind w:left="0"/>
      <w:rPr>
        <w:b w:val="0"/>
        <w:sz w:val="20"/>
      </w:rPr>
    </w:pPr>
    <w:r>
      <w:pict>
        <v:shapetype id="_x0000_t202" coordsize="21600,21600" o:spt="202" path="m,l,21600r21600,l21600,xe">
          <v:stroke joinstyle="miter"/>
          <v:path gradientshapeok="t" o:connecttype="rect"/>
        </v:shapetype>
        <v:shape id="_x0000_s2049" type="#_x0000_t202" style="width:305.85pt;height:24.5pt;margin-top:1142.18pt;margin-left:62.72pt;mso-position-horizontal-relative:page;mso-position-vertical-relative:page;position:absolute;z-index:-251658240" filled="f" stroked="f">
          <v:textbox inset="0,0,0,0">
            <w:txbxContent>
              <w:p>
                <w:pPr>
                  <w:spacing w:before="0" w:line="490" w:lineRule="exact"/>
                  <w:ind w:left="20" w:right="0" w:firstLine="0"/>
                  <w:jc w:val="left"/>
                  <w:rPr>
                    <w:b/>
                    <w:sz w:val="45"/>
                  </w:rPr>
                </w:pPr>
                <w:r>
                  <w:rPr>
                    <w:b/>
                    <w:w w:val="95"/>
                    <w:sz w:val="45"/>
                  </w:rPr>
                  <w:t>-来源网络，仅供个人学习参考</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ind w:left="0"/>
      <w:rPr>
        <w:b w:val="0"/>
        <w:sz w:val="20"/>
      </w:rPr>
    </w:pPr>
    <w:r>
      <w:pict>
        <v:shapetype id="_x0000_t202" coordsize="21600,21600" o:spt="202" path="m,l,21600r21600,l21600,xe">
          <v:stroke joinstyle="miter"/>
          <v:path gradientshapeok="t" o:connecttype="rect"/>
        </v:shapetype>
        <v:shape id="_x0000_s2050" type="#_x0000_t202" style="width:305.85pt;height:24.5pt;margin-top:1142.18pt;margin-left:62.72pt;mso-position-horizontal-relative:page;mso-position-vertical-relative:page;position:absolute;z-index:-251657216" filled="f" stroked="f">
          <v:textbox inset="0,0,0,0">
            <w:txbxContent>
              <w:p>
                <w:pPr>
                  <w:spacing w:before="0" w:line="490" w:lineRule="exact"/>
                  <w:ind w:left="20" w:right="0" w:firstLine="0"/>
                  <w:jc w:val="left"/>
                  <w:rPr>
                    <w:b/>
                    <w:sz w:val="45"/>
                  </w:rPr>
                </w:pPr>
                <w:r>
                  <w:rPr>
                    <w:b/>
                    <w:w w:val="95"/>
                    <w:sz w:val="45"/>
                  </w:rPr>
                  <w:t>-来源网络，仅供个人学习参考</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ind w:left="0"/>
      <w:rPr>
        <w:b w:val="0"/>
        <w:sz w:val="20"/>
      </w:rPr>
    </w:pPr>
    <w:r>
      <w:pict>
        <v:shapetype id="_x0000_t202" coordsize="21600,21600" o:spt="202" path="m,l,21600r21600,l21600,xe">
          <v:stroke joinstyle="miter"/>
          <v:path gradientshapeok="t" o:connecttype="rect"/>
        </v:shapetype>
        <v:shape id="_x0000_s2051" type="#_x0000_t202" style="width:305.85pt;height:24.5pt;margin-top:1142.18pt;margin-left:62.72pt;mso-position-horizontal-relative:page;mso-position-vertical-relative:page;position:absolute;z-index:-251656192" filled="f" stroked="f">
          <v:textbox inset="0,0,0,0">
            <w:txbxContent>
              <w:p>
                <w:pPr>
                  <w:spacing w:before="0" w:line="490" w:lineRule="exact"/>
                  <w:ind w:left="20" w:right="0" w:firstLine="0"/>
                  <w:jc w:val="left"/>
                  <w:rPr>
                    <w:b/>
                    <w:sz w:val="45"/>
                  </w:rPr>
                </w:pPr>
                <w:r>
                  <w:rPr>
                    <w:b/>
                    <w:w w:val="95"/>
                    <w:sz w:val="45"/>
                  </w:rPr>
                  <w:t>-来源网络，仅供个人学习参考</w:t>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ind w:left="0"/>
      <w:rPr>
        <w:b w:val="0"/>
        <w:sz w:val="20"/>
      </w:rPr>
    </w:pPr>
    <w:r>
      <w:pict>
        <v:shapetype id="_x0000_t202" coordsize="21600,21600" o:spt="202" path="m,l,21600r21600,l21600,xe">
          <v:stroke joinstyle="miter"/>
          <v:path gradientshapeok="t" o:connecttype="rect"/>
        </v:shapetype>
        <v:shape id="_x0000_s2052" type="#_x0000_t202" style="width:305.85pt;height:24.5pt;margin-top:1142.18pt;margin-left:62.72pt;mso-position-horizontal-relative:page;mso-position-vertical-relative:page;position:absolute;z-index:-251655168" filled="f" stroked="f">
          <v:textbox inset="0,0,0,0">
            <w:txbxContent>
              <w:p>
                <w:pPr>
                  <w:spacing w:before="0" w:line="490" w:lineRule="exact"/>
                  <w:ind w:left="20" w:right="0" w:firstLine="0"/>
                  <w:jc w:val="left"/>
                  <w:rPr>
                    <w:b/>
                    <w:sz w:val="45"/>
                  </w:rPr>
                </w:pPr>
                <w:r>
                  <w:rPr>
                    <w:b/>
                    <w:w w:val="95"/>
                    <w:sz w:val="45"/>
                  </w:rPr>
                  <w:t>-来源网络，仅供个人学习参考</w:t>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ind w:left="0"/>
      <w:rPr>
        <w:b w:val="0"/>
        <w:sz w:val="20"/>
      </w:rPr>
    </w:pPr>
    <w:r>
      <w:pict>
        <v:shapetype id="_x0000_t202" coordsize="21600,21600" o:spt="202" path="m,l,21600r21600,l21600,xe">
          <v:stroke joinstyle="miter"/>
          <v:path gradientshapeok="t" o:connecttype="rect"/>
        </v:shapetype>
        <v:shape id="_x0000_s2053" type="#_x0000_t202" style="width:305.85pt;height:24.5pt;margin-top:1142.18pt;margin-left:62.72pt;mso-position-horizontal-relative:page;mso-position-vertical-relative:page;position:absolute;z-index:-251654144" filled="f" stroked="f">
          <v:textbox inset="0,0,0,0">
            <w:txbxContent>
              <w:p>
                <w:pPr>
                  <w:spacing w:before="0" w:line="490" w:lineRule="exact"/>
                  <w:ind w:left="20" w:right="0" w:firstLine="0"/>
                  <w:jc w:val="left"/>
                  <w:rPr>
                    <w:b/>
                    <w:sz w:val="45"/>
                  </w:rPr>
                </w:pPr>
                <w:r>
                  <w:rPr>
                    <w:b/>
                    <w:w w:val="95"/>
                    <w:sz w:val="45"/>
                  </w:rPr>
                  <w:t>-来源网络，仅供个人学习参考</w:t>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ind w:left="0"/>
      <w:rPr>
        <w:b w:val="0"/>
        <w:sz w:val="20"/>
      </w:rPr>
    </w:pPr>
    <w:r>
      <w:pict>
        <v:shapetype id="_x0000_t202" coordsize="21600,21600" o:spt="202" path="m,l,21600r21600,l21600,xe">
          <v:stroke joinstyle="miter"/>
          <v:path gradientshapeok="t" o:connecttype="rect"/>
        </v:shapetype>
        <v:shape id="_x0000_s2054" type="#_x0000_t202" style="width:305.85pt;height:24.5pt;margin-top:1142.18pt;margin-left:62.72pt;mso-position-horizontal-relative:page;mso-position-vertical-relative:page;position:absolute;z-index:-251653120" filled="f" stroked="f">
          <v:textbox inset="0,0,0,0">
            <w:txbxContent>
              <w:p>
                <w:pPr>
                  <w:spacing w:before="0" w:line="490" w:lineRule="exact"/>
                  <w:ind w:left="20" w:right="0" w:firstLine="0"/>
                  <w:jc w:val="left"/>
                  <w:rPr>
                    <w:b/>
                    <w:sz w:val="45"/>
                  </w:rPr>
                </w:pPr>
                <w:r>
                  <w:rPr>
                    <w:b/>
                    <w:w w:val="95"/>
                    <w:sz w:val="45"/>
                  </w:rPr>
                  <w:t>-来源网络，仅供个人学习参考</w:t>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ind w:left="0"/>
      <w:rPr>
        <w:b w:val="0"/>
        <w:sz w:val="20"/>
      </w:rPr>
    </w:pPr>
    <w:r>
      <w:pict>
        <v:shapetype id="_x0000_t202" coordsize="21600,21600" o:spt="202" path="m,l,21600r21600,l21600,xe">
          <v:stroke joinstyle="miter"/>
          <v:path gradientshapeok="t" o:connecttype="rect"/>
        </v:shapetype>
        <v:shape id="_x0000_s2055" type="#_x0000_t202" style="width:305.85pt;height:24.5pt;margin-top:1142.18pt;margin-left:62.72pt;mso-position-horizontal-relative:page;mso-position-vertical-relative:page;position:absolute;z-index:-251652096" filled="f" stroked="f">
          <v:textbox inset="0,0,0,0">
            <w:txbxContent>
              <w:p>
                <w:pPr>
                  <w:spacing w:before="0" w:line="490" w:lineRule="exact"/>
                  <w:ind w:left="20" w:right="0" w:firstLine="0"/>
                  <w:jc w:val="left"/>
                  <w:rPr>
                    <w:b/>
                    <w:sz w:val="45"/>
                  </w:rPr>
                </w:pPr>
                <w:r>
                  <w:rPr>
                    <w:b/>
                    <w:w w:val="95"/>
                    <w:sz w:val="45"/>
                  </w:rPr>
                  <w:t>-来源网络，仅供个人学习参考</w:t>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ind w:left="0"/>
      <w:rPr>
        <w:b w:val="0"/>
        <w:sz w:val="20"/>
      </w:rPr>
    </w:pPr>
    <w:r>
      <w:pict>
        <v:shapetype id="_x0000_t202" coordsize="21600,21600" o:spt="202" path="m,l,21600r21600,l21600,xe">
          <v:stroke joinstyle="miter"/>
          <v:path gradientshapeok="t" o:connecttype="rect"/>
        </v:shapetype>
        <v:shape id="_x0000_s2056" type="#_x0000_t202" style="width:305.85pt;height:24.5pt;margin-top:1142.18pt;margin-left:62.72pt;mso-position-horizontal-relative:page;mso-position-vertical-relative:page;position:absolute;z-index:-251651072" filled="f" stroked="f">
          <v:textbox inset="0,0,0,0">
            <w:txbxContent>
              <w:p>
                <w:pPr>
                  <w:spacing w:before="0" w:line="490" w:lineRule="exact"/>
                  <w:ind w:left="20" w:right="0" w:firstLine="0"/>
                  <w:jc w:val="left"/>
                  <w:rPr>
                    <w:b/>
                    <w:sz w:val="45"/>
                  </w:rPr>
                </w:pPr>
                <w:r>
                  <w:rPr>
                    <w:b/>
                    <w:w w:val="95"/>
                    <w:sz w:val="45"/>
                  </w:rPr>
                  <w:t>-来源网络，仅供个人学习参考</w:t>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ind w:left="0"/>
      <w:rPr>
        <w:b w:val="0"/>
        <w:sz w:val="20"/>
      </w:rPr>
    </w:pPr>
    <w:r>
      <w:pict>
        <v:shapetype id="_x0000_t202" coordsize="21600,21600" o:spt="202" path="m,l,21600r21600,l21600,xe">
          <v:stroke joinstyle="miter"/>
          <v:path gradientshapeok="t" o:connecttype="rect"/>
        </v:shapetype>
        <v:shape id="_x0000_s2057" type="#_x0000_t202" style="width:305.85pt;height:24.5pt;margin-top:1142.18pt;margin-left:62.72pt;mso-position-horizontal-relative:page;mso-position-vertical-relative:page;position:absolute;z-index:-251650048" filled="f" stroked="f">
          <v:textbox inset="0,0,0,0">
            <w:txbxContent>
              <w:p>
                <w:pPr>
                  <w:spacing w:before="0" w:line="490" w:lineRule="exact"/>
                  <w:ind w:left="20" w:right="0" w:firstLine="0"/>
                  <w:jc w:val="left"/>
                  <w:rPr>
                    <w:b/>
                    <w:sz w:val="45"/>
                  </w:rPr>
                </w:pPr>
                <w:r>
                  <w:rPr>
                    <w:b/>
                    <w:w w:val="95"/>
                    <w:sz w:val="45"/>
                  </w:rPr>
                  <w:t>-来源网络，仅供个人学习参考</w:t>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before="0" w:line="14" w:lineRule="auto"/>
      <w:ind w:left="0"/>
      <w:rPr>
        <w:b w:val="0"/>
        <w:sz w:val="20"/>
      </w:rPr>
    </w:pPr>
    <w:r>
      <w:pict>
        <v:shapetype id="_x0000_t202" coordsize="21600,21600" o:spt="202" path="m,l,21600r21600,l21600,xe">
          <v:stroke joinstyle="miter"/>
          <v:path gradientshapeok="t" o:connecttype="rect"/>
        </v:shapetype>
        <v:shape id="_x0000_s2058" type="#_x0000_t202" style="width:305.85pt;height:24.5pt;margin-top:1142.18pt;margin-left:62.72pt;mso-position-horizontal-relative:page;mso-position-vertical-relative:page;position:absolute;z-index:-251649024" filled="f" stroked="f">
          <v:textbox inset="0,0,0,0">
            <w:txbxContent>
              <w:p>
                <w:pPr>
                  <w:spacing w:before="0" w:line="490" w:lineRule="exact"/>
                  <w:ind w:left="20" w:right="0" w:firstLine="0"/>
                  <w:jc w:val="left"/>
                  <w:rPr>
                    <w:b/>
                    <w:sz w:val="45"/>
                  </w:rPr>
                </w:pPr>
                <w:r>
                  <w:rPr>
                    <w:b/>
                    <w:w w:val="95"/>
                    <w:sz w:val="45"/>
                  </w:rPr>
                  <w:t>-来源网络，仅供个人学习参考</w:t>
                </w:r>
              </w:p>
            </w:txbxContent>
          </v:textbox>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88D594"/>
    <w:multiLevelType w:val="hybridMultilevel"/>
    <w:tmpl w:val="00000000"/>
    <w:lvl w:ilvl="0">
      <w:start w:val="1"/>
      <w:numFmt w:val="decimal"/>
      <w:lvlText w:val="（%1）"/>
      <w:lvlJc w:val="left"/>
      <w:pPr>
        <w:ind w:left="154" w:hanging="909"/>
        <w:jc w:val="left"/>
      </w:pPr>
      <w:rPr>
        <w:rFonts w:ascii="宋体" w:eastAsia="宋体" w:hAnsi="宋体" w:cs="宋体" w:hint="default"/>
        <w:b/>
        <w:bCs/>
        <w:spacing w:val="0"/>
        <w:w w:val="99"/>
        <w:sz w:val="34"/>
        <w:szCs w:val="34"/>
      </w:rPr>
    </w:lvl>
    <w:lvl w:ilvl="1">
      <w:start w:val="1"/>
      <w:numFmt w:val="decimal"/>
      <w:lvlText w:val="（%2）"/>
      <w:lvlJc w:val="left"/>
      <w:pPr>
        <w:ind w:left="154" w:hanging="909"/>
        <w:jc w:val="left"/>
      </w:pPr>
      <w:rPr>
        <w:rFonts w:ascii="宋体" w:eastAsia="宋体" w:hAnsi="宋体" w:cs="宋体" w:hint="default"/>
        <w:b/>
        <w:bCs/>
        <w:spacing w:val="0"/>
        <w:w w:val="99"/>
        <w:sz w:val="34"/>
        <w:szCs w:val="34"/>
      </w:rPr>
    </w:lvl>
    <w:lvl w:ilvl="2">
      <w:start w:val="0"/>
      <w:numFmt w:val="bullet"/>
      <w:lvlText w:val="•"/>
      <w:lvlJc w:val="left"/>
      <w:pPr>
        <w:ind w:left="3279" w:hanging="909"/>
      </w:pPr>
      <w:rPr>
        <w:rFonts w:hint="default"/>
      </w:rPr>
    </w:lvl>
    <w:lvl w:ilvl="3">
      <w:start w:val="0"/>
      <w:numFmt w:val="bullet"/>
      <w:lvlText w:val="•"/>
      <w:lvlJc w:val="left"/>
      <w:pPr>
        <w:ind w:left="4839" w:hanging="909"/>
      </w:pPr>
      <w:rPr>
        <w:rFonts w:hint="default"/>
      </w:rPr>
    </w:lvl>
    <w:lvl w:ilvl="4">
      <w:start w:val="0"/>
      <w:numFmt w:val="bullet"/>
      <w:lvlText w:val="•"/>
      <w:lvlJc w:val="left"/>
      <w:pPr>
        <w:ind w:left="6399" w:hanging="909"/>
      </w:pPr>
      <w:rPr>
        <w:rFonts w:hint="default"/>
      </w:rPr>
    </w:lvl>
    <w:lvl w:ilvl="5">
      <w:start w:val="0"/>
      <w:numFmt w:val="bullet"/>
      <w:lvlText w:val="•"/>
      <w:lvlJc w:val="left"/>
      <w:pPr>
        <w:ind w:left="7959" w:hanging="909"/>
      </w:pPr>
      <w:rPr>
        <w:rFonts w:hint="default"/>
      </w:rPr>
    </w:lvl>
    <w:lvl w:ilvl="6">
      <w:start w:val="0"/>
      <w:numFmt w:val="bullet"/>
      <w:lvlText w:val="•"/>
      <w:lvlJc w:val="left"/>
      <w:pPr>
        <w:ind w:left="9519" w:hanging="909"/>
      </w:pPr>
      <w:rPr>
        <w:rFonts w:hint="default"/>
      </w:rPr>
    </w:lvl>
    <w:lvl w:ilvl="7">
      <w:start w:val="0"/>
      <w:numFmt w:val="bullet"/>
      <w:lvlText w:val="•"/>
      <w:lvlJc w:val="left"/>
      <w:pPr>
        <w:ind w:left="11079" w:hanging="909"/>
      </w:pPr>
      <w:rPr>
        <w:rFonts w:hint="default"/>
      </w:rPr>
    </w:lvl>
    <w:lvl w:ilvl="8">
      <w:start w:val="0"/>
      <w:numFmt w:val="bullet"/>
      <w:lvlText w:val="•"/>
      <w:lvlJc w:val="left"/>
      <w:pPr>
        <w:ind w:left="12639" w:hanging="909"/>
      </w:pPr>
      <w:rPr>
        <w:rFonts w:hint="default"/>
      </w:rPr>
    </w:lvl>
  </w:abstractNum>
  <w:abstractNum w:abstractNumId="1">
    <w:nsid w:val="37B3B368"/>
    <w:multiLevelType w:val="hybridMultilevel"/>
    <w:tmpl w:val="00000000"/>
    <w:lvl w:ilvl="0">
      <w:start w:val="1"/>
      <w:numFmt w:val="decimal"/>
      <w:lvlText w:val="%1"/>
      <w:lvlJc w:val="left"/>
      <w:pPr>
        <w:ind w:left="427" w:hanging="274"/>
        <w:jc w:val="left"/>
      </w:pPr>
      <w:rPr>
        <w:rFonts w:ascii="宋体" w:eastAsia="宋体" w:hAnsi="宋体" w:cs="宋体" w:hint="default"/>
        <w:b/>
        <w:bCs/>
        <w:w w:val="99"/>
        <w:sz w:val="36"/>
        <w:szCs w:val="36"/>
      </w:rPr>
    </w:lvl>
    <w:lvl w:ilvl="1">
      <w:start w:val="0"/>
      <w:numFmt w:val="bullet"/>
      <w:lvlText w:val="•"/>
      <w:lvlJc w:val="left"/>
      <w:pPr>
        <w:ind w:left="420" w:hanging="274"/>
      </w:pPr>
      <w:rPr>
        <w:rFonts w:hint="default"/>
      </w:rPr>
    </w:lvl>
    <w:lvl w:ilvl="2">
      <w:start w:val="0"/>
      <w:numFmt w:val="bullet"/>
      <w:lvlText w:val="•"/>
      <w:lvlJc w:val="left"/>
      <w:pPr>
        <w:ind w:left="1413" w:hanging="274"/>
      </w:pPr>
      <w:rPr>
        <w:rFonts w:hint="default"/>
      </w:rPr>
    </w:lvl>
    <w:lvl w:ilvl="3">
      <w:start w:val="0"/>
      <w:numFmt w:val="bullet"/>
      <w:lvlText w:val="•"/>
      <w:lvlJc w:val="left"/>
      <w:pPr>
        <w:ind w:left="2407" w:hanging="274"/>
      </w:pPr>
      <w:rPr>
        <w:rFonts w:hint="default"/>
      </w:rPr>
    </w:lvl>
    <w:lvl w:ilvl="4">
      <w:start w:val="0"/>
      <w:numFmt w:val="bullet"/>
      <w:lvlText w:val="•"/>
      <w:lvlJc w:val="left"/>
      <w:pPr>
        <w:ind w:left="3401" w:hanging="274"/>
      </w:pPr>
      <w:rPr>
        <w:rFonts w:hint="default"/>
      </w:rPr>
    </w:lvl>
    <w:lvl w:ilvl="5">
      <w:start w:val="0"/>
      <w:numFmt w:val="bullet"/>
      <w:lvlText w:val="•"/>
      <w:lvlJc w:val="left"/>
      <w:pPr>
        <w:ind w:left="4395" w:hanging="274"/>
      </w:pPr>
      <w:rPr>
        <w:rFonts w:hint="default"/>
      </w:rPr>
    </w:lvl>
    <w:lvl w:ilvl="6">
      <w:start w:val="0"/>
      <w:numFmt w:val="bullet"/>
      <w:lvlText w:val="•"/>
      <w:lvlJc w:val="left"/>
      <w:pPr>
        <w:ind w:left="5389" w:hanging="274"/>
      </w:pPr>
      <w:rPr>
        <w:rFonts w:hint="default"/>
      </w:rPr>
    </w:lvl>
    <w:lvl w:ilvl="7">
      <w:start w:val="0"/>
      <w:numFmt w:val="bullet"/>
      <w:lvlText w:val="•"/>
      <w:lvlJc w:val="left"/>
      <w:pPr>
        <w:ind w:left="6382" w:hanging="274"/>
      </w:pPr>
      <w:rPr>
        <w:rFonts w:hint="default"/>
      </w:rPr>
    </w:lvl>
    <w:lvl w:ilvl="8">
      <w:start w:val="0"/>
      <w:numFmt w:val="bullet"/>
      <w:lvlText w:val="•"/>
      <w:lvlJc w:val="left"/>
      <w:pPr>
        <w:ind w:left="7376" w:hanging="274"/>
      </w:pPr>
      <w:rPr>
        <w:rFonts w:hint="default"/>
      </w:rPr>
    </w:lvl>
  </w:abstractNum>
  <w:abstractNum w:abstractNumId="2">
    <w:nsid w:val="747D33E4"/>
    <w:multiLevelType w:val="hybridMultilevel"/>
    <w:tmpl w:val="00000000"/>
    <w:lvl w:ilvl="0">
      <w:start w:val="1"/>
      <w:numFmt w:val="decimal"/>
      <w:lvlText w:val="（%1）"/>
      <w:lvlJc w:val="left"/>
      <w:pPr>
        <w:ind w:left="1758" w:hanging="905"/>
        <w:jc w:val="left"/>
      </w:pPr>
      <w:rPr>
        <w:rFonts w:ascii="宋体" w:eastAsia="宋体" w:hAnsi="宋体" w:cs="宋体" w:hint="default"/>
        <w:b/>
        <w:bCs/>
        <w:spacing w:val="0"/>
        <w:w w:val="99"/>
        <w:sz w:val="34"/>
        <w:szCs w:val="34"/>
      </w:rPr>
    </w:lvl>
    <w:lvl w:ilvl="1">
      <w:start w:val="0"/>
      <w:numFmt w:val="bullet"/>
      <w:lvlText w:val="•"/>
      <w:lvlJc w:val="left"/>
      <w:pPr>
        <w:ind w:left="3159" w:hanging="905"/>
      </w:pPr>
      <w:rPr>
        <w:rFonts w:hint="default"/>
      </w:rPr>
    </w:lvl>
    <w:lvl w:ilvl="2">
      <w:start w:val="0"/>
      <w:numFmt w:val="bullet"/>
      <w:lvlText w:val="•"/>
      <w:lvlJc w:val="left"/>
      <w:pPr>
        <w:ind w:left="4559" w:hanging="905"/>
      </w:pPr>
      <w:rPr>
        <w:rFonts w:hint="default"/>
      </w:rPr>
    </w:lvl>
    <w:lvl w:ilvl="3">
      <w:start w:val="0"/>
      <w:numFmt w:val="bullet"/>
      <w:lvlText w:val="•"/>
      <w:lvlJc w:val="left"/>
      <w:pPr>
        <w:ind w:left="5959" w:hanging="905"/>
      </w:pPr>
      <w:rPr>
        <w:rFonts w:hint="default"/>
      </w:rPr>
    </w:lvl>
    <w:lvl w:ilvl="4">
      <w:start w:val="0"/>
      <w:numFmt w:val="bullet"/>
      <w:lvlText w:val="•"/>
      <w:lvlJc w:val="left"/>
      <w:pPr>
        <w:ind w:left="7359" w:hanging="905"/>
      </w:pPr>
      <w:rPr>
        <w:rFonts w:hint="default"/>
      </w:rPr>
    </w:lvl>
    <w:lvl w:ilvl="5">
      <w:start w:val="0"/>
      <w:numFmt w:val="bullet"/>
      <w:lvlText w:val="•"/>
      <w:lvlJc w:val="left"/>
      <w:pPr>
        <w:ind w:left="8759" w:hanging="905"/>
      </w:pPr>
      <w:rPr>
        <w:rFonts w:hint="default"/>
      </w:rPr>
    </w:lvl>
    <w:lvl w:ilvl="6">
      <w:start w:val="0"/>
      <w:numFmt w:val="bullet"/>
      <w:lvlText w:val="•"/>
      <w:lvlJc w:val="left"/>
      <w:pPr>
        <w:ind w:left="10159" w:hanging="905"/>
      </w:pPr>
      <w:rPr>
        <w:rFonts w:hint="default"/>
      </w:rPr>
    </w:lvl>
    <w:lvl w:ilvl="7">
      <w:start w:val="0"/>
      <w:numFmt w:val="bullet"/>
      <w:lvlText w:val="•"/>
      <w:lvlJc w:val="left"/>
      <w:pPr>
        <w:ind w:left="11559" w:hanging="905"/>
      </w:pPr>
      <w:rPr>
        <w:rFonts w:hint="default"/>
      </w:rPr>
    </w:lvl>
    <w:lvl w:ilvl="8">
      <w:start w:val="0"/>
      <w:numFmt w:val="bullet"/>
      <w:lvlText w:val="•"/>
      <w:lvlJc w:val="left"/>
      <w:pPr>
        <w:ind w:left="12959" w:hanging="905"/>
      </w:pPr>
      <w:rPr>
        <w:rFonts w:hint="default"/>
      </w:rPr>
    </w:lvl>
  </w:abstractNum>
  <w:abstractNum w:abstractNumId="3">
    <w:nsid w:val="7CF643B3"/>
    <w:multiLevelType w:val="hybridMultilevel"/>
    <w:tmpl w:val="00000000"/>
    <w:lvl w:ilvl="0">
      <w:start w:val="1"/>
      <w:numFmt w:val="decimal"/>
      <w:lvlText w:val="（%1）"/>
      <w:lvlJc w:val="left"/>
      <w:pPr>
        <w:ind w:left="154" w:hanging="905"/>
        <w:jc w:val="left"/>
      </w:pPr>
      <w:rPr>
        <w:rFonts w:ascii="宋体" w:eastAsia="宋体" w:hAnsi="宋体" w:cs="宋体" w:hint="default"/>
        <w:b/>
        <w:bCs/>
        <w:spacing w:val="0"/>
        <w:w w:val="99"/>
        <w:sz w:val="34"/>
        <w:szCs w:val="34"/>
      </w:rPr>
    </w:lvl>
    <w:lvl w:ilvl="1">
      <w:start w:val="0"/>
      <w:numFmt w:val="bullet"/>
      <w:lvlText w:val="•"/>
      <w:lvlJc w:val="left"/>
      <w:pPr>
        <w:ind w:left="1719" w:hanging="905"/>
      </w:pPr>
      <w:rPr>
        <w:rFonts w:hint="default"/>
      </w:rPr>
    </w:lvl>
    <w:lvl w:ilvl="2">
      <w:start w:val="0"/>
      <w:numFmt w:val="bullet"/>
      <w:lvlText w:val="•"/>
      <w:lvlJc w:val="left"/>
      <w:pPr>
        <w:ind w:left="3279" w:hanging="905"/>
      </w:pPr>
      <w:rPr>
        <w:rFonts w:hint="default"/>
      </w:rPr>
    </w:lvl>
    <w:lvl w:ilvl="3">
      <w:start w:val="0"/>
      <w:numFmt w:val="bullet"/>
      <w:lvlText w:val="•"/>
      <w:lvlJc w:val="left"/>
      <w:pPr>
        <w:ind w:left="4839" w:hanging="905"/>
      </w:pPr>
      <w:rPr>
        <w:rFonts w:hint="default"/>
      </w:rPr>
    </w:lvl>
    <w:lvl w:ilvl="4">
      <w:start w:val="0"/>
      <w:numFmt w:val="bullet"/>
      <w:lvlText w:val="•"/>
      <w:lvlJc w:val="left"/>
      <w:pPr>
        <w:ind w:left="6399" w:hanging="905"/>
      </w:pPr>
      <w:rPr>
        <w:rFonts w:hint="default"/>
      </w:rPr>
    </w:lvl>
    <w:lvl w:ilvl="5">
      <w:start w:val="0"/>
      <w:numFmt w:val="bullet"/>
      <w:lvlText w:val="•"/>
      <w:lvlJc w:val="left"/>
      <w:pPr>
        <w:ind w:left="7959" w:hanging="905"/>
      </w:pPr>
      <w:rPr>
        <w:rFonts w:hint="default"/>
      </w:rPr>
    </w:lvl>
    <w:lvl w:ilvl="6">
      <w:start w:val="0"/>
      <w:numFmt w:val="bullet"/>
      <w:lvlText w:val="•"/>
      <w:lvlJc w:val="left"/>
      <w:pPr>
        <w:ind w:left="9519" w:hanging="905"/>
      </w:pPr>
      <w:rPr>
        <w:rFonts w:hint="default"/>
      </w:rPr>
    </w:lvl>
    <w:lvl w:ilvl="7">
      <w:start w:val="0"/>
      <w:numFmt w:val="bullet"/>
      <w:lvlText w:val="•"/>
      <w:lvlJc w:val="left"/>
      <w:pPr>
        <w:ind w:left="11079" w:hanging="905"/>
      </w:pPr>
      <w:rPr>
        <w:rFonts w:hint="default"/>
      </w:rPr>
    </w:lvl>
    <w:lvl w:ilvl="8">
      <w:start w:val="0"/>
      <w:numFmt w:val="bullet"/>
      <w:lvlText w:val="•"/>
      <w:lvlJc w:val="left"/>
      <w:pPr>
        <w:ind w:left="12639" w:hanging="905"/>
      </w:pPr>
      <w:rPr>
        <w:rFonts w:hint="default"/>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4628" w:right="4795"/>
      <w:jc w:val="center"/>
      <w:outlineLvl w:val="0"/>
    </w:pPr>
    <w:rPr>
      <w:rFonts w:ascii="黑体" w:eastAsia="黑体" w:hAnsi="黑体" w:cs="黑体"/>
      <w:b/>
      <w:bCs/>
      <w:sz w:val="48"/>
      <w:szCs w:val="48"/>
    </w:rPr>
  </w:style>
  <w:style w:type="paragraph" w:styleId="Heading2">
    <w:name w:val="heading 2"/>
    <w:basedOn w:val="Normal"/>
    <w:uiPriority w:val="1"/>
    <w:qFormat/>
    <w:pPr>
      <w:spacing w:before="221"/>
      <w:ind w:left="154"/>
      <w:outlineLvl w:val="1"/>
    </w:pPr>
    <w:rPr>
      <w:rFonts w:ascii="宋体" w:eastAsia="宋体" w:hAnsi="宋体" w:cs="宋体"/>
      <w:b/>
      <w:bCs/>
      <w:sz w:val="45"/>
      <w:szCs w:val="45"/>
    </w:rPr>
  </w:style>
  <w:style w:type="paragraph" w:styleId="Heading3">
    <w:name w:val="heading 3"/>
    <w:basedOn w:val="Normal"/>
    <w:uiPriority w:val="1"/>
    <w:qFormat/>
    <w:pPr>
      <w:spacing w:before="29"/>
      <w:ind w:left="154"/>
      <w:outlineLvl w:val="2"/>
    </w:pPr>
    <w:rPr>
      <w:rFonts w:ascii="黑体" w:eastAsia="黑体" w:hAnsi="黑体" w:cs="黑体"/>
      <w:b/>
      <w:bCs/>
      <w:sz w:val="42"/>
      <w:szCs w:val="42"/>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7"/>
      <w:ind w:left="154"/>
    </w:pPr>
    <w:rPr>
      <w:rFonts w:ascii="楷体" w:eastAsia="楷体" w:hAnsi="楷体" w:cs="楷体"/>
      <w:b/>
      <w:bCs/>
      <w:sz w:val="36"/>
      <w:szCs w:val="36"/>
    </w:rPr>
  </w:style>
  <w:style w:type="paragraph" w:styleId="TOC2">
    <w:name w:val="toc 2"/>
    <w:basedOn w:val="Normal"/>
    <w:uiPriority w:val="1"/>
    <w:qFormat/>
    <w:pPr>
      <w:spacing w:before="6"/>
      <w:ind w:left="1011"/>
    </w:pPr>
    <w:rPr>
      <w:rFonts w:ascii="楷体" w:eastAsia="楷体" w:hAnsi="楷体" w:cs="楷体"/>
      <w:b/>
      <w:bCs/>
      <w:sz w:val="36"/>
      <w:szCs w:val="36"/>
    </w:rPr>
  </w:style>
  <w:style w:type="paragraph" w:styleId="TOC3">
    <w:name w:val="toc 3"/>
    <w:basedOn w:val="Normal"/>
    <w:uiPriority w:val="1"/>
    <w:qFormat/>
    <w:pPr>
      <w:spacing w:before="7"/>
      <w:ind w:left="1418"/>
    </w:pPr>
    <w:rPr>
      <w:rFonts w:ascii="楷体" w:eastAsia="楷体" w:hAnsi="楷体" w:cs="楷体"/>
      <w:b/>
      <w:bCs/>
      <w:sz w:val="36"/>
      <w:szCs w:val="36"/>
    </w:rPr>
  </w:style>
  <w:style w:type="paragraph" w:styleId="TOC4">
    <w:name w:val="toc 4"/>
    <w:basedOn w:val="Normal"/>
    <w:uiPriority w:val="1"/>
    <w:qFormat/>
    <w:pPr>
      <w:spacing w:before="7"/>
      <w:ind w:left="1433"/>
    </w:pPr>
    <w:rPr>
      <w:rFonts w:ascii="楷体" w:eastAsia="楷体" w:hAnsi="楷体" w:cs="楷体"/>
      <w:b/>
      <w:bCs/>
      <w:sz w:val="36"/>
      <w:szCs w:val="36"/>
    </w:rPr>
  </w:style>
  <w:style w:type="paragraph" w:styleId="BodyText">
    <w:name w:val="Body Text"/>
    <w:basedOn w:val="Normal"/>
    <w:uiPriority w:val="1"/>
    <w:qFormat/>
    <w:pPr>
      <w:spacing w:before="241"/>
      <w:ind w:left="154"/>
    </w:pPr>
    <w:rPr>
      <w:rFonts w:ascii="宋体" w:eastAsia="宋体" w:hAnsi="宋体" w:cs="宋体"/>
      <w:b/>
      <w:bCs/>
      <w:sz w:val="36"/>
      <w:szCs w:val="36"/>
    </w:rPr>
  </w:style>
  <w:style w:type="paragraph" w:styleId="ListParagraph">
    <w:name w:val="List Paragraph"/>
    <w:basedOn w:val="Normal"/>
    <w:uiPriority w:val="1"/>
    <w:qFormat/>
    <w:pPr>
      <w:spacing w:before="2"/>
      <w:ind w:left="154" w:firstLine="724"/>
    </w:pPr>
    <w:rPr>
      <w:rFonts w:ascii="宋体" w:eastAsia="宋体" w:hAnsi="宋体" w:cs="宋体"/>
    </w:rPr>
  </w:style>
  <w:style w:type="paragraph" w:customStyle="1" w:styleId="TableParagraph">
    <w:name w:val="Table Paragraph"/>
    <w:basedOn w:val="Normal"/>
    <w:uiPriority w:val="1"/>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1" Type="http://schemas.openxmlformats.org/officeDocument/2006/relationships/footer" Target="footer6.xml" /><Relationship Id="rId12" Type="http://schemas.openxmlformats.org/officeDocument/2006/relationships/footer" Target="footer7.xml" /><Relationship Id="rId13" Type="http://schemas.openxmlformats.org/officeDocument/2006/relationships/footer" Target="footer8.xml" /><Relationship Id="rId14" Type="http://schemas.openxmlformats.org/officeDocument/2006/relationships/footer" Target="footer9.xml" /><Relationship Id="rId15" Type="http://schemas.openxmlformats.org/officeDocument/2006/relationships/hyperlink" Target="https://d.book118.com/568072135065006025" TargetMode="External" /><Relationship Id="rId16" Type="http://schemas.openxmlformats.org/officeDocument/2006/relationships/footer" Target="footer10.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2023-12-20T03:04:39Z</dcterms:created>
  <dcterms:modified xsi:type="dcterms:W3CDTF">2023-12-20T03:04:39Z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2022-10-07T00:00:00Z</vt:filetime>
  </property>
  <property fmtid="{D5CDD505-2E9C-101B-9397-08002B2CF9AE}" pid="3" name="LastSaved">
    <vt:filetime>2023-12-20T00:00:00Z</vt:filetime>
  </property>
</Properties>
</file>