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彩色等离子体显示屏专用系列光刻浆料项目规划设计蓝图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39" w:history="1">
        <w:r>
          <w:rPr>
            <w:rFonts w:ascii="仿宋" w:eastAsia="仿宋" w:hAnsi="仿宋" w:cs="仿宋" w:hint="eastAsia"/>
            <w:lang w:eastAsia="zh-CN"/>
          </w:rPr>
          <w:t>概论</w:t>
        </w:r>
        <w:r>
          <w:tab/>
        </w:r>
        <w:r>
          <w:fldChar w:fldCharType="begin"/>
        </w:r>
        <w:r>
          <w:instrText xml:space="preserve"> PAGEREF _Toc25539 \h </w:instrText>
        </w:r>
        <w:r>
          <w:fldChar w:fldCharType="separate"/>
        </w:r>
        <w:r>
          <w:t>3</w:t>
        </w:r>
        <w:r>
          <w:fldChar w:fldCharType="end"/>
        </w:r>
      </w:hyperlink>
    </w:p>
    <w:p>
      <w:pPr>
        <w:pStyle w:val="TOC1"/>
        <w:tabs>
          <w:tab w:val="right" w:leader="dot" w:pos="8306"/>
        </w:tabs>
      </w:pPr>
      <w:hyperlink w:anchor="_Toc11761" w:history="1">
        <w:r>
          <w:rPr>
            <w:rFonts w:ascii="仿宋" w:eastAsia="仿宋" w:hAnsi="仿宋" w:cs="仿宋" w:hint="eastAsia"/>
            <w:lang w:eastAsia="zh-CN"/>
          </w:rPr>
          <w:t>一、彩色等离子体显示屏专用系列光刻浆料项目选址可行性分析</w:t>
        </w:r>
        <w:r>
          <w:tab/>
        </w:r>
        <w:r>
          <w:fldChar w:fldCharType="begin"/>
        </w:r>
        <w:r>
          <w:instrText xml:space="preserve"> PAGEREF _Toc11761 \h </w:instrText>
        </w:r>
        <w:r>
          <w:fldChar w:fldCharType="separate"/>
        </w:r>
        <w:r>
          <w:t>3</w:t>
        </w:r>
        <w:r>
          <w:fldChar w:fldCharType="end"/>
        </w:r>
      </w:hyperlink>
    </w:p>
    <w:p>
      <w:pPr>
        <w:pStyle w:val="TOC2"/>
        <w:tabs>
          <w:tab w:val="right" w:leader="dot" w:pos="8306"/>
        </w:tabs>
      </w:pPr>
      <w:hyperlink w:anchor="_Toc2900" w:history="1">
        <w:r>
          <w:rPr>
            <w:rFonts w:ascii="仿宋" w:eastAsia="仿宋" w:hAnsi="仿宋" w:cs="仿宋" w:hint="eastAsia"/>
            <w:lang w:eastAsia="zh-CN"/>
          </w:rPr>
          <w:t>(一)、彩色等离子体显示屏专用系列光刻浆料项目选址</w:t>
        </w:r>
        <w:r>
          <w:tab/>
        </w:r>
        <w:r>
          <w:fldChar w:fldCharType="begin"/>
        </w:r>
        <w:r>
          <w:instrText xml:space="preserve"> PAGEREF _Toc2900 \h </w:instrText>
        </w:r>
        <w:r>
          <w:fldChar w:fldCharType="separate"/>
        </w:r>
        <w:r>
          <w:t>3</w:t>
        </w:r>
        <w:r>
          <w:fldChar w:fldCharType="end"/>
        </w:r>
      </w:hyperlink>
    </w:p>
    <w:p>
      <w:pPr>
        <w:pStyle w:val="TOC2"/>
        <w:tabs>
          <w:tab w:val="right" w:leader="dot" w:pos="8306"/>
        </w:tabs>
      </w:pPr>
      <w:hyperlink w:anchor="_Toc25175" w:history="1">
        <w:r>
          <w:rPr>
            <w:rFonts w:ascii="仿宋" w:eastAsia="仿宋" w:hAnsi="仿宋" w:cs="仿宋" w:hint="eastAsia"/>
            <w:lang w:eastAsia="zh-CN"/>
          </w:rPr>
          <w:t>(二)、用地控制指标</w:t>
        </w:r>
        <w:r>
          <w:tab/>
        </w:r>
        <w:r>
          <w:fldChar w:fldCharType="begin"/>
        </w:r>
        <w:r>
          <w:instrText xml:space="preserve"> PAGEREF _Toc25175 \h </w:instrText>
        </w:r>
        <w:r>
          <w:fldChar w:fldCharType="separate"/>
        </w:r>
        <w:r>
          <w:t>3</w:t>
        </w:r>
        <w:r>
          <w:fldChar w:fldCharType="end"/>
        </w:r>
      </w:hyperlink>
    </w:p>
    <w:p>
      <w:pPr>
        <w:pStyle w:val="TOC2"/>
        <w:tabs>
          <w:tab w:val="right" w:leader="dot" w:pos="8306"/>
        </w:tabs>
      </w:pPr>
      <w:hyperlink w:anchor="_Toc26361" w:history="1">
        <w:r>
          <w:rPr>
            <w:rFonts w:ascii="仿宋" w:eastAsia="仿宋" w:hAnsi="仿宋" w:cs="仿宋" w:hint="eastAsia"/>
            <w:lang w:eastAsia="zh-CN"/>
          </w:rPr>
          <w:t>(三)、节约用地措施</w:t>
        </w:r>
        <w:r>
          <w:tab/>
        </w:r>
        <w:r>
          <w:fldChar w:fldCharType="begin"/>
        </w:r>
        <w:r>
          <w:instrText xml:space="preserve"> PAGEREF _Toc26361 \h </w:instrText>
        </w:r>
        <w:r>
          <w:fldChar w:fldCharType="separate"/>
        </w:r>
        <w:r>
          <w:t>5</w:t>
        </w:r>
        <w:r>
          <w:fldChar w:fldCharType="end"/>
        </w:r>
      </w:hyperlink>
    </w:p>
    <w:p>
      <w:pPr>
        <w:pStyle w:val="TOC2"/>
        <w:tabs>
          <w:tab w:val="right" w:leader="dot" w:pos="8306"/>
        </w:tabs>
      </w:pPr>
      <w:hyperlink w:anchor="_Toc30336" w:history="1">
        <w:r>
          <w:rPr>
            <w:rFonts w:ascii="仿宋" w:eastAsia="仿宋" w:hAnsi="仿宋" w:cs="仿宋" w:hint="eastAsia"/>
            <w:lang w:eastAsia="zh-CN"/>
          </w:rPr>
          <w:t>(四)、总图布置方案</w:t>
        </w:r>
        <w:r>
          <w:tab/>
        </w:r>
        <w:r>
          <w:fldChar w:fldCharType="begin"/>
        </w:r>
        <w:r>
          <w:instrText xml:space="preserve"> PAGEREF _Toc30336 \h </w:instrText>
        </w:r>
        <w:r>
          <w:fldChar w:fldCharType="separate"/>
        </w:r>
        <w:r>
          <w:t>7</w:t>
        </w:r>
        <w:r>
          <w:fldChar w:fldCharType="end"/>
        </w:r>
      </w:hyperlink>
    </w:p>
    <w:p>
      <w:pPr>
        <w:pStyle w:val="TOC2"/>
        <w:tabs>
          <w:tab w:val="right" w:leader="dot" w:pos="8306"/>
        </w:tabs>
      </w:pPr>
      <w:hyperlink w:anchor="_Toc85" w:history="1">
        <w:r>
          <w:rPr>
            <w:rFonts w:ascii="仿宋" w:eastAsia="仿宋" w:hAnsi="仿宋" w:cs="仿宋" w:hint="eastAsia"/>
            <w:lang w:eastAsia="zh-CN"/>
          </w:rPr>
          <w:t>(五)、选址综合评价</w:t>
        </w:r>
        <w:r>
          <w:tab/>
        </w:r>
        <w:r>
          <w:fldChar w:fldCharType="begin"/>
        </w:r>
        <w:r>
          <w:instrText xml:space="preserve"> PAGEREF _Toc85 \h </w:instrText>
        </w:r>
        <w:r>
          <w:fldChar w:fldCharType="separate"/>
        </w:r>
        <w:r>
          <w:t>8</w:t>
        </w:r>
        <w:r>
          <w:fldChar w:fldCharType="end"/>
        </w:r>
      </w:hyperlink>
    </w:p>
    <w:p>
      <w:pPr>
        <w:pStyle w:val="TOC1"/>
        <w:tabs>
          <w:tab w:val="right" w:leader="dot" w:pos="8306"/>
        </w:tabs>
      </w:pPr>
      <w:hyperlink w:anchor="_Toc18310" w:history="1">
        <w:r>
          <w:rPr>
            <w:rFonts w:ascii="仿宋" w:eastAsia="仿宋" w:hAnsi="仿宋" w:cs="仿宋" w:hint="eastAsia"/>
            <w:lang w:eastAsia="zh-CN"/>
          </w:rPr>
          <w:t>二、彩色等离子体显示屏专用系列光刻浆料项目建设背景及必要性分析</w:t>
        </w:r>
        <w:r>
          <w:tab/>
        </w:r>
        <w:r>
          <w:fldChar w:fldCharType="begin"/>
        </w:r>
        <w:r>
          <w:instrText xml:space="preserve"> PAGEREF _Toc18310 \h </w:instrText>
        </w:r>
        <w:r>
          <w:fldChar w:fldCharType="separate"/>
        </w:r>
        <w:r>
          <w:t>9</w:t>
        </w:r>
        <w:r>
          <w:fldChar w:fldCharType="end"/>
        </w:r>
      </w:hyperlink>
    </w:p>
    <w:p>
      <w:pPr>
        <w:pStyle w:val="TOC2"/>
        <w:tabs>
          <w:tab w:val="right" w:leader="dot" w:pos="8306"/>
        </w:tabs>
      </w:pPr>
      <w:hyperlink w:anchor="_Toc23060" w:history="1">
        <w:r>
          <w:rPr>
            <w:rFonts w:ascii="仿宋" w:eastAsia="仿宋" w:hAnsi="仿宋" w:cs="仿宋" w:hint="eastAsia"/>
            <w:lang w:eastAsia="zh-CN"/>
          </w:rPr>
          <w:t>(一)、彩色等离子体显示屏专用系列光刻浆料项目背景分析</w:t>
        </w:r>
        <w:r>
          <w:tab/>
        </w:r>
        <w:r>
          <w:fldChar w:fldCharType="begin"/>
        </w:r>
        <w:r>
          <w:instrText xml:space="preserve"> PAGEREF _Toc23060 \h </w:instrText>
        </w:r>
        <w:r>
          <w:fldChar w:fldCharType="separate"/>
        </w:r>
        <w:r>
          <w:t>9</w:t>
        </w:r>
        <w:r>
          <w:fldChar w:fldCharType="end"/>
        </w:r>
      </w:hyperlink>
    </w:p>
    <w:p>
      <w:pPr>
        <w:pStyle w:val="TOC2"/>
        <w:tabs>
          <w:tab w:val="right" w:leader="dot" w:pos="8306"/>
        </w:tabs>
      </w:pPr>
      <w:hyperlink w:anchor="_Toc26489" w:history="1">
        <w:r>
          <w:rPr>
            <w:rFonts w:ascii="仿宋" w:eastAsia="仿宋" w:hAnsi="仿宋" w:cs="仿宋" w:hint="eastAsia"/>
            <w:lang w:eastAsia="zh-CN"/>
          </w:rPr>
          <w:t>(二)、彩色等离子体显示屏专用系列光刻浆料项目建设必要性分析</w:t>
        </w:r>
        <w:r>
          <w:tab/>
        </w:r>
        <w:r>
          <w:fldChar w:fldCharType="begin"/>
        </w:r>
        <w:r>
          <w:instrText xml:space="preserve"> PAGEREF _Toc26489 \h </w:instrText>
        </w:r>
        <w:r>
          <w:fldChar w:fldCharType="separate"/>
        </w:r>
        <w:r>
          <w:t>11</w:t>
        </w:r>
        <w:r>
          <w:fldChar w:fldCharType="end"/>
        </w:r>
      </w:hyperlink>
    </w:p>
    <w:p>
      <w:pPr>
        <w:pStyle w:val="TOC1"/>
        <w:tabs>
          <w:tab w:val="right" w:leader="dot" w:pos="8306"/>
        </w:tabs>
      </w:pPr>
      <w:hyperlink w:anchor="_Toc14287" w:history="1">
        <w:r>
          <w:rPr>
            <w:rFonts w:ascii="仿宋" w:eastAsia="仿宋" w:hAnsi="仿宋" w:cs="仿宋" w:hint="eastAsia"/>
            <w:lang w:eastAsia="zh-CN"/>
          </w:rPr>
          <w:t>三、市场分析、调研</w:t>
        </w:r>
        <w:r>
          <w:tab/>
        </w:r>
        <w:r>
          <w:fldChar w:fldCharType="begin"/>
        </w:r>
        <w:r>
          <w:instrText xml:space="preserve"> PAGEREF _Toc14287 \h </w:instrText>
        </w:r>
        <w:r>
          <w:fldChar w:fldCharType="separate"/>
        </w:r>
        <w:r>
          <w:t>13</w:t>
        </w:r>
        <w:r>
          <w:fldChar w:fldCharType="end"/>
        </w:r>
      </w:hyperlink>
    </w:p>
    <w:p>
      <w:pPr>
        <w:pStyle w:val="TOC2"/>
        <w:tabs>
          <w:tab w:val="right" w:leader="dot" w:pos="8306"/>
        </w:tabs>
      </w:pPr>
      <w:hyperlink w:anchor="_Toc17964" w:history="1">
        <w:r>
          <w:rPr>
            <w:rFonts w:ascii="仿宋" w:eastAsia="仿宋" w:hAnsi="仿宋" w:cs="仿宋" w:hint="eastAsia"/>
            <w:lang w:eastAsia="zh-CN"/>
          </w:rPr>
          <w:t>(一)、彩色等离子体显示屏专用系列光刻浆料行业分析</w:t>
        </w:r>
        <w:r>
          <w:tab/>
        </w:r>
        <w:r>
          <w:fldChar w:fldCharType="begin"/>
        </w:r>
        <w:r>
          <w:instrText xml:space="preserve"> PAGEREF _Toc17964 \h </w:instrText>
        </w:r>
        <w:r>
          <w:fldChar w:fldCharType="separate"/>
        </w:r>
        <w:r>
          <w:t>13</w:t>
        </w:r>
        <w:r>
          <w:fldChar w:fldCharType="end"/>
        </w:r>
      </w:hyperlink>
    </w:p>
    <w:p>
      <w:pPr>
        <w:pStyle w:val="TOC2"/>
        <w:tabs>
          <w:tab w:val="right" w:leader="dot" w:pos="8306"/>
        </w:tabs>
      </w:pPr>
      <w:hyperlink w:anchor="_Toc8744" w:history="1">
        <w:r>
          <w:rPr>
            <w:rFonts w:ascii="仿宋" w:eastAsia="仿宋" w:hAnsi="仿宋" w:cs="仿宋" w:hint="eastAsia"/>
            <w:lang w:eastAsia="zh-CN"/>
          </w:rPr>
          <w:t>(二)、彩色等离子体显示屏专用系列光刻浆料市场分析预测</w:t>
        </w:r>
        <w:r>
          <w:tab/>
        </w:r>
        <w:r>
          <w:fldChar w:fldCharType="begin"/>
        </w:r>
        <w:r>
          <w:instrText xml:space="preserve"> PAGEREF _Toc8744 \h </w:instrText>
        </w:r>
        <w:r>
          <w:fldChar w:fldCharType="separate"/>
        </w:r>
        <w:r>
          <w:t>14</w:t>
        </w:r>
        <w:r>
          <w:fldChar w:fldCharType="end"/>
        </w:r>
      </w:hyperlink>
    </w:p>
    <w:p>
      <w:pPr>
        <w:pStyle w:val="TOC1"/>
        <w:tabs>
          <w:tab w:val="right" w:leader="dot" w:pos="8306"/>
        </w:tabs>
      </w:pPr>
      <w:hyperlink w:anchor="_Toc10608" w:history="1">
        <w:r>
          <w:rPr>
            <w:rFonts w:ascii="仿宋" w:eastAsia="仿宋" w:hAnsi="仿宋" w:cs="仿宋" w:hint="eastAsia"/>
            <w:lang w:eastAsia="zh-CN"/>
          </w:rPr>
          <w:t>四、工艺说明</w:t>
        </w:r>
        <w:r>
          <w:tab/>
        </w:r>
        <w:r>
          <w:fldChar w:fldCharType="begin"/>
        </w:r>
        <w:r>
          <w:instrText xml:space="preserve"> PAGEREF _Toc10608 \h </w:instrText>
        </w:r>
        <w:r>
          <w:fldChar w:fldCharType="separate"/>
        </w:r>
        <w:r>
          <w:t>15</w:t>
        </w:r>
        <w:r>
          <w:fldChar w:fldCharType="end"/>
        </w:r>
      </w:hyperlink>
    </w:p>
    <w:p>
      <w:pPr>
        <w:pStyle w:val="TOC2"/>
        <w:tabs>
          <w:tab w:val="right" w:leader="dot" w:pos="8306"/>
        </w:tabs>
      </w:pPr>
      <w:hyperlink w:anchor="_Toc28819" w:history="1">
        <w:r>
          <w:rPr>
            <w:rFonts w:ascii="仿宋" w:eastAsia="仿宋" w:hAnsi="仿宋" w:cs="仿宋" w:hint="eastAsia"/>
            <w:lang w:eastAsia="zh-CN"/>
          </w:rPr>
          <w:t>(一)、技术管理特点</w:t>
        </w:r>
        <w:r>
          <w:tab/>
        </w:r>
        <w:r>
          <w:fldChar w:fldCharType="begin"/>
        </w:r>
        <w:r>
          <w:instrText xml:space="preserve"> PAGEREF _Toc28819 \h </w:instrText>
        </w:r>
        <w:r>
          <w:fldChar w:fldCharType="separate"/>
        </w:r>
        <w:r>
          <w:t>15</w:t>
        </w:r>
        <w:r>
          <w:fldChar w:fldCharType="end"/>
        </w:r>
      </w:hyperlink>
    </w:p>
    <w:p>
      <w:pPr>
        <w:pStyle w:val="TOC2"/>
        <w:tabs>
          <w:tab w:val="right" w:leader="dot" w:pos="8306"/>
        </w:tabs>
      </w:pPr>
      <w:hyperlink w:anchor="_Toc14372" w:history="1">
        <w:r>
          <w:rPr>
            <w:rFonts w:ascii="仿宋" w:eastAsia="仿宋" w:hAnsi="仿宋" w:cs="仿宋" w:hint="eastAsia"/>
            <w:lang w:eastAsia="zh-CN"/>
          </w:rPr>
          <w:t>(二)、彩色等离子体显示屏专用系列光刻浆料项目工艺技术设计方案</w:t>
        </w:r>
        <w:r>
          <w:tab/>
        </w:r>
        <w:r>
          <w:fldChar w:fldCharType="begin"/>
        </w:r>
        <w:r>
          <w:instrText xml:space="preserve"> PAGEREF _Toc14372 \h </w:instrText>
        </w:r>
        <w:r>
          <w:fldChar w:fldCharType="separate"/>
        </w:r>
        <w:r>
          <w:t>16</w:t>
        </w:r>
        <w:r>
          <w:fldChar w:fldCharType="end"/>
        </w:r>
      </w:hyperlink>
    </w:p>
    <w:p>
      <w:pPr>
        <w:pStyle w:val="TOC2"/>
        <w:tabs>
          <w:tab w:val="right" w:leader="dot" w:pos="8306"/>
        </w:tabs>
      </w:pPr>
      <w:hyperlink w:anchor="_Toc11952" w:history="1">
        <w:r>
          <w:rPr>
            <w:rFonts w:ascii="仿宋" w:eastAsia="仿宋" w:hAnsi="仿宋" w:cs="仿宋" w:hint="eastAsia"/>
            <w:lang w:eastAsia="zh-CN"/>
          </w:rPr>
          <w:t>(三)、设备选型方案</w:t>
        </w:r>
        <w:r>
          <w:tab/>
        </w:r>
        <w:r>
          <w:fldChar w:fldCharType="begin"/>
        </w:r>
        <w:r>
          <w:instrText xml:space="preserve"> PAGEREF _Toc11952 \h </w:instrText>
        </w:r>
        <w:r>
          <w:fldChar w:fldCharType="separate"/>
        </w:r>
        <w:r>
          <w:t>18</w:t>
        </w:r>
        <w:r>
          <w:fldChar w:fldCharType="end"/>
        </w:r>
      </w:hyperlink>
    </w:p>
    <w:p>
      <w:pPr>
        <w:pStyle w:val="TOC1"/>
        <w:tabs>
          <w:tab w:val="right" w:leader="dot" w:pos="8306"/>
        </w:tabs>
      </w:pPr>
      <w:hyperlink w:anchor="_Toc14017" w:history="1">
        <w:r>
          <w:rPr>
            <w:rFonts w:ascii="仿宋" w:eastAsia="仿宋" w:hAnsi="仿宋" w:cs="仿宋" w:hint="eastAsia"/>
            <w:lang w:eastAsia="zh-CN"/>
          </w:rPr>
          <w:t>五、彩色等离子体显示屏专用系列光刻浆料项目危机管理</w:t>
        </w:r>
        <w:r>
          <w:tab/>
        </w:r>
        <w:r>
          <w:fldChar w:fldCharType="begin"/>
        </w:r>
        <w:r>
          <w:instrText xml:space="preserve"> PAGEREF _Toc14017 \h </w:instrText>
        </w:r>
        <w:r>
          <w:fldChar w:fldCharType="separate"/>
        </w:r>
        <w:r>
          <w:t>19</w:t>
        </w:r>
        <w:r>
          <w:fldChar w:fldCharType="end"/>
        </w:r>
      </w:hyperlink>
    </w:p>
    <w:p>
      <w:pPr>
        <w:pStyle w:val="TOC2"/>
        <w:tabs>
          <w:tab w:val="right" w:leader="dot" w:pos="8306"/>
        </w:tabs>
      </w:pPr>
      <w:hyperlink w:anchor="_Toc8477" w:history="1">
        <w:r>
          <w:rPr>
            <w:rFonts w:ascii="仿宋" w:eastAsia="仿宋" w:hAnsi="仿宋" w:cs="仿宋" w:hint="eastAsia"/>
            <w:lang w:eastAsia="zh-CN"/>
          </w:rPr>
          <w:t>(一)、危机预警与识别</w:t>
        </w:r>
        <w:r>
          <w:tab/>
        </w:r>
        <w:r>
          <w:fldChar w:fldCharType="begin"/>
        </w:r>
        <w:r>
          <w:instrText xml:space="preserve"> PAGEREF _Toc8477 \h </w:instrText>
        </w:r>
        <w:r>
          <w:fldChar w:fldCharType="separate"/>
        </w:r>
        <w:r>
          <w:t>19</w:t>
        </w:r>
        <w:r>
          <w:fldChar w:fldCharType="end"/>
        </w:r>
      </w:hyperlink>
    </w:p>
    <w:p>
      <w:pPr>
        <w:pStyle w:val="TOC2"/>
        <w:tabs>
          <w:tab w:val="right" w:leader="dot" w:pos="8306"/>
        </w:tabs>
      </w:pPr>
      <w:hyperlink w:anchor="_Toc18764" w:history="1">
        <w:r>
          <w:rPr>
            <w:rFonts w:ascii="仿宋" w:eastAsia="仿宋" w:hAnsi="仿宋" w:cs="仿宋" w:hint="eastAsia"/>
            <w:lang w:eastAsia="zh-CN"/>
          </w:rPr>
          <w:t>(二)、危机应对与恢复</w:t>
        </w:r>
        <w:r>
          <w:tab/>
        </w:r>
        <w:r>
          <w:fldChar w:fldCharType="begin"/>
        </w:r>
        <w:r>
          <w:instrText xml:space="preserve"> PAGEREF _Toc18764 \h </w:instrText>
        </w:r>
        <w:r>
          <w:fldChar w:fldCharType="separate"/>
        </w:r>
        <w:r>
          <w:t>20</w:t>
        </w:r>
        <w:r>
          <w:fldChar w:fldCharType="end"/>
        </w:r>
      </w:hyperlink>
    </w:p>
    <w:p>
      <w:pPr>
        <w:pStyle w:val="TOC1"/>
        <w:tabs>
          <w:tab w:val="right" w:leader="dot" w:pos="8306"/>
        </w:tabs>
      </w:pPr>
      <w:hyperlink w:anchor="_Toc3622" w:history="1">
        <w:r>
          <w:rPr>
            <w:rFonts w:ascii="仿宋" w:eastAsia="仿宋" w:hAnsi="仿宋" w:cs="仿宋" w:hint="eastAsia"/>
            <w:lang w:eastAsia="zh-CN"/>
          </w:rPr>
          <w:t>六、彩色等离子体显示屏专用系列光刻浆料项目文档管理</w:t>
        </w:r>
        <w:r>
          <w:tab/>
        </w:r>
        <w:r>
          <w:fldChar w:fldCharType="begin"/>
        </w:r>
        <w:r>
          <w:instrText xml:space="preserve"> PAGEREF _Toc3622 \h </w:instrText>
        </w:r>
        <w:r>
          <w:fldChar w:fldCharType="separate"/>
        </w:r>
        <w:r>
          <w:t>22</w:t>
        </w:r>
        <w:r>
          <w:fldChar w:fldCharType="end"/>
        </w:r>
      </w:hyperlink>
    </w:p>
    <w:p>
      <w:pPr>
        <w:pStyle w:val="TOC2"/>
        <w:tabs>
          <w:tab w:val="right" w:leader="dot" w:pos="8306"/>
        </w:tabs>
      </w:pPr>
      <w:hyperlink w:anchor="_Toc28117" w:history="1">
        <w:r>
          <w:rPr>
            <w:rFonts w:ascii="仿宋" w:eastAsia="仿宋" w:hAnsi="仿宋" w:cs="仿宋" w:hint="eastAsia"/>
            <w:lang w:eastAsia="zh-CN"/>
          </w:rPr>
          <w:t>(一)、文档编制与审查</w:t>
        </w:r>
        <w:r>
          <w:tab/>
        </w:r>
        <w:r>
          <w:fldChar w:fldCharType="begin"/>
        </w:r>
        <w:r>
          <w:instrText xml:space="preserve"> PAGEREF _Toc28117 \h </w:instrText>
        </w:r>
        <w:r>
          <w:fldChar w:fldCharType="separate"/>
        </w:r>
        <w:r>
          <w:t>22</w:t>
        </w:r>
        <w:r>
          <w:fldChar w:fldCharType="end"/>
        </w:r>
      </w:hyperlink>
    </w:p>
    <w:p>
      <w:pPr>
        <w:pStyle w:val="TOC2"/>
        <w:tabs>
          <w:tab w:val="right" w:leader="dot" w:pos="8306"/>
        </w:tabs>
      </w:pPr>
      <w:hyperlink w:anchor="_Toc20679" w:history="1">
        <w:r>
          <w:rPr>
            <w:rFonts w:ascii="仿宋" w:eastAsia="仿宋" w:hAnsi="仿宋" w:cs="仿宋" w:hint="eastAsia"/>
            <w:lang w:eastAsia="zh-CN"/>
          </w:rPr>
          <w:t>(二)、文档发布与分发</w:t>
        </w:r>
        <w:r>
          <w:tab/>
        </w:r>
        <w:r>
          <w:fldChar w:fldCharType="begin"/>
        </w:r>
        <w:r>
          <w:instrText xml:space="preserve"> PAGEREF _Toc20679 \h </w:instrText>
        </w:r>
        <w:r>
          <w:fldChar w:fldCharType="separate"/>
        </w:r>
        <w:r>
          <w:t>24</w:t>
        </w:r>
        <w:r>
          <w:fldChar w:fldCharType="end"/>
        </w:r>
      </w:hyperlink>
    </w:p>
    <w:p>
      <w:pPr>
        <w:pStyle w:val="TOC2"/>
        <w:tabs>
          <w:tab w:val="right" w:leader="dot" w:pos="8306"/>
        </w:tabs>
      </w:pPr>
      <w:hyperlink w:anchor="_Toc15335" w:history="1">
        <w:r>
          <w:rPr>
            <w:rFonts w:ascii="仿宋" w:eastAsia="仿宋" w:hAnsi="仿宋" w:cs="仿宋" w:hint="eastAsia"/>
            <w:lang w:eastAsia="zh-CN"/>
          </w:rPr>
          <w:t>(三)、文档存档与归档</w:t>
        </w:r>
        <w:r>
          <w:tab/>
        </w:r>
        <w:r>
          <w:fldChar w:fldCharType="begin"/>
        </w:r>
        <w:r>
          <w:instrText xml:space="preserve"> PAGEREF _Toc15335 \h </w:instrText>
        </w:r>
        <w:r>
          <w:fldChar w:fldCharType="separate"/>
        </w:r>
        <w:r>
          <w:t>25</w:t>
        </w:r>
        <w:r>
          <w:fldChar w:fldCharType="end"/>
        </w:r>
      </w:hyperlink>
    </w:p>
    <w:p>
      <w:pPr>
        <w:pStyle w:val="TOC1"/>
        <w:tabs>
          <w:tab w:val="right" w:leader="dot" w:pos="8306"/>
        </w:tabs>
      </w:pPr>
      <w:hyperlink w:anchor="_Toc12497" w:history="1">
        <w:r>
          <w:rPr>
            <w:rFonts w:ascii="仿宋" w:eastAsia="仿宋" w:hAnsi="仿宋" w:cs="仿宋" w:hint="eastAsia"/>
            <w:lang w:eastAsia="zh-CN"/>
          </w:rPr>
          <w:t>七、彩色等离子体显示屏专用系列光刻浆料项目风险管理</w:t>
        </w:r>
        <w:r>
          <w:tab/>
        </w:r>
        <w:r>
          <w:fldChar w:fldCharType="begin"/>
        </w:r>
        <w:r>
          <w:instrText xml:space="preserve"> PAGEREF _Toc12497 \h </w:instrText>
        </w:r>
        <w:r>
          <w:fldChar w:fldCharType="separate"/>
        </w:r>
        <w:r>
          <w:t>26</w:t>
        </w:r>
        <w:r>
          <w:fldChar w:fldCharType="end"/>
        </w:r>
      </w:hyperlink>
    </w:p>
    <w:p>
      <w:pPr>
        <w:pStyle w:val="TOC2"/>
        <w:tabs>
          <w:tab w:val="right" w:leader="dot" w:pos="8306"/>
        </w:tabs>
      </w:pPr>
      <w:hyperlink w:anchor="_Toc6304" w:history="1">
        <w:r>
          <w:rPr>
            <w:rFonts w:ascii="仿宋" w:eastAsia="仿宋" w:hAnsi="仿宋" w:cs="仿宋" w:hint="eastAsia"/>
            <w:lang w:eastAsia="zh-CN"/>
          </w:rPr>
          <w:t>(一)、风险识别与评估</w:t>
        </w:r>
        <w:r>
          <w:tab/>
        </w:r>
        <w:r>
          <w:fldChar w:fldCharType="begin"/>
        </w:r>
        <w:r>
          <w:instrText xml:space="preserve"> PAGEREF _Toc6304 \h </w:instrText>
        </w:r>
        <w:r>
          <w:fldChar w:fldCharType="separate"/>
        </w:r>
        <w:r>
          <w:t>26</w:t>
        </w:r>
        <w:r>
          <w:fldChar w:fldCharType="end"/>
        </w:r>
      </w:hyperlink>
    </w:p>
    <w:p>
      <w:pPr>
        <w:pStyle w:val="TOC2"/>
        <w:tabs>
          <w:tab w:val="right" w:leader="dot" w:pos="8306"/>
        </w:tabs>
      </w:pPr>
      <w:hyperlink w:anchor="_Toc4412" w:history="1">
        <w:r>
          <w:rPr>
            <w:rFonts w:ascii="仿宋" w:eastAsia="仿宋" w:hAnsi="仿宋" w:cs="仿宋" w:hint="eastAsia"/>
            <w:lang w:eastAsia="zh-CN"/>
          </w:rPr>
          <w:t>(二)、风险应对策略</w:t>
        </w:r>
        <w:r>
          <w:tab/>
        </w:r>
        <w:r>
          <w:fldChar w:fldCharType="begin"/>
        </w:r>
        <w:r>
          <w:instrText xml:space="preserve"> PAGEREF _Toc4412 \h </w:instrText>
        </w:r>
        <w:r>
          <w:fldChar w:fldCharType="separate"/>
        </w:r>
        <w:r>
          <w:t>27</w:t>
        </w:r>
        <w:r>
          <w:fldChar w:fldCharType="end"/>
        </w:r>
      </w:hyperlink>
    </w:p>
    <w:p>
      <w:pPr>
        <w:pStyle w:val="TOC2"/>
        <w:tabs>
          <w:tab w:val="right" w:leader="dot" w:pos="8306"/>
        </w:tabs>
      </w:pPr>
      <w:hyperlink w:anchor="_Toc19520" w:history="1">
        <w:r>
          <w:rPr>
            <w:rFonts w:ascii="仿宋" w:eastAsia="仿宋" w:hAnsi="仿宋" w:cs="仿宋" w:hint="eastAsia"/>
            <w:lang w:eastAsia="zh-CN"/>
          </w:rPr>
          <w:t>(三)、风险监控与控制</w:t>
        </w:r>
        <w:r>
          <w:tab/>
        </w:r>
        <w:r>
          <w:fldChar w:fldCharType="begin"/>
        </w:r>
        <w:r>
          <w:instrText xml:space="preserve"> PAGEREF _Toc19520 \h </w:instrText>
        </w:r>
        <w:r>
          <w:fldChar w:fldCharType="separate"/>
        </w:r>
        <w:r>
          <w:t>29</w:t>
        </w:r>
        <w:r>
          <w:fldChar w:fldCharType="end"/>
        </w:r>
      </w:hyperlink>
    </w:p>
    <w:p>
      <w:pPr>
        <w:pStyle w:val="TOC1"/>
        <w:tabs>
          <w:tab w:val="right" w:leader="dot" w:pos="8306"/>
        </w:tabs>
      </w:pPr>
      <w:hyperlink w:anchor="_Toc19935" w:history="1">
        <w:r>
          <w:rPr>
            <w:rFonts w:ascii="仿宋" w:eastAsia="仿宋" w:hAnsi="仿宋" w:cs="仿宋" w:hint="eastAsia"/>
            <w:lang w:eastAsia="zh-CN"/>
          </w:rPr>
          <w:t>八、彩色等离子体显示屏专用系列光刻浆料项目财务管理</w:t>
        </w:r>
        <w:r>
          <w:tab/>
        </w:r>
        <w:r>
          <w:fldChar w:fldCharType="begin"/>
        </w:r>
        <w:r>
          <w:instrText xml:space="preserve"> PAGEREF _Toc19935 \h </w:instrText>
        </w:r>
        <w:r>
          <w:fldChar w:fldCharType="separate"/>
        </w:r>
        <w:r>
          <w:t>30</w:t>
        </w:r>
        <w:r>
          <w:fldChar w:fldCharType="end"/>
        </w:r>
      </w:hyperlink>
    </w:p>
    <w:p>
      <w:pPr>
        <w:pStyle w:val="TOC2"/>
        <w:tabs>
          <w:tab w:val="right" w:leader="dot" w:pos="8306"/>
        </w:tabs>
      </w:pPr>
      <w:hyperlink w:anchor="_Toc3438" w:history="1">
        <w:r>
          <w:rPr>
            <w:rFonts w:ascii="仿宋" w:eastAsia="仿宋" w:hAnsi="仿宋" w:cs="仿宋" w:hint="eastAsia"/>
            <w:lang w:eastAsia="zh-CN"/>
          </w:rPr>
          <w:t>(一)、资金需求大</w:t>
        </w:r>
        <w:r>
          <w:tab/>
        </w:r>
        <w:r>
          <w:fldChar w:fldCharType="begin"/>
        </w:r>
        <w:r>
          <w:instrText xml:space="preserve"> PAGEREF _Toc3438 \h </w:instrText>
        </w:r>
        <w:r>
          <w:fldChar w:fldCharType="separate"/>
        </w:r>
        <w:r>
          <w:t>30</w:t>
        </w:r>
        <w:r>
          <w:fldChar w:fldCharType="end"/>
        </w:r>
      </w:hyperlink>
    </w:p>
    <w:p>
      <w:pPr>
        <w:pStyle w:val="TOC2"/>
        <w:tabs>
          <w:tab w:val="right" w:leader="dot" w:pos="8306"/>
        </w:tabs>
      </w:pPr>
      <w:hyperlink w:anchor="_Toc11310" w:history="1">
        <w:r>
          <w:rPr>
            <w:rFonts w:ascii="仿宋" w:eastAsia="仿宋" w:hAnsi="仿宋" w:cs="仿宋" w:hint="eastAsia"/>
            <w:lang w:eastAsia="zh-CN"/>
          </w:rPr>
          <w:t>(二)、研发周期长</w:t>
        </w:r>
        <w:r>
          <w:tab/>
        </w:r>
        <w:r>
          <w:fldChar w:fldCharType="begin"/>
        </w:r>
        <w:r>
          <w:instrText xml:space="preserve"> PAGEREF _Toc11310 \h </w:instrText>
        </w:r>
        <w:r>
          <w:fldChar w:fldCharType="separate"/>
        </w:r>
        <w:r>
          <w:t>32</w:t>
        </w:r>
        <w:r>
          <w:fldChar w:fldCharType="end"/>
        </w:r>
      </w:hyperlink>
    </w:p>
    <w:p>
      <w:pPr>
        <w:pStyle w:val="TOC2"/>
        <w:tabs>
          <w:tab w:val="right" w:leader="dot" w:pos="8306"/>
        </w:tabs>
      </w:pPr>
      <w:hyperlink w:anchor="_Toc30609" w:history="1">
        <w:r>
          <w:rPr>
            <w:rFonts w:ascii="仿宋" w:eastAsia="仿宋" w:hAnsi="仿宋" w:cs="仿宋" w:hint="eastAsia"/>
            <w:lang w:eastAsia="zh-CN"/>
          </w:rPr>
          <w:t>(三)、市场风险大</w:t>
        </w:r>
        <w:r>
          <w:tab/>
        </w:r>
        <w:r>
          <w:fldChar w:fldCharType="begin"/>
        </w:r>
        <w:r>
          <w:instrText xml:space="preserve"> PAGEREF _Toc30609 \h </w:instrText>
        </w:r>
        <w:r>
          <w:fldChar w:fldCharType="separate"/>
        </w:r>
        <w:r>
          <w:t>33</w:t>
        </w:r>
        <w:r>
          <w:fldChar w:fldCharType="end"/>
        </w:r>
      </w:hyperlink>
    </w:p>
    <w:p>
      <w:pPr>
        <w:pStyle w:val="TOC2"/>
        <w:tabs>
          <w:tab w:val="right" w:leader="dot" w:pos="8306"/>
        </w:tabs>
      </w:pPr>
      <w:hyperlink w:anchor="_Toc7859" w:history="1">
        <w:r>
          <w:rPr>
            <w:rFonts w:ascii="仿宋" w:eastAsia="仿宋" w:hAnsi="仿宋" w:cs="仿宋" w:hint="eastAsia"/>
            <w:lang w:eastAsia="zh-CN"/>
          </w:rPr>
          <w:t>(四)、利润率高</w:t>
        </w:r>
        <w:r>
          <w:tab/>
        </w:r>
        <w:r>
          <w:fldChar w:fldCharType="begin"/>
        </w:r>
        <w:r>
          <w:instrText xml:space="preserve"> PAGEREF _Toc7859 \h </w:instrText>
        </w:r>
        <w:r>
          <w:fldChar w:fldCharType="separate"/>
        </w:r>
        <w:r>
          <w:t>36</w:t>
        </w:r>
        <w:r>
          <w:fldChar w:fldCharType="end"/>
        </w:r>
      </w:hyperlink>
    </w:p>
    <w:p>
      <w:pPr>
        <w:pStyle w:val="TOC1"/>
        <w:tabs>
          <w:tab w:val="right" w:leader="dot" w:pos="8306"/>
        </w:tabs>
      </w:pPr>
      <w:hyperlink w:anchor="_Toc19680" w:history="1">
        <w:r>
          <w:rPr>
            <w:rFonts w:ascii="仿宋" w:eastAsia="仿宋" w:hAnsi="仿宋" w:cs="仿宋" w:hint="eastAsia"/>
            <w:lang w:eastAsia="zh-CN"/>
          </w:rPr>
          <w:t>九、彩色等离子体显示屏专用系列光刻浆料项目投资规划</w:t>
        </w:r>
        <w:r>
          <w:tab/>
        </w:r>
        <w:r>
          <w:fldChar w:fldCharType="begin"/>
        </w:r>
        <w:r>
          <w:instrText xml:space="preserve"> PAGEREF _Toc19680 \h </w:instrText>
        </w:r>
        <w:r>
          <w:fldChar w:fldCharType="separate"/>
        </w:r>
        <w:r>
          <w:t>38</w:t>
        </w:r>
        <w:r>
          <w:fldChar w:fldCharType="end"/>
        </w:r>
      </w:hyperlink>
    </w:p>
    <w:p>
      <w:pPr>
        <w:pStyle w:val="TOC2"/>
        <w:tabs>
          <w:tab w:val="right" w:leader="dot" w:pos="8306"/>
        </w:tabs>
      </w:pPr>
      <w:hyperlink w:anchor="_Toc22860" w:history="1">
        <w:r>
          <w:rPr>
            <w:rFonts w:ascii="仿宋" w:eastAsia="仿宋" w:hAnsi="仿宋" w:cs="仿宋" w:hint="eastAsia"/>
            <w:lang w:eastAsia="zh-CN"/>
          </w:rPr>
          <w:t>(一)、彩色等离子体显示屏专用系列光刻浆料项目总投资估算</w:t>
        </w:r>
        <w:r>
          <w:tab/>
        </w:r>
        <w:r>
          <w:fldChar w:fldCharType="begin"/>
        </w:r>
        <w:r>
          <w:instrText xml:space="preserve"> PAGEREF _Toc22860 \h </w:instrText>
        </w:r>
        <w:r>
          <w:fldChar w:fldCharType="separate"/>
        </w:r>
        <w:r>
          <w:t>38</w:t>
        </w:r>
        <w:r>
          <w:fldChar w:fldCharType="end"/>
        </w:r>
      </w:hyperlink>
    </w:p>
    <w:p>
      <w:pPr>
        <w:pStyle w:val="TOC2"/>
        <w:tabs>
          <w:tab w:val="right" w:leader="dot" w:pos="8306"/>
        </w:tabs>
      </w:pPr>
      <w:hyperlink w:anchor="_Toc10786" w:history="1">
        <w:r>
          <w:rPr>
            <w:rFonts w:ascii="仿宋" w:eastAsia="仿宋" w:hAnsi="仿宋" w:cs="仿宋" w:hint="eastAsia"/>
            <w:lang w:eastAsia="zh-CN"/>
          </w:rPr>
          <w:t>(二)、资金筹措</w:t>
        </w:r>
        <w:r>
          <w:tab/>
        </w:r>
        <w:r>
          <w:fldChar w:fldCharType="begin"/>
        </w:r>
        <w:r>
          <w:instrText xml:space="preserve"> PAGEREF _Toc10786 \h </w:instrText>
        </w:r>
        <w:r>
          <w:fldChar w:fldCharType="separate"/>
        </w:r>
        <w:r>
          <w:t>40</w:t>
        </w:r>
        <w:r>
          <w:fldChar w:fldCharType="end"/>
        </w:r>
      </w:hyperlink>
    </w:p>
    <w:p>
      <w:pPr>
        <w:pStyle w:val="TOC1"/>
        <w:tabs>
          <w:tab w:val="right" w:leader="dot" w:pos="8306"/>
        </w:tabs>
      </w:pPr>
      <w:hyperlink w:anchor="_Toc25728" w:history="1">
        <w:r>
          <w:rPr>
            <w:rFonts w:ascii="仿宋" w:eastAsia="仿宋" w:hAnsi="仿宋" w:cs="仿宋" w:hint="eastAsia"/>
            <w:lang w:eastAsia="zh-CN"/>
          </w:rPr>
          <w:t>十、彩色等离子体显示屏专用系列光刻浆料项目环境影响分析</w:t>
        </w:r>
        <w:r>
          <w:tab/>
        </w:r>
        <w:r>
          <w:fldChar w:fldCharType="begin"/>
        </w:r>
        <w:r>
          <w:instrText xml:space="preserve"> PAGEREF _Toc25728 \h </w:instrText>
        </w:r>
        <w:r>
          <w:fldChar w:fldCharType="separate"/>
        </w:r>
        <w:r>
          <w:t>41</w:t>
        </w:r>
        <w:r>
          <w:fldChar w:fldCharType="end"/>
        </w:r>
      </w:hyperlink>
    </w:p>
    <w:p>
      <w:pPr>
        <w:pStyle w:val="TOC2"/>
        <w:tabs>
          <w:tab w:val="right" w:leader="dot" w:pos="8306"/>
        </w:tabs>
      </w:pPr>
      <w:hyperlink w:anchor="_Toc16689" w:history="1">
        <w:r>
          <w:rPr>
            <w:rFonts w:ascii="仿宋" w:eastAsia="仿宋" w:hAnsi="仿宋" w:cs="仿宋" w:hint="eastAsia"/>
            <w:lang w:eastAsia="zh-CN"/>
          </w:rPr>
          <w:t>(一)、建设区域环境质量现状</w:t>
        </w:r>
        <w:r>
          <w:tab/>
        </w:r>
        <w:r>
          <w:fldChar w:fldCharType="begin"/>
        </w:r>
        <w:r>
          <w:instrText xml:space="preserve"> PAGEREF _Toc16689 \h </w:instrText>
        </w:r>
        <w:r>
          <w:fldChar w:fldCharType="separate"/>
        </w:r>
        <w:r>
          <w:t>41</w:t>
        </w:r>
        <w:r>
          <w:fldChar w:fldCharType="end"/>
        </w:r>
      </w:hyperlink>
    </w:p>
    <w:p>
      <w:pPr>
        <w:pStyle w:val="TOC2"/>
        <w:tabs>
          <w:tab w:val="right" w:leader="dot" w:pos="8306"/>
        </w:tabs>
      </w:pPr>
      <w:hyperlink w:anchor="_Toc4206" w:history="1">
        <w:r>
          <w:rPr>
            <w:rFonts w:ascii="仿宋" w:eastAsia="仿宋" w:hAnsi="仿宋" w:cs="仿宋" w:hint="eastAsia"/>
            <w:lang w:eastAsia="zh-CN"/>
          </w:rPr>
          <w:t>(二)、建设期环境保护</w:t>
        </w:r>
        <w:r>
          <w:tab/>
        </w:r>
        <w:r>
          <w:fldChar w:fldCharType="begin"/>
        </w:r>
        <w:r>
          <w:instrText xml:space="preserve"> PAGEREF _Toc4206 \h </w:instrText>
        </w:r>
        <w:r>
          <w:fldChar w:fldCharType="separate"/>
        </w:r>
        <w:r>
          <w:t>42</w:t>
        </w:r>
        <w:r>
          <w:fldChar w:fldCharType="end"/>
        </w:r>
      </w:hyperlink>
    </w:p>
    <w:p>
      <w:pPr>
        <w:pStyle w:val="TOC2"/>
        <w:tabs>
          <w:tab w:val="right" w:leader="dot" w:pos="8306"/>
        </w:tabs>
      </w:pPr>
      <w:hyperlink w:anchor="_Toc6325" w:history="1">
        <w:r>
          <w:rPr>
            <w:rFonts w:ascii="仿宋" w:eastAsia="仿宋" w:hAnsi="仿宋" w:cs="仿宋" w:hint="eastAsia"/>
            <w:lang w:eastAsia="zh-CN"/>
          </w:rPr>
          <w:t>(三)、运营期环境保护</w:t>
        </w:r>
        <w:r>
          <w:tab/>
        </w:r>
        <w:r>
          <w:fldChar w:fldCharType="begin"/>
        </w:r>
        <w:r>
          <w:instrText xml:space="preserve"> PAGEREF _Toc6325 \h </w:instrText>
        </w:r>
        <w:r>
          <w:fldChar w:fldCharType="separate"/>
        </w:r>
        <w:r>
          <w:t>44</w:t>
        </w:r>
        <w:r>
          <w:fldChar w:fldCharType="end"/>
        </w:r>
      </w:hyperlink>
    </w:p>
    <w:p>
      <w:pPr>
        <w:pStyle w:val="TOC2"/>
        <w:tabs>
          <w:tab w:val="right" w:leader="dot" w:pos="8306"/>
        </w:tabs>
      </w:pPr>
      <w:hyperlink w:anchor="_Toc27671" w:history="1">
        <w:r>
          <w:rPr>
            <w:rFonts w:ascii="仿宋" w:eastAsia="仿宋" w:hAnsi="仿宋" w:cs="仿宋" w:hint="eastAsia"/>
            <w:lang w:eastAsia="zh-CN"/>
          </w:rPr>
          <w:t>(四)、彩色等离子体显示屏专用系列光刻浆料项目建设对区域经济的影响</w:t>
        </w:r>
        <w:r>
          <w:tab/>
        </w:r>
        <w:r>
          <w:fldChar w:fldCharType="begin"/>
        </w:r>
        <w:r>
          <w:instrText xml:space="preserve"> PAGEREF _Toc27671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2" w:history="1">
        <w:r>
          <w:rPr>
            <w:rFonts w:ascii="仿宋" w:eastAsia="仿宋" w:hAnsi="仿宋" w:cs="仿宋" w:hint="eastAsia"/>
            <w:lang w:eastAsia="zh-CN"/>
          </w:rPr>
          <w:t>(五)、废弃物处理</w:t>
        </w:r>
        <w:r>
          <w:tab/>
        </w:r>
        <w:r>
          <w:fldChar w:fldCharType="begin"/>
        </w:r>
        <w:r>
          <w:instrText xml:space="preserve"> PAGEREF _Toc702 \h </w:instrText>
        </w:r>
        <w:r>
          <w:fldChar w:fldCharType="separate"/>
        </w:r>
        <w:r>
          <w:t>48</w:t>
        </w:r>
        <w:r>
          <w:fldChar w:fldCharType="end"/>
        </w:r>
      </w:hyperlink>
    </w:p>
    <w:p>
      <w:pPr>
        <w:pStyle w:val="TOC2"/>
        <w:tabs>
          <w:tab w:val="right" w:leader="dot" w:pos="8306"/>
        </w:tabs>
      </w:pPr>
      <w:hyperlink w:anchor="_Toc19475" w:history="1">
        <w:r>
          <w:rPr>
            <w:rFonts w:ascii="仿宋" w:eastAsia="仿宋" w:hAnsi="仿宋" w:cs="仿宋" w:hint="eastAsia"/>
            <w:lang w:eastAsia="zh-CN"/>
          </w:rPr>
          <w:t>(六)、特殊环境影响分析</w:t>
        </w:r>
        <w:r>
          <w:tab/>
        </w:r>
        <w:r>
          <w:fldChar w:fldCharType="begin"/>
        </w:r>
        <w:r>
          <w:instrText xml:space="preserve"> PAGEREF _Toc19475 \h </w:instrText>
        </w:r>
        <w:r>
          <w:fldChar w:fldCharType="separate"/>
        </w:r>
        <w:r>
          <w:t>49</w:t>
        </w:r>
        <w:r>
          <w:fldChar w:fldCharType="end"/>
        </w:r>
      </w:hyperlink>
    </w:p>
    <w:p>
      <w:pPr>
        <w:pStyle w:val="TOC2"/>
        <w:tabs>
          <w:tab w:val="right" w:leader="dot" w:pos="8306"/>
        </w:tabs>
      </w:pPr>
      <w:hyperlink w:anchor="_Toc18722" w:history="1">
        <w:r>
          <w:rPr>
            <w:rFonts w:ascii="仿宋" w:eastAsia="仿宋" w:hAnsi="仿宋" w:cs="仿宋" w:hint="eastAsia"/>
            <w:lang w:eastAsia="zh-CN"/>
          </w:rPr>
          <w:t>(七)、清洁生产</w:t>
        </w:r>
        <w:r>
          <w:tab/>
        </w:r>
        <w:r>
          <w:fldChar w:fldCharType="begin"/>
        </w:r>
        <w:r>
          <w:instrText xml:space="preserve"> PAGEREF _Toc18722 \h </w:instrText>
        </w:r>
        <w:r>
          <w:fldChar w:fldCharType="separate"/>
        </w:r>
        <w:r>
          <w:t>50</w:t>
        </w:r>
        <w:r>
          <w:fldChar w:fldCharType="end"/>
        </w:r>
      </w:hyperlink>
    </w:p>
    <w:p>
      <w:pPr>
        <w:pStyle w:val="TOC2"/>
        <w:tabs>
          <w:tab w:val="right" w:leader="dot" w:pos="8306"/>
        </w:tabs>
      </w:pPr>
      <w:hyperlink w:anchor="_Toc1021" w:history="1">
        <w:r>
          <w:rPr>
            <w:rFonts w:ascii="仿宋" w:eastAsia="仿宋" w:hAnsi="仿宋" w:cs="仿宋" w:hint="eastAsia"/>
            <w:lang w:eastAsia="zh-CN"/>
          </w:rPr>
          <w:t>(八)、环境保护综合评价</w:t>
        </w:r>
        <w:r>
          <w:tab/>
        </w:r>
        <w:r>
          <w:fldChar w:fldCharType="begin"/>
        </w:r>
        <w:r>
          <w:instrText xml:space="preserve"> PAGEREF _Toc1021 \h </w:instrText>
        </w:r>
        <w:r>
          <w:fldChar w:fldCharType="separate"/>
        </w:r>
        <w:r>
          <w:t>52</w:t>
        </w:r>
        <w:r>
          <w:fldChar w:fldCharType="end"/>
        </w:r>
      </w:hyperlink>
    </w:p>
    <w:p>
      <w:pPr>
        <w:pStyle w:val="TOC1"/>
        <w:tabs>
          <w:tab w:val="right" w:leader="dot" w:pos="8306"/>
        </w:tabs>
      </w:pPr>
      <w:hyperlink w:anchor="_Toc17862" w:history="1">
        <w:r>
          <w:rPr>
            <w:rFonts w:ascii="仿宋" w:eastAsia="仿宋" w:hAnsi="仿宋" w:cs="仿宋" w:hint="eastAsia"/>
            <w:lang w:eastAsia="zh-CN"/>
          </w:rPr>
          <w:t>十一、彩色等离子体显示屏专用系列光刻浆料项目计划安排</w:t>
        </w:r>
        <w:r>
          <w:tab/>
        </w:r>
        <w:r>
          <w:fldChar w:fldCharType="begin"/>
        </w:r>
        <w:r>
          <w:instrText xml:space="preserve"> PAGEREF _Toc17862 \h </w:instrText>
        </w:r>
        <w:r>
          <w:fldChar w:fldCharType="separate"/>
        </w:r>
        <w:r>
          <w:t>53</w:t>
        </w:r>
        <w:r>
          <w:fldChar w:fldCharType="end"/>
        </w:r>
      </w:hyperlink>
    </w:p>
    <w:p>
      <w:pPr>
        <w:pStyle w:val="TOC2"/>
        <w:tabs>
          <w:tab w:val="right" w:leader="dot" w:pos="8306"/>
        </w:tabs>
      </w:pPr>
      <w:hyperlink w:anchor="_Toc20494" w:history="1">
        <w:r>
          <w:rPr>
            <w:rFonts w:ascii="仿宋" w:eastAsia="仿宋" w:hAnsi="仿宋" w:cs="仿宋" w:hint="eastAsia"/>
            <w:lang w:eastAsia="zh-CN"/>
          </w:rPr>
          <w:t>(一)、建设周期</w:t>
        </w:r>
        <w:r>
          <w:tab/>
        </w:r>
        <w:r>
          <w:fldChar w:fldCharType="begin"/>
        </w:r>
        <w:r>
          <w:instrText xml:space="preserve"> PAGEREF _Toc20494 \h </w:instrText>
        </w:r>
        <w:r>
          <w:fldChar w:fldCharType="separate"/>
        </w:r>
        <w:r>
          <w:t>53</w:t>
        </w:r>
        <w:r>
          <w:fldChar w:fldCharType="end"/>
        </w:r>
      </w:hyperlink>
    </w:p>
    <w:p>
      <w:pPr>
        <w:pStyle w:val="TOC2"/>
        <w:tabs>
          <w:tab w:val="right" w:leader="dot" w:pos="8306"/>
        </w:tabs>
      </w:pPr>
      <w:hyperlink w:anchor="_Toc3647" w:history="1">
        <w:r>
          <w:rPr>
            <w:rFonts w:ascii="仿宋" w:eastAsia="仿宋" w:hAnsi="仿宋" w:cs="仿宋" w:hint="eastAsia"/>
            <w:lang w:eastAsia="zh-CN"/>
          </w:rPr>
          <w:t>(二)、建设进度</w:t>
        </w:r>
        <w:r>
          <w:tab/>
        </w:r>
        <w:r>
          <w:fldChar w:fldCharType="begin"/>
        </w:r>
        <w:r>
          <w:instrText xml:space="preserve"> PAGEREF _Toc3647 \h </w:instrText>
        </w:r>
        <w:r>
          <w:fldChar w:fldCharType="separate"/>
        </w:r>
        <w:r>
          <w:t>54</w:t>
        </w:r>
        <w:r>
          <w:fldChar w:fldCharType="end"/>
        </w:r>
      </w:hyperlink>
    </w:p>
    <w:p>
      <w:pPr>
        <w:pStyle w:val="TOC2"/>
        <w:tabs>
          <w:tab w:val="right" w:leader="dot" w:pos="8306"/>
        </w:tabs>
      </w:pPr>
      <w:hyperlink w:anchor="_Toc6337" w:history="1">
        <w:r>
          <w:rPr>
            <w:rFonts w:ascii="仿宋" w:eastAsia="仿宋" w:hAnsi="仿宋" w:cs="仿宋" w:hint="eastAsia"/>
            <w:lang w:eastAsia="zh-CN"/>
          </w:rPr>
          <w:t>(三)、进度安排注意事项</w:t>
        </w:r>
        <w:r>
          <w:tab/>
        </w:r>
        <w:r>
          <w:fldChar w:fldCharType="begin"/>
        </w:r>
        <w:r>
          <w:instrText xml:space="preserve"> PAGEREF _Toc6337 \h </w:instrText>
        </w:r>
        <w:r>
          <w:fldChar w:fldCharType="separate"/>
        </w:r>
        <w:r>
          <w:t>55</w:t>
        </w:r>
        <w:r>
          <w:fldChar w:fldCharType="end"/>
        </w:r>
      </w:hyperlink>
    </w:p>
    <w:p>
      <w:pPr>
        <w:pStyle w:val="TOC2"/>
        <w:tabs>
          <w:tab w:val="right" w:leader="dot" w:pos="8306"/>
        </w:tabs>
      </w:pPr>
      <w:hyperlink w:anchor="_Toc21870" w:history="1">
        <w:r>
          <w:rPr>
            <w:rFonts w:ascii="仿宋" w:eastAsia="仿宋" w:hAnsi="仿宋" w:cs="仿宋" w:hint="eastAsia"/>
            <w:lang w:eastAsia="zh-CN"/>
          </w:rPr>
          <w:t>(四)、人力资源配置</w:t>
        </w:r>
        <w:r>
          <w:tab/>
        </w:r>
        <w:r>
          <w:fldChar w:fldCharType="begin"/>
        </w:r>
        <w:r>
          <w:instrText xml:space="preserve"> PAGEREF _Toc21870 \h </w:instrText>
        </w:r>
        <w:r>
          <w:fldChar w:fldCharType="separate"/>
        </w:r>
        <w:r>
          <w:t>57</w:t>
        </w:r>
        <w:r>
          <w:fldChar w:fldCharType="end"/>
        </w:r>
      </w:hyperlink>
    </w:p>
    <w:p>
      <w:pPr>
        <w:pStyle w:val="TOC1"/>
        <w:tabs>
          <w:tab w:val="right" w:leader="dot" w:pos="8306"/>
        </w:tabs>
      </w:pPr>
      <w:hyperlink w:anchor="_Toc18556" w:history="1">
        <w:r>
          <w:rPr>
            <w:rFonts w:ascii="仿宋" w:eastAsia="仿宋" w:hAnsi="仿宋" w:cs="仿宋" w:hint="eastAsia"/>
            <w:lang w:eastAsia="zh-CN"/>
          </w:rPr>
          <w:t>十二、生产安全保护</w:t>
        </w:r>
        <w:r>
          <w:tab/>
        </w:r>
        <w:r>
          <w:fldChar w:fldCharType="begin"/>
        </w:r>
        <w:r>
          <w:instrText xml:space="preserve"> PAGEREF _Toc18556 \h </w:instrText>
        </w:r>
        <w:r>
          <w:fldChar w:fldCharType="separate"/>
        </w:r>
        <w:r>
          <w:t>58</w:t>
        </w:r>
        <w:r>
          <w:fldChar w:fldCharType="end"/>
        </w:r>
      </w:hyperlink>
    </w:p>
    <w:p>
      <w:pPr>
        <w:pStyle w:val="TOC2"/>
        <w:tabs>
          <w:tab w:val="right" w:leader="dot" w:pos="8306"/>
        </w:tabs>
      </w:pPr>
      <w:hyperlink w:anchor="_Toc31490" w:history="1">
        <w:r>
          <w:rPr>
            <w:rFonts w:ascii="仿宋" w:eastAsia="仿宋" w:hAnsi="仿宋" w:cs="仿宋" w:hint="eastAsia"/>
            <w:lang w:eastAsia="zh-CN"/>
          </w:rPr>
          <w:t>(一)、消防安全</w:t>
        </w:r>
        <w:r>
          <w:tab/>
        </w:r>
        <w:r>
          <w:fldChar w:fldCharType="begin"/>
        </w:r>
        <w:r>
          <w:instrText xml:space="preserve"> PAGEREF _Toc31490 \h </w:instrText>
        </w:r>
        <w:r>
          <w:fldChar w:fldCharType="separate"/>
        </w:r>
        <w:r>
          <w:t>58</w:t>
        </w:r>
        <w:r>
          <w:fldChar w:fldCharType="end"/>
        </w:r>
      </w:hyperlink>
    </w:p>
    <w:p>
      <w:pPr>
        <w:pStyle w:val="TOC2"/>
        <w:tabs>
          <w:tab w:val="right" w:leader="dot" w:pos="8306"/>
        </w:tabs>
      </w:pPr>
      <w:hyperlink w:anchor="_Toc27532" w:history="1">
        <w:r>
          <w:rPr>
            <w:rFonts w:ascii="仿宋" w:eastAsia="仿宋" w:hAnsi="仿宋" w:cs="仿宋" w:hint="eastAsia"/>
            <w:lang w:eastAsia="zh-CN"/>
          </w:rPr>
          <w:t>(二)、防火防爆总图布置措施</w:t>
        </w:r>
        <w:r>
          <w:tab/>
        </w:r>
        <w:r>
          <w:fldChar w:fldCharType="begin"/>
        </w:r>
        <w:r>
          <w:instrText xml:space="preserve"> PAGEREF _Toc27532 \h </w:instrText>
        </w:r>
        <w:r>
          <w:fldChar w:fldCharType="separate"/>
        </w:r>
        <w:r>
          <w:t>60</w:t>
        </w:r>
        <w:r>
          <w:fldChar w:fldCharType="end"/>
        </w:r>
      </w:hyperlink>
    </w:p>
    <w:p>
      <w:pPr>
        <w:pStyle w:val="TOC2"/>
        <w:tabs>
          <w:tab w:val="right" w:leader="dot" w:pos="8306"/>
        </w:tabs>
      </w:pPr>
      <w:hyperlink w:anchor="_Toc16392" w:history="1">
        <w:r>
          <w:rPr>
            <w:rFonts w:ascii="仿宋" w:eastAsia="仿宋" w:hAnsi="仿宋" w:cs="仿宋" w:hint="eastAsia"/>
            <w:lang w:eastAsia="zh-CN"/>
          </w:rPr>
          <w:t>(三)、自然灾害防范措施</w:t>
        </w:r>
        <w:r>
          <w:tab/>
        </w:r>
        <w:r>
          <w:fldChar w:fldCharType="begin"/>
        </w:r>
        <w:r>
          <w:instrText xml:space="preserve"> PAGEREF _Toc16392 \h </w:instrText>
        </w:r>
        <w:r>
          <w:fldChar w:fldCharType="separate"/>
        </w:r>
        <w:r>
          <w:t>61</w:t>
        </w:r>
        <w:r>
          <w:fldChar w:fldCharType="end"/>
        </w:r>
      </w:hyperlink>
    </w:p>
    <w:p>
      <w:pPr>
        <w:pStyle w:val="TOC2"/>
        <w:tabs>
          <w:tab w:val="right" w:leader="dot" w:pos="8306"/>
        </w:tabs>
      </w:pPr>
      <w:hyperlink w:anchor="_Toc21753" w:history="1">
        <w:r>
          <w:rPr>
            <w:rFonts w:ascii="仿宋" w:eastAsia="仿宋" w:hAnsi="仿宋" w:cs="仿宋" w:hint="eastAsia"/>
            <w:lang w:eastAsia="zh-CN"/>
          </w:rPr>
          <w:t>(四)、安全色及安全标志使用要求</w:t>
        </w:r>
        <w:r>
          <w:tab/>
        </w:r>
        <w:r>
          <w:fldChar w:fldCharType="begin"/>
        </w:r>
        <w:r>
          <w:instrText xml:space="preserve"> PAGEREF _Toc21753 \h </w:instrText>
        </w:r>
        <w:r>
          <w:fldChar w:fldCharType="separate"/>
        </w:r>
        <w:r>
          <w:t>62</w:t>
        </w:r>
        <w:r>
          <w:fldChar w:fldCharType="end"/>
        </w:r>
      </w:hyperlink>
    </w:p>
    <w:p>
      <w:pPr>
        <w:pStyle w:val="TOC2"/>
        <w:tabs>
          <w:tab w:val="right" w:leader="dot" w:pos="8306"/>
        </w:tabs>
      </w:pPr>
      <w:hyperlink w:anchor="_Toc4330" w:history="1">
        <w:r>
          <w:rPr>
            <w:rFonts w:ascii="仿宋" w:eastAsia="仿宋" w:hAnsi="仿宋" w:cs="仿宋" w:hint="eastAsia"/>
            <w:lang w:eastAsia="zh-CN"/>
          </w:rPr>
          <w:t>(五)、防尘防毒措施</w:t>
        </w:r>
        <w:r>
          <w:tab/>
        </w:r>
        <w:r>
          <w:fldChar w:fldCharType="begin"/>
        </w:r>
        <w:r>
          <w:instrText xml:space="preserve"> PAGEREF _Toc4330 \h </w:instrText>
        </w:r>
        <w:r>
          <w:fldChar w:fldCharType="separate"/>
        </w:r>
        <w:r>
          <w:t>63</w:t>
        </w:r>
        <w:r>
          <w:fldChar w:fldCharType="end"/>
        </w:r>
      </w:hyperlink>
    </w:p>
    <w:p>
      <w:pPr>
        <w:pStyle w:val="TOC2"/>
        <w:tabs>
          <w:tab w:val="right" w:leader="dot" w:pos="8306"/>
        </w:tabs>
      </w:pPr>
      <w:hyperlink w:anchor="_Toc5882" w:history="1">
        <w:r>
          <w:rPr>
            <w:rFonts w:ascii="仿宋" w:eastAsia="仿宋" w:hAnsi="仿宋" w:cs="仿宋" w:hint="eastAsia"/>
            <w:lang w:eastAsia="zh-CN"/>
          </w:rPr>
          <w:t>(六)、防静电、触电防护及防雷措施</w:t>
        </w:r>
        <w:r>
          <w:tab/>
        </w:r>
        <w:r>
          <w:fldChar w:fldCharType="begin"/>
        </w:r>
        <w:r>
          <w:instrText xml:space="preserve"> PAGEREF _Toc5882 \h </w:instrText>
        </w:r>
        <w:r>
          <w:fldChar w:fldCharType="separate"/>
        </w:r>
        <w:r>
          <w:t>64</w:t>
        </w:r>
        <w:r>
          <w:fldChar w:fldCharType="end"/>
        </w:r>
      </w:hyperlink>
    </w:p>
    <w:p>
      <w:pPr>
        <w:pStyle w:val="TOC2"/>
        <w:tabs>
          <w:tab w:val="right" w:leader="dot" w:pos="8306"/>
        </w:tabs>
      </w:pPr>
      <w:hyperlink w:anchor="_Toc6292" w:history="1">
        <w:r>
          <w:rPr>
            <w:rFonts w:ascii="仿宋" w:eastAsia="仿宋" w:hAnsi="仿宋" w:cs="仿宋" w:hint="eastAsia"/>
            <w:lang w:eastAsia="zh-CN"/>
          </w:rPr>
          <w:t>(七)、机械设备安全保障措施</w:t>
        </w:r>
        <w:r>
          <w:tab/>
        </w:r>
        <w:r>
          <w:fldChar w:fldCharType="begin"/>
        </w:r>
        <w:r>
          <w:instrText xml:space="preserve"> PAGEREF _Toc6292 \h </w:instrText>
        </w:r>
        <w:r>
          <w:fldChar w:fldCharType="separate"/>
        </w:r>
        <w:r>
          <w:t>66</w:t>
        </w:r>
        <w:r>
          <w:fldChar w:fldCharType="end"/>
        </w:r>
      </w:hyperlink>
    </w:p>
    <w:p>
      <w:pPr>
        <w:pStyle w:val="TOC1"/>
        <w:tabs>
          <w:tab w:val="right" w:leader="dot" w:pos="8306"/>
        </w:tabs>
      </w:pPr>
      <w:hyperlink w:anchor="_Toc21524" w:history="1">
        <w:r>
          <w:rPr>
            <w:rFonts w:ascii="仿宋" w:eastAsia="仿宋" w:hAnsi="仿宋" w:cs="仿宋" w:hint="eastAsia"/>
            <w:lang w:eastAsia="zh-CN"/>
          </w:rPr>
          <w:t>十三、彩色等离子体显示屏专用系列光刻浆料项目实施时间节点</w:t>
        </w:r>
        <w:r>
          <w:tab/>
        </w:r>
        <w:r>
          <w:fldChar w:fldCharType="begin"/>
        </w:r>
        <w:r>
          <w:instrText xml:space="preserve"> PAGEREF _Toc21524 \h </w:instrText>
        </w:r>
        <w:r>
          <w:fldChar w:fldCharType="separate"/>
        </w:r>
        <w:r>
          <w:t>68</w:t>
        </w:r>
        <w:r>
          <w:fldChar w:fldCharType="end"/>
        </w:r>
      </w:hyperlink>
    </w:p>
    <w:p>
      <w:pPr>
        <w:pStyle w:val="TOC2"/>
        <w:tabs>
          <w:tab w:val="right" w:leader="dot" w:pos="8306"/>
        </w:tabs>
      </w:pPr>
      <w:hyperlink w:anchor="_Toc11674" w:history="1">
        <w:r>
          <w:rPr>
            <w:rFonts w:ascii="仿宋" w:eastAsia="仿宋" w:hAnsi="仿宋" w:cs="仿宋" w:hint="eastAsia"/>
            <w:lang w:eastAsia="zh-CN"/>
          </w:rPr>
          <w:t>(一)、彩色等离子体显示屏专用系列光刻浆料项目启动阶段时间节点</w:t>
        </w:r>
        <w:r>
          <w:tab/>
        </w:r>
        <w:r>
          <w:fldChar w:fldCharType="begin"/>
        </w:r>
        <w:r>
          <w:instrText xml:space="preserve"> PAGEREF _Toc11674 \h </w:instrText>
        </w:r>
        <w:r>
          <w:fldChar w:fldCharType="separate"/>
        </w:r>
        <w:r>
          <w:t>68</w:t>
        </w:r>
        <w:r>
          <w:fldChar w:fldCharType="end"/>
        </w:r>
      </w:hyperlink>
    </w:p>
    <w:p>
      <w:pPr>
        <w:pStyle w:val="TOC2"/>
        <w:tabs>
          <w:tab w:val="right" w:leader="dot" w:pos="8306"/>
        </w:tabs>
      </w:pPr>
      <w:hyperlink w:anchor="_Toc22056" w:history="1">
        <w:r>
          <w:rPr>
            <w:rFonts w:ascii="仿宋" w:eastAsia="仿宋" w:hAnsi="仿宋" w:cs="仿宋" w:hint="eastAsia"/>
            <w:lang w:eastAsia="zh-CN"/>
          </w:rPr>
          <w:t>(二)、彩色等离子体显示屏专用系列光刻浆料项目执行阶段时间节点</w:t>
        </w:r>
        <w:r>
          <w:tab/>
        </w:r>
        <w:r>
          <w:fldChar w:fldCharType="begin"/>
        </w:r>
        <w:r>
          <w:instrText xml:space="preserve"> PAGEREF _Toc22056 \h </w:instrText>
        </w:r>
        <w:r>
          <w:fldChar w:fldCharType="separate"/>
        </w:r>
        <w:r>
          <w:t>69</w:t>
        </w:r>
        <w:r>
          <w:fldChar w:fldCharType="end"/>
        </w:r>
      </w:hyperlink>
    </w:p>
    <w:p>
      <w:pPr>
        <w:pStyle w:val="TOC2"/>
        <w:tabs>
          <w:tab w:val="right" w:leader="dot" w:pos="8306"/>
        </w:tabs>
      </w:pPr>
      <w:hyperlink w:anchor="_Toc29063" w:history="1">
        <w:r>
          <w:rPr>
            <w:rFonts w:ascii="仿宋" w:eastAsia="仿宋" w:hAnsi="仿宋" w:cs="仿宋" w:hint="eastAsia"/>
            <w:lang w:eastAsia="zh-CN"/>
          </w:rPr>
          <w:t>(三)、彩色等离子体显示屏专用系列光刻浆料项目完成阶段时间节点</w:t>
        </w:r>
        <w:r>
          <w:tab/>
        </w:r>
        <w:r>
          <w:fldChar w:fldCharType="begin"/>
        </w:r>
        <w:r>
          <w:instrText xml:space="preserve"> PAGEREF _Toc29063 \h </w:instrText>
        </w:r>
        <w:r>
          <w:fldChar w:fldCharType="separate"/>
        </w:r>
        <w:r>
          <w:t>71</w:t>
        </w:r>
        <w:r>
          <w:fldChar w:fldCharType="end"/>
        </w:r>
      </w:hyperlink>
    </w:p>
    <w:p>
      <w:pPr>
        <w:pStyle w:val="TOC1"/>
        <w:tabs>
          <w:tab w:val="right" w:leader="dot" w:pos="8306"/>
        </w:tabs>
      </w:pPr>
      <w:hyperlink w:anchor="_Toc768" w:history="1">
        <w:r>
          <w:rPr>
            <w:rFonts w:ascii="仿宋" w:eastAsia="仿宋" w:hAnsi="仿宋" w:cs="仿宋" w:hint="eastAsia"/>
            <w:lang w:eastAsia="zh-CN"/>
          </w:rPr>
          <w:t>十四、彩色等离子体显示屏专用系列光刻浆料项目工程方案分析</w:t>
        </w:r>
        <w:r>
          <w:tab/>
        </w:r>
        <w:r>
          <w:fldChar w:fldCharType="begin"/>
        </w:r>
        <w:r>
          <w:instrText xml:space="preserve"> PAGEREF _Toc768 \h </w:instrText>
        </w:r>
        <w:r>
          <w:fldChar w:fldCharType="separate"/>
        </w:r>
        <w:r>
          <w:t>72</w:t>
        </w:r>
        <w:r>
          <w:fldChar w:fldCharType="end"/>
        </w:r>
      </w:hyperlink>
    </w:p>
    <w:p>
      <w:pPr>
        <w:pStyle w:val="TOC2"/>
        <w:tabs>
          <w:tab w:val="right" w:leader="dot" w:pos="8306"/>
        </w:tabs>
      </w:pPr>
      <w:hyperlink w:anchor="_Toc31688" w:history="1">
        <w:r>
          <w:rPr>
            <w:rFonts w:ascii="仿宋" w:eastAsia="仿宋" w:hAnsi="仿宋" w:cs="仿宋" w:hint="eastAsia"/>
            <w:lang w:eastAsia="zh-CN"/>
          </w:rPr>
          <w:t>(一)、建筑工程设计原则</w:t>
        </w:r>
        <w:r>
          <w:tab/>
        </w:r>
        <w:r>
          <w:fldChar w:fldCharType="begin"/>
        </w:r>
        <w:r>
          <w:instrText xml:space="preserve"> PAGEREF _Toc31688 \h </w:instrText>
        </w:r>
        <w:r>
          <w:fldChar w:fldCharType="separate"/>
        </w:r>
        <w:r>
          <w:t>72</w:t>
        </w:r>
        <w:r>
          <w:fldChar w:fldCharType="end"/>
        </w:r>
      </w:hyperlink>
    </w:p>
    <w:p>
      <w:pPr>
        <w:pStyle w:val="TOC2"/>
        <w:tabs>
          <w:tab w:val="right" w:leader="dot" w:pos="8306"/>
        </w:tabs>
      </w:pPr>
      <w:hyperlink w:anchor="_Toc16911" w:history="1">
        <w:r>
          <w:rPr>
            <w:rFonts w:ascii="仿宋" w:eastAsia="仿宋" w:hAnsi="仿宋" w:cs="仿宋" w:hint="eastAsia"/>
            <w:lang w:eastAsia="zh-CN"/>
          </w:rPr>
          <w:t>(二)、土建工程建设指标</w:t>
        </w:r>
        <w:r>
          <w:tab/>
        </w:r>
        <w:r>
          <w:fldChar w:fldCharType="begin"/>
        </w:r>
        <w:r>
          <w:instrText xml:space="preserve"> PAGEREF _Toc16911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761"/>
      <w:r>
        <w:rPr>
          <w:rFonts w:ascii="仿宋" w:eastAsia="仿宋" w:hAnsi="仿宋" w:cs="仿宋" w:hint="eastAsia"/>
          <w:sz w:val="28"/>
          <w:lang w:eastAsia="zh-CN"/>
        </w:rPr>
        <w:t>一、彩色等离子体显示屏专用系列光刻浆料项目选址可行性分析</w:t>
      </w:r>
      <w:bookmarkEnd w:id="2"/>
    </w:p>
    <w:p>
      <w:pPr>
        <w:pStyle w:val="Heading2"/>
        <w:rPr>
          <w:rFonts w:ascii="仿宋" w:eastAsia="仿宋" w:hAnsi="仿宋" w:cs="仿宋" w:hint="eastAsia"/>
          <w:lang w:eastAsia="zh-CN"/>
        </w:rPr>
      </w:pPr>
      <w:bookmarkStart w:id="3" w:name="_Toc2900"/>
      <w:r>
        <w:rPr>
          <w:rFonts w:ascii="仿宋" w:eastAsia="仿宋" w:hAnsi="仿宋" w:cs="仿宋" w:hint="eastAsia"/>
          <w:lang w:eastAsia="zh-CN"/>
        </w:rPr>
        <w:t>(一)、彩色等离子体显示屏专用系列光刻浆料项目选址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该彩色等离子体显示屏专用系列光刻浆料项目选址位于XX省XX市XX区XXX街道</w:t>
      </w:r>
    </w:p>
    <w:p>
      <w:pPr>
        <w:pStyle w:val="Heading2"/>
        <w:ind w:firstLine="560" w:firstLineChars="200"/>
        <w:rPr>
          <w:rFonts w:ascii="仿宋" w:eastAsia="仿宋" w:hAnsi="仿宋" w:cs="仿宋" w:hint="eastAsia"/>
          <w:sz w:val="28"/>
          <w:lang w:eastAsia="zh-CN"/>
        </w:rPr>
      </w:pPr>
      <w:bookmarkStart w:id="4" w:name="_Toc2517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彩色等离子体显示屏专用系列光刻浆料项目的征地面积将根据彩色等离子体显示屏专用系列光刻浆料项目的实际规模和需求进行精确规划。具体面积XXX平方米，旨在确保彩色等离子体显示屏专用系列光刻浆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彩色等离子体显示屏专用系列光刻浆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彩色等离子体显示屏专用系列光刻浆料项目计划建设的建筑总规模具体面积XXX平方米。这一规模的确定综合考虑了彩色等离子体显示屏专用系列光刻浆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彩色等离子体显示屏专用系列光刻浆料项目用地中被规划为绿地的比例。具体面积XXX平方米，旨在通过合理规划绿地，改善彩色等离子体显示屏专用系列光刻浆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容积率是用地上可以建设的建筑总体积与用地面积之比。具体面积XXX，通过合理的容积率规划，确保彩色等离子体显示屏专用系列光刻浆料项目建筑规模与周边环境和谐共生。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彩色等离子体显示屏专用系列光刻浆料项目选址与当地城市规划相一致，具体面积XXX平方米。通过与城市规划部门深入沟通，确保彩色等离子体显示屏专用系列光刻浆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彩色等离子体显示屏专用系列光刻浆料项目选址符合当地产业政策，具体面积XXX平方米。这包括彩色等离子体显示屏专用系列光刻浆料项目对当地经济的促进作用，以及对相关产业的带动效应，确保彩色等离子体显示屏专用系列光刻浆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彩色等离子体显示屏专用系列光刻浆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彩色等离子体显示屏专用系列光刻浆料项目选址具备必要的公共设施配套，具体面积XXX平方米。这包括交通便利性、教育、医疗等基础设施，以提高居民生活品质，使得彩色等离子体显示屏专用系列光刻浆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考虑用地总体要求对当地社会稳定性的影响，具体面积XXX平方米。通过深入了解当地社区反馈，确保彩色等离子体显示屏专用系列光刻浆料项目的选址和建设过程对当地社会和谐稳定产生积极作用。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彩色等离子体显示屏专用系列光刻浆料项目选址不仅符合法规和规划，还在实际操作中具有可行性。这一全面规划将为彩色等离子体显示屏专用系列光刻浆料项目的成功实施提供坚实的基础，确保彩色等离子体显示屏专用系列光刻浆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3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彩色等离子体显示屏专用系列光刻浆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彩色等离子体显示屏专用系列光刻浆料项目的设备规划和空间设计中，我们将采取灵活设备布局的措施。设备布局将根据实际需求进行灵活设计，避免不必要的浪费。通过合理规划设备摆放位置，我们将提高设备的利用率，减少设备间距，以确保彩色等离子体显示屏专用系列光刻浆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彩色等离子体显示屏专用系列光刻浆料项目内部引入共享设施的概念，例如共享会议室、办公区等。通过这种方式，我们可以减少对资源的重复建设，提高资源共享效率，从而减小彩色等离子体显示屏专用系列光刻浆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33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彩色等离子体显示屏专用系列光刻浆料项目的总图布置中，我们将不同功能区域进行明确的规划，以最大程度满足彩色等离子体显示屏专用系列光刻浆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彩色等离子体显示屏专用系列光刻浆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彩色等离子体显示屏专用系列光刻浆料项目对环境的影响是综合评价的重要因素之一。我们将详细考虑选址周边的自然环境、生态保护区、水源地等情况，确保彩色等离子体显示屏专用系列光刻浆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彩色等离子体显示屏专用系列光刻浆料项目所在地的相关政策，确保彩色等离子体显示屏专用系列光刻浆料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考虑到社会稳定性对企业运营的重要性，我们将评估选址地区的社会安全情况、劳工关系、社区反馈等方面，以确保彩色等离子体显示屏专用系列光刻浆料项目的建设和运营不会受到社会稳定性的负面影响。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彩色等离子体显示屏专用系列光刻浆料项目的投资决策提供有力支持。</w:t>
      </w:r>
    </w:p>
    <w:p>
      <w:pPr>
        <w:pStyle w:val="Heading1"/>
        <w:ind w:firstLine="560" w:firstLineChars="200"/>
        <w:rPr>
          <w:rFonts w:ascii="仿宋" w:eastAsia="仿宋" w:hAnsi="仿宋" w:cs="仿宋" w:hint="eastAsia"/>
          <w:sz w:val="28"/>
          <w:lang w:eastAsia="zh-CN"/>
        </w:rPr>
      </w:pPr>
      <w:bookmarkStart w:id="8" w:name="_Toc18310"/>
      <w:r>
        <w:rPr>
          <w:rFonts w:ascii="仿宋" w:eastAsia="仿宋" w:hAnsi="仿宋" w:cs="仿宋" w:hint="eastAsia"/>
          <w:sz w:val="28"/>
          <w:lang w:eastAsia="zh-CN"/>
        </w:rPr>
        <w:t>二、彩色等离子体显示屏专用系列光刻浆料项目建设背景及必要性分析</w:t>
      </w:r>
      <w:bookmarkEnd w:id="8"/>
    </w:p>
    <w:p>
      <w:pPr>
        <w:pStyle w:val="Heading2"/>
        <w:rPr>
          <w:rFonts w:ascii="仿宋" w:eastAsia="仿宋" w:hAnsi="仿宋" w:cs="仿宋" w:hint="eastAsia"/>
          <w:lang w:eastAsia="zh-CN"/>
        </w:rPr>
      </w:pPr>
      <w:bookmarkStart w:id="9" w:name="_Toc23060"/>
      <w:r>
        <w:rPr>
          <w:rFonts w:ascii="仿宋" w:eastAsia="仿宋" w:hAnsi="仿宋" w:cs="仿宋" w:hint="eastAsia"/>
          <w:lang w:eastAsia="zh-CN"/>
        </w:rPr>
        <w:t>(一)、彩色等离子体显示屏专用系列光刻浆料项目背景分析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等离子体显示屏专用系列光刻浆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彩色等离子体显示屏专用系列光刻浆料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彩色等离子体显示屏专用系列光刻浆料项目在这个潮流中的定位。同时，我们将关注行业内涌现的新兴机遇，以便彩色等离子体显示屏专用系列光刻浆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彩色等离子体显示屏专用系列光刻浆料项目提供了强大的发展动力。我们将聚焦于行业内最新的技术发展趋势，包括但不限于人工智能、大数据分析、物联网等领域。通过深度的技术研究，我们将确保彩色等离子体显示屏专用系列光刻浆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彩色等离子体显示屏专用系列光刻浆料项目发展的源泉。我们将投入更多的精力对市场需求进行深入剖析，超越表面的需求，深入挖掘潜在的市场痛点和机遇。通过对市场需求的细致了解，彩色等离子体显示屏专用系列光刻浆料项目将更有针对性地设计解决方案，满足市场的多样化需求，从而更好地促进彩色等离子体显示屏专用系列光刻浆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彩色等离子体显示屏专用系列光刻浆料项目战略至关重要。我们将对竞争态势进行更为深入的分析，包括但不限于市场份额、产品特点、客户满意度等多个维度。通过深度的竞争分析，彩色等离子体显示屏专用系列光刻浆料项目将能够更准确地把握市场脉搏，制定具有竞争力的彩色等离子体显示屏专用系列光刻浆料项目推进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彩色等离子体显示屏专用系列光刻浆料项目的发展具有直接的影响。我们将进行更为全面的法规和政策分析，了解行业发展中的潜在法律风险和合规挑战。通过充分了解和遵守相关法规，彩色等离子体显示屏专用系列光刻浆料项目将确保在法律框架内合法合规运营，为彩色等离子体显示屏专用系列光刻浆料项目的稳健发展提供有力支持。</w:t>
      </w:r>
    </w:p>
    <w:p>
      <w:pPr>
        <w:pStyle w:val="Heading2"/>
        <w:ind w:firstLine="560" w:firstLineChars="200"/>
        <w:rPr>
          <w:rFonts w:ascii="仿宋" w:eastAsia="仿宋" w:hAnsi="仿宋" w:cs="仿宋" w:hint="eastAsia"/>
          <w:sz w:val="28"/>
          <w:lang w:eastAsia="zh-CN"/>
        </w:rPr>
      </w:pPr>
      <w:bookmarkStart w:id="10" w:name="_Toc26489"/>
      <w:r>
        <w:rPr>
          <w:rFonts w:ascii="仿宋" w:eastAsia="仿宋" w:hAnsi="仿宋" w:cs="仿宋" w:hint="eastAsia"/>
          <w:sz w:val="28"/>
          <w:lang w:eastAsia="zh-CN"/>
        </w:rPr>
        <w:t>(二)、彩色等离子体显示屏专用系列光刻浆料项目建设必要性分析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等离子体显示屏专用系列光刻浆料项目建设的迫切性源于对行业发展趋势的深刻洞察。我们正处于一个行业变革的时代，科技创新、数字化转型成为企业发展的关键动力。彩色等离子体显示屏专用系列光刻浆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彩色等离子体显示屏专用系列光刻浆料项目建设不仅仅是为了跟上潮流，更是为了通过技术创新推动企业的持续发展。通过引入先进的技术和解决方案，彩色等离子体显示屏专用系列光刻浆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彩色等离子体显示屏专用系列光刻浆料项目的建设成为必然选择，通过提高产品质量、拓展服务领域，从而在竞争中获得更多的机会。彩色等离子体显示屏专用系列光刻浆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彩色等离子体显示屏专用系列光刻浆料项目建设的必要性体现在对客户需求更精准的满足。通过彩色等离子体显示屏专用系列光刻浆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彩色等离子体显示屏专用系列光刻浆料项目建设的背后是对企业持续创新的追求。只有通过不断创新，企业才能在竞争中立于不败之地。彩色等离子体显示屏专用系列光刻浆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428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7964"/>
      <w:r>
        <w:rPr>
          <w:rFonts w:ascii="仿宋" w:eastAsia="仿宋" w:hAnsi="仿宋" w:cs="仿宋" w:hint="eastAsia"/>
          <w:lang w:eastAsia="zh-CN"/>
        </w:rPr>
        <w:t>(一)、彩色等离子体显示屏专用系列光刻浆料行业分析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彩色等离子体显示屏专用系列光刻浆料行业一直以来都是市场的关注焦点。行业内的发展趋势、竞争态势以及潜在机会都对彩色等离子体显示屏专用系列光刻浆料项目的推进产生深远的影响。通过深入研究行业的整体概貌，我们将更好地理解行业的核心特征，为彩色等离子体显示屏专用系列光刻浆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色等离子体显示屏专用系列光刻浆料行业，技术一直是推动创新和发展的关键因素。我们将对当前技术趋势进行详尽分析，包括但不限于人工智能、大数据应用、先进制造技术等。这有助于彩色等离子体显示屏专用系列光刻浆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彩色等离子体显示屏专用系列光刻浆料项目成功的基础。我们将对主要竞争对手进行深入研究，包括其市场份额、产品特点、市场定位等。通过全面了解竞争对手的优势和劣势，彩色等离子体显示屏专用系列光刻浆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8744"/>
      <w:r>
        <w:rPr>
          <w:rFonts w:ascii="仿宋" w:eastAsia="仿宋" w:hAnsi="仿宋" w:cs="仿宋" w:hint="eastAsia"/>
          <w:sz w:val="28"/>
          <w:lang w:eastAsia="zh-CN"/>
        </w:rPr>
        <w:t>(二)、彩色等离子体显示屏专用系列光刻浆料市场分析预测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彩色等离子体显示屏专用系列光刻浆料市场未来的增长趋势。这包括市场的整体规模、各细分领域的发展趋势等。彩色等离子体显示屏专用系列光刻浆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彩色等离子体显示屏专用系列光刻浆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彩色等离子体显示屏专用系列光刻浆料项目实施过程中需要充分考虑的因素。我们将对市场风险进行全面评估，包括但不限于政策法规风险、市场竞争风险、技术变革风险等。通过对潜在风险的深入分析，彩色等离子体显示屏专用系列光刻浆料项目可以制定相应的风险缓解策略，降低不确定性对彩色等离子体显示屏专用系列光刻浆料项目的影响。</w:t>
      </w:r>
    </w:p>
    <w:p>
      <w:pPr>
        <w:pStyle w:val="Heading1"/>
        <w:ind w:firstLine="560" w:firstLineChars="200"/>
        <w:rPr>
          <w:rFonts w:ascii="仿宋" w:eastAsia="仿宋" w:hAnsi="仿宋" w:cs="仿宋" w:hint="eastAsia"/>
          <w:sz w:val="28"/>
          <w:lang w:eastAsia="zh-CN"/>
        </w:rPr>
      </w:pPr>
      <w:bookmarkStart w:id="14" w:name="_Toc1060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881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彩色等离子体显示屏专用系列光刻浆料项目的技术管理特点体现在其创新导向。通过引入最先进的技术趋势和解决方案，彩色等离子体显示屏专用系列光刻浆料项目致力于提升科技含量、提高质量和效率水平。这意味着我们将采用最新的工具和方法，确保彩色等离子体显示屏专用系列光刻浆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彩色等离子体显示屏专用系列光刻浆料项目技术管理的显著特征。通过整合不同领域的技术资源，我们实现了跨学科的协同工作。这有助于优化技术架构，提高整体效能。此外，整合性策略还促进了不同技术团队之间的紧密沟通和高效合作，确保彩色等离子体显示屏专用系列光刻浆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彩色等离子体显示屏专用系列光刻浆料项目所采用的技术。通过不断优化技术方案，彩色等离子体显示屏专用系列光刻浆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彩色等离子体显示屏专用系列光刻浆料项目团队将在彩色等离子体显示屏专用系列光刻浆料项目初期识别可能的技术风险，并采取相应的预防和应对措施。通过建立健全的风险评估机制，彩色等离子体显示屏专用系列光刻浆料项目能够在实施过程中及时发现并解决潜在的技术问题，保障彩色等离子体显示屏专用系列光刻浆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彩色等离子体显示屏专用系列光刻浆料项目中，技术将成为彩色等离子体显示屏专用系列光刻浆料项目成功的有力支持。这一深度剖析揭示了技术管理在彩色等离子体显示屏专用系列光刻浆料项目实施中的关键作用，为彩色等离子体显示屏专用系列光刻浆料项目的技术基础奠定了坚实的基础。</w:t>
      </w:r>
    </w:p>
    <w:p>
      <w:pPr>
        <w:pStyle w:val="Heading2"/>
        <w:ind w:firstLine="560" w:firstLineChars="200"/>
        <w:rPr>
          <w:rFonts w:ascii="仿宋" w:eastAsia="仿宋" w:hAnsi="仿宋" w:cs="仿宋" w:hint="eastAsia"/>
          <w:sz w:val="28"/>
          <w:lang w:eastAsia="zh-CN"/>
        </w:rPr>
      </w:pPr>
      <w:bookmarkStart w:id="16" w:name="_Toc14372"/>
      <w:r>
        <w:rPr>
          <w:rFonts w:ascii="仿宋" w:eastAsia="仿宋" w:hAnsi="仿宋" w:cs="仿宋" w:hint="eastAsia"/>
          <w:sz w:val="28"/>
          <w:lang w:eastAsia="zh-CN"/>
        </w:rPr>
        <w:t>(二)、彩色等离子体显示屏专用系列光刻浆料项目工艺技术设计方案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彩色等离子体显示屏专用系列光刻浆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https://d.book118.com/568077117025006026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彩色等离子体显示屏专用系列光刻浆料项目规划设计蓝图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F08C9"/>
    <w:rsid w:val="1C0F08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77117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2024-01-12T05:12:00Z</dcterms:created>
  <dcterms:modified xsi:type="dcterms:W3CDTF">2024-01-12T05:12:48Z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B26F4B6E437A450EB60695664FDB9F05_11</vt:lpwstr>
  </property>
  <property fmtid="{D5CDD505-2E9C-101B-9397-08002B2CF9AE}" pid="3" name="KSOProductBuildVer">
    <vt:lpwstr>2052-12.1.0.16120</vt:lpwstr>
  </property>
</Properties>
</file>