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  <w:spacing w:before="21"/>
        <w:ind w:left="6696"/>
        <w:rPr>
          <w:rFonts w:ascii="宋体" w:eastAsia="宋体" w:hint="eastAsia"/>
        </w:rPr>
      </w:pPr>
      <w:r>
        <w:rPr>
          <w:rFonts w:ascii="宋体" w:eastAsia="宋体" w:hint="eastAsia"/>
          <w:w w:val="95"/>
        </w:rPr>
        <w:t>报告说明</w:t>
      </w:r>
    </w:p>
    <w:p>
      <w:pPr>
        <w:pStyle w:val="BodyText"/>
        <w:spacing w:before="115" w:line="242" w:lineRule="auto"/>
        <w:ind w:right="323" w:firstLine="900"/>
      </w:pPr>
      <w:r>
        <w:rPr>
          <w:rFonts w:ascii="仿宋" w:eastAsia="仿宋" w:hint="eastAsia"/>
        </w:rPr>
        <w:t>21</w:t>
      </w:r>
      <w:r>
        <w:rPr>
          <w:rFonts w:ascii="仿宋" w:eastAsia="仿宋" w:hint="eastAsia"/>
          <w:spacing w:val="-40"/>
        </w:rPr>
        <w:t xml:space="preserve"> </w:t>
      </w:r>
      <w:r>
        <w:t>世纪后，国内抽蓄电站的建设速度明显加快，技术也逐步成熟，</w:t>
      </w:r>
      <w:r>
        <w:rPr>
          <w:spacing w:val="-237"/>
        </w:rPr>
        <w:t xml:space="preserve"> </w:t>
      </w:r>
      <w:r>
        <w:rPr>
          <w:spacing w:val="13"/>
          <w:w w:val="95"/>
        </w:rPr>
        <w:t xml:space="preserve">截止 </w:t>
      </w:r>
      <w:r>
        <w:rPr>
          <w:rFonts w:ascii="仿宋" w:eastAsia="仿宋" w:hint="eastAsia"/>
          <w:w w:val="95"/>
        </w:rPr>
        <w:t>2023</w:t>
      </w:r>
      <w:r>
        <w:rPr>
          <w:rFonts w:ascii="仿宋" w:eastAsia="仿宋" w:hint="eastAsia"/>
          <w:spacing w:val="50"/>
          <w:w w:val="95"/>
        </w:rPr>
        <w:t xml:space="preserve"> </w:t>
      </w:r>
      <w:r>
        <w:rPr>
          <w:spacing w:val="3"/>
          <w:w w:val="95"/>
        </w:rPr>
        <w:t xml:space="preserve">年底，全国已运行的抽蓄电站 </w:t>
      </w:r>
      <w:r>
        <w:rPr>
          <w:rFonts w:ascii="仿宋" w:eastAsia="仿宋" w:hint="eastAsia"/>
          <w:w w:val="95"/>
        </w:rPr>
        <w:t>32</w:t>
      </w:r>
      <w:r>
        <w:rPr>
          <w:rFonts w:ascii="仿宋" w:eastAsia="仿宋" w:hint="eastAsia"/>
          <w:spacing w:val="44"/>
          <w:w w:val="95"/>
        </w:rPr>
        <w:t xml:space="preserve"> </w:t>
      </w:r>
      <w:r>
        <w:rPr>
          <w:spacing w:val="5"/>
          <w:w w:val="95"/>
        </w:rPr>
        <w:t xml:space="preserve">座，合计装机量 </w:t>
      </w:r>
      <w:r>
        <w:rPr>
          <w:rFonts w:ascii="仿宋" w:eastAsia="仿宋" w:hint="eastAsia"/>
          <w:w w:val="95"/>
        </w:rPr>
        <w:t>31GW</w:t>
      </w:r>
      <w:r>
        <w:rPr>
          <w:w w:val="95"/>
        </w:rPr>
        <w:t>，在</w:t>
      </w:r>
      <w:r>
        <w:rPr>
          <w:spacing w:val="2"/>
        </w:rPr>
        <w:t xml:space="preserve">建抽蓄装机量 </w:t>
      </w:r>
      <w:r>
        <w:rPr>
          <w:rFonts w:ascii="仿宋" w:eastAsia="仿宋" w:hint="eastAsia"/>
        </w:rPr>
        <w:t>45GW</w:t>
      </w:r>
      <w:r>
        <w:t>，但全国抽蓄装机容量占电源总装机容量比例仅为</w:t>
      </w:r>
      <w:r>
        <w:rPr>
          <w:rFonts w:ascii="仿宋" w:eastAsia="仿宋" w:hint="eastAsia"/>
        </w:rPr>
        <w:t>1.4%</w:t>
      </w:r>
      <w:r>
        <w:rPr>
          <w:spacing w:val="4"/>
        </w:rPr>
        <w:t xml:space="preserve">，与欧洲、日本等兴旺国家 </w:t>
      </w:r>
      <w:r>
        <w:rPr>
          <w:rFonts w:ascii="仿宋" w:eastAsia="仿宋" w:hint="eastAsia"/>
        </w:rPr>
        <w:t>4%</w:t>
      </w:r>
      <w:r>
        <w:t>～</w:t>
      </w:r>
      <w:r>
        <w:rPr>
          <w:rFonts w:ascii="仿宋" w:eastAsia="仿宋" w:hint="eastAsia"/>
        </w:rPr>
        <w:t>8%</w:t>
      </w:r>
      <w:r>
        <w:t>的水平仍有肯定差距。国内抽</w:t>
      </w:r>
      <w:r>
        <w:rPr>
          <w:spacing w:val="5"/>
        </w:rPr>
        <w:t>蓄电站过去进展受制约的两个因素需求</w:t>
      </w:r>
      <w:r>
        <w:rPr>
          <w:rFonts w:ascii="仿宋" w:eastAsia="仿宋" w:hint="eastAsia"/>
        </w:rPr>
        <w:t>&amp;</w:t>
      </w:r>
      <w:r>
        <w:t>价格机制都在近两年有显著变化，行业将迈入蓬勃进展阶段。</w:t>
      </w:r>
    </w:p>
    <w:p>
      <w:pPr>
        <w:pStyle w:val="BodyText"/>
        <w:ind w:left="1180"/>
      </w:pPr>
      <w:r>
        <w:rPr>
          <w:spacing w:val="7"/>
        </w:rPr>
        <w:t xml:space="preserve">依据慎重财务估算，工程总投资 </w:t>
      </w:r>
      <w:r>
        <w:rPr>
          <w:rFonts w:ascii="仿宋" w:eastAsia="仿宋" w:hint="eastAsia"/>
        </w:rPr>
        <w:t xml:space="preserve">7461.16 </w:t>
      </w:r>
      <w:r>
        <w:t>万元，其中：建设投资</w:t>
      </w:r>
    </w:p>
    <w:p>
      <w:pPr>
        <w:pStyle w:val="BodyText"/>
        <w:spacing w:before="7" w:line="242" w:lineRule="auto"/>
        <w:ind w:right="598"/>
      </w:pPr>
      <w:r>
        <w:rPr>
          <w:rFonts w:ascii="仿宋" w:eastAsia="仿宋" w:hint="eastAsia"/>
          <w:w w:val="95"/>
        </w:rPr>
        <w:t>6071.99</w:t>
      </w:r>
      <w:r>
        <w:rPr>
          <w:rFonts w:ascii="仿宋" w:eastAsia="仿宋" w:hint="eastAsia"/>
          <w:spacing w:val="90"/>
          <w:w w:val="95"/>
        </w:rPr>
        <w:t xml:space="preserve"> </w:t>
      </w:r>
      <w:r>
        <w:rPr>
          <w:spacing w:val="8"/>
          <w:w w:val="95"/>
        </w:rPr>
        <w:t xml:space="preserve">万元，占工程总投资的 </w:t>
      </w:r>
      <w:r>
        <w:rPr>
          <w:rFonts w:ascii="仿宋" w:eastAsia="仿宋" w:hint="eastAsia"/>
          <w:w w:val="95"/>
        </w:rPr>
        <w:t>81.38%</w:t>
      </w:r>
      <w:r>
        <w:rPr>
          <w:spacing w:val="11"/>
          <w:w w:val="95"/>
        </w:rPr>
        <w:t xml:space="preserve">；建设期利息 </w:t>
      </w:r>
      <w:r>
        <w:rPr>
          <w:rFonts w:ascii="仿宋" w:eastAsia="仿宋" w:hint="eastAsia"/>
          <w:w w:val="95"/>
        </w:rPr>
        <w:t>131.28</w:t>
      </w:r>
      <w:r>
        <w:rPr>
          <w:rFonts w:ascii="仿宋" w:eastAsia="仿宋" w:hint="eastAsia"/>
          <w:spacing w:val="94"/>
          <w:w w:val="95"/>
        </w:rPr>
        <w:t xml:space="preserve"> </w:t>
      </w:r>
      <w:r>
        <w:rPr>
          <w:w w:val="95"/>
        </w:rPr>
        <w:t>万元，占</w:t>
      </w:r>
      <w:r>
        <w:rPr>
          <w:spacing w:val="7"/>
        </w:rPr>
        <w:t xml:space="preserve">工程总投资的 </w:t>
      </w:r>
      <w:r>
        <w:rPr>
          <w:rFonts w:ascii="仿宋" w:eastAsia="仿宋" w:hint="eastAsia"/>
          <w:spacing w:val="9"/>
        </w:rPr>
        <w:t>1.76%</w:t>
      </w:r>
      <w:r>
        <w:rPr>
          <w:spacing w:val="39"/>
        </w:rPr>
        <w:t xml:space="preserve">；流淌资金 </w:t>
      </w:r>
      <w:r>
        <w:rPr>
          <w:rFonts w:ascii="仿宋" w:eastAsia="仿宋" w:hint="eastAsia"/>
        </w:rPr>
        <w:t>1257.89</w:t>
      </w:r>
      <w:r>
        <w:rPr>
          <w:rFonts w:ascii="仿宋" w:eastAsia="仿宋" w:hint="eastAsia"/>
          <w:spacing w:val="56"/>
        </w:rPr>
        <w:t xml:space="preserve"> </w:t>
      </w:r>
      <w:r>
        <w:t>万元，占工程总投资的</w:t>
      </w:r>
      <w:r>
        <w:rPr>
          <w:rFonts w:ascii="仿宋" w:eastAsia="仿宋" w:hint="eastAsia"/>
        </w:rPr>
        <w:t>16.86%</w:t>
      </w:r>
      <w:r>
        <w:t>。</w:t>
      </w:r>
    </w:p>
    <w:p>
      <w:pPr>
        <w:pStyle w:val="BodyText"/>
        <w:tabs>
          <w:tab w:val="left" w:pos="7668"/>
        </w:tabs>
        <w:spacing w:before="113"/>
        <w:ind w:left="1180"/>
      </w:pPr>
      <w:r>
        <w:t>工程正常运营每年营业收入</w:t>
        <w:tab/>
      </w:r>
      <w:r>
        <w:rPr>
          <w:rFonts w:ascii="仿宋" w:eastAsia="仿宋" w:hint="eastAsia"/>
        </w:rPr>
        <w:t>13000.00</w:t>
      </w:r>
      <w:r>
        <w:rPr>
          <w:rFonts w:ascii="仿宋" w:eastAsia="仿宋" w:hint="eastAsia"/>
          <w:spacing w:val="35"/>
        </w:rPr>
        <w:t xml:space="preserve"> </w:t>
      </w:r>
      <w:r>
        <w:t>万元，综合总本钱费用</w:t>
      </w:r>
    </w:p>
    <w:p>
      <w:pPr>
        <w:pStyle w:val="BodyText"/>
        <w:spacing w:before="8"/>
      </w:pPr>
      <w:r>
        <w:rPr>
          <w:rFonts w:ascii="仿宋" w:eastAsia="仿宋" w:hint="eastAsia"/>
          <w:w w:val="95"/>
        </w:rPr>
        <w:t>11034.95</w:t>
      </w:r>
      <w:r>
        <w:rPr>
          <w:rFonts w:ascii="仿宋" w:eastAsia="仿宋" w:hint="eastAsia"/>
          <w:spacing w:val="29"/>
          <w:w w:val="95"/>
        </w:rPr>
        <w:t xml:space="preserve"> </w:t>
      </w:r>
      <w:r>
        <w:rPr>
          <w:spacing w:val="2"/>
          <w:w w:val="95"/>
        </w:rPr>
        <w:t xml:space="preserve">万元，净利润 </w:t>
      </w:r>
      <w:r>
        <w:rPr>
          <w:rFonts w:ascii="仿宋" w:eastAsia="仿宋" w:hint="eastAsia"/>
          <w:w w:val="95"/>
        </w:rPr>
        <w:t>1432.74</w:t>
      </w:r>
      <w:r>
        <w:rPr>
          <w:rFonts w:ascii="仿宋" w:eastAsia="仿宋" w:hint="eastAsia"/>
          <w:spacing w:val="25"/>
          <w:w w:val="95"/>
        </w:rPr>
        <w:t xml:space="preserve"> </w:t>
      </w:r>
      <w:r>
        <w:rPr>
          <w:spacing w:val="2"/>
          <w:w w:val="95"/>
        </w:rPr>
        <w:t xml:space="preserve">万元，财务内部收益率 </w:t>
      </w:r>
      <w:r>
        <w:rPr>
          <w:rFonts w:ascii="仿宋" w:eastAsia="仿宋" w:hint="eastAsia"/>
          <w:w w:val="95"/>
        </w:rPr>
        <w:t>12.21%</w:t>
      </w:r>
      <w:r>
        <w:rPr>
          <w:w w:val="95"/>
        </w:rPr>
        <w:t>，财务</w:t>
      </w:r>
    </w:p>
    <w:p>
      <w:pPr>
        <w:pStyle w:val="BodyText"/>
        <w:spacing w:before="8" w:line="242" w:lineRule="auto"/>
        <w:ind w:right="610"/>
      </w:pPr>
      <w:r>
        <w:rPr>
          <w:spacing w:val="-11"/>
        </w:rPr>
        <w:t xml:space="preserve">净现值 </w:t>
      </w:r>
      <w:r>
        <w:rPr>
          <w:rFonts w:ascii="仿宋" w:eastAsia="仿宋" w:hint="eastAsia"/>
        </w:rPr>
        <w:t>347.46</w:t>
      </w:r>
      <w:r>
        <w:rPr>
          <w:rFonts w:ascii="仿宋" w:eastAsia="仿宋" w:hint="eastAsia"/>
          <w:spacing w:val="-33"/>
        </w:rPr>
        <w:t xml:space="preserve"> </w:t>
      </w:r>
      <w:r>
        <w:rPr>
          <w:spacing w:val="-4"/>
        </w:rPr>
        <w:t xml:space="preserve">万元，全部投资回收期 </w:t>
      </w:r>
      <w:r>
        <w:rPr>
          <w:rFonts w:ascii="仿宋" w:eastAsia="仿宋" w:hint="eastAsia"/>
        </w:rPr>
        <w:t>7.09</w:t>
      </w:r>
      <w:r>
        <w:rPr>
          <w:rFonts w:ascii="仿宋" w:eastAsia="仿宋" w:hint="eastAsia"/>
          <w:spacing w:val="-36"/>
        </w:rPr>
        <w:t xml:space="preserve"> </w:t>
      </w:r>
      <w:r>
        <w:t>年。本期工程具有较强的财务盈利力量，其财务净现值良好，投资回收期合理。</w:t>
      </w:r>
    </w:p>
    <w:p>
      <w:pPr>
        <w:pStyle w:val="BodyText"/>
        <w:spacing w:before="108" w:line="242" w:lineRule="auto"/>
        <w:ind w:right="515" w:firstLine="900"/>
      </w:pPr>
      <w:r>
        <w:t>工程建设符合国家产业政策，具有前瞻性；工程产品技术及工艺</w:t>
      </w:r>
      <w:r>
        <w:rPr>
          <w:spacing w:val="1"/>
        </w:rPr>
        <w:t xml:space="preserve"> </w:t>
      </w:r>
      <w:r>
        <w:rPr>
          <w:w w:val="95"/>
        </w:rPr>
        <w:t>成熟，到达大批量生产的条件，且工程产品性能优越，是推广型产品；</w:t>
      </w:r>
      <w:r>
        <w:rPr>
          <w:spacing w:val="2"/>
          <w:w w:val="95"/>
        </w:rPr>
        <w:t xml:space="preserve"> </w:t>
      </w:r>
      <w:r>
        <w:t>工程产品承受了目前国内最先进的工艺技术方案；工程设施对环境的影响经评价分析是可行的；依据工程财务评价分析，经济效益好，在财务方面是充分可行的。</w:t>
      </w:r>
    </w:p>
    <w:p>
      <w:pPr>
        <w:pStyle w:val="BodyText"/>
        <w:spacing w:line="242" w:lineRule="auto"/>
        <w:ind w:right="995" w:firstLine="900"/>
        <w:jc w:val="both"/>
      </w:pPr>
      <w:r>
        <w:t>本期工程是基于公开的产业信息、市场分析、技术方案等信息，</w:t>
      </w:r>
      <w:r>
        <w:rPr>
          <w:spacing w:val="-238"/>
        </w:rPr>
        <w:t xml:space="preserve"> </w:t>
      </w:r>
      <w:r>
        <w:rPr>
          <w:w w:val="95"/>
        </w:rPr>
        <w:t>并依托行业分析模型而进展的模板化设计，其数据参数符合行业根本</w:t>
      </w:r>
      <w:r>
        <w:rPr>
          <w:spacing w:val="1"/>
          <w:w w:val="95"/>
        </w:rPr>
        <w:t xml:space="preserve"> </w:t>
      </w:r>
      <w:r>
        <w:t>状况。本报告仅作为投资参考或作为学习参考模板用途。</w:t>
      </w:r>
    </w:p>
    <w:p>
      <w:pPr>
        <w:pStyle w:val="BodyText"/>
        <w:spacing w:before="2"/>
        <w:ind w:left="0"/>
        <w:rPr>
          <w:sz w:val="47"/>
        </w:rPr>
      </w:pPr>
    </w:p>
    <w:p>
      <w:pPr>
        <w:spacing w:before="0"/>
        <w:ind w:left="0" w:right="322" w:firstLine="0"/>
        <w:jc w:val="center"/>
        <w:rPr>
          <w:b/>
          <w:sz w:val="48"/>
        </w:rPr>
      </w:pPr>
      <w:r>
        <w:rPr>
          <w:b/>
          <w:w w:val="95"/>
          <w:sz w:val="48"/>
        </w:rPr>
        <w:t>名目</w:t>
      </w:r>
    </w:p>
    <w:p>
      <w:pPr>
        <w:tabs>
          <w:tab w:val="left" w:leader="dot" w:pos="14521"/>
        </w:tabs>
        <w:spacing w:before="213"/>
        <w:ind w:left="0" w:right="328" w:firstLine="0"/>
        <w:jc w:val="center"/>
        <w:rPr>
          <w:rFonts w:ascii="Calibri" w:eastAsia="Calibri"/>
          <w:b/>
          <w:sz w:val="45"/>
        </w:rPr>
      </w:pPr>
      <w:r>
        <w:rPr>
          <w:b/>
          <w:sz w:val="45"/>
        </w:rPr>
        <w:t>第一</w:t>
      </w:r>
      <w:r>
        <w:rPr>
          <w:b/>
          <w:spacing w:val="108"/>
          <w:sz w:val="45"/>
        </w:rPr>
        <w:t>章</w:t>
      </w:r>
      <w:r>
        <w:rPr>
          <w:b/>
          <w:sz w:val="45"/>
        </w:rPr>
        <w:t>市场分析</w:t>
      </w:r>
      <w:r>
        <w:rPr>
          <w:rFonts w:ascii="Times New Roman" w:eastAsia="Times New Roman"/>
          <w:b/>
          <w:sz w:val="45"/>
        </w:rPr>
        <w:tab/>
      </w:r>
      <w:r>
        <w:rPr>
          <w:rFonts w:ascii="Calibri" w:eastAsia="Calibri"/>
          <w:b/>
          <w:sz w:val="45"/>
        </w:rPr>
        <w:t>7</w:t>
      </w:r>
    </w:p>
    <w:p>
      <w:pPr>
        <w:tabs>
          <w:tab w:val="left" w:leader="dot" w:pos="14816"/>
        </w:tabs>
        <w:spacing w:before="508"/>
        <w:ind w:left="910" w:right="0" w:firstLine="0"/>
        <w:jc w:val="left"/>
        <w:rPr>
          <w:rFonts w:ascii="Calibri" w:eastAsia="Calibri"/>
          <w:sz w:val="42"/>
        </w:rPr>
      </w:pPr>
      <w:r>
        <w:rPr>
          <w:sz w:val="42"/>
        </w:rPr>
        <w:t>一、</w:t>
      </w:r>
      <w:r>
        <w:rPr>
          <w:spacing w:val="-114"/>
          <w:sz w:val="42"/>
        </w:rPr>
        <w:t xml:space="preserve"> </w:t>
      </w:r>
      <w:r>
        <w:rPr>
          <w:sz w:val="42"/>
        </w:rPr>
        <w:t>抽蓄电站产业链介绍</w:t>
      </w:r>
      <w:r>
        <w:rPr>
          <w:rFonts w:ascii="Times New Roman" w:eastAsia="Times New Roman"/>
          <w:sz w:val="42"/>
        </w:rPr>
        <w:tab/>
      </w:r>
      <w:r>
        <w:rPr>
          <w:rFonts w:ascii="Calibri" w:eastAsia="Calibri"/>
          <w:sz w:val="42"/>
        </w:rPr>
        <w:t>7</w:t>
      </w:r>
    </w:p>
    <w:p>
      <w:pPr>
        <w:tabs>
          <w:tab w:val="left" w:leader="dot" w:pos="14816"/>
        </w:tabs>
        <w:spacing w:before="279"/>
        <w:ind w:left="910" w:right="0" w:firstLine="0"/>
        <w:jc w:val="left"/>
        <w:rPr>
          <w:rFonts w:ascii="Calibri" w:eastAsia="Calibri"/>
          <w:sz w:val="42"/>
        </w:rPr>
      </w:pPr>
      <w:r>
        <w:rPr>
          <w:sz w:val="42"/>
        </w:rPr>
        <w:t>二、</w:t>
      </w:r>
      <w:r>
        <w:rPr>
          <w:spacing w:val="-113"/>
          <w:sz w:val="42"/>
        </w:rPr>
        <w:t xml:space="preserve"> </w:t>
      </w:r>
      <w:r>
        <w:rPr>
          <w:sz w:val="42"/>
        </w:rPr>
        <w:t>抽水蓄能技术成熟、经济性优</w:t>
      </w:r>
      <w:r>
        <w:rPr>
          <w:rFonts w:ascii="Times New Roman" w:eastAsia="Times New Roman"/>
          <w:sz w:val="42"/>
        </w:rPr>
        <w:tab/>
      </w:r>
      <w:r>
        <w:rPr>
          <w:rFonts w:ascii="Calibri" w:eastAsia="Calibri"/>
          <w:sz w:val="42"/>
        </w:rPr>
        <w:t>7</w:t>
      </w:r>
    </w:p>
    <w:p>
      <w:pPr>
        <w:spacing w:after="0"/>
        <w:jc w:val="left"/>
        <w:rPr>
          <w:rFonts w:ascii="Calibri" w:eastAsia="Calibri"/>
          <w:sz w:val="42"/>
        </w:rPr>
        <w:sectPr>
          <w:type w:val="continuous"/>
          <w:pgSz w:w="18360" w:h="23760"/>
          <w:pgMar w:top="2080" w:right="1200" w:bottom="280" w:left="1520" w:header="708" w:footer="708"/>
          <w:cols w:space="708"/>
        </w:sectPr>
      </w:pPr>
    </w:p>
    <w:sdt>
      <w:sdtPr>
        <w:id w:val="88033274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15029"/>
            </w:tabs>
            <w:spacing w:before="18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“_TOC_250021“ </w:instrText>
          </w:r>
          <w:r>
            <w:fldChar w:fldCharType="separate"/>
          </w:r>
          <w:r>
            <w:t>其次</w:t>
          </w:r>
          <w:r>
            <w:rPr>
              <w:spacing w:val="108"/>
            </w:rPr>
            <w:t>章</w:t>
          </w:r>
          <w:r>
            <w:t>工程概况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8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spacing w:before="505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“_TOC_250020“ </w:instrText>
          </w:r>
          <w:r>
            <w:fldChar w:fldCharType="separate"/>
          </w:r>
          <w:r>
            <w:t>一、</w:t>
          </w:r>
          <w:r>
            <w:rPr>
              <w:spacing w:val="-117"/>
            </w:rPr>
            <w:t xml:space="preserve"> </w:t>
          </w:r>
          <w:r>
            <w:t>工程名称及工程单位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8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“_TOC_250019“ </w:instrText>
          </w:r>
          <w:r>
            <w:fldChar w:fldCharType="separate"/>
          </w:r>
          <w:r>
            <w:t>二、</w:t>
          </w:r>
          <w:r>
            <w:rPr>
              <w:spacing w:val="-117"/>
            </w:rPr>
            <w:t xml:space="preserve"> </w:t>
          </w:r>
          <w:r>
            <w:t>工程建设地点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8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“_TOC_250018“ </w:instrText>
          </w:r>
          <w:r>
            <w:fldChar w:fldCharType="separate"/>
          </w:r>
          <w:r>
            <w:t>三、</w:t>
          </w:r>
          <w:r>
            <w:rPr>
              <w:spacing w:val="-117"/>
            </w:rPr>
            <w:t xml:space="preserve"> </w:t>
          </w:r>
          <w:r>
            <w:t>可行性争论范围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8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“_TOC_250017“ </w:instrText>
          </w:r>
          <w:r>
            <w:fldChar w:fldCharType="separate"/>
          </w:r>
          <w:r>
            <w:t>四、</w:t>
          </w:r>
          <w:r>
            <w:rPr>
              <w:spacing w:val="-117"/>
            </w:rPr>
            <w:t xml:space="preserve"> </w:t>
          </w:r>
          <w:r>
            <w:t>编制依据和技术原则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8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t>五、</w:t>
          </w:r>
          <w:r>
            <w:rPr>
              <w:spacing w:val="-117"/>
            </w:rPr>
            <w:t xml:space="preserve"> </w:t>
          </w:r>
          <w:r>
            <w:t>建设背景、规模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9</w:t>
          </w:r>
        </w:p>
        <w:p>
          <w:pPr>
            <w:pStyle w:val="TOC2"/>
            <w:tabs>
              <w:tab w:val="right" w:leader="dot" w:pos="15029"/>
            </w:tabs>
            <w:spacing w:before="280"/>
            <w:rPr>
              <w:rFonts w:ascii="Calibri" w:eastAsia="Calibri"/>
            </w:rPr>
          </w:pPr>
          <w:r>
            <w:t>六、</w:t>
          </w:r>
          <w:r>
            <w:rPr>
              <w:spacing w:val="-117"/>
            </w:rPr>
            <w:t xml:space="preserve"> </w:t>
          </w:r>
          <w:r>
            <w:t>工程建设进度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10</w:t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t>七、</w:t>
          </w:r>
          <w:r>
            <w:rPr>
              <w:spacing w:val="-117"/>
            </w:rPr>
            <w:t xml:space="preserve"> </w:t>
          </w:r>
          <w:r>
            <w:t>环境影响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10</w:t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t>八、</w:t>
          </w:r>
          <w:r>
            <w:rPr>
              <w:spacing w:val="-117"/>
            </w:rPr>
            <w:t xml:space="preserve"> </w:t>
          </w:r>
          <w:r>
            <w:t>建设投资估算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10</w:t>
          </w:r>
        </w:p>
        <w:p>
          <w:pPr>
            <w:pStyle w:val="TOC2"/>
            <w:tabs>
              <w:tab w:val="right" w:leader="dot" w:pos="15029"/>
            </w:tabs>
            <w:spacing w:before="276"/>
            <w:rPr>
              <w:rFonts w:ascii="Calibri" w:eastAsia="Calibri"/>
            </w:rPr>
          </w:pPr>
          <w:r>
            <w:t>九、</w:t>
          </w:r>
          <w:r>
            <w:rPr>
              <w:spacing w:val="-117"/>
            </w:rPr>
            <w:t xml:space="preserve"> </w:t>
          </w:r>
          <w:r>
            <w:t>工程主要技术经济指标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11</w:t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t>主要经济指标一览表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11</w:t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t>十、</w:t>
          </w:r>
          <w:r>
            <w:rPr>
              <w:spacing w:val="-117"/>
            </w:rPr>
            <w:t xml:space="preserve"> </w:t>
          </w:r>
          <w:r>
            <w:t>主要结论及建议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12</w:t>
          </w:r>
        </w:p>
        <w:p>
          <w:pPr>
            <w:pStyle w:val="TOC1"/>
            <w:tabs>
              <w:tab w:val="right" w:leader="dot" w:pos="15146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“_TOC_250016“ </w:instrText>
          </w:r>
          <w:r>
            <w:fldChar w:fldCharType="separate"/>
          </w:r>
          <w:r>
            <w:t>第三</w:t>
          </w:r>
          <w:r>
            <w:rPr>
              <w:spacing w:val="108"/>
            </w:rPr>
            <w:t>章</w:t>
          </w:r>
          <w:r>
            <w:t>工程建设背景及必要性分析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13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spacing w:before="504"/>
            <w:rPr>
              <w:rFonts w:ascii="Calibri" w:eastAsia="Calibri"/>
            </w:rPr>
          </w:pPr>
          <w:r>
            <w:t>一、</w:t>
          </w:r>
          <w:r>
            <w:rPr>
              <w:spacing w:val="-117"/>
            </w:rPr>
            <w:t xml:space="preserve"> </w:t>
          </w:r>
          <w:r>
            <w:t>能源电力发电占比逐步提高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13</w:t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t>二、</w:t>
          </w:r>
          <w:r>
            <w:rPr>
              <w:spacing w:val="-117"/>
            </w:rPr>
            <w:t xml:space="preserve"> </w:t>
          </w:r>
          <w:r>
            <w:t>抽水蓄能中长期规划出台，行业进展迎机遇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13</w:t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“_TOC_250015“ </w:instrText>
          </w:r>
          <w:r>
            <w:fldChar w:fldCharType="separate"/>
          </w:r>
          <w:r>
            <w:t>三、</w:t>
          </w:r>
          <w:r>
            <w:rPr>
              <w:spacing w:val="-117"/>
            </w:rPr>
            <w:t xml:space="preserve"> </w:t>
          </w:r>
          <w:r>
            <w:t>我国抽蓄行业进展历程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13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“_TOC_250014“ </w:instrText>
          </w:r>
          <w:r>
            <w:fldChar w:fldCharType="separate"/>
          </w:r>
          <w:r>
            <w:t>四、</w:t>
          </w:r>
          <w:r>
            <w:rPr>
              <w:spacing w:val="-117"/>
            </w:rPr>
            <w:t xml:space="preserve"> </w:t>
          </w:r>
          <w:r>
            <w:t>高标准推动重点园区建设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13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“_TOC_250013“ </w:instrText>
          </w:r>
          <w:r>
            <w:fldChar w:fldCharType="separate"/>
          </w:r>
          <w:r>
            <w:t>五、</w:t>
          </w:r>
          <w:r>
            <w:rPr>
              <w:spacing w:val="-117"/>
            </w:rPr>
            <w:t xml:space="preserve"> </w:t>
          </w:r>
          <w:r>
            <w:t>有序落实以贸易投资自由便利为重点的制度安排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14</w:t>
          </w:r>
          <w:r>
            <w:fldChar w:fldCharType="end"/>
          </w:r>
        </w:p>
        <w:p>
          <w:pPr>
            <w:pStyle w:val="TOC1"/>
            <w:tabs>
              <w:tab w:val="right" w:leader="dot" w:pos="15170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“_TOC_250012“ </w:instrText>
          </w:r>
          <w:r>
            <w:fldChar w:fldCharType="separate"/>
          </w:r>
          <w:r>
            <w:t>第四</w:t>
          </w:r>
          <w:r>
            <w:rPr>
              <w:spacing w:val="108"/>
            </w:rPr>
            <w:t>章</w:t>
          </w:r>
          <w:r>
            <w:t>建设内容与产品方案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15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spacing w:before="504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“_TOC_250011“ </w:instrText>
          </w:r>
          <w:r>
            <w:fldChar w:fldCharType="separate"/>
          </w:r>
          <w:r>
            <w:t>一、</w:t>
          </w:r>
          <w:r>
            <w:rPr>
              <w:spacing w:val="-117"/>
            </w:rPr>
            <w:t xml:space="preserve"> </w:t>
          </w:r>
          <w:r>
            <w:t>建设规模及主要建设内容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15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“_TOC_250010“ </w:instrText>
          </w:r>
          <w:r>
            <w:fldChar w:fldCharType="separate"/>
          </w:r>
          <w:r>
            <w:t>二、</w:t>
          </w:r>
          <w:r>
            <w:rPr>
              <w:spacing w:val="-117"/>
            </w:rPr>
            <w:t xml:space="preserve"> </w:t>
          </w:r>
          <w:r>
            <w:t>产品规划方案及生产纲领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15</w:t>
          </w:r>
          <w:r>
            <w:fldChar w:fldCharType="end"/>
          </w:r>
        </w:p>
        <w:p>
          <w:pPr>
            <w:pStyle w:val="TOC2"/>
            <w:tabs>
              <w:tab w:val="right" w:leader="dot" w:pos="15029"/>
            </w:tabs>
            <w:spacing w:after="240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“_TOC_250009“ </w:instrText>
          </w:r>
          <w:r>
            <w:fldChar w:fldCharType="separate"/>
          </w:r>
          <w:r>
            <w:t>产品规划方案一览表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15</w:t>
          </w:r>
          <w:r>
            <w:fldChar w:fldCharType="end"/>
          </w:r>
        </w:p>
        <w:p>
          <w:pPr>
            <w:pStyle w:val="TOC1"/>
            <w:tabs>
              <w:tab w:val="right" w:leader="dot" w:pos="15198"/>
            </w:tabs>
            <w:spacing w:before="20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“_TOC_250008“ </w:instrText>
          </w:r>
          <w:r>
            <w:fldChar w:fldCharType="separate"/>
          </w:r>
          <w:r>
            <w:t>第五</w:t>
          </w:r>
          <w:r>
            <w:rPr>
              <w:spacing w:val="108"/>
            </w:rPr>
            <w:t>章</w:t>
          </w:r>
          <w:r>
            <w:t>选址方案分析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17</w:t>
          </w:r>
          <w:r>
            <w:fldChar w:fldCharType="end"/>
          </w:r>
          <w:r>
            <w:rPr>
              <w:rFonts w:ascii="Calibri" w:eastAsia="Calibri"/>
            </w:rPr>
            <w:br/>
          </w:r>
          <w:r>
            <w:rPr>
              <w:rFonts w:ascii="Calibri" w:eastAsia="Calibri"/>
            </w:rPr>
            <w:br/>
          </w:r>
        </w:p>
        <w:p>
          <w:pPr>
            <w:widowControl/>
            <w:autoSpaceDE/>
            <w:autoSpaceDN/>
            <w:spacing w:before="0" w:after="0" w:line="240" w:lineRule="auto"/>
            <w:ind w:left="0" w:right="0"/>
            <w:jc w:val="left"/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  <w:t>以上内容仅为本文档的试下载部分，为可阅读页数的一半内容。如要下载或阅读全文，请访问：</w:t>
          </w:r>
          <w:hyperlink r:id="rId4" w:history="1">
            <w:r>
              <w:rPr>
                <w:rFonts w:ascii="SimSun" w:eastAsia="SimSun" w:hAnsi="SimSun" w:cs="SimSun"/>
                <w:b/>
                <w:bCs/>
                <w:color w:val="0000EE"/>
                <w:sz w:val="30"/>
                <w:szCs w:val="30"/>
                <w:u w:val="single" w:color="0000EE"/>
              </w:rPr>
              <w:t>https://d.book118.com/568104113011006023</w:t>
            </w:r>
          </w:hyperlink>
        </w:p>
        <w:p>
          <w:pPr>
            <w:pStyle w:val="TOC1"/>
            <w:tabs>
              <w:tab w:val="right" w:leader="dot" w:pos="15198"/>
            </w:tabs>
            <w:spacing w:before="20"/>
            <w:rPr>
              <w:rFonts w:ascii="Calibri" w:eastAsia="Calibri"/>
            </w:rPr>
          </w:pPr>
        </w:p>
      </w:sdtContent>
    </w:sdt>
    <w:sectPr>
      <w:pgSz w:w="18360" w:h="23760"/>
      <w:pgMar w:top="1998" w:right="1200" w:bottom="2323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92B89"/>
    <w:multiLevelType w:val="hybridMultilevel"/>
    <w:tmpl w:val="00000000"/>
    <w:lvl w:ilvl="0">
      <w:start w:val="1"/>
      <w:numFmt w:val="decimal"/>
      <w:lvlText w:val="（%1）"/>
      <w:lvlJc w:val="left"/>
      <w:pPr>
        <w:ind w:left="2380" w:hanging="1200"/>
        <w:jc w:val="left"/>
      </w:pPr>
      <w:rPr>
        <w:rFonts w:ascii="宋体" w:eastAsia="宋体" w:hAnsi="宋体" w:cs="宋体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0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5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8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3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6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8" w:hanging="1200"/>
      </w:pPr>
      <w:rPr>
        <w:rFonts w:hint="default"/>
      </w:rPr>
    </w:lvl>
  </w:abstractNum>
  <w:abstractNum w:abstractNumId="1">
    <w:nsid w:val="27472A50"/>
    <w:multiLevelType w:val="hybridMultilevel"/>
    <w:tmpl w:val="00000000"/>
    <w:lvl w:ilvl="0">
      <w:start w:val="1"/>
      <w:numFmt w:val="decimal"/>
      <w:lvlText w:val="（%1）"/>
      <w:lvlJc w:val="left"/>
      <w:pPr>
        <w:ind w:left="2380" w:hanging="1200"/>
        <w:jc w:val="left"/>
      </w:pPr>
      <w:rPr>
        <w:rFonts w:ascii="宋体" w:eastAsia="宋体" w:hAnsi="宋体" w:cs="宋体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0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5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8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3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6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8" w:hanging="1200"/>
      </w:pPr>
      <w:rPr>
        <w:rFonts w:hint="default"/>
      </w:rPr>
    </w:lvl>
  </w:abstractNum>
  <w:abstractNum w:abstractNumId="2">
    <w:nsid w:val="2BA1C914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14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14"/>
      </w:pPr>
      <w:rPr>
        <w:rFonts w:hint="default"/>
      </w:rPr>
    </w:lvl>
  </w:abstractNum>
  <w:abstractNum w:abstractNumId="3">
    <w:nsid w:val="37CF0D0C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14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14"/>
      </w:pPr>
      <w:rPr>
        <w:rFonts w:hint="default"/>
      </w:rPr>
    </w:lvl>
  </w:abstractNum>
  <w:abstractNum w:abstractNumId="4">
    <w:nsid w:val="4679F7DB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14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14"/>
      </w:pPr>
      <w:rPr>
        <w:rFonts w:hint="default"/>
      </w:rPr>
    </w:lvl>
  </w:abstractNum>
  <w:abstractNum w:abstractNumId="5">
    <w:nsid w:val="4773E222"/>
    <w:multiLevelType w:val="hybridMultilevel"/>
    <w:tmpl w:val="00000000"/>
    <w:lvl w:ilvl="0">
      <w:start w:val="1"/>
      <w:numFmt w:val="decimal"/>
      <w:lvlText w:val="（%1）"/>
      <w:lvlJc w:val="left"/>
      <w:pPr>
        <w:ind w:left="2380" w:hanging="1200"/>
        <w:jc w:val="left"/>
      </w:pPr>
      <w:rPr>
        <w:rFonts w:ascii="宋体" w:eastAsia="宋体" w:hAnsi="宋体" w:cs="宋体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0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5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8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3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6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8" w:hanging="1200"/>
      </w:pPr>
      <w:rPr>
        <w:rFonts w:hint="default"/>
      </w:rPr>
    </w:lvl>
  </w:abstractNum>
  <w:abstractNum w:abstractNumId="6">
    <w:nsid w:val="73A12A1A"/>
    <w:multiLevelType w:val="hybridMultilevel"/>
    <w:tmpl w:val="00000000"/>
    <w:lvl w:ilvl="0">
      <w:start w:val="1"/>
      <w:numFmt w:val="decimal"/>
      <w:lvlText w:val="（%1）"/>
      <w:lvlJc w:val="left"/>
      <w:pPr>
        <w:ind w:left="2380" w:hanging="1200"/>
        <w:jc w:val="left"/>
      </w:pPr>
      <w:rPr>
        <w:rFonts w:ascii="宋体" w:eastAsia="宋体" w:hAnsi="宋体" w:cs="宋体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0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5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8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3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6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8" w:hanging="12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434"/>
      <w:ind w:left="280"/>
    </w:pPr>
    <w:rPr>
      <w:rFonts w:ascii="宋体" w:eastAsia="宋体" w:hAnsi="宋体" w:cs="宋体"/>
      <w:b/>
      <w:bCs/>
      <w:sz w:val="45"/>
      <w:szCs w:val="45"/>
    </w:rPr>
  </w:style>
  <w:style w:type="paragraph" w:customStyle="1" w:styleId="TOC2">
    <w:name w:val="TOC 2"/>
    <w:basedOn w:val="Normal"/>
    <w:uiPriority w:val="1"/>
    <w:qFormat/>
    <w:pPr>
      <w:spacing w:before="279"/>
      <w:ind w:left="910"/>
    </w:pPr>
    <w:rPr>
      <w:rFonts w:ascii="宋体" w:eastAsia="宋体" w:hAnsi="宋体" w:cs="宋体"/>
      <w:sz w:val="42"/>
      <w:szCs w:val="42"/>
    </w:rPr>
  </w:style>
  <w:style w:type="paragraph" w:styleId="BodyText">
    <w:name w:val="Body Text"/>
    <w:basedOn w:val="Normal"/>
    <w:uiPriority w:val="1"/>
    <w:qFormat/>
    <w:pPr>
      <w:spacing w:before="116"/>
      <w:ind w:left="280"/>
    </w:pPr>
    <w:rPr>
      <w:rFonts w:ascii="宋体" w:eastAsia="宋体" w:hAnsi="宋体" w:cs="宋体"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spacing w:before="5"/>
      <w:ind w:right="325"/>
      <w:jc w:val="center"/>
      <w:outlineLvl w:val="1"/>
    </w:pPr>
    <w:rPr>
      <w:rFonts w:ascii="宋体" w:eastAsia="宋体" w:hAnsi="宋体" w:cs="宋体"/>
      <w:b/>
      <w:bCs/>
      <w:sz w:val="54"/>
      <w:szCs w:val="54"/>
    </w:rPr>
  </w:style>
  <w:style w:type="paragraph" w:customStyle="1" w:styleId="Heading2">
    <w:name w:val="Heading 2"/>
    <w:basedOn w:val="Normal"/>
    <w:uiPriority w:val="1"/>
    <w:qFormat/>
    <w:pPr>
      <w:ind w:left="918"/>
      <w:outlineLvl w:val="2"/>
    </w:pPr>
    <w:rPr>
      <w:rFonts w:ascii="仿宋" w:eastAsia="仿宋" w:hAnsi="仿宋" w:cs="仿宋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12"/>
      <w:ind w:left="280" w:firstLine="90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73"/>
      <w:jc w:val="center"/>
    </w:pPr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6810411301100602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2023-10-09T19:49:01Z</dcterms:created>
  <dcterms:modified xsi:type="dcterms:W3CDTF">2023-10-09T19:49:01Z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LastSaved">
    <vt:filetime>2023-10-09T00:00:00Z</vt:filetime>
  </property>
</Properties>
</file>