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抽纸行业相关公司筹备报告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6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6" w:history="1">
        <w:r>
          <w:rPr>
            <w:rFonts w:ascii="仿宋" w:eastAsia="仿宋" w:hAnsi="仿宋" w:cs="仿宋" w:hint="eastAsia"/>
            <w:lang w:eastAsia="zh-CN"/>
          </w:rPr>
          <w:t>一、抽纸筹建公司基本信息</w:t>
        </w:r>
        <w:r>
          <w:tab/>
        </w:r>
        <w:r>
          <w:fldChar w:fldCharType="begin"/>
        </w:r>
        <w:r>
          <w:instrText xml:space="preserve"> PAGEREF _Toc13486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_Toc9033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_Toc10495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_Toc7885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_Toc18830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_Toc8675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1" w:history="1">
        <w:r>
          <w:rPr>
            <w:rFonts w:ascii="仿宋" w:eastAsia="仿宋" w:hAnsi="仿宋" w:cs="仿宋" w:hint="eastAsia"/>
            <w:lang w:eastAsia="zh-CN"/>
          </w:rPr>
          <w:t>(七)、抽纸项目建设必要性分析</w:t>
        </w:r>
        <w:r>
          <w:tab/>
        </w:r>
        <w:r>
          <w:fldChar w:fldCharType="begin"/>
        </w:r>
        <w:r>
          <w:instrText xml:space="preserve"> PAGEREF _Toc32481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eastAsia="zh-CN"/>
          </w:rPr>
          <w:t>(一)、抽纸项目选址原则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_Toc8472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_Toc25923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(五)、抽纸项目选址综合评价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_Toc24177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_Toc23235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_Toc5041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1" w:history="1">
        <w:r>
          <w:rPr>
            <w:rFonts w:ascii="仿宋" w:eastAsia="仿宋" w:hAnsi="仿宋" w:cs="仿宋" w:hint="eastAsia"/>
            <w:lang w:eastAsia="zh-CN"/>
          </w:rPr>
          <w:t>(五)、抽纸项目总投资</w:t>
        </w:r>
        <w:r>
          <w:tab/>
        </w:r>
        <w:r>
          <w:fldChar w:fldCharType="begin"/>
        </w:r>
        <w:r>
          <w:instrText xml:space="preserve"> PAGEREF _Toc17151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_Toc28947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3" w:history="1">
        <w:r>
          <w:rPr>
            <w:rFonts w:ascii="仿宋" w:eastAsia="仿宋" w:hAnsi="仿宋" w:cs="仿宋" w:hint="eastAsia"/>
            <w:lang w:eastAsia="zh-CN"/>
          </w:rPr>
          <w:t>八、抽纸项目经济效益</w:t>
        </w:r>
        <w:r>
          <w:tab/>
        </w:r>
        <w:r>
          <w:fldChar w:fldCharType="begin"/>
        </w:r>
        <w:r>
          <w:instrText xml:space="preserve"> PAGEREF _Toc7163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_Toc29963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(三)、抽纸项目盈利能力分析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_Toc16533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_Toc26134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_Toc23446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eastAsia="zh-CN"/>
          </w:rPr>
          <w:t>(一)、抽纸项目进度安排</w:t>
        </w:r>
        <w:r>
          <w:tab/>
        </w:r>
        <w:r>
          <w:fldChar w:fldCharType="begin"/>
        </w:r>
        <w:r>
          <w:instrText xml:space="preserve"> PAGEREF _Toc23841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(二)、抽纸项目实施保障措施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9" w:history="1">
        <w:r>
          <w:rPr>
            <w:rFonts w:ascii="仿宋" w:eastAsia="仿宋" w:hAnsi="仿宋" w:cs="仿宋" w:hint="eastAsia"/>
            <w:lang w:eastAsia="zh-CN"/>
          </w:rPr>
          <w:t>十一、抽纸项目总结分析</w:t>
        </w:r>
        <w:r>
          <w:tab/>
        </w:r>
        <w:r>
          <w:fldChar w:fldCharType="begin"/>
        </w:r>
        <w:r>
          <w:instrText xml:space="preserve"> PAGEREF _Toc24429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_Toc32069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_Toc26859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_Toc17845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_Toc19794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98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_Toc20598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(一)、社会责任抽纸项目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_Toc31839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6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86"/>
      <w:r>
        <w:rPr>
          <w:rFonts w:ascii="仿宋" w:eastAsia="仿宋" w:hAnsi="仿宋" w:cs="仿宋" w:hint="eastAsia"/>
          <w:sz w:val="28"/>
          <w:lang w:eastAsia="zh-CN"/>
        </w:rPr>
        <w:t>一、抽纸筹建公司基本信息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1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95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26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74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经营范围：从事XXX相关业务(企业依法自主选择经营抽纸项目，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开展经营活动；依法须经批准的抽纸项目，经相关部门批准后依批准的内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容开展经营活动；不得从事本市产业政策禁止和限制类抽纸项目的经营活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94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https://d.book118.com/568106140134006036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抽纸行业相关公司筹备报告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抽纸行业相关公司筹备报告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抽纸行业相关公司筹备报告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抽纸行业相关公司筹备报告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抽纸行业相关公司筹备报告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106140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2024-02-04T09:52:00Z</dcterms:created>
  <dcterms:modified xsi:type="dcterms:W3CDTF">2024-02-04T09:52:45Z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EC0FD27BC0E74B8A994C538E2CCCA651_11</vt:lpwstr>
  </property>
  <property fmtid="{D5CDD505-2E9C-101B-9397-08002B2CF9AE}" pid="3" name="KSOProductBuildVer">
    <vt:lpwstr>2052-12.1.0.16250</vt:lpwstr>
  </property>
</Properties>
</file>