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液晶聚合物LCP项目构思建设方案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77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_Toc19778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92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_Toc19792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66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_Toc4466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0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_Toc31701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6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_Toc18536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90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_Toc25890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77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_Toc3877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0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_Toc20606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91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_Toc20091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28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_Toc19928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70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_Toc25970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71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_Toc6271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2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_Toc8442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87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_Toc13587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37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_Toc30937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17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_Toc21317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39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_Toc8439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17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_Toc30317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54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_Toc31254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77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_Toc25577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6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_Toc1336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30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_Toc3430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33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_Toc22333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09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_Toc7809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62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_Toc13962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79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_Toc20579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8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_Toc6828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56" w:history="1">
        <w:r>
          <w:rPr>
            <w:rFonts w:ascii="仿宋" w:eastAsia="仿宋" w:hAnsi="仿宋" w:cs="仿宋" w:hint="eastAsia"/>
            <w:lang w:eastAsia="zh-CN"/>
          </w:rPr>
          <w:t>六、社会影响分析</w:t>
        </w:r>
        <w:r>
          <w:tab/>
        </w:r>
        <w:r>
          <w:fldChar w:fldCharType="begin"/>
        </w:r>
        <w:r>
          <w:instrText xml:space="preserve"> PAGEREF _Toc31556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7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_Toc18007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99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_Toc23799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85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_Toc13885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3" w:history="1">
        <w:r>
          <w:rPr>
            <w:rFonts w:ascii="仿宋" w:eastAsia="仿宋" w:hAnsi="仿宋" w:cs="仿宋" w:hint="eastAsia"/>
            <w:lang w:eastAsia="zh-CN"/>
          </w:rPr>
          <w:t>七、安全与应急管理</w:t>
        </w:r>
        <w:r>
          <w:tab/>
        </w:r>
        <w:r>
          <w:fldChar w:fldCharType="begin"/>
        </w:r>
        <w:r>
          <w:instrText xml:space="preserve"> PAGEREF _Toc1263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79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_Toc13179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6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_Toc6496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76" w:history="1">
        <w:r>
          <w:rPr>
            <w:rFonts w:ascii="仿宋" w:eastAsia="仿宋" w:hAnsi="仿宋" w:cs="仿宋" w:hint="eastAsia"/>
            <w:lang w:eastAsia="zh-CN"/>
          </w:rPr>
          <w:t>八、环境保护与治理方案</w:t>
        </w:r>
        <w:r>
          <w:tab/>
        </w:r>
        <w:r>
          <w:fldChar w:fldCharType="begin"/>
        </w:r>
        <w:r>
          <w:instrText xml:space="preserve"> PAGEREF _Toc3776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9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_Toc1639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12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_Toc29012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01" w:history="1">
        <w:r>
          <w:rPr>
            <w:rFonts w:ascii="仿宋" w:eastAsia="仿宋" w:hAnsi="仿宋" w:cs="仿宋" w:hint="eastAsia"/>
            <w:lang w:eastAsia="zh-CN"/>
          </w:rPr>
          <w:t>九、环境保护与绿色发展</w:t>
        </w:r>
        <w:r>
          <w:tab/>
        </w:r>
        <w:r>
          <w:fldChar w:fldCharType="begin"/>
        </w:r>
        <w:r>
          <w:instrText xml:space="preserve"> PAGEREF _Toc28501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64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_Toc23464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63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_Toc15263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80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_Toc25880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215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_Toc9215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6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_Toc12036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_Toc2492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2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_Toc19820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7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_Toc28997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69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_Toc14769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1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_Toc631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82" w:history="1">
        <w:r>
          <w:rPr>
            <w:rFonts w:ascii="仿宋" w:eastAsia="仿宋" w:hAnsi="仿宋" w:cs="仿宋" w:hint="eastAsia"/>
            <w:lang w:eastAsia="zh-CN"/>
          </w:rPr>
          <w:t>十一、资金管理与财务规划</w:t>
        </w:r>
        <w:r>
          <w:tab/>
        </w:r>
        <w:r>
          <w:fldChar w:fldCharType="begin"/>
        </w:r>
        <w:r>
          <w:instrText xml:space="preserve"> PAGEREF _Toc18482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4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_Toc17484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42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_Toc8142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19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_Toc14019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98" w:history="1">
        <w:r>
          <w:rPr>
            <w:rFonts w:ascii="仿宋" w:eastAsia="仿宋" w:hAnsi="仿宋" w:cs="仿宋" w:hint="eastAsia"/>
            <w:lang w:eastAsia="zh-CN"/>
          </w:rPr>
          <w:t>十二、项目变更管理</w:t>
        </w:r>
        <w:r>
          <w:tab/>
        </w:r>
        <w:r>
          <w:fldChar w:fldCharType="begin"/>
        </w:r>
        <w:r>
          <w:instrText xml:space="preserve"> PAGEREF _Toc27298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6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_Toc17726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1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_Toc29041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4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_Toc7344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92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_Toc8092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7" w:history="1">
        <w:r>
          <w:rPr>
            <w:rFonts w:ascii="仿宋" w:eastAsia="仿宋" w:hAnsi="仿宋" w:cs="仿宋" w:hint="eastAsia"/>
            <w:lang w:eastAsia="zh-CN"/>
          </w:rPr>
          <w:t>十三、产业协同与集群发展</w:t>
        </w:r>
        <w:r>
          <w:tab/>
        </w:r>
        <w:r>
          <w:fldChar w:fldCharType="begin"/>
        </w:r>
        <w:r>
          <w:instrText xml:space="preserve"> PAGEREF _Toc3147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64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_Toc7064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6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_Toc3216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44" w:history="1">
        <w:r>
          <w:rPr>
            <w:rFonts w:ascii="仿宋" w:eastAsia="仿宋" w:hAnsi="仿宋" w:cs="仿宋" w:hint="eastAsia"/>
            <w:lang w:eastAsia="zh-CN"/>
          </w:rPr>
          <w:t>十四、人力资源管理与开发</w:t>
        </w:r>
        <w:r>
          <w:tab/>
        </w:r>
        <w:r>
          <w:fldChar w:fldCharType="begin"/>
        </w:r>
        <w:r>
          <w:instrText xml:space="preserve"> PAGEREF _Toc16444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2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_Toc10222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5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_Toc25955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88" w:history="1">
        <w:r>
          <w:rPr>
            <w:rFonts w:ascii="仿宋" w:eastAsia="仿宋" w:hAnsi="仿宋" w:cs="仿宋" w:hint="eastAsia"/>
            <w:lang w:eastAsia="zh-CN"/>
          </w:rPr>
          <w:t>十五、创新驱动与持续发展</w:t>
        </w:r>
        <w:r>
          <w:tab/>
        </w:r>
        <w:r>
          <w:fldChar w:fldCharType="begin"/>
        </w:r>
        <w:r>
          <w:instrText xml:space="preserve"> PAGEREF _Toc6488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32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_Toc6832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42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_Toc22642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40" w:history="1">
        <w:r>
          <w:rPr>
            <w:rFonts w:ascii="仿宋" w:eastAsia="仿宋" w:hAnsi="仿宋" w:cs="仿宋" w:hint="eastAsia"/>
            <w:lang w:eastAsia="zh-CN"/>
          </w:rPr>
          <w:t>十六、法律法规与政策遵循</w:t>
        </w:r>
        <w:r>
          <w:tab/>
        </w:r>
        <w:r>
          <w:fldChar w:fldCharType="begin"/>
        </w:r>
        <w:r>
          <w:instrText xml:space="preserve"> PAGEREF _Toc19840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05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_Toc18505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6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_Toc23366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96" w:history="1">
        <w:r>
          <w:rPr>
            <w:rFonts w:ascii="仿宋" w:eastAsia="仿宋" w:hAnsi="仿宋" w:cs="仿宋" w:hint="eastAsia"/>
            <w:lang w:eastAsia="zh-CN"/>
          </w:rPr>
          <w:t>十七、企业合规与伦理</w:t>
        </w:r>
        <w:r>
          <w:tab/>
        </w:r>
        <w:r>
          <w:fldChar w:fldCharType="begin"/>
        </w:r>
        <w:r>
          <w:instrText xml:space="preserve"> PAGEREF _Toc9396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26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_Toc23526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9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_Toc27599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7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_Toc3017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6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_Toc11306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02" w:history="1">
        <w:r>
          <w:rPr>
            <w:rFonts w:ascii="仿宋" w:eastAsia="仿宋" w:hAnsi="仿宋" w:cs="仿宋" w:hint="eastAsia"/>
            <w:lang w:eastAsia="zh-CN"/>
          </w:rPr>
          <w:t>十八、质量管理与控制</w:t>
        </w:r>
        <w:r>
          <w:tab/>
        </w:r>
        <w:r>
          <w:fldChar w:fldCharType="begin"/>
        </w:r>
        <w:r>
          <w:instrText xml:space="preserve"> PAGEREF _Toc15302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1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_Toc9641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38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_Toc7438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76" w:history="1">
        <w:r>
          <w:rPr>
            <w:rFonts w:ascii="仿宋" w:eastAsia="仿宋" w:hAnsi="仿宋" w:cs="仿宋" w:hint="eastAsia"/>
            <w:lang w:eastAsia="zh-CN"/>
          </w:rPr>
          <w:t>十九、知识产权管理与保护</w:t>
        </w:r>
        <w:r>
          <w:tab/>
        </w:r>
        <w:r>
          <w:fldChar w:fldCharType="begin"/>
        </w:r>
        <w:r>
          <w:instrText xml:space="preserve"> PAGEREF _Toc23076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4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_Toc12734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8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_Toc21578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977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792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4466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1701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8536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5890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3877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液晶聚合物LCP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0606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液晶聚合物LCP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液晶聚合物LCP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液晶聚合物LCP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0091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9928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在液晶聚合物LCP项目启动前，将进行一系列深入的地质调查，包括钻探和土壤取样，以深入了解项目区域的地层结构和土壤组成。特别是对于土壤的承载能力和地下水位的深度进行详细评估。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完成初始的地质风险评估后，液晶聚合物LCP项目将安装长期地质监测设备，如倾斜仪、裂缝计和地下水位计，以持续监测地质条件的变化。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5970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https://d.book118.com/568111100010006026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29298A"/>
    <w:rsid w:val="1B29298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568111100010006026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2024-01-06T03:46:00Z</dcterms:created>
  <dcterms:modified xsi:type="dcterms:W3CDTF">2024-01-06T03:47:12Z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2F2FFDB7329344E5A9EF023B3090E344_11</vt:lpwstr>
  </property>
  <property fmtid="{D5CDD505-2E9C-101B-9397-08002B2CF9AE}" pid="3" name="KSOProductBuildVer">
    <vt:lpwstr>2052-12.1.0.16120</vt:lpwstr>
  </property>
</Properties>
</file>