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sz w:val="52"/>
          <w:szCs w:val="52"/>
        </w:rPr>
      </w:pPr>
    </w:p>
    <w:p>
      <w:pPr>
        <w:rPr>
          <w:sz w:val="44"/>
          <w:szCs w:val="44"/>
        </w:rPr>
      </w:pPr>
      <w:r>
        <w:rPr>
          <w:rFonts w:eastAsia="黑体"/>
          <w:sz w:val="36"/>
          <w:szCs w:val="36"/>
          <w:u w:val="single"/>
        </w:rPr>
        <w:t xml:space="preserve">   </w:t>
      </w:r>
      <w:r>
        <w:rPr>
          <w:rFonts w:eastAsia="黑体" w:hint="eastAsia"/>
          <w:sz w:val="36"/>
          <w:szCs w:val="36"/>
          <w:u w:val="single"/>
          <w:lang w:val="en-US" w:eastAsia="zh-CN"/>
        </w:rPr>
        <w:t xml:space="preserve">  安奈儿有限公司资产结构对盈利能力影响研究</w:t>
      </w:r>
      <w:r>
        <w:rPr>
          <w:rFonts w:eastAsia="黑体"/>
          <w:sz w:val="44"/>
          <w:szCs w:val="44"/>
          <w:u w:val="single"/>
        </w:rPr>
        <w:t xml:space="preserve">             </w:t>
      </w:r>
    </w:p>
    <w:p>
      <w:pPr>
        <w:rPr>
          <w:rFonts w:hint="eastAsia"/>
          <w:sz w:val="52"/>
          <w:szCs w:val="52"/>
        </w:rPr>
      </w:pPr>
      <w:r>
        <w:rPr>
          <w:sz w:val="30"/>
          <w:szCs w:val="30"/>
        </w:rPr>
        <w:t xml:space="preserve">                                </w:t>
      </w:r>
    </w:p>
    <w:p>
      <w:pPr>
        <w:rPr>
          <w:rFonts w:hint="eastAsia"/>
          <w:sz w:val="52"/>
          <w:szCs w:val="52"/>
        </w:rPr>
      </w:pPr>
    </w:p>
    <w:p>
      <w:pPr>
        <w:keepNext w:val="0"/>
        <w:keepLines w:val="0"/>
        <w:pageBreakBefore w:val="0"/>
        <w:widowControl w:val="0"/>
        <w:kinsoku/>
        <w:wordWrap/>
        <w:overflowPunct/>
        <w:topLinePunct w:val="0"/>
        <w:autoSpaceDE/>
        <w:autoSpaceDN/>
        <w:bidi w:val="0"/>
        <w:adjustRightInd/>
        <w:snapToGrid/>
        <w:spacing w:line="400" w:lineRule="exact"/>
        <w:textAlignment w:val="auto"/>
        <w:outlineLvl w:val="0"/>
        <w:rPr>
          <w:rFonts w:eastAsia="黑体" w:cs="黑体" w:hint="eastAsia"/>
          <w:b/>
          <w:bCs/>
          <w:sz w:val="32"/>
          <w:szCs w:val="32"/>
        </w:rPr>
      </w:pPr>
    </w:p>
    <w:p>
      <w:pPr>
        <w:keepNext w:val="0"/>
        <w:keepLines w:val="0"/>
        <w:pageBreakBefore w:val="0"/>
        <w:widowControl w:val="0"/>
        <w:kinsoku/>
        <w:wordWrap/>
        <w:overflowPunct/>
        <w:topLinePunct w:val="0"/>
        <w:autoSpaceDE/>
        <w:autoSpaceDN/>
        <w:bidi w:val="0"/>
        <w:adjustRightInd/>
        <w:snapToGrid/>
        <w:spacing w:line="400" w:lineRule="exact"/>
        <w:ind w:firstLine="3520" w:firstLineChars="1100"/>
        <w:textAlignment w:val="auto"/>
        <w:outlineLvl w:val="0"/>
        <w:rPr>
          <w:rFonts w:eastAsia="黑体"/>
          <w:i/>
          <w:iCs/>
          <w:sz w:val="32"/>
          <w:szCs w:val="32"/>
        </w:rPr>
      </w:pPr>
      <w:r>
        <w:rPr>
          <w:rFonts w:eastAsia="黑体" w:cs="黑体" w:hint="eastAsia"/>
          <w:b/>
          <w:bCs/>
          <w:sz w:val="32"/>
          <w:szCs w:val="32"/>
        </w:rPr>
        <w:t>摘</w:t>
      </w:r>
      <w:r>
        <w:rPr>
          <w:rFonts w:eastAsia="黑体"/>
          <w:b/>
          <w:bCs/>
          <w:sz w:val="32"/>
          <w:szCs w:val="32"/>
        </w:rPr>
        <w:t xml:space="preserve">  </w:t>
      </w:r>
      <w:r>
        <w:rPr>
          <w:rFonts w:eastAsia="黑体" w:cs="黑体" w:hint="eastAsia"/>
          <w:b/>
          <w:bCs/>
          <w:sz w:val="32"/>
          <w:szCs w:val="32"/>
        </w:rPr>
        <w:t>要</w:t>
      </w:r>
      <w:r>
        <w:rPr>
          <w:rFonts w:eastAsia="黑体"/>
          <w:b/>
          <w:bCs/>
          <w:i/>
          <w:iCs/>
          <w:sz w:val="32"/>
          <w:szCs w:val="32"/>
        </w:rPr>
        <w:t xml:space="preserve"> </w:t>
      </w:r>
      <w:r>
        <w:rPr>
          <w:rFonts w:eastAsia="黑体"/>
          <w:i/>
          <w:iCs/>
          <w:sz w:val="32"/>
          <w:szCs w:val="32"/>
        </w:rPr>
        <w:t xml:space="preserve">    </w:t>
      </w:r>
    </w:p>
    <w:p>
      <w:pPr>
        <w:spacing w:line="400" w:lineRule="exact"/>
        <w:ind w:firstLine="3520" w:firstLineChars="1100"/>
        <w:rPr>
          <w:rFonts w:eastAsia="黑体"/>
          <w:i/>
          <w:iCs/>
          <w:sz w:val="32"/>
          <w:szCs w:val="32"/>
        </w:rPr>
      </w:pP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right="0" w:firstLine="480" w:rightChars="0" w:firstLineChars="200"/>
        <w:jc w:val="both"/>
        <w:textAlignment w:val="auto"/>
        <w:rPr>
          <w:rFonts w:ascii="宋体" w:hAnsi="宋体" w:cs="宋体" w:hint="eastAsia"/>
          <w:sz w:val="24"/>
          <w:highlight w:val="none"/>
        </w:rPr>
      </w:pPr>
      <w:r>
        <w:rPr>
          <w:rFonts w:hint="eastAsia"/>
          <w:sz w:val="24"/>
          <w:highlight w:val="none"/>
          <w:lang w:val="en-US" w:eastAsia="zh-CN"/>
        </w:rPr>
        <w:t>基于当今童装市场的蓬勃发展，</w:t>
      </w:r>
      <w:r>
        <w:rPr>
          <w:rFonts w:ascii="宋体" w:eastAsia="宋体" w:hAnsi="宋体" w:cs="宋体" w:hint="eastAsia"/>
          <w:sz w:val="24"/>
          <w:szCs w:val="24"/>
          <w:highlight w:val="none"/>
        </w:rPr>
        <w:t>近几年童装品牌</w:t>
      </w:r>
      <w:r>
        <w:rPr>
          <w:rFonts w:ascii="宋体" w:hAnsi="宋体" w:cs="宋体" w:hint="eastAsia"/>
          <w:sz w:val="24"/>
          <w:szCs w:val="24"/>
          <w:highlight w:val="none"/>
          <w:lang w:val="en-US" w:eastAsia="zh-CN"/>
        </w:rPr>
        <w:t>各式各样</w:t>
      </w:r>
      <w:r>
        <w:rPr>
          <w:rFonts w:ascii="宋体" w:eastAsia="宋体" w:hAnsi="宋体" w:cs="宋体" w:hint="eastAsia"/>
          <w:sz w:val="24"/>
          <w:szCs w:val="24"/>
          <w:highlight w:val="none"/>
        </w:rPr>
        <w:t>，</w:t>
      </w:r>
      <w:r>
        <w:rPr>
          <w:rFonts w:ascii="宋体" w:hAnsi="宋体" w:cs="宋体" w:hint="eastAsia"/>
          <w:sz w:val="24"/>
          <w:szCs w:val="24"/>
          <w:highlight w:val="none"/>
          <w:lang w:val="en-US" w:eastAsia="zh-CN"/>
        </w:rPr>
        <w:t>对象定位广泛地针对不同年龄阶段儿童</w:t>
      </w:r>
      <w:r>
        <w:rPr>
          <w:rFonts w:ascii="宋体" w:eastAsia="宋体" w:hAnsi="宋体" w:cs="宋体" w:hint="eastAsia"/>
          <w:sz w:val="24"/>
          <w:szCs w:val="24"/>
          <w:highlight w:val="none"/>
        </w:rPr>
        <w:t>，产品档次</w:t>
      </w:r>
      <w:r>
        <w:rPr>
          <w:rFonts w:ascii="宋体" w:hAnsi="宋体" w:cs="宋体" w:hint="eastAsia"/>
          <w:sz w:val="24"/>
          <w:szCs w:val="24"/>
          <w:highlight w:val="none"/>
          <w:lang w:val="en-US" w:eastAsia="zh-CN"/>
        </w:rPr>
        <w:t>普遍地</w:t>
      </w:r>
      <w:r>
        <w:rPr>
          <w:rFonts w:ascii="宋体" w:eastAsia="宋体" w:hAnsi="宋体" w:cs="宋体" w:hint="eastAsia"/>
          <w:sz w:val="24"/>
          <w:szCs w:val="24"/>
          <w:highlight w:val="none"/>
        </w:rPr>
        <w:t>适应不同层次消费</w:t>
      </w:r>
      <w:r>
        <w:rPr>
          <w:rFonts w:ascii="宋体" w:hAnsi="宋体" w:cs="宋体" w:hint="eastAsia"/>
          <w:sz w:val="24"/>
          <w:szCs w:val="24"/>
          <w:highlight w:val="none"/>
          <w:lang w:val="en-US" w:eastAsia="zh-CN"/>
        </w:rPr>
        <w:t>群体</w:t>
      </w:r>
      <w:r>
        <w:rPr>
          <w:rFonts w:ascii="宋体" w:eastAsia="宋体" w:hAnsi="宋体" w:cs="宋体" w:hint="eastAsia"/>
          <w:sz w:val="24"/>
          <w:szCs w:val="24"/>
          <w:highlight w:val="none"/>
        </w:rPr>
        <w:t>需求，但</w:t>
      </w:r>
      <w:r>
        <w:rPr>
          <w:rFonts w:ascii="宋体" w:hAnsi="宋体" w:cs="宋体" w:hint="eastAsia"/>
          <w:sz w:val="24"/>
          <w:szCs w:val="24"/>
          <w:highlight w:val="none"/>
          <w:lang w:val="en-US" w:eastAsia="zh-CN"/>
        </w:rPr>
        <w:t>是</w:t>
      </w:r>
      <w:r>
        <w:rPr>
          <w:rFonts w:ascii="宋体" w:eastAsia="宋体" w:hAnsi="宋体" w:cs="宋体" w:hint="eastAsia"/>
          <w:sz w:val="24"/>
          <w:szCs w:val="24"/>
          <w:highlight w:val="none"/>
        </w:rPr>
        <w:t>由于受到</w:t>
      </w:r>
      <w:r>
        <w:rPr>
          <w:rFonts w:ascii="宋体" w:hAnsi="宋体" w:cs="宋体" w:hint="eastAsia"/>
          <w:sz w:val="24"/>
          <w:szCs w:val="24"/>
          <w:highlight w:val="none"/>
          <w:lang w:val="en-US" w:eastAsia="zh-CN"/>
        </w:rPr>
        <w:t>国内外童装市场商业环境，消费市场需求变化等方面的影响，我国</w:t>
      </w:r>
      <w:r>
        <w:rPr>
          <w:rFonts w:ascii="宋体" w:eastAsia="宋体" w:hAnsi="宋体" w:cs="宋体" w:hint="eastAsia"/>
          <w:sz w:val="24"/>
          <w:szCs w:val="24"/>
          <w:highlight w:val="none"/>
        </w:rPr>
        <w:t>童装市场</w:t>
      </w:r>
      <w:r>
        <w:rPr>
          <w:rFonts w:ascii="宋体" w:hAnsi="宋体" w:cs="宋体" w:hint="eastAsia"/>
          <w:sz w:val="24"/>
          <w:szCs w:val="24"/>
          <w:highlight w:val="none"/>
          <w:lang w:val="en-US" w:eastAsia="zh-CN"/>
        </w:rPr>
        <w:t>依然</w:t>
      </w:r>
      <w:r>
        <w:rPr>
          <w:rFonts w:ascii="宋体" w:eastAsia="宋体" w:hAnsi="宋体" w:cs="宋体" w:hint="eastAsia"/>
          <w:sz w:val="24"/>
          <w:szCs w:val="24"/>
          <w:highlight w:val="none"/>
          <w:lang w:val="en-US" w:eastAsia="zh-CN"/>
        </w:rPr>
        <w:t>面临</w:t>
      </w:r>
      <w:r>
        <w:rPr>
          <w:rFonts w:ascii="宋体" w:hAnsi="宋体" w:cs="宋体" w:hint="eastAsia"/>
          <w:sz w:val="24"/>
          <w:szCs w:val="24"/>
          <w:highlight w:val="none"/>
          <w:lang w:val="en-US" w:eastAsia="zh-CN"/>
        </w:rPr>
        <w:t>着严峻</w:t>
      </w:r>
      <w:r>
        <w:rPr>
          <w:rFonts w:ascii="宋体" w:eastAsia="宋体" w:hAnsi="宋体" w:cs="宋体" w:hint="eastAsia"/>
          <w:sz w:val="24"/>
          <w:szCs w:val="24"/>
          <w:highlight w:val="none"/>
          <w:lang w:val="en-US" w:eastAsia="zh-CN"/>
        </w:rPr>
        <w:t>挑战</w:t>
      </w:r>
      <w:r>
        <w:rPr>
          <w:rFonts w:ascii="宋体" w:eastAsia="宋体" w:hAnsi="宋体" w:cs="宋体" w:hint="eastAsia"/>
          <w:sz w:val="24"/>
          <w:szCs w:val="24"/>
          <w:highlight w:val="none"/>
        </w:rPr>
        <w:t>。</w:t>
      </w:r>
      <w:r>
        <w:rPr>
          <w:rFonts w:ascii="宋体" w:eastAsia="宋体" w:hAnsi="宋体" w:cs="宋体" w:hint="eastAsia"/>
          <w:sz w:val="24"/>
          <w:szCs w:val="24"/>
          <w:highlight w:val="none"/>
          <w:lang w:val="en-US" w:eastAsia="zh-CN"/>
        </w:rPr>
        <w:t>本文</w:t>
      </w:r>
      <w:r>
        <w:rPr>
          <w:rFonts w:ascii="宋体" w:eastAsia="宋体" w:hAnsi="宋体" w:cs="宋体" w:hint="eastAsia"/>
          <w:sz w:val="24"/>
          <w:szCs w:val="24"/>
          <w:highlight w:val="none"/>
        </w:rPr>
        <w:t>主要以安奈儿股份有限公司为例进行探讨</w:t>
      </w:r>
      <w:r>
        <w:rPr>
          <w:rFonts w:ascii="宋体" w:hAnsi="宋体" w:cs="宋体" w:hint="eastAsia"/>
          <w:sz w:val="24"/>
          <w:szCs w:val="24"/>
          <w:highlight w:val="none"/>
          <w:lang w:eastAsia="zh-CN"/>
        </w:rPr>
        <w:t>，利用公司相关财务数据报表等信息</w:t>
      </w:r>
      <w:r>
        <w:rPr>
          <w:rFonts w:ascii="宋体" w:hAnsi="宋体" w:cs="宋体" w:hint="eastAsia"/>
          <w:sz w:val="24"/>
          <w:szCs w:val="24"/>
          <w:highlight w:val="none"/>
          <w:lang w:val="en-US" w:eastAsia="zh-CN"/>
        </w:rPr>
        <w:t>分析安奈儿股份有限公司</w:t>
      </w:r>
      <w:r>
        <w:rPr>
          <w:rFonts w:ascii="宋体" w:eastAsia="宋体" w:hAnsi="宋体" w:cs="宋体" w:hint="eastAsia"/>
          <w:sz w:val="24"/>
          <w:szCs w:val="24"/>
          <w:highlight w:val="none"/>
        </w:rPr>
        <w:t>盈利能力</w:t>
      </w:r>
      <w:r>
        <w:rPr>
          <w:rFonts w:ascii="宋体" w:hAnsi="宋体" w:cs="宋体" w:hint="eastAsia"/>
          <w:sz w:val="24"/>
          <w:szCs w:val="24"/>
          <w:highlight w:val="none"/>
          <w:lang w:val="en-US" w:eastAsia="zh-CN"/>
        </w:rPr>
        <w:t>及相关影响因素</w:t>
      </w:r>
      <w:r>
        <w:rPr>
          <w:rFonts w:ascii="宋体" w:hAnsi="宋体" w:cs="宋体" w:hint="eastAsia"/>
          <w:sz w:val="24"/>
          <w:szCs w:val="24"/>
          <w:highlight w:val="none"/>
          <w:lang w:eastAsia="zh-CN"/>
        </w:rPr>
        <w:t>，</w:t>
      </w:r>
      <w:r>
        <w:rPr>
          <w:rFonts w:ascii="宋体" w:hAnsi="宋体" w:cs="宋体" w:hint="eastAsia"/>
          <w:sz w:val="24"/>
          <w:szCs w:val="24"/>
          <w:highlight w:val="none"/>
          <w:lang w:val="en-US" w:eastAsia="zh-CN"/>
        </w:rPr>
        <w:t>其次对比同行业其他公司研究其盈利能力，并且在实证方面选用具有普遍代表性的盈利能力指标净资产收益率作为因变量进一步研究公司的盈利现状，结合</w:t>
      </w:r>
      <w:r>
        <w:rPr>
          <w:rFonts w:ascii="宋体" w:eastAsia="宋体" w:hAnsi="宋体" w:cs="宋体" w:hint="eastAsia"/>
          <w:sz w:val="24"/>
          <w:szCs w:val="24"/>
          <w:highlight w:val="none"/>
          <w:lang w:val="en-US" w:eastAsia="zh-CN"/>
        </w:rPr>
        <w:t>资产结构</w:t>
      </w:r>
      <w:r>
        <w:rPr>
          <w:rFonts w:ascii="宋体" w:hAnsi="宋体" w:cs="宋体" w:hint="eastAsia"/>
          <w:sz w:val="24"/>
          <w:szCs w:val="24"/>
          <w:highlight w:val="none"/>
          <w:lang w:val="en-US" w:eastAsia="zh-CN"/>
        </w:rPr>
        <w:t>来</w:t>
      </w:r>
      <w:r>
        <w:rPr>
          <w:rFonts w:ascii="宋体" w:eastAsia="宋体" w:hAnsi="宋体" w:cs="宋体" w:hint="eastAsia"/>
          <w:sz w:val="24"/>
          <w:szCs w:val="24"/>
          <w:highlight w:val="none"/>
          <w:lang w:val="en-US" w:eastAsia="zh-CN"/>
        </w:rPr>
        <w:t>研究对安奈儿盈利能力影响相关程度。</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00" w:lineRule="exact"/>
        <w:ind w:right="0" w:firstLine="480" w:rightChars="0" w:firstLineChars="200"/>
        <w:jc w:val="both"/>
        <w:textAlignment w:val="auto"/>
        <w:rPr>
          <w:rFonts w:ascii="宋体" w:hAnsi="宋体" w:cs="宋体" w:hint="eastAsia"/>
          <w:sz w:val="24"/>
          <w:lang w:bidi="ar"/>
        </w:rPr>
      </w:pPr>
      <w:r>
        <w:rPr>
          <w:rFonts w:ascii="宋体" w:eastAsia="宋体" w:hAnsi="宋体" w:cs="宋体" w:hint="eastAsia"/>
          <w:sz w:val="24"/>
          <w:szCs w:val="24"/>
          <w:highlight w:val="none"/>
        </w:rPr>
        <w:t>因此重点</w:t>
      </w:r>
      <w:r>
        <w:rPr>
          <w:rFonts w:ascii="宋体" w:eastAsia="宋体" w:hAnsi="宋体" w:cs="宋体" w:hint="eastAsia"/>
          <w:sz w:val="24"/>
          <w:szCs w:val="24"/>
          <w:highlight w:val="none"/>
          <w:lang w:val="en-US" w:eastAsia="zh-CN"/>
        </w:rPr>
        <w:t>关注多元回归模型探讨资产结构与安奈</w:t>
      </w:r>
      <w:r>
        <w:rPr>
          <w:rFonts w:ascii="宋体" w:eastAsia="宋体" w:hAnsi="宋体" w:cs="宋体" w:hint="eastAsia"/>
          <w:sz w:val="24"/>
          <w:szCs w:val="24"/>
          <w:lang w:val="en-US" w:eastAsia="zh-CN"/>
        </w:rPr>
        <w:t>儿</w:t>
      </w:r>
      <w:r>
        <w:rPr>
          <w:rFonts w:ascii="宋体" w:eastAsia="宋体" w:hAnsi="宋体" w:cs="宋体" w:hint="eastAsia"/>
          <w:sz w:val="24"/>
          <w:szCs w:val="24"/>
        </w:rPr>
        <w:t>盈利能力</w:t>
      </w:r>
      <w:r>
        <w:rPr>
          <w:rFonts w:ascii="宋体" w:eastAsia="宋体" w:hAnsi="宋体" w:cs="宋体" w:hint="eastAsia"/>
          <w:sz w:val="24"/>
          <w:szCs w:val="24"/>
          <w:lang w:val="en-US" w:eastAsia="zh-CN"/>
        </w:rPr>
        <w:t>方面的研究</w:t>
      </w:r>
      <w:r>
        <w:rPr>
          <w:rFonts w:ascii="宋体" w:eastAsia="宋体" w:hAnsi="宋体" w:cs="宋体" w:hint="eastAsia"/>
          <w:sz w:val="24"/>
          <w:szCs w:val="24"/>
        </w:rPr>
        <w:t>分析</w:t>
      </w:r>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此实证研究采用</w:t>
      </w:r>
      <w:r>
        <w:rPr>
          <w:rFonts w:ascii="宋体" w:hAnsi="华文楷体" w:hint="eastAsia"/>
          <w:sz w:val="24"/>
          <w:lang w:val="en-US" w:eastAsia="zh-CN"/>
        </w:rPr>
        <w:t>多元线性回归模型分析资产结构对安奈儿股份有限公司盈利能力的影响，利</w:t>
      </w:r>
      <w:r>
        <w:rPr>
          <w:rFonts w:ascii="宋体" w:eastAsia="宋体" w:hAnsi="宋体" w:cs="宋体" w:hint="eastAsia"/>
          <w:kern w:val="2"/>
          <w:sz w:val="24"/>
          <w:szCs w:val="24"/>
          <w:lang w:val="en-US" w:eastAsia="zh-CN" w:bidi="ar"/>
        </w:rPr>
        <w:t>用E-VIEWS7.2软件构建模型，得出相关结论，希望对安奈儿提高企业的总资产运营能力有一定的帮助，以及</w:t>
      </w:r>
      <w:r>
        <w:rPr>
          <w:rFonts w:ascii="宋体" w:hAnsi="华文楷体" w:hint="eastAsia"/>
          <w:sz w:val="24"/>
          <w:lang w:val="en-US" w:eastAsia="zh-CN"/>
        </w:rPr>
        <w:t>给出基本发展策略的建议。</w:t>
      </w:r>
      <w:r>
        <w:rPr>
          <w:rFonts w:ascii="宋体" w:eastAsia="宋体" w:hAnsi="宋体" w:cs="宋体" w:hint="eastAsia"/>
          <w:kern w:val="2"/>
          <w:sz w:val="24"/>
          <w:szCs w:val="24"/>
          <w:lang w:val="en-US" w:eastAsia="zh-CN" w:bidi="ar"/>
        </w:rPr>
        <w:t>本次研究对童装企业以安奈儿股份有限公司为例，通过分析其盈利能力做出利于发挥竞争优势的战略，为安奈儿提高产品竞争能力提供思路,并提出相应的建议,加速其童装产品的发展,提高自身综合能力。</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ascii="宋体" w:hAnsi="宋体" w:cs="宋体" w:hint="eastAsia"/>
          <w:sz w:val="24"/>
        </w:rPr>
      </w:pPr>
    </w:p>
    <w:p>
      <w:pPr>
        <w:spacing w:line="400" w:lineRule="exact"/>
        <w:rPr>
          <w:sz w:val="24"/>
        </w:rPr>
      </w:pPr>
    </w:p>
    <w:p>
      <w:pPr>
        <w:spacing w:line="400" w:lineRule="exact"/>
        <w:rPr>
          <w:rFonts w:cs="宋体" w:hint="eastAsia"/>
          <w:sz w:val="24"/>
        </w:rPr>
      </w:pPr>
      <w:r>
        <w:rPr>
          <w:rFonts w:ascii="黑体" w:eastAsia="黑体" w:cs="黑体" w:hint="eastAsia"/>
          <w:b/>
          <w:bCs/>
          <w:sz w:val="24"/>
        </w:rPr>
        <w:t>关键词</w:t>
      </w:r>
      <w:r>
        <w:rPr>
          <w:rFonts w:cs="宋体" w:hint="eastAsia"/>
          <w:sz w:val="24"/>
        </w:rPr>
        <w:t>：</w:t>
      </w:r>
      <w:r>
        <w:rPr>
          <w:rFonts w:cs="宋体" w:hint="eastAsia"/>
          <w:sz w:val="24"/>
          <w:lang w:val="en-US" w:eastAsia="zh-CN"/>
        </w:rPr>
        <w:t xml:space="preserve">童装行业；安奈儿；多元回归；资产结构；盈利能力 </w:t>
      </w:r>
    </w:p>
    <w:p>
      <w:pPr>
        <w:spacing w:line="400" w:lineRule="exact"/>
        <w:rPr>
          <w:rFonts w:cs="宋体" w:hint="eastAsia"/>
          <w:sz w:val="24"/>
        </w:rPr>
      </w:pPr>
    </w:p>
    <w:p>
      <w:pPr>
        <w:spacing w:line="400" w:lineRule="exact"/>
        <w:rPr>
          <w:rFonts w:cs="宋体" w:hint="eastAsia"/>
          <w:sz w:val="24"/>
        </w:rPr>
      </w:pPr>
    </w:p>
    <w:p>
      <w:pPr>
        <w:spacing w:line="400" w:lineRule="exact"/>
        <w:rPr>
          <w:rFonts w:cs="宋体" w:hint="eastAsia"/>
          <w:sz w:val="24"/>
        </w:rPr>
      </w:pPr>
    </w:p>
    <w:p>
      <w:pPr>
        <w:spacing w:line="400" w:lineRule="exact"/>
        <w:rPr>
          <w:rFonts w:cs="宋体" w:hint="eastAsia"/>
          <w:sz w:val="24"/>
        </w:rPr>
      </w:pPr>
    </w:p>
    <w:p>
      <w:pPr>
        <w:spacing w:line="400" w:lineRule="exact"/>
        <w:rPr>
          <w:rFonts w:cs="宋体" w:hint="eastAsia"/>
          <w:sz w:val="24"/>
        </w:rPr>
        <w:sectPr>
          <w:headerReference w:type="even" r:id="rId4"/>
          <w:headerReference w:type="default" r:id="rId5"/>
          <w:footerReference w:type="even" r:id="rId6"/>
          <w:footerReference w:type="default" r:id="rId7"/>
          <w:headerReference w:type="first" r:id="rId8"/>
          <w:footerReference w:type="first" r:id="rId9"/>
          <w:type w:val="nextPage"/>
          <w:pgSz w:w="11906" w:h="16838"/>
          <w:pgMar w:top="1440" w:right="1800" w:bottom="1440" w:left="1800" w:header="851" w:footer="992" w:gutter="0"/>
          <w:pgNumType w:fmt="upperRoman" w:start="1"/>
          <w:cols w:space="708"/>
          <w:titlePg/>
          <w:docGrid w:type="lines" w:linePitch="312" w:charSpace="0"/>
        </w:sectPr>
      </w:pPr>
    </w:p>
    <w:p>
      <w:pPr>
        <w:spacing w:line="400" w:lineRule="exact"/>
        <w:rPr>
          <w:rFonts w:cs="宋体" w:hint="eastAsia"/>
          <w:sz w:val="24"/>
        </w:rPr>
      </w:pPr>
    </w:p>
    <w:p>
      <w:pPr>
        <w:spacing w:line="400" w:lineRule="exact"/>
        <w:rPr>
          <w:rFonts w:cs="宋体" w:hint="eastAsia"/>
          <w:sz w:val="24"/>
        </w:rPr>
      </w:pPr>
    </w:p>
    <w:p>
      <w:pPr>
        <w:spacing w:line="400" w:lineRule="exact"/>
        <w:rPr>
          <w:rFonts w:cs="宋体" w:hint="eastAsia"/>
          <w:sz w:val="24"/>
        </w:rPr>
      </w:pPr>
    </w:p>
    <w:p>
      <w:pPr>
        <w:spacing w:line="400" w:lineRule="exact"/>
        <w:rPr>
          <w:rFonts w:cs="宋体" w:hint="eastAsia"/>
          <w:sz w:val="24"/>
        </w:rPr>
      </w:pPr>
    </w:p>
    <w:p>
      <w:pPr>
        <w:spacing w:line="400" w:lineRule="exact"/>
        <w:rPr>
          <w:rFonts w:cs="宋体" w:hint="eastAsia"/>
          <w:sz w:val="24"/>
        </w:rPr>
      </w:pPr>
    </w:p>
    <w:p>
      <w:pPr>
        <w:spacing w:line="400" w:lineRule="exact"/>
        <w:rPr>
          <w:rFonts w:cs="宋体" w:hint="eastAsia"/>
          <w:sz w:val="24"/>
        </w:rPr>
      </w:pPr>
    </w:p>
    <w:p>
      <w:pPr>
        <w:spacing w:line="400" w:lineRule="exact"/>
        <w:rPr>
          <w:rFonts w:cs="宋体" w:hint="eastAsia"/>
          <w:sz w:val="24"/>
        </w:rPr>
      </w:pPr>
    </w:p>
    <w:p>
      <w:pPr>
        <w:spacing w:line="400" w:lineRule="exact"/>
        <w:rPr>
          <w:rFonts w:cs="宋体" w:hint="eastAsia"/>
          <w:sz w:val="24"/>
        </w:rPr>
      </w:pPr>
    </w:p>
    <w:p>
      <w:pPr>
        <w:spacing w:line="400" w:lineRule="exact"/>
        <w:ind w:firstLine="3520" w:firstLineChars="1100"/>
        <w:rPr>
          <w:b/>
          <w:bCs/>
          <w:sz w:val="32"/>
          <w:szCs w:val="32"/>
        </w:rPr>
      </w:pPr>
      <w:r>
        <w:rPr>
          <w:b/>
          <w:bCs/>
          <w:sz w:val="32"/>
          <w:szCs w:val="32"/>
        </w:rPr>
        <w:br/>
      </w:r>
      <w:r>
        <w:rPr>
          <w:b/>
          <w:bCs/>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https://d.book118.com/568117101026006047</w:t>
        </w:r>
      </w:hyperlink>
    </w:p>
    <w:p>
      <w:pPr>
        <w:spacing w:line="400" w:lineRule="exact"/>
        <w:ind w:firstLine="3520" w:firstLineChars="1100"/>
        <w:rPr>
          <w:b/>
          <w:bCs/>
          <w:sz w:val="32"/>
          <w:szCs w:val="32"/>
        </w:rPr>
      </w:pPr>
    </w:p>
    <w:sectPr>
      <w:headerReference w:type="even" r:id="rId11"/>
      <w:headerReference w:type="default" r:id="rId12"/>
      <w:footerReference w:type="even" r:id="rId13"/>
      <w:footerReference w:type="default" r:id="rId14"/>
      <w:headerReference w:type="first" r:id="rId15"/>
      <w:footerReference w:type="first" r:id="rId16"/>
      <w:type w:val="nextPage"/>
      <w:pgSz w:w="11906" w:h="16838"/>
      <w:pgMar w:top="1440" w:right="1800" w:bottom="1440" w:left="1800" w:header="851" w:footer="992" w:gutter="0"/>
      <w:pgNumType w:fmt="upperRoman" w:start="2"/>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56" o:spid="_x0000_s2049"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55" o:spid="_x0000_s2050"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II</w:t>
                </w:r>
                <w:r>
                  <w:rPr>
                    <w:rFonts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57" o:spid="_x0000_s2051"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56" o:spid="_x0000_s2052"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55" o:spid="_x0000_s2053"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II</w:t>
                </w:r>
                <w:r>
                  <w:rPr>
                    <w:rFonts w:hint="eastAsia"/>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057" o:spid="_x0000_s205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hint="eastAsia"/>
        <w:lang w:val="en-US" w:eastAsia="zh-CN"/>
      </w:rPr>
      <w:t xml:space="preserve"> </w:t>
    </w:r>
  </w:p>
  <w:p>
    <w:pPr>
      <w:pBdr>
        <w:bottom w:val="none" w:sz="0" w:space="0" w:color="auto"/>
      </w:pBdr>
      <w:ind w:firstLine="3570" w:firstLineChars="1700"/>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none" w:sz="0" w:space="0" w:color="auto"/>
      </w:pBdr>
      <w:ind w:firstLine="3240" w:firstLineChars="1800"/>
      <w:rPr>
        <w:rFonts w:hint="eastAsia"/>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hint="eastAsia"/>
        <w:lang w:val="en-US" w:eastAsia="zh-CN"/>
      </w:rPr>
      <w:t>第一章 绪论</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hint="eastAsia"/>
        <w:lang w:val="en-US" w:eastAsia="zh-CN"/>
      </w:rPr>
      <w:t xml:space="preserve"> </w:t>
    </w:r>
  </w:p>
  <w:p>
    <w:pPr>
      <w:pBdr>
        <w:bottom w:val="none" w:sz="0" w:space="0" w:color="auto"/>
      </w:pBdr>
      <w:ind w:firstLine="3570" w:firstLineChars="1700"/>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none" w:sz="0" w:space="0" w:color="auto"/>
      </w:pBdr>
      <w:ind w:firstLine="3240" w:firstLineChars="1800"/>
      <w:rPr>
        <w:rFonts w:hint="eastAsia"/>
        <w:sz w:val="18"/>
        <w:szCs w:val="18"/>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hint="eastAsia"/>
        <w:lang w:val="en-US" w:eastAsia="zh-CN"/>
      </w:rPr>
      <w:t>第一章 绪论</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3CD11B5"/>
    <w:multiLevelType w:val="singleLevel"/>
    <w:tmpl w:val="A3CD11B5"/>
    <w:lvl w:ilvl="0">
      <w:start w:val="1"/>
      <w:numFmt w:val="chineseCounting"/>
      <w:suff w:val="space"/>
      <w:lvlText w:val="第%1章"/>
      <w:lvlJc w:val="left"/>
      <w:rPr>
        <w:rFonts w:hint="eastAsia"/>
      </w:rPr>
    </w:lvl>
  </w:abstractNum>
  <w:abstractNum w:abstractNumId="1">
    <w:nsid w:val="CAFF095F"/>
    <w:multiLevelType w:val="multilevel"/>
    <w:tmpl w:val="CAFF095F"/>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E4A208C8"/>
    <w:multiLevelType w:val="singleLevel"/>
    <w:tmpl w:val="E4A208C8"/>
    <w:lvl w:ilvl="0">
      <w:start w:val="2"/>
      <w:numFmt w:val="chineseCounting"/>
      <w:suff w:val="nothing"/>
      <w:lvlText w:val="（%1）"/>
      <w:lvlJc w:val="left"/>
      <w:rPr>
        <w:rFonts w:hint="eastAsia"/>
      </w:rPr>
    </w:lvl>
  </w:abstractNum>
  <w:abstractNum w:abstractNumId="3">
    <w:nsid w:val="0C963F33"/>
    <w:multiLevelType w:val="singleLevel"/>
    <w:tmpl w:val="0C963F33"/>
    <w:lvl w:ilvl="0">
      <w:start w:val="1"/>
      <w:numFmt w:val="decimal"/>
      <w:lvlText w:val="（%1)"/>
      <w:lvlJc w:val="left"/>
      <w:pPr>
        <w:tabs>
          <w:tab w:val="num" w:pos="312"/>
        </w:tabs>
      </w:pPr>
    </w:lvl>
  </w:abstractNum>
  <w:abstractNum w:abstractNumId="4">
    <w:nsid w:val="60896C02"/>
    <w:multiLevelType w:val="singleLevel"/>
    <w:tmpl w:val="60896C02"/>
    <w:lvl w:ilvl="0">
      <w:start w:val="2"/>
      <w:numFmt w:val="chineseCounting"/>
      <w:suff w:val="nothing"/>
      <w:lvlText w:val="（%1）"/>
      <w:lvlJc w:val="left"/>
      <w:rPr>
        <w:rFonts w:hint="eastAsia"/>
      </w:rPr>
    </w:lvl>
  </w:abstractNum>
  <w:abstractNum w:abstractNumId="5">
    <w:nsid w:val="653E752E"/>
    <w:multiLevelType w:val="singleLevel"/>
    <w:tmpl w:val="653E752E"/>
    <w:lvl w:ilvl="0">
      <w:start w:val="1"/>
      <w:numFmt w:val="decimal"/>
      <w:suff w:val="nothing"/>
      <w:lvlText w:val="（%1）"/>
      <w:lvlJc w:val="left"/>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2840D9C"/>
    <w:rsid w:val="03270927"/>
    <w:rsid w:val="03406AC9"/>
    <w:rsid w:val="03D844D1"/>
    <w:rsid w:val="0CF60342"/>
    <w:rsid w:val="0E5323F5"/>
    <w:rsid w:val="13177813"/>
    <w:rsid w:val="15365C3D"/>
    <w:rsid w:val="163863A6"/>
    <w:rsid w:val="17684211"/>
    <w:rsid w:val="187807EF"/>
    <w:rsid w:val="1B453003"/>
    <w:rsid w:val="1E182EC2"/>
    <w:rsid w:val="21585BB8"/>
    <w:rsid w:val="22313760"/>
    <w:rsid w:val="224107B3"/>
    <w:rsid w:val="295B1998"/>
    <w:rsid w:val="2A4742E1"/>
    <w:rsid w:val="311A10F4"/>
    <w:rsid w:val="33283E89"/>
    <w:rsid w:val="33356122"/>
    <w:rsid w:val="3550122E"/>
    <w:rsid w:val="364C5FCA"/>
    <w:rsid w:val="36F838A4"/>
    <w:rsid w:val="37DB545B"/>
    <w:rsid w:val="3A2D6C95"/>
    <w:rsid w:val="3D573198"/>
    <w:rsid w:val="403B3369"/>
    <w:rsid w:val="408467B2"/>
    <w:rsid w:val="431B5279"/>
    <w:rsid w:val="48B97B40"/>
    <w:rsid w:val="49EF0AE5"/>
    <w:rsid w:val="4F451539"/>
    <w:rsid w:val="51AF76A2"/>
    <w:rsid w:val="541F6DC0"/>
    <w:rsid w:val="5DA451FC"/>
    <w:rsid w:val="652C1DBE"/>
    <w:rsid w:val="68094F15"/>
    <w:rsid w:val="68C54DEB"/>
    <w:rsid w:val="6B917928"/>
    <w:rsid w:val="71263916"/>
    <w:rsid w:val="71EC5A05"/>
    <w:rsid w:val="73876B67"/>
    <w:rsid w:val="73AD3072"/>
    <w:rsid w:val="73DE00C6"/>
    <w:rsid w:val="743F56B9"/>
    <w:rsid w:val="7F877064"/>
    <w:rsid w:val="7FD115CA"/>
    <w:rsid w:val="7FE96D0F"/>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qFormat="1"/>
    <w:lsdException w:name="Normal Indent" w:semiHidden="0" w:uiPriority="0" w:unhideWhenUsed="0"/>
    <w:lsdException w:name="footnote text" w:semiHidden="0" w:uiPriority="0" w:unhideWhenUsed="0"/>
    <w:lsdException w:name="annotation text" w:semiHidden="0" w:uiPriority="0" w:unhideWhenUsed="0"/>
    <w:lsdException w:name="header" w:semiHidden="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uiPriority w:val="99"/>
    <w:unhideWhenUsed/>
    <w:qFormat/>
    <w:pPr>
      <w:pBdr>
        <w:bottom w:val="single" w:sz="6" w:space="1" w:color="auto"/>
      </w:pBdr>
      <w:tabs>
        <w:tab w:val="center" w:pos="4153"/>
        <w:tab w:val="right" w:pos="8306"/>
      </w:tabs>
      <w:snapToGrid w:val="0"/>
      <w:jc w:val="center"/>
    </w:pPr>
    <w:rPr>
      <w:sz w:val="18"/>
      <w:szCs w:val="18"/>
    </w:rPr>
  </w:style>
  <w:style w:type="paragraph" w:styleId="TOC9">
    <w:name w:val="toc 9"/>
    <w:basedOn w:val="Normal"/>
    <w:next w:val="Normal"/>
    <w:qFormat/>
    <w:pPr>
      <w:ind w:left="3360" w:leftChars="1600"/>
    </w:pPr>
  </w:style>
  <w:style w:type="paragraph" w:styleId="NormalWeb">
    <w:name w:val="Normal (Web)"/>
    <w:basedOn w:val="Normal"/>
    <w:qFormat/>
    <w:pPr>
      <w:spacing w:before="100" w:beforeAutospacing="1" w:after="100" w:afterAutospacing="1"/>
      <w:ind w:left="0" w:right="0"/>
      <w:jc w:val="left"/>
    </w:pPr>
    <w:rPr>
      <w:kern w:val="0"/>
      <w:sz w:val="24"/>
      <w:lang w:val="en-US" w:eastAsia="zh-CN" w:bidi="ar"/>
    </w:rPr>
  </w:style>
  <w:style w:type="paragraph" w:customStyle="1" w:styleId="WPSOffice2">
    <w:name w:val="WPSOffice手动目录 2"/>
    <w:qFormat/>
    <w:pPr>
      <w:ind w:leftChars="200"/>
    </w:pPr>
    <w:rPr>
      <w:rFonts w:ascii="Calibri" w:eastAsia="宋体" w:hAnsi="Calibri" w:cs="Times New Roman"/>
      <w:sz w:val="20"/>
      <w:szCs w:val="20"/>
    </w:rPr>
  </w:style>
  <w:style w:type="paragraph" w:customStyle="1" w:styleId="WPSOffice1">
    <w:name w:val="WPSOffice手动目录 1"/>
    <w:qFormat/>
    <w:pPr>
      <w:ind w:leftChars="0"/>
    </w:pPr>
    <w:rPr>
      <w:rFonts w:ascii="Calibri" w:eastAsia="宋体" w:hAnsi="Calibri" w:cs="Times New Roman"/>
      <w:sz w:val="20"/>
      <w:szCs w:val="20"/>
    </w:rPr>
  </w:style>
  <w:style w:type="paragraph" w:customStyle="1" w:styleId="WPSOffice3">
    <w:name w:val="WPSOffice手动目录 3"/>
    <w:qFormat/>
    <w:pPr>
      <w:ind w:leftChars="400"/>
    </w:pPr>
    <w:rPr>
      <w:rFonts w:ascii="Calibri" w:eastAsia="宋体" w:hAnsi="Calibri" w:cs="Times New Roman"/>
      <w:sz w:val="20"/>
      <w:szCs w:val="20"/>
    </w:rPr>
  </w:style>
  <w:style w:type="paragraph" w:customStyle="1" w:styleId="15">
    <w:name w:val="样式 正文主体部分 + 宋体 行距: 1.5 倍行距"/>
    <w:basedOn w:val="Normal"/>
    <w:qFormat/>
    <w:pPr>
      <w:spacing w:line="400" w:lineRule="exact"/>
      <w:ind w:firstLine="200" w:firstLineChars="200"/>
    </w:pPr>
    <w:rPr>
      <w:rFonts w:ascii="宋体" w:hAnsi="宋体" w:cs="宋体"/>
      <w:sz w:val="24"/>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568117101026006047" TargetMode="Externa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157266240</TotalTime>
  <Pages>2</Pages>
  <Words>17508</Words>
  <Characters>23592</Characters>
  <Application>Microsoft Office Word</Application>
  <DocSecurity>0</DocSecurity>
  <Lines>0</Lines>
  <Paragraphs>0</Paragraphs>
  <ScaleCrop>false</ScaleCrop>
  <Company/>
  <LinksUpToDate>false</LinksUpToDate>
  <CharactersWithSpaces>25488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dc:creator>
  <cp:lastModifiedBy>张老师</cp:lastModifiedBy>
  <cp:revision>1</cp:revision>
  <dcterms:created xsi:type="dcterms:W3CDTF">2020-02-16T06:52:00Z</dcterms:created>
  <dcterms:modified xsi:type="dcterms:W3CDTF">2024-03-17T06:18:05Z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56C7A06E6A5A44F0943CED8E3BA7AEE7_12</vt:lpwstr>
  </property>
  <property fmtid="{D5CDD505-2E9C-101B-9397-08002B2CF9AE}" pid="3" name="KSOProductBuildVer">
    <vt:lpwstr>2052-12.1.0.16250</vt:lpwstr>
  </property>
  <property fmtid="{D5CDD505-2E9C-101B-9397-08002B2CF9AE}" pid="4" name="KSORubyTemplateID">
    <vt:lpwstr>6</vt:lpwstr>
  </property>
</Properties>
</file>