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E7DC5" w:rsidRPr="006E7DC5" w:rsidP="006E7DC5">
      <w:pPr>
        <w:spacing w:line="360" w:lineRule="auto"/>
        <w:jc w:val="center"/>
        <w:textAlignment w:val="center"/>
        <w:rPr>
          <w:rFonts w:ascii="Times New Roman" w:hAnsi="Times New Roman" w:cs="Times New Roman"/>
          <w:b/>
          <w:sz w:val="32"/>
          <w:szCs w:val="32"/>
        </w:rPr>
      </w:pPr>
      <w:r w:rsidRPr="006E7DC5">
        <w:rPr>
          <w:rFonts w:ascii="Times New Roman" w:hAnsi="Times New Roman" w:cs="Times New Roman"/>
          <w:b/>
          <w:sz w:val="32"/>
          <w:szCs w:val="32"/>
        </w:rPr>
        <w:t>考点</w:t>
      </w:r>
      <w:r w:rsidRPr="006E7DC5">
        <w:rPr>
          <w:rFonts w:ascii="Times New Roman" w:hAnsi="Times New Roman" w:cs="Times New Roman"/>
          <w:b/>
          <w:sz w:val="32"/>
          <w:szCs w:val="32"/>
        </w:rPr>
        <w:t xml:space="preserve">07  </w:t>
      </w:r>
      <w:r w:rsidRPr="006E7DC5">
        <w:rPr>
          <w:rFonts w:ascii="Times New Roman" w:hAnsi="Times New Roman" w:cs="Times New Roman"/>
          <w:b/>
          <w:sz w:val="32"/>
          <w:szCs w:val="32"/>
        </w:rPr>
        <w:t>中国古代的政治经济</w:t>
      </w:r>
    </w:p>
    <w:p w:rsidR="006E7DC5" w:rsidP="006E7DC5">
      <w:pPr>
        <w:spacing w:line="360" w:lineRule="auto"/>
        <w:jc w:val="left"/>
        <w:textAlignment w:val="center"/>
        <w:rPr>
          <w:rFonts w:ascii="Times New Roman" w:eastAsia="宋体" w:hAnsi="Times New Roman" w:cs="Times New Roman"/>
          <w:szCs w:val="22"/>
        </w:rPr>
      </w:pP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1</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认真阅读材料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结合所学知识</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回答问题</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据史料记载</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周武王病死后</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成王年幼</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武王的弟弟周公旦辅政</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引起管叔</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蔡叔等贵族的不满</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纣子武庚拉拢二叔起兵</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经过三年苦战</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才被平定</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战后</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周公意识到分封死在必须</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在</w:t>
      </w:r>
      <w:r w:rsidRPr="006E7DC5">
        <w:rPr>
          <w:rFonts w:ascii="Times New Roman" w:eastAsia="楷体" w:hAnsi="Times New Roman" w:cs="Times New Roman"/>
          <w:szCs w:val="22"/>
        </w:rPr>
        <w:t>“</w:t>
      </w:r>
      <w:r w:rsidRPr="006E7DC5">
        <w:rPr>
          <w:rFonts w:ascii="Times New Roman" w:eastAsia="楷体" w:hAnsi="Times New Roman" w:cs="Times New Roman"/>
          <w:szCs w:val="22"/>
        </w:rPr>
        <w:t>吊二叔之不咸</w:t>
      </w:r>
      <w:r w:rsidRPr="006E7DC5">
        <w:rPr>
          <w:rFonts w:ascii="Times New Roman" w:eastAsia="楷体" w:hAnsi="Times New Roman" w:cs="Times New Roman"/>
          <w:szCs w:val="22"/>
        </w:rPr>
        <w:t>”</w:t>
      </w:r>
      <w:r w:rsidRPr="006E7DC5">
        <w:rPr>
          <w:rFonts w:ascii="Times New Roman" w:eastAsia="楷体" w:hAnsi="Times New Roman" w:cs="Times New Roman"/>
          <w:szCs w:val="22"/>
        </w:rPr>
        <w:t>之余</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封建亲戚</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以藩屏周</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欲观周之所以定天下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必自其制度始矣。周之制度之大异于商者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一曰立子立嫡之制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由是而生宗法及丧服之制；并由是而有封建子弟之制、君天子臣诸侯之制。</w:t>
      </w:r>
      <w:r w:rsidRPr="006E7DC5">
        <w:rPr>
          <w:rFonts w:ascii="Times New Roman" w:eastAsia="楷体" w:hAnsi="Times New Roman" w:cs="Times New Roman"/>
          <w:szCs w:val="22"/>
        </w:rPr>
        <w:t>……</w:t>
      </w:r>
      <w:r w:rsidRPr="006E7DC5">
        <w:rPr>
          <w:rFonts w:ascii="Times New Roman" w:eastAsia="楷体" w:hAnsi="Times New Roman" w:cs="Times New Roman"/>
          <w:szCs w:val="22"/>
        </w:rPr>
        <w:t>其旨则在纳上下于道德</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而合天子、诸侯、卿大夫、士、庶民</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以成一道德之团体。周公制作之本意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实在于此。</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材料三</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春秋时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犹宗周王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而七国则决不言王矣</w:t>
      </w:r>
      <w:r w:rsidRPr="006E7DC5">
        <w:rPr>
          <w:rFonts w:ascii="Times New Roman" w:eastAsia="楷体" w:hAnsi="Times New Roman" w:cs="Times New Roman"/>
          <w:szCs w:val="22"/>
        </w:rPr>
        <w:t>……</w:t>
      </w:r>
      <w:r w:rsidRPr="006E7DC5">
        <w:rPr>
          <w:rFonts w:ascii="Times New Roman" w:eastAsia="楷体" w:hAnsi="Times New Roman" w:cs="Times New Roman"/>
          <w:szCs w:val="22"/>
        </w:rPr>
        <w:t>春秋时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犹论宗姓氏族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而七国则无一言及之矣。春秋时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犹宴会赋诗</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而七国则不闻矣。春秋时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犹有赴告策书</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而七国则无有矣。邦无定交</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士无定主</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此皆变于一百三十年之间。史之阙文</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而后人可以随意推者也。不待始皇并天下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而文物之道尽矣。</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分析周初实行分封制的目的。</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根据材料一、二</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概述有关我国古代早期政治制度的主要信息。</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3</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材料三反映了什么问题？你认为西周制度设计上存在什么缺陷？</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有效统治广大的国土</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拱卫王室；或者</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封建亲戚</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以藩屏周</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宗法制和分封制是互为表里的政治制度；以血缘关系为纽带；等级森严；家国同构；有利于统治集团内部的稳定和团结。</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问题</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宗法制分封制崩溃</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礼崩乐坏。</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缺陷</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地方诸侯拥有较大的权力</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不利于中央政府的控制；以血缘关系为维持纽带</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不利于政权的长期稳定。</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随着代数增多而使血缘关系疏远</w:t>
      </w:r>
      <w:r w:rsidRPr="00DC3343" w:rsidR="006E7DC5">
        <w:rPr>
          <w:rFonts w:ascii="Times New Roman" w:eastAsia="宋体" w:hAnsi="Times New Roman" w:cs="Times New Roman"/>
          <w:color w:val="FF0000"/>
          <w:szCs w:val="22"/>
        </w:rPr>
        <w:t>）</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根据材料</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封建亲戚</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以藩屏周</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并结合所学可知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分封制的目的是有效统治广大的国土</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拱卫王室。</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生宗法及丧服之制</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有封建子弟之制、君天子臣诸侯之制</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可知</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宗法制和分封制是互为表里的政治制度；根据材料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立子立嫡之制</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宗法制以血缘关系为纽带；根据材料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天子、诸侯、卿大夫、士、庶民</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以成一道德之团体</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等级森严；家国同构；根据材料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周公制作之本意</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实在于此</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有利于统治集团内部的稳定和团结。</w:t>
      </w:r>
    </w:p>
    <w:p w:rsidR="00051F6F" w:rsidRPr="00DC3343" w:rsidP="006E7DC5">
      <w:pPr>
        <w:spacing w:line="360" w:lineRule="auto"/>
        <w:jc w:val="left"/>
        <w:textAlignment w:val="center"/>
        <w:rPr>
          <w:rFonts w:ascii="Times New Roman" w:eastAsia="宋体" w:hAnsi="Times New Roman" w:cs="Times New Roman"/>
          <w:color w:val="FF0000"/>
          <w:szCs w:val="22"/>
        </w:rPr>
        <w:sectPr w:rsidSect="006E7DC5">
          <w:pgSz w:w="11906" w:h="16838"/>
          <w:pgMar w:top="1418" w:right="1077" w:bottom="1418" w:left="1077" w:header="851" w:footer="992" w:gutter="0"/>
          <w:cols w:space="425"/>
          <w:docGrid w:type="lines" w:linePitch="312"/>
        </w:sect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第一小问</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问题</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犹宗周王</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七国则决不言王</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论宗姓氏族</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七国则无一言及之</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宗法制分封制崩溃</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礼崩乐坏。第二小问</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缺陷</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邦无定交</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士无定主</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并结合所学得出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地方诸侯</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sidR="005D215A">
        <w:rPr>
          <w:rFonts w:ascii="Times New Roman" w:eastAsia="宋体" w:hAnsi="Times New Roman" w:cs="Times New Roman"/>
          <w:color w:val="FF0000"/>
          <w:szCs w:val="22"/>
        </w:rPr>
        <w:t>拥有较大的权力</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不利于中央政府的控制；根据材料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史之阙文</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而后人可以随意推者</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以血缘关系为维持纽带</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不利于政权的长期稳定。</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2</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回答问题。</w:t>
      </w:r>
    </w:p>
    <w:p w:rsidR="00051F6F" w:rsidRPr="006E7DC5" w:rsidP="006E7DC5">
      <w:pPr>
        <w:spacing w:line="360" w:lineRule="auto"/>
        <w:jc w:val="left"/>
        <w:textAlignment w:val="center"/>
        <w:rPr>
          <w:rFonts w:ascii="楷体" w:eastAsia="楷体" w:hAnsi="楷体" w:cs="Times New Roman"/>
          <w:szCs w:val="22"/>
        </w:rPr>
      </w:pPr>
      <w:r w:rsidRPr="006E7DC5">
        <w:rPr>
          <w:rFonts w:ascii="楷体" w:eastAsia="楷体" w:hAnsi="楷体" w:cs="Times New Roman"/>
          <w:szCs w:val="22"/>
        </w:rPr>
        <w:t>材料一</w:t>
      </w:r>
      <w:r w:rsidRPr="006E7DC5" w:rsidR="006E7DC5">
        <w:rPr>
          <w:rFonts w:ascii="楷体" w:eastAsia="楷体" w:hAnsi="楷体" w:cs="Times New Roman" w:hint="eastAsia"/>
          <w:szCs w:val="22"/>
        </w:rPr>
        <w:t xml:space="preserve"> </w:t>
      </w:r>
      <w:r w:rsidRPr="006E7DC5">
        <w:rPr>
          <w:rFonts w:ascii="楷体" w:eastAsia="楷体" w:hAnsi="楷体" w:cs="Times New Roman"/>
          <w:szCs w:val="22"/>
        </w:rPr>
        <w:t xml:space="preserve"> </w:t>
      </w:r>
      <w:r w:rsidRPr="006E7DC5">
        <w:rPr>
          <w:rFonts w:ascii="楷体" w:eastAsia="楷体" w:hAnsi="楷体" w:cs="Times New Roman"/>
          <w:szCs w:val="22"/>
        </w:rPr>
        <w:t>反映春秋战国时期社会经济变化的一组图片</w:t>
      </w:r>
    </w:p>
    <w:p w:rsidR="00051F6F" w:rsidRPr="006E7DC5" w:rsidP="006E7DC5">
      <w:pPr>
        <w:spacing w:line="360" w:lineRule="auto"/>
        <w:jc w:val="center"/>
        <w:textAlignment w:val="center"/>
        <w:rPr>
          <w:rFonts w:ascii="Times New Roman" w:eastAsia="宋体" w:hAnsi="Times New Roman" w:cs="Times New Roman"/>
          <w:szCs w:val="22"/>
        </w:rPr>
      </w:pPr>
      <w:r w:rsidRPr="006E7DC5">
        <w:rPr>
          <w:rFonts w:ascii="Times New Roman" w:eastAsia="宋体" w:hAnsi="Times New Roman" w:cs="Times New Roman"/>
          <w:noProof/>
          <w:szCs w:val="22"/>
        </w:rPr>
        <w:drawing>
          <wp:inline distT="0" distB="0" distL="114300" distR="114300">
            <wp:extent cx="4610100" cy="1266825"/>
            <wp:effectExtent l="0" t="0" r="0" b="9525"/>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descr="figure"/>
                    <pic:cNvPicPr>
                      <a:picLocks noChangeAspect="1"/>
                    </pic:cNvPicPr>
                  </pic:nvPicPr>
                  <pic:blipFill>
                    <a:blip xmlns:r="http://schemas.openxmlformats.org/officeDocument/2006/relationships" r:embed="rId5"/>
                    <a:stretch>
                      <a:fillRect/>
                    </a:stretch>
                  </pic:blipFill>
                  <pic:spPr>
                    <a:xfrm>
                      <a:off x="0" y="0"/>
                      <a:ext cx="4610100" cy="1266825"/>
                    </a:xfrm>
                    <a:prstGeom prst="rect">
                      <a:avLst/>
                    </a:prstGeom>
                  </pic:spPr>
                </pic:pic>
              </a:graphicData>
            </a:graphic>
          </wp:inline>
        </w:drawing>
      </w:r>
    </w:p>
    <w:p w:rsidR="00051F6F" w:rsidRPr="006E7DC5" w:rsidP="006E7DC5">
      <w:pPr>
        <w:spacing w:line="360" w:lineRule="auto"/>
        <w:jc w:val="left"/>
        <w:textAlignment w:val="center"/>
        <w:rPr>
          <w:rFonts w:ascii="楷体" w:eastAsia="楷体" w:hAnsi="楷体" w:cs="Times New Roman"/>
          <w:szCs w:val="22"/>
        </w:rPr>
      </w:pPr>
      <w:r w:rsidRPr="006E7DC5">
        <w:rPr>
          <w:rFonts w:ascii="楷体" w:eastAsia="楷体" w:hAnsi="楷体" w:cs="Times New Roman"/>
          <w:szCs w:val="22"/>
        </w:rPr>
        <w:t>材料二</w:t>
      </w:r>
      <w:r w:rsidRPr="006E7DC5" w:rsidR="006E7DC5">
        <w:rPr>
          <w:rFonts w:ascii="楷体" w:eastAsia="楷体" w:hAnsi="楷体" w:cs="Times New Roman" w:hint="eastAsia"/>
          <w:szCs w:val="22"/>
        </w:rPr>
        <w:t xml:space="preserve"> </w:t>
      </w:r>
      <w:r w:rsidRPr="006E7DC5">
        <w:rPr>
          <w:rFonts w:ascii="楷体" w:eastAsia="楷体" w:hAnsi="楷体" w:cs="Times New Roman"/>
          <w:szCs w:val="22"/>
        </w:rPr>
        <w:t xml:space="preserve"> </w:t>
      </w:r>
      <w:r w:rsidRPr="006E7DC5">
        <w:rPr>
          <w:rFonts w:ascii="楷体" w:eastAsia="楷体" w:hAnsi="楷体" w:cs="Times New Roman"/>
          <w:szCs w:val="22"/>
        </w:rPr>
        <w:t>令民为什伍</w:t>
      </w:r>
      <w:r w:rsidRPr="006E7DC5" w:rsidR="006E7DC5">
        <w:rPr>
          <w:rFonts w:ascii="楷体" w:eastAsia="楷体" w:hAnsi="楷体" w:cs="Times New Roman"/>
          <w:szCs w:val="22"/>
        </w:rPr>
        <w:t>，</w:t>
      </w:r>
      <w:r w:rsidRPr="006E7DC5">
        <w:rPr>
          <w:rFonts w:ascii="楷体" w:eastAsia="楷体" w:hAnsi="楷体" w:cs="Times New Roman"/>
          <w:szCs w:val="22"/>
        </w:rPr>
        <w:t>而相牧司连坐。不告奸者腰斩</w:t>
      </w:r>
      <w:r w:rsidRPr="006E7DC5" w:rsidR="006E7DC5">
        <w:rPr>
          <w:rFonts w:ascii="楷体" w:eastAsia="楷体" w:hAnsi="楷体" w:cs="Times New Roman"/>
          <w:szCs w:val="22"/>
        </w:rPr>
        <w:t>，</w:t>
      </w:r>
      <w:r w:rsidRPr="006E7DC5">
        <w:rPr>
          <w:rFonts w:ascii="楷体" w:eastAsia="楷体" w:hAnsi="楷体" w:cs="Times New Roman"/>
          <w:szCs w:val="22"/>
        </w:rPr>
        <w:t>告奸者与斩敌首同赏</w:t>
      </w:r>
      <w:r w:rsidRPr="006E7DC5" w:rsidR="006E7DC5">
        <w:rPr>
          <w:rFonts w:ascii="楷体" w:eastAsia="楷体" w:hAnsi="楷体" w:cs="Times New Roman"/>
          <w:szCs w:val="22"/>
        </w:rPr>
        <w:t>，</w:t>
      </w:r>
      <w:r w:rsidRPr="006E7DC5">
        <w:rPr>
          <w:rFonts w:ascii="楷体" w:eastAsia="楷体" w:hAnsi="楷体" w:cs="Times New Roman"/>
          <w:szCs w:val="22"/>
        </w:rPr>
        <w:t>匿奸者与降敌同罚</w:t>
      </w:r>
      <w:r w:rsidRPr="006E7DC5">
        <w:rPr>
          <w:rFonts w:ascii="楷体" w:eastAsia="楷体" w:hAnsi="楷体" w:cs="Times New Roman"/>
          <w:szCs w:val="22"/>
        </w:rPr>
        <w:t>……</w:t>
      </w:r>
      <w:r w:rsidRPr="006E7DC5">
        <w:rPr>
          <w:rFonts w:ascii="楷体" w:eastAsia="楷体" w:hAnsi="楷体" w:cs="Times New Roman"/>
          <w:szCs w:val="22"/>
        </w:rPr>
        <w:t>有军功者</w:t>
      </w:r>
      <w:r w:rsidRPr="006E7DC5" w:rsidR="006E7DC5">
        <w:rPr>
          <w:rFonts w:ascii="楷体" w:eastAsia="楷体" w:hAnsi="楷体" w:cs="Times New Roman"/>
          <w:szCs w:val="22"/>
        </w:rPr>
        <w:t>，</w:t>
      </w:r>
      <w:r w:rsidRPr="006E7DC5">
        <w:rPr>
          <w:rFonts w:ascii="楷体" w:eastAsia="楷体" w:hAnsi="楷体" w:cs="Times New Roman"/>
          <w:szCs w:val="22"/>
        </w:rPr>
        <w:t>各以率受上爵</w:t>
      </w:r>
      <w:r w:rsidRPr="006E7DC5">
        <w:rPr>
          <w:rFonts w:ascii="楷体" w:eastAsia="楷体" w:hAnsi="楷体" w:cs="Times New Roman"/>
          <w:szCs w:val="22"/>
        </w:rPr>
        <w:t>……</w:t>
      </w:r>
      <w:r w:rsidRPr="006E7DC5">
        <w:rPr>
          <w:rFonts w:ascii="楷体" w:eastAsia="楷体" w:hAnsi="楷体" w:cs="Times New Roman"/>
          <w:szCs w:val="22"/>
        </w:rPr>
        <w:t>僇力本业耕织</w:t>
      </w:r>
      <w:r w:rsidRPr="006E7DC5" w:rsidR="006E7DC5">
        <w:rPr>
          <w:rFonts w:ascii="楷体" w:eastAsia="楷体" w:hAnsi="楷体" w:cs="Times New Roman"/>
          <w:szCs w:val="22"/>
        </w:rPr>
        <w:t>，</w:t>
      </w:r>
      <w:r w:rsidRPr="006E7DC5">
        <w:rPr>
          <w:rFonts w:ascii="楷体" w:eastAsia="楷体" w:hAnsi="楷体" w:cs="Times New Roman"/>
          <w:szCs w:val="22"/>
        </w:rPr>
        <w:t>致粟帛多者复其身。事末利及怠而贫者</w:t>
      </w:r>
      <w:r w:rsidRPr="006E7DC5" w:rsidR="006E7DC5">
        <w:rPr>
          <w:rFonts w:ascii="楷体" w:eastAsia="楷体" w:hAnsi="楷体" w:cs="Times New Roman"/>
          <w:szCs w:val="22"/>
        </w:rPr>
        <w:t>，</w:t>
      </w:r>
      <w:r w:rsidRPr="006E7DC5">
        <w:rPr>
          <w:rFonts w:ascii="楷体" w:eastAsia="楷体" w:hAnsi="楷体" w:cs="Times New Roman"/>
          <w:szCs w:val="22"/>
        </w:rPr>
        <w:t>举以为收孥</w:t>
      </w:r>
      <w:r w:rsidRPr="006E7DC5" w:rsidR="006E7DC5">
        <w:rPr>
          <w:rFonts w:ascii="楷体" w:eastAsia="楷体" w:hAnsi="楷体" w:cs="Times New Roman"/>
          <w:szCs w:val="22"/>
        </w:rPr>
        <w:t>（</w:t>
      </w:r>
      <w:r w:rsidRPr="006E7DC5">
        <w:rPr>
          <w:rFonts w:ascii="楷体" w:eastAsia="楷体" w:hAnsi="楷体" w:cs="Times New Roman"/>
          <w:szCs w:val="22"/>
        </w:rPr>
        <w:t>官奴婢</w:t>
      </w:r>
      <w:r w:rsidRPr="006E7DC5" w:rsidR="006E7DC5">
        <w:rPr>
          <w:rFonts w:ascii="楷体" w:eastAsia="楷体" w:hAnsi="楷体" w:cs="Times New Roman"/>
          <w:szCs w:val="22"/>
        </w:rPr>
        <w:t>）</w:t>
      </w:r>
      <w:r w:rsidRPr="006E7DC5">
        <w:rPr>
          <w:rFonts w:ascii="楷体" w:eastAsia="楷体" w:hAnsi="楷体" w:cs="Times New Roman"/>
          <w:szCs w:val="22"/>
        </w:rPr>
        <w:t>。宗室非有军功论</w:t>
      </w:r>
      <w:r w:rsidRPr="006E7DC5" w:rsidR="006E7DC5">
        <w:rPr>
          <w:rFonts w:ascii="楷体" w:eastAsia="楷体" w:hAnsi="楷体" w:cs="Times New Roman"/>
          <w:szCs w:val="22"/>
        </w:rPr>
        <w:t>，</w:t>
      </w:r>
      <w:r w:rsidRPr="006E7DC5">
        <w:rPr>
          <w:rFonts w:ascii="楷体" w:eastAsia="楷体" w:hAnsi="楷体" w:cs="Times New Roman"/>
          <w:szCs w:val="22"/>
        </w:rPr>
        <w:t>不得为属籍。明尊卑爵秩等级</w:t>
      </w:r>
      <w:r w:rsidRPr="006E7DC5" w:rsidR="006E7DC5">
        <w:rPr>
          <w:rFonts w:ascii="楷体" w:eastAsia="楷体" w:hAnsi="楷体" w:cs="Times New Roman"/>
          <w:szCs w:val="22"/>
        </w:rPr>
        <w:t>，</w:t>
      </w:r>
      <w:r w:rsidRPr="006E7DC5">
        <w:rPr>
          <w:rFonts w:ascii="楷体" w:eastAsia="楷体" w:hAnsi="楷体" w:cs="Times New Roman"/>
          <w:szCs w:val="22"/>
        </w:rPr>
        <w:t>各以差次名田宅、臣妾</w:t>
      </w:r>
      <w:r w:rsidRPr="006E7DC5">
        <w:rPr>
          <w:rFonts w:ascii="楷体" w:eastAsia="楷体" w:hAnsi="楷体" w:cs="Times New Roman"/>
          <w:szCs w:val="22"/>
        </w:rPr>
        <w:t>……</w:t>
      </w:r>
      <w:r w:rsidRPr="006E7DC5">
        <w:rPr>
          <w:rFonts w:ascii="楷体" w:eastAsia="楷体" w:hAnsi="楷体" w:cs="Times New Roman"/>
          <w:szCs w:val="22"/>
        </w:rPr>
        <w:t>而集小都乡邑聚为县</w:t>
      </w:r>
      <w:r w:rsidRPr="006E7DC5" w:rsidR="006E7DC5">
        <w:rPr>
          <w:rFonts w:ascii="楷体" w:eastAsia="楷体" w:hAnsi="楷体" w:cs="Times New Roman"/>
          <w:szCs w:val="22"/>
        </w:rPr>
        <w:t>，</w:t>
      </w:r>
      <w:r w:rsidRPr="006E7DC5">
        <w:rPr>
          <w:rFonts w:ascii="楷体" w:eastAsia="楷体" w:hAnsi="楷体" w:cs="Times New Roman"/>
          <w:szCs w:val="22"/>
        </w:rPr>
        <w:t>置令、丞</w:t>
      </w:r>
      <w:r w:rsidRPr="006E7DC5" w:rsidR="006E7DC5">
        <w:rPr>
          <w:rFonts w:ascii="楷体" w:eastAsia="楷体" w:hAnsi="楷体" w:cs="Times New Roman"/>
          <w:szCs w:val="22"/>
        </w:rPr>
        <w:t>，</w:t>
      </w:r>
      <w:r w:rsidRPr="006E7DC5">
        <w:rPr>
          <w:rFonts w:ascii="楷体" w:eastAsia="楷体" w:hAnsi="楷体" w:cs="Times New Roman"/>
          <w:szCs w:val="22"/>
        </w:rPr>
        <w:t>凡三十一县。为田开阡陌封疆</w:t>
      </w:r>
      <w:r w:rsidRPr="006E7DC5" w:rsidR="006E7DC5">
        <w:rPr>
          <w:rFonts w:ascii="楷体" w:eastAsia="楷体" w:hAnsi="楷体" w:cs="Times New Roman"/>
          <w:szCs w:val="22"/>
        </w:rPr>
        <w:t>，</w:t>
      </w:r>
      <w:r w:rsidRPr="006E7DC5">
        <w:rPr>
          <w:rFonts w:ascii="楷体" w:eastAsia="楷体" w:hAnsi="楷体" w:cs="Times New Roman"/>
          <w:szCs w:val="22"/>
        </w:rPr>
        <w:t>而赋税平。平斗桶、权衡、丈尺。</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《史记</w:t>
      </w:r>
      <w:r w:rsidRPr="006E7DC5">
        <w:rPr>
          <w:rFonts w:ascii="Times New Roman" w:eastAsia="宋体" w:hAnsi="Times New Roman" w:cs="Times New Roman"/>
          <w:szCs w:val="22"/>
        </w:rPr>
        <w:t>·</w:t>
      </w:r>
      <w:r w:rsidRPr="006E7DC5">
        <w:rPr>
          <w:rFonts w:ascii="Times New Roman" w:eastAsia="宋体" w:hAnsi="Times New Roman" w:cs="Times New Roman"/>
          <w:szCs w:val="22"/>
        </w:rPr>
        <w:t>商君列传》</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请回答</w:t>
      </w:r>
      <w:r w:rsidRPr="006E7DC5" w:rsidR="006E7DC5">
        <w:rPr>
          <w:rFonts w:ascii="Times New Roman" w:eastAsia="宋体" w:hAnsi="Times New Roman" w:cs="Times New Roman"/>
          <w:szCs w:val="22"/>
        </w:rPr>
        <w:t>：</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材料一反映了春秋战国时期哪些历史史实？</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据材料二指出商鞅变法的措施</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并简评这些措施的历史作用。</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3</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指出材料二与材料一两个历史事件之间的内在联系。</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史实</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春秋战国时期已经使用铁农具、牛耕；征收地租的封建剥削方式已出现。</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措施</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实行连坐法；奖励军功</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按军功授爵</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废除世卿世禄制；奖励耕织</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重农抑商；建立县制</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强化中央集权；废除井田制</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允许土地自由买卖；统一度量衡。</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作用</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废除了阻碍生产力发展的旧生产关系</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确立了新兴地主土地所有制；提高了农民生产积极性；促进了秦国经济的发展。</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联系</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两者之间是因果关系。材料二商鞅变法是在材料一春秋战国生产力发展和新剥削方式产生的基础上进行的；变法顺应了社会历史发展的趋势。</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【解析】本题考查从材料中提取有效信息并结合所学知识解决问题的能力。</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1</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材料一中的图片由三部分组成</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每一部分提供了一条历史信息。春秋战国时期出现了铁制农具</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耕作方式上出现了牛耕</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土地兼并开始出现</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出现了租佃制的经营方式。所反映的史实是春秋战国时期已经使用铁农具、牛耕；征收地租的封建剥削方式已出现。</w:t>
      </w:r>
    </w:p>
    <w:p w:rsidR="00051F6F" w:rsidRPr="00DC3343" w:rsidP="006E7DC5">
      <w:pPr>
        <w:spacing w:line="360" w:lineRule="auto"/>
        <w:jc w:val="left"/>
        <w:textAlignment w:val="center"/>
        <w:rPr>
          <w:rFonts w:ascii="Times New Roman" w:eastAsia="宋体" w:hAnsi="Times New Roman" w:cs="Times New Roman"/>
          <w:color w:val="FF0000"/>
          <w:szCs w:val="22"/>
        </w:rPr>
        <w:sectPr w:rsidSect="006E7DC5">
          <w:type w:val="nextPage"/>
          <w:pgSz w:w="11906" w:h="16838"/>
          <w:pgMar w:top="1418" w:right="1077" w:bottom="1418" w:left="1077" w:header="851" w:footer="992" w:gutter="0"/>
          <w:pgNumType w:start="2"/>
          <w:cols w:space="425"/>
          <w:titlePg w:val="0"/>
          <w:docGrid w:type="lines" w:linePitch="312"/>
        </w:sect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商鞅变法的措施比较多</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可以从政治上、经济上和思想上等不同的角度进行分析</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材料涉及到的有实</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sidR="005D215A">
        <w:rPr>
          <w:rFonts w:ascii="Times New Roman" w:eastAsia="宋体" w:hAnsi="Times New Roman" w:cs="Times New Roman"/>
          <w:color w:val="FF0000"/>
          <w:szCs w:val="22"/>
        </w:rPr>
        <w:t>行连坐法；奖励军功</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按军功授爵</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废除世卿世禄制；奖励耕织</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重农抑商；建立县制</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强化中央集权；废除井田制</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允许土地自由买卖；统一度量衡等。商鞅变法的影响应该从生产关系变革、确立地主土地私有制、激发农民生产积极性、促进秦国经济发展和逐渐确立了封建制的生产关系等方面进行作答。</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要分析材料一和材料二历史事件之间的内在联系</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则要从历史事件所反映的实质或领域等方面入手</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材料一历史事件反映的生产方式方面的内容；材料二历史事件反映的生产关系和上层建筑变革</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材料二历史事件发生正是由于材料一基础上发生的</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因此</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材料一和材料二之间是因果关系。</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3</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阅读下列</w:t>
      </w:r>
      <w:r w:rsidRPr="006E7DC5">
        <w:rPr>
          <w:rFonts w:ascii="Times New Roman" w:eastAsia="宋体" w:hAnsi="Times New Roman" w:cs="Times New Roman"/>
          <w:szCs w:val="22"/>
        </w:rPr>
        <w:t>材料</w:t>
      </w:r>
      <w:r w:rsidRPr="006E7DC5" w:rsidR="006E7DC5">
        <w:rPr>
          <w:rFonts w:ascii="Times New Roman" w:eastAsia="宋体" w:hAnsi="Times New Roman" w:cs="Times New Roman"/>
          <w:szCs w:val="22"/>
        </w:rPr>
        <w:t>：</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春秋时期的管子说</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粟多则国富</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国富者兵强</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兵强者战胜</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战胜者地广。是以先王知众民、强兵、广地、富国之必生于粟也。</w:t>
      </w:r>
      <w:r w:rsidRPr="006E7DC5">
        <w:rPr>
          <w:rFonts w:ascii="Times New Roman" w:eastAsia="楷体" w:hAnsi="Times New Roman" w:cs="Times New Roman"/>
          <w:szCs w:val="22"/>
        </w:rPr>
        <w:t>”</w:t>
      </w:r>
      <w:r w:rsidRPr="006E7DC5">
        <w:rPr>
          <w:rFonts w:ascii="Times New Roman" w:eastAsia="楷体" w:hAnsi="Times New Roman" w:cs="Times New Roman"/>
          <w:szCs w:val="22"/>
        </w:rPr>
        <w:t>战国时期的韩非子也说</w:t>
      </w:r>
      <w:r w:rsidRPr="006E7DC5">
        <w:rPr>
          <w:rFonts w:ascii="Times New Roman" w:eastAsia="楷体" w:hAnsi="Times New Roman" w:cs="Times New Roman"/>
          <w:szCs w:val="22"/>
        </w:rPr>
        <w:t>“</w:t>
      </w:r>
      <w:r w:rsidRPr="006E7DC5">
        <w:rPr>
          <w:rFonts w:ascii="Times New Roman" w:eastAsia="楷体" w:hAnsi="Times New Roman" w:cs="Times New Roman"/>
          <w:szCs w:val="22"/>
        </w:rPr>
        <w:t>富国以农</w:t>
      </w:r>
      <w:r w:rsidRPr="006E7DC5">
        <w:rPr>
          <w:rFonts w:ascii="Times New Roman" w:eastAsia="楷体" w:hAnsi="Times New Roman" w:cs="Times New Roman"/>
          <w:szCs w:val="22"/>
        </w:rPr>
        <w:t>”“</w:t>
      </w:r>
      <w:r w:rsidRPr="006E7DC5">
        <w:rPr>
          <w:rFonts w:ascii="Times New Roman" w:eastAsia="楷体" w:hAnsi="Times New Roman" w:cs="Times New Roman"/>
          <w:szCs w:val="22"/>
        </w:rPr>
        <w:t>事本而禁末</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Pr="006E7DC5">
        <w:rPr>
          <w:rFonts w:ascii="Times New Roman" w:eastAsia="楷体" w:hAnsi="Times New Roman" w:cs="Times New Roman"/>
          <w:szCs w:val="22"/>
        </w:rPr>
        <w:t xml:space="preserve">  </w:t>
      </w:r>
    </w:p>
    <w:p w:rsidR="00051F6F" w:rsidRPr="006E7DC5" w:rsidP="006E7DC5">
      <w:pPr>
        <w:spacing w:line="360" w:lineRule="auto"/>
        <w:jc w:val="center"/>
        <w:textAlignment w:val="center"/>
        <w:rPr>
          <w:rFonts w:ascii="Times New Roman" w:eastAsia="宋体" w:hAnsi="Times New Roman" w:cs="Times New Roman"/>
          <w:szCs w:val="22"/>
        </w:rPr>
      </w:pPr>
      <w:r w:rsidRPr="006E7DC5">
        <w:rPr>
          <w:rFonts w:ascii="Times New Roman" w:eastAsia="宋体" w:hAnsi="Times New Roman" w:cs="Times New Roman"/>
          <w:noProof/>
          <w:szCs w:val="22"/>
        </w:rPr>
        <w:drawing>
          <wp:inline distT="0" distB="0" distL="114300" distR="114300">
            <wp:extent cx="3305175" cy="1704975"/>
            <wp:effectExtent l="0" t="0" r="9525" b="9525"/>
            <wp:docPr id="100002" name="图片 10000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descr="figure"/>
                    <pic:cNvPicPr>
                      <a:picLocks noChangeAspect="1"/>
                    </pic:cNvPicPr>
                  </pic:nvPicPr>
                  <pic:blipFill>
                    <a:blip xmlns:r="http://schemas.openxmlformats.org/officeDocument/2006/relationships" r:embed="rId6"/>
                    <a:stretch>
                      <a:fillRect/>
                    </a:stretch>
                  </pic:blipFill>
                  <pic:spPr>
                    <a:xfrm>
                      <a:off x="0" y="0"/>
                      <a:ext cx="3305175" cy="1704975"/>
                    </a:xfrm>
                    <a:prstGeom prst="rect">
                      <a:avLst/>
                    </a:prstGeom>
                  </pic:spPr>
                </pic:pic>
              </a:graphicData>
            </a:graphic>
          </wp:inline>
        </w:drawing>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材料三</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春耕夏耘</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秋获冬藏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伐薪樵</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治官府</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给徭役。</w:t>
      </w:r>
      <w:r w:rsidRPr="006E7DC5">
        <w:rPr>
          <w:rFonts w:ascii="Times New Roman" w:eastAsia="楷体" w:hAnsi="Times New Roman" w:cs="Times New Roman"/>
          <w:szCs w:val="22"/>
        </w:rPr>
        <w:t>……</w:t>
      </w:r>
      <w:r w:rsidRPr="006E7DC5">
        <w:rPr>
          <w:rFonts w:ascii="Times New Roman" w:eastAsia="楷体" w:hAnsi="Times New Roman" w:cs="Times New Roman"/>
          <w:szCs w:val="22"/>
        </w:rPr>
        <w:t>春不得避风尘</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夏不得避暑热</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秋不得避阴雨</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冬不得避寒冻。四时之间</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亡日休息</w:t>
      </w:r>
      <w:r w:rsidRPr="006E7DC5">
        <w:rPr>
          <w:rFonts w:ascii="Times New Roman" w:eastAsia="楷体" w:hAnsi="Times New Roman" w:cs="Times New Roman"/>
          <w:szCs w:val="22"/>
        </w:rPr>
        <w:t>……</w:t>
      </w:r>
      <w:r w:rsidRPr="006E7DC5">
        <w:rPr>
          <w:rFonts w:ascii="Times New Roman" w:eastAsia="楷体" w:hAnsi="Times New Roman" w:cs="Times New Roman"/>
          <w:szCs w:val="22"/>
        </w:rPr>
        <w:t>勤苦如此</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尚复被水旱之灾</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急政暴赋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赋敛不时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朝令而暮当具。有者半贾而卖</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亡者取倍称之息。于是</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有卖田宅者、鬻子孙以偿责</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债</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者。</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西汉</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晁错《论贵粟疏》</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请回答</w:t>
      </w:r>
      <w:r w:rsidRPr="006E7DC5" w:rsidR="006E7DC5">
        <w:rPr>
          <w:rFonts w:ascii="Times New Roman" w:eastAsia="宋体" w:hAnsi="Times New Roman" w:cs="Times New Roman"/>
          <w:szCs w:val="22"/>
        </w:rPr>
        <w:t>：</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据材料一并结合所学知识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分析春秋战国时期重农思想产生的时代背景。</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据材料二概括指出中国古代农业经济的基本特点。</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3</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尽管在中国古代</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农民</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春耕夏耘</w:t>
      </w:r>
      <w:r w:rsidRPr="006E7DC5" w:rsidR="005D215A">
        <w:rPr>
          <w:rFonts w:ascii="Times New Roman" w:eastAsia="宋体" w:hAnsi="Times New Roman" w:cs="Times New Roman"/>
          <w:szCs w:val="22"/>
        </w:rPr>
        <w:t>”</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但农业生产始终没有大的突破</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温饱问题长期得不到解决。据材料三和所学知识分析造成这种现象的主要原因。</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生产力发展</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封建生产方式逐步产生；井田制逐渐被土地私有制所代替</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小农经济模式出现；新兴地主在政治上逐步掌握统治权；争霸战争需要发展农业生产。</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特点</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农业与家畜饲养业相结合的产业结构；</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男耕女织</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式的经营方式；精耕细作的农业生产模式；铁犁牛耕的耕作方式。</w:t>
      </w:r>
    </w:p>
    <w:p w:rsidR="00051F6F" w:rsidRPr="00DC3343" w:rsidP="006E7DC5">
      <w:pPr>
        <w:spacing w:line="360" w:lineRule="auto"/>
        <w:jc w:val="left"/>
        <w:textAlignment w:val="center"/>
        <w:rPr>
          <w:rFonts w:ascii="Times New Roman" w:eastAsia="宋体" w:hAnsi="Times New Roman" w:cs="Times New Roman"/>
          <w:color w:val="FF0000"/>
          <w:szCs w:val="22"/>
        </w:rPr>
        <w:sectPr w:rsidSect="006E7DC5">
          <w:type w:val="nextPage"/>
          <w:pgSz w:w="11906" w:h="16838"/>
          <w:pgMar w:top="1418" w:right="1077" w:bottom="1418" w:left="1077" w:header="851" w:footer="992" w:gutter="0"/>
          <w:pgNumType w:start="3"/>
          <w:cols w:space="425"/>
          <w:titlePg w:val="0"/>
          <w:docGrid w:type="lines" w:linePitch="312"/>
        </w:sect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自然经济的长期存在；农民的生产规模小</w:t>
      </w:r>
      <w:r w:rsidRPr="00DC3343">
        <w:rPr>
          <w:rFonts w:ascii="Times New Roman" w:eastAsia="宋体" w:hAnsi="Times New Roman" w:cs="Times New Roman"/>
          <w:color w:val="FF0000"/>
          <w:szCs w:val="22"/>
        </w:rPr>
        <w:t>，</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sidR="005D215A">
        <w:rPr>
          <w:rFonts w:ascii="Times New Roman" w:eastAsia="宋体" w:hAnsi="Times New Roman" w:cs="Times New Roman"/>
          <w:color w:val="FF0000"/>
          <w:szCs w:val="22"/>
        </w:rPr>
        <w:t>生产资料有限；赋役和徭役负担沉重；抵御自然灾害的能力差；受高利贷盘剥。</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由材料</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众民、强兵、广地、富国之必生于粟</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事本而禁末</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可见争霸战争需要发展农业生产</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从而采取重农抑商的政策。结合所学</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还可以从铁犁牛耕推动封建生产方式逐步产生、小农经济出现和新兴地主阶级取得政治统治权等角度归纳。</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五谷丰登</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六畜兴旺</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可得出农业与家畜饲养业相结合的产业结构；由材料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男耕女织</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男耕女织</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式的经营方式；由材料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耕作图</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反映出来的农业生产技术来看</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可得出精耕细作的农业生产模式；由材料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耕作图</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可得出铁犁牛耕的耕作方式。</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春耕夏耘</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秋获冬藏</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结合所学</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小农经济下的农民的生产规模小</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生产资料有限；由材料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尚复被水旱之灾</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急政暴赋</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赋敛不时</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可得出赋役和徭役负担沉重；由材料</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可得出抵御自然灾害的能力差；由材料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亡者取倍称之息</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可得出受高利贷盘剥。除此之外</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还可以从自然经济的束缚归纳说明。</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4</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回答问题。</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中央集权制度作为古代中国政治制度的突出特色</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对中国历史产生了深远影响。</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秦朝郡县制结构示意图</w:t>
      </w:r>
    </w:p>
    <w:p w:rsidR="00051F6F" w:rsidRPr="006E7DC5" w:rsidP="00DC3343">
      <w:pPr>
        <w:spacing w:line="360" w:lineRule="auto"/>
        <w:jc w:val="center"/>
        <w:textAlignment w:val="center"/>
        <w:rPr>
          <w:rFonts w:ascii="Times New Roman" w:eastAsia="宋体" w:hAnsi="Times New Roman" w:cs="Times New Roman"/>
          <w:szCs w:val="22"/>
        </w:rPr>
      </w:pPr>
      <w:r w:rsidRPr="006E7DC5">
        <w:rPr>
          <w:rFonts w:ascii="Times New Roman" w:eastAsia="宋体" w:hAnsi="Times New Roman" w:cs="Times New Roman"/>
          <w:noProof/>
          <w:szCs w:val="22"/>
        </w:rPr>
        <w:drawing>
          <wp:inline distT="0" distB="0" distL="114300" distR="114300">
            <wp:extent cx="3228975" cy="2752725"/>
            <wp:effectExtent l="0" t="0" r="9525" b="9525"/>
            <wp:docPr id="81157995" name="图片 8115799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57995" name="图片 81157995" descr="figure"/>
                    <pic:cNvPicPr>
                      <a:picLocks noChangeAspect="1"/>
                    </pic:cNvPicPr>
                  </pic:nvPicPr>
                  <pic:blipFill>
                    <a:blip xmlns:r="http://schemas.openxmlformats.org/officeDocument/2006/relationships" r:embed="rId7"/>
                    <a:stretch>
                      <a:fillRect/>
                    </a:stretch>
                  </pic:blipFill>
                  <pic:spPr>
                    <a:xfrm>
                      <a:off x="0" y="0"/>
                      <a:ext cx="3228975" cy="2752725"/>
                    </a:xfrm>
                    <a:prstGeom prst="rect">
                      <a:avLst/>
                    </a:prstGeom>
                  </pic:spPr>
                </pic:pic>
              </a:graphicData>
            </a:graphic>
          </wp:inline>
        </w:drawing>
      </w:r>
    </w:p>
    <w:p w:rsidR="00051F6F" w:rsidRPr="00DC3343" w:rsidP="006E7DC5">
      <w:pPr>
        <w:spacing w:line="360" w:lineRule="auto"/>
        <w:ind w:firstLine="450"/>
        <w:jc w:val="left"/>
        <w:textAlignment w:val="center"/>
        <w:rPr>
          <w:rFonts w:ascii="楷体" w:eastAsia="楷体" w:hAnsi="楷体" w:cs="Times New Roman"/>
          <w:szCs w:val="22"/>
        </w:rPr>
      </w:pPr>
      <w:r w:rsidRPr="00DC3343">
        <w:rPr>
          <w:rFonts w:ascii="楷体" w:eastAsia="楷体" w:hAnsi="楷体" w:cs="Times New Roman"/>
          <w:szCs w:val="22"/>
        </w:rPr>
        <w:t>材料二</w:t>
      </w:r>
      <w:r w:rsidRPr="00DC3343">
        <w:rPr>
          <w:rFonts w:ascii="楷体" w:eastAsia="楷体" w:hAnsi="楷体" w:cs="Times New Roman"/>
          <w:szCs w:val="22"/>
        </w:rPr>
        <w:t xml:space="preserve">  ……</w:t>
      </w:r>
      <w:r w:rsidRPr="00DC3343">
        <w:rPr>
          <w:rFonts w:ascii="楷体" w:eastAsia="楷体" w:hAnsi="楷体" w:cs="Times New Roman"/>
          <w:szCs w:val="22"/>
        </w:rPr>
        <w:t>郡县之制</w:t>
      </w:r>
      <w:r w:rsidRPr="00DC3343" w:rsidR="006E7DC5">
        <w:rPr>
          <w:rFonts w:ascii="楷体" w:eastAsia="楷体" w:hAnsi="楷体" w:cs="Times New Roman"/>
          <w:szCs w:val="22"/>
        </w:rPr>
        <w:t>，</w:t>
      </w:r>
      <w:r w:rsidRPr="00DC3343">
        <w:rPr>
          <w:rFonts w:ascii="楷体" w:eastAsia="楷体" w:hAnsi="楷体" w:cs="Times New Roman"/>
          <w:szCs w:val="22"/>
        </w:rPr>
        <w:t>垂二千年而弗能改矣</w:t>
      </w:r>
      <w:r w:rsidRPr="00DC3343" w:rsidR="006E7DC5">
        <w:rPr>
          <w:rFonts w:ascii="楷体" w:eastAsia="楷体" w:hAnsi="楷体" w:cs="Times New Roman"/>
          <w:szCs w:val="22"/>
        </w:rPr>
        <w:t>，</w:t>
      </w:r>
      <w:r w:rsidRPr="00DC3343">
        <w:rPr>
          <w:rFonts w:ascii="楷体" w:eastAsia="楷体" w:hAnsi="楷体" w:cs="Times New Roman"/>
          <w:szCs w:val="22"/>
        </w:rPr>
        <w:t>合古今上下皆安之</w:t>
      </w:r>
      <w:r w:rsidRPr="00DC3343" w:rsidR="006E7DC5">
        <w:rPr>
          <w:rFonts w:ascii="楷体" w:eastAsia="楷体" w:hAnsi="楷体" w:cs="Times New Roman"/>
          <w:szCs w:val="22"/>
        </w:rPr>
        <w:t>，</w:t>
      </w:r>
      <w:r w:rsidRPr="00DC3343">
        <w:rPr>
          <w:rFonts w:ascii="楷体" w:eastAsia="楷体" w:hAnsi="楷体" w:cs="Times New Roman"/>
          <w:szCs w:val="22"/>
        </w:rPr>
        <w:t>势之所趋</w:t>
      </w:r>
      <w:r w:rsidRPr="00DC3343">
        <w:rPr>
          <w:rFonts w:ascii="楷体" w:eastAsia="楷体" w:hAnsi="楷体" w:cs="Times New Roman"/>
          <w:szCs w:val="22"/>
        </w:rPr>
        <w:t>……</w:t>
      </w:r>
      <w:r w:rsidRPr="00DC3343">
        <w:rPr>
          <w:rFonts w:ascii="楷体" w:eastAsia="楷体" w:hAnsi="楷体" w:cs="Times New Roman"/>
          <w:szCs w:val="22"/>
        </w:rPr>
        <w:t>分之为郡</w:t>
      </w:r>
      <w:r w:rsidRPr="00DC3343" w:rsidR="006E7DC5">
        <w:rPr>
          <w:rFonts w:ascii="楷体" w:eastAsia="楷体" w:hAnsi="楷体" w:cs="Times New Roman"/>
          <w:szCs w:val="22"/>
        </w:rPr>
        <w:t>，</w:t>
      </w:r>
      <w:r w:rsidRPr="00DC3343">
        <w:rPr>
          <w:rFonts w:ascii="楷体" w:eastAsia="楷体" w:hAnsi="楷体" w:cs="Times New Roman"/>
          <w:szCs w:val="22"/>
        </w:rPr>
        <w:t>分之为县</w:t>
      </w:r>
      <w:r w:rsidRPr="00DC3343" w:rsidR="006E7DC5">
        <w:rPr>
          <w:rFonts w:ascii="楷体" w:eastAsia="楷体" w:hAnsi="楷体" w:cs="Times New Roman"/>
          <w:szCs w:val="22"/>
        </w:rPr>
        <w:t>，</w:t>
      </w:r>
      <w:r w:rsidRPr="00DC3343">
        <w:rPr>
          <w:rFonts w:ascii="楷体" w:eastAsia="楷体" w:hAnsi="楷体" w:cs="Times New Roman"/>
          <w:szCs w:val="22"/>
        </w:rPr>
        <w:t>俾才可长民者皆居民上</w:t>
      </w:r>
      <w:r w:rsidRPr="00DC3343" w:rsidR="006E7DC5">
        <w:rPr>
          <w:rFonts w:ascii="楷体" w:eastAsia="楷体" w:hAnsi="楷体" w:cs="Times New Roman"/>
          <w:szCs w:val="22"/>
        </w:rPr>
        <w:t>，</w:t>
      </w:r>
      <w:r w:rsidRPr="00DC3343">
        <w:rPr>
          <w:rFonts w:ascii="楷体" w:eastAsia="楷体" w:hAnsi="楷体" w:cs="Times New Roman"/>
          <w:szCs w:val="22"/>
        </w:rPr>
        <w:t>以尽其才</w:t>
      </w:r>
      <w:r w:rsidRPr="00DC3343" w:rsidR="006E7DC5">
        <w:rPr>
          <w:rFonts w:ascii="楷体" w:eastAsia="楷体" w:hAnsi="楷体" w:cs="Times New Roman"/>
          <w:szCs w:val="22"/>
        </w:rPr>
        <w:t>，</w:t>
      </w:r>
      <w:r w:rsidRPr="00DC3343">
        <w:rPr>
          <w:rFonts w:ascii="楷体" w:eastAsia="楷体" w:hAnsi="楷体" w:cs="Times New Roman"/>
          <w:szCs w:val="22"/>
        </w:rPr>
        <w:t>而治民之纪</w:t>
      </w:r>
      <w:r w:rsidRPr="00DC3343" w:rsidR="006E7DC5">
        <w:rPr>
          <w:rFonts w:ascii="楷体" w:eastAsia="楷体" w:hAnsi="楷体" w:cs="Times New Roman"/>
          <w:szCs w:val="22"/>
        </w:rPr>
        <w:t>，</w:t>
      </w:r>
      <w:r w:rsidRPr="00DC3343">
        <w:rPr>
          <w:rFonts w:ascii="楷体" w:eastAsia="楷体" w:hAnsi="楷体" w:cs="Times New Roman"/>
          <w:szCs w:val="22"/>
        </w:rPr>
        <w:t>亦何为而非天下之公乎？</w:t>
      </w:r>
      <w:r w:rsidRPr="00DC3343">
        <w:rPr>
          <w:rFonts w:ascii="楷体" w:eastAsia="楷体" w:hAnsi="楷体" w:cs="Times New Roman"/>
          <w:szCs w:val="22"/>
        </w:rPr>
        <w:t>……</w:t>
      </w:r>
      <w:r w:rsidRPr="00DC3343">
        <w:rPr>
          <w:rFonts w:ascii="楷体" w:eastAsia="楷体" w:hAnsi="楷体" w:cs="Times New Roman"/>
          <w:szCs w:val="22"/>
        </w:rPr>
        <w:t>故秦、汉以降</w:t>
      </w:r>
      <w:r w:rsidRPr="00DC3343" w:rsidR="006E7DC5">
        <w:rPr>
          <w:rFonts w:ascii="楷体" w:eastAsia="楷体" w:hAnsi="楷体" w:cs="Times New Roman"/>
          <w:szCs w:val="22"/>
        </w:rPr>
        <w:t>，</w:t>
      </w:r>
      <w:r w:rsidRPr="00DC3343">
        <w:rPr>
          <w:rFonts w:ascii="楷体" w:eastAsia="楷体" w:hAnsi="楷体" w:cs="Times New Roman"/>
          <w:szCs w:val="22"/>
        </w:rPr>
        <w:t>天子孤立无辅</w:t>
      </w:r>
      <w:r w:rsidRPr="00DC3343" w:rsidR="006E7DC5">
        <w:rPr>
          <w:rFonts w:ascii="楷体" w:eastAsia="楷体" w:hAnsi="楷体" w:cs="Times New Roman"/>
          <w:szCs w:val="22"/>
        </w:rPr>
        <w:t>，</w:t>
      </w:r>
      <w:r w:rsidRPr="00DC3343">
        <w:rPr>
          <w:rFonts w:ascii="楷体" w:eastAsia="楷体" w:hAnsi="楷体" w:cs="Times New Roman"/>
          <w:szCs w:val="22"/>
        </w:rPr>
        <w:t>祚不永于商、周</w:t>
      </w:r>
      <w:r w:rsidRPr="00DC3343">
        <w:rPr>
          <w:rFonts w:ascii="楷体" w:eastAsia="楷体" w:hAnsi="楷体" w:cs="Times New Roman"/>
          <w:szCs w:val="22"/>
        </w:rPr>
        <w:t>……</w:t>
      </w:r>
      <w:r w:rsidRPr="00DC3343">
        <w:rPr>
          <w:rFonts w:ascii="楷体" w:eastAsia="楷体" w:hAnsi="楷体" w:cs="Times New Roman"/>
          <w:szCs w:val="22"/>
        </w:rPr>
        <w:t>郡县者</w:t>
      </w:r>
      <w:r w:rsidRPr="00DC3343" w:rsidR="006E7DC5">
        <w:rPr>
          <w:rFonts w:ascii="楷体" w:eastAsia="楷体" w:hAnsi="楷体" w:cs="Times New Roman"/>
          <w:szCs w:val="22"/>
        </w:rPr>
        <w:t>，</w:t>
      </w:r>
      <w:r w:rsidRPr="00DC3343">
        <w:rPr>
          <w:rFonts w:ascii="楷体" w:eastAsia="楷体" w:hAnsi="楷体" w:cs="Times New Roman"/>
          <w:szCs w:val="22"/>
        </w:rPr>
        <w:t>非天子之利也</w:t>
      </w:r>
      <w:r w:rsidRPr="00DC3343" w:rsidR="006E7DC5">
        <w:rPr>
          <w:rFonts w:ascii="楷体" w:eastAsia="楷体" w:hAnsi="楷体" w:cs="Times New Roman"/>
          <w:szCs w:val="22"/>
        </w:rPr>
        <w:t>，</w:t>
      </w:r>
      <w:r w:rsidRPr="00DC3343">
        <w:rPr>
          <w:rFonts w:ascii="楷体" w:eastAsia="楷体" w:hAnsi="楷体" w:cs="Times New Roman"/>
          <w:szCs w:val="22"/>
        </w:rPr>
        <w:t>国祚所以不长也；而为天下计</w:t>
      </w:r>
      <w:r w:rsidRPr="00DC3343" w:rsidR="006E7DC5">
        <w:rPr>
          <w:rFonts w:ascii="楷体" w:eastAsia="楷体" w:hAnsi="楷体" w:cs="Times New Roman"/>
          <w:szCs w:val="22"/>
        </w:rPr>
        <w:t>（</w:t>
      </w:r>
      <w:r w:rsidRPr="00DC3343">
        <w:rPr>
          <w:rFonts w:ascii="楷体" w:eastAsia="楷体" w:hAnsi="楷体" w:cs="Times New Roman"/>
          <w:szCs w:val="22"/>
        </w:rPr>
        <w:t>利</w:t>
      </w:r>
      <w:r w:rsidRPr="00DC3343" w:rsidR="006E7DC5">
        <w:rPr>
          <w:rFonts w:ascii="楷体" w:eastAsia="楷体" w:hAnsi="楷体" w:cs="Times New Roman"/>
          <w:szCs w:val="22"/>
        </w:rPr>
        <w:t>）（</w:t>
      </w:r>
      <w:r w:rsidRPr="00DC3343">
        <w:rPr>
          <w:rFonts w:ascii="楷体" w:eastAsia="楷体" w:hAnsi="楷体" w:cs="Times New Roman"/>
          <w:szCs w:val="22"/>
        </w:rPr>
        <w:t>则</w:t>
      </w:r>
      <w:r w:rsidRPr="00DC3343" w:rsidR="006E7DC5">
        <w:rPr>
          <w:rFonts w:ascii="楷体" w:eastAsia="楷体" w:hAnsi="楷体" w:cs="Times New Roman"/>
          <w:szCs w:val="22"/>
        </w:rPr>
        <w:t>）</w:t>
      </w:r>
      <w:r w:rsidRPr="00DC3343">
        <w:rPr>
          <w:rFonts w:ascii="楷体" w:eastAsia="楷体" w:hAnsi="楷体" w:cs="Times New Roman"/>
          <w:szCs w:val="22"/>
        </w:rPr>
        <w:t>害不如封建之滋也多矣。</w:t>
      </w:r>
      <w:r w:rsidRPr="00DC3343">
        <w:rPr>
          <w:rFonts w:ascii="楷体" w:eastAsia="楷体" w:hAnsi="楷体" w:cs="Times New Roman"/>
          <w:szCs w:val="22"/>
        </w:rPr>
        <w:t>……</w:t>
      </w:r>
    </w:p>
    <w:p w:rsidR="00051F6F" w:rsidRPr="006E7DC5" w:rsidP="006E7DC5">
      <w:pPr>
        <w:spacing w:line="360" w:lineRule="auto"/>
        <w:ind w:firstLine="450"/>
        <w:jc w:val="right"/>
        <w:textAlignment w:val="center"/>
        <w:rPr>
          <w:rFonts w:ascii="Times New Roman" w:eastAsia="楷体" w:hAnsi="Times New Roman" w:cs="Times New Roman"/>
          <w:szCs w:val="22"/>
        </w:rPr>
      </w:pPr>
      <w:r w:rsidRPr="006E7DC5">
        <w:rPr>
          <w:rFonts w:ascii="Times New Roman" w:eastAsia="楷体" w:hAnsi="Times New Roman" w:cs="Times New Roman"/>
          <w:szCs w:val="22"/>
        </w:rPr>
        <w:t>——</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王夫之《读通鉴论卷一》</w:t>
      </w:r>
    </w:p>
    <w:p w:rsidR="00051F6F" w:rsidRPr="006E7DC5" w:rsidP="006E7DC5">
      <w:pPr>
        <w:spacing w:line="360" w:lineRule="auto"/>
        <w:ind w:firstLine="450"/>
        <w:jc w:val="left"/>
        <w:textAlignment w:val="center"/>
        <w:rPr>
          <w:rFonts w:ascii="Times New Roman" w:eastAsia="楷体" w:hAnsi="Times New Roman" w:cs="Times New Roman"/>
          <w:szCs w:val="22"/>
        </w:rPr>
        <w:sectPr w:rsidSect="006E7DC5">
          <w:type w:val="nextPage"/>
          <w:pgSz w:w="11906" w:h="16838"/>
          <w:pgMar w:top="1418" w:right="1077" w:bottom="1418" w:left="1077" w:header="851" w:footer="992" w:gutter="0"/>
          <w:pgNumType w:start="4"/>
          <w:cols w:space="425"/>
          <w:titlePg w:val="0"/>
          <w:docGrid w:type="lines" w:linePitch="312"/>
        </w:sectPr>
      </w:pPr>
      <w:r w:rsidRPr="006E7DC5">
        <w:rPr>
          <w:rFonts w:ascii="Times New Roman" w:eastAsia="楷体" w:hAnsi="Times New Roman" w:cs="Times New Roman"/>
          <w:szCs w:val="22"/>
        </w:rPr>
        <w:t>材料三</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特别值得注意的</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是《工律》中这样的内容</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为器同物者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其小大、短长、广亦必等。</w:t>
      </w:r>
      <w:r w:rsidRPr="006E7DC5">
        <w:rPr>
          <w:rFonts w:ascii="Times New Roman" w:eastAsia="楷体" w:hAnsi="Times New Roman" w:cs="Times New Roman"/>
          <w:szCs w:val="22"/>
        </w:rPr>
        <w:t>"</w:t>
      </w:r>
      <w:r w:rsidRPr="006E7DC5">
        <w:rPr>
          <w:rFonts w:ascii="Times New Roman" w:eastAsia="楷体" w:hAnsi="Times New Roman" w:cs="Times New Roman"/>
          <w:szCs w:val="22"/>
        </w:rPr>
        <w:t>即</w:t>
      </w:r>
      <w:r w:rsidRPr="006E7DC5">
        <w:rPr>
          <w:rFonts w:ascii="Times New Roman" w:eastAsia="楷体" w:hAnsi="Times New Roman" w:cs="Times New Roman"/>
          <w:szCs w:val="22"/>
        </w:rPr>
        <w:t>使在官营手工业系统</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这样讲究标准化的要求</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也是值得重视的。《工律》还规定</w:t>
      </w:r>
      <w:r w:rsidRPr="006E7DC5" w:rsidR="006E7DC5">
        <w:rPr>
          <w:rFonts w:ascii="Times New Roman" w:eastAsia="楷体" w:hAnsi="Times New Roman" w:cs="Times New Roman"/>
          <w:szCs w:val="22"/>
        </w:rPr>
        <w:t>，</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县和工室由官府有关机构校正其衡器的权、斗桶和升</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至少每年应当校正</w:t>
      </w:r>
      <w:r w:rsidRPr="006E7DC5">
        <w:rPr>
          <w:rFonts w:ascii="Times New Roman" w:eastAsia="楷体" w:hAnsi="Times New Roman" w:cs="Times New Roman"/>
          <w:szCs w:val="22"/>
        </w:rPr>
        <w:t>1</w:t>
      </w:r>
      <w:r w:rsidRPr="006E7DC5">
        <w:rPr>
          <w:rFonts w:ascii="Times New Roman" w:eastAsia="楷体" w:hAnsi="Times New Roman" w:cs="Times New Roman"/>
          <w:szCs w:val="22"/>
        </w:rPr>
        <w:t>次。</w:t>
      </w:r>
    </w:p>
    <w:p w:rsidR="00051F6F" w:rsidRPr="006E7DC5" w:rsidP="006E7DC5">
      <w:pPr>
        <w:spacing w:line="360" w:lineRule="auto"/>
        <w:ind w:firstLine="450"/>
        <w:jc w:val="right"/>
        <w:textAlignment w:val="center"/>
        <w:rPr>
          <w:rFonts w:ascii="Times New Roman" w:eastAsia="楷体" w:hAnsi="Times New Roman" w:cs="Times New Roman"/>
          <w:szCs w:val="22"/>
        </w:rPr>
      </w:pPr>
      <w:r w:rsidRPr="006E7DC5">
        <w:rPr>
          <w:rFonts w:ascii="Times New Roman" w:eastAsia="楷体" w:hAnsi="Times New Roman" w:cs="Times New Roman"/>
          <w:szCs w:val="22"/>
        </w:rPr>
        <w:t>——</w:t>
      </w:r>
      <w:r w:rsidRPr="006E7DC5">
        <w:rPr>
          <w:rFonts w:ascii="Times New Roman" w:eastAsia="楷体" w:hAnsi="Times New Roman" w:cs="Times New Roman"/>
          <w:szCs w:val="22"/>
        </w:rPr>
        <w:t>张岂之主编《中国历史</w:t>
      </w:r>
      <w:r w:rsidRPr="006E7DC5">
        <w:rPr>
          <w:rFonts w:ascii="Times New Roman" w:eastAsia="楷体" w:hAnsi="Times New Roman" w:cs="Times New Roman"/>
          <w:szCs w:val="22"/>
        </w:rPr>
        <w:t>o</w:t>
      </w:r>
      <w:r w:rsidRPr="006E7DC5">
        <w:rPr>
          <w:rFonts w:ascii="Times New Roman" w:eastAsia="楷体" w:hAnsi="Times New Roman" w:cs="Times New Roman"/>
          <w:szCs w:val="22"/>
        </w:rPr>
        <w:t>秦汉魏晋南北朝卷》</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材料四</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两千多年来</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不管王朝如何更迭</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不管哪个民族掌握政权</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这种政治制度和统治形式都一直延续下来。它既有助于打破民族间的隔阂和地区间的分裂割据状态</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又有助于每个民族内部和不同民族之间的政治凝聚力的形成。这是中国各地区、各民族有如百川归海、日益统一的政治基础。</w:t>
      </w:r>
    </w:p>
    <w:p w:rsidR="00051F6F" w:rsidRPr="006E7DC5" w:rsidP="006E7DC5">
      <w:pPr>
        <w:spacing w:line="360" w:lineRule="auto"/>
        <w:ind w:firstLine="450"/>
        <w:jc w:val="right"/>
        <w:textAlignment w:val="center"/>
        <w:rPr>
          <w:rFonts w:ascii="Times New Roman" w:eastAsia="楷体" w:hAnsi="Times New Roman" w:cs="Times New Roman"/>
          <w:szCs w:val="22"/>
        </w:rPr>
      </w:pPr>
      <w:r w:rsidRPr="006E7DC5">
        <w:rPr>
          <w:rFonts w:ascii="Times New Roman" w:eastAsia="楷体" w:hAnsi="Times New Roman" w:cs="Times New Roman"/>
          <w:szCs w:val="22"/>
        </w:rPr>
        <w:t>——</w:t>
      </w:r>
      <w:r w:rsidRPr="006E7DC5">
        <w:rPr>
          <w:rFonts w:ascii="Times New Roman" w:eastAsia="楷体" w:hAnsi="Times New Roman" w:cs="Times New Roman"/>
          <w:szCs w:val="22"/>
        </w:rPr>
        <w:t>张岂之《中国文明史十五讲》</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指出秦朝地方行政架构的特点。</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根据材料二并结合所学知识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分析</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郡县之制</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的历史作用及其</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垂二千年而弗能改矣</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的根本原因。</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3</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根据材料三</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概括秦朝统一度量衡的措施</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并结合所学知识分析其积极作用。</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4</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综上</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谈谈你对中央集权制度的认识。</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秦朝地方行政机构是与秦朝中央行政机构相配套的</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机构完备</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结构严密</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各司其职</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相互制约</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工作效能高。</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历史作用</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有利于社会安定；任用有才能的人管理百姓</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以官僚政治取代贵族政治；克服了分封制的弊端</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有利于加强中央集权。根本原因</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适应了小农经济发展的需要。</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措施</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对器物有标准化的要求；政府机构对衡器要定期校正。作用</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有利于公平交易</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促进商品贸易的繁荣和统一市场的形成；有利于提升政府的公信力</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加强中央集权。</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4</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中央集权制度是与小农经济相适应的政治制度</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符合中国历史发展趋势</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它有效维护和巩固了国家统一</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有助于中华民族凝聚力的形成</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有利于中华文明的延续。</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特点</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从材料一中的</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秦朝郡县制结构示意图</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可知其特征是机构完备</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结构严密</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各司其职</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相互</w:t>
      </w:r>
      <w:r w:rsidRPr="00DC3343">
        <w:rPr>
          <w:rFonts w:ascii="Times New Roman" w:eastAsia="宋体" w:hAnsi="Times New Roman" w:cs="Times New Roman"/>
          <w:color w:val="FF0000"/>
          <w:szCs w:val="22"/>
        </w:rPr>
        <w:t>制约</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工作效能高。</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作用</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结合所学知识可知</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郡县制的作用可从加强中央集权、维护国家统一、促进经济发展、以官僚政治取代贵族政治等方面进行分析即可。原因</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可从封建国家的经济基础这一角度进行分析即可。</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措施</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为器同物者</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其小大、短长、广亦必等</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可归纳出对器物有标准化的要求；根据材料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县和工室由官府有关机构校正其衡器的权、斗桶和升</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至少每年应当校正</w:t>
      </w:r>
      <w:r w:rsidRPr="00DC3343" w:rsidR="005D215A">
        <w:rPr>
          <w:rFonts w:ascii="Times New Roman" w:eastAsia="宋体" w:hAnsi="Times New Roman" w:cs="Times New Roman"/>
          <w:color w:val="FF0000"/>
          <w:szCs w:val="22"/>
        </w:rPr>
        <w:t>1</w:t>
      </w:r>
      <w:r w:rsidRPr="00DC3343" w:rsidR="005D215A">
        <w:rPr>
          <w:rFonts w:ascii="Times New Roman" w:eastAsia="宋体" w:hAnsi="Times New Roman" w:cs="Times New Roman"/>
          <w:color w:val="FF0000"/>
          <w:szCs w:val="22"/>
        </w:rPr>
        <w:t>次</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可归纳出政府机构对衡器要定期校正。作用</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可从促进公平交易、经济发展及加强中央集权等方面进行分析即可。</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4</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认识</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结合上述分析可知</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关于认识可从维护国家统一、提升中华民族凝聚力及延续中华文明等方面进行分析即可。</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5</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回答下列问题</w:t>
      </w:r>
      <w:r w:rsidR="00DC3343">
        <w:rPr>
          <w:rFonts w:ascii="Times New Roman" w:eastAsia="宋体" w:hAnsi="Times New Roman" w:cs="Times New Roman" w:hint="eastAsia"/>
          <w:szCs w:val="22"/>
        </w:rPr>
        <w:t>。</w:t>
      </w:r>
    </w:p>
    <w:p w:rsidR="00051F6F" w:rsidRPr="006E7DC5" w:rsidP="006E7DC5">
      <w:pPr>
        <w:spacing w:line="360" w:lineRule="auto"/>
        <w:ind w:firstLine="420"/>
        <w:jc w:val="left"/>
        <w:textAlignment w:val="center"/>
        <w:rPr>
          <w:rFonts w:ascii="Times New Roman" w:eastAsia="楷体" w:hAnsi="Times New Roman" w:cs="Times New Roman"/>
          <w:szCs w:val="22"/>
        </w:rPr>
        <w:sectPr w:rsidSect="006E7DC5">
          <w:type w:val="nextPage"/>
          <w:pgSz w:w="11906" w:h="16838"/>
          <w:pgMar w:top="1418" w:right="1077" w:bottom="1418" w:left="1077" w:header="851" w:footer="992" w:gutter="0"/>
          <w:pgNumType w:start="5"/>
          <w:cols w:space="425"/>
          <w:titlePg w:val="0"/>
          <w:docGrid w:type="lines" w:linePitch="312"/>
        </w:sectPr>
      </w:pPr>
      <w:r w:rsidRPr="006E7DC5">
        <w:rPr>
          <w:rFonts w:ascii="Times New Roman" w:eastAsia="楷体" w:hAnsi="Times New Roman" w:cs="Times New Roman"/>
          <w:szCs w:val="22"/>
        </w:rPr>
        <w:t>材料一</w:t>
      </w:r>
      <w:r w:rsidR="00DC3343">
        <w:rPr>
          <w:rFonts w:ascii="Times New Roman" w:eastAsia="楷体" w:hAnsi="Times New Roman" w:cs="Times New Roman" w:hint="eastAsia"/>
          <w:szCs w:val="22"/>
        </w:rPr>
        <w:t xml:space="preserve"> </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秦始皇和李斯是秦帝国造者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他们的治国思想秉承了法家传统</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是以</w:t>
      </w:r>
      <w:r w:rsidRPr="006E7DC5">
        <w:rPr>
          <w:rFonts w:ascii="Times New Roman" w:eastAsia="楷体" w:hAnsi="Times New Roman" w:cs="Times New Roman"/>
          <w:szCs w:val="22"/>
        </w:rPr>
        <w:t>“</w:t>
      </w:r>
      <w:r w:rsidRPr="006E7DC5">
        <w:rPr>
          <w:rFonts w:ascii="Times New Roman" w:eastAsia="楷体" w:hAnsi="Times New Roman" w:cs="Times New Roman"/>
          <w:szCs w:val="22"/>
        </w:rPr>
        <w:t>法</w:t>
      </w:r>
      <w:r w:rsidRPr="006E7DC5">
        <w:rPr>
          <w:rFonts w:ascii="Times New Roman" w:eastAsia="楷体" w:hAnsi="Times New Roman" w:cs="Times New Roman"/>
          <w:szCs w:val="22"/>
        </w:rPr>
        <w:t>”</w:t>
      </w:r>
      <w:r w:rsidRPr="006E7DC5">
        <w:rPr>
          <w:rFonts w:ascii="Times New Roman" w:eastAsia="楷体" w:hAnsi="Times New Roman" w:cs="Times New Roman"/>
          <w:szCs w:val="22"/>
        </w:rPr>
        <w:t>治国主张的信奉者、实践者。秦帝国的立法指导思想以</w:t>
      </w:r>
      <w:r w:rsidRPr="006E7DC5">
        <w:rPr>
          <w:rFonts w:ascii="Times New Roman" w:eastAsia="楷体" w:hAnsi="Times New Roman" w:cs="Times New Roman"/>
          <w:szCs w:val="22"/>
        </w:rPr>
        <w:t>“</w:t>
      </w:r>
      <w:r w:rsidRPr="006E7DC5">
        <w:rPr>
          <w:rFonts w:ascii="Times New Roman" w:eastAsia="楷体" w:hAnsi="Times New Roman" w:cs="Times New Roman"/>
          <w:szCs w:val="22"/>
        </w:rPr>
        <w:t>争强</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治民</w:t>
      </w:r>
      <w:r w:rsidRPr="006E7DC5">
        <w:rPr>
          <w:rFonts w:ascii="Times New Roman" w:eastAsia="楷体" w:hAnsi="Times New Roman" w:cs="Times New Roman"/>
          <w:szCs w:val="22"/>
        </w:rPr>
        <w:t>”</w:t>
      </w:r>
      <w:r w:rsidRPr="006E7DC5">
        <w:rPr>
          <w:rFonts w:ascii="Times New Roman" w:eastAsia="楷体" w:hAnsi="Times New Roman" w:cs="Times New Roman"/>
          <w:szCs w:val="22"/>
        </w:rPr>
        <w:t>和</w:t>
      </w:r>
      <w:r w:rsidRPr="006E7DC5">
        <w:rPr>
          <w:rFonts w:ascii="Times New Roman" w:eastAsia="楷体" w:hAnsi="Times New Roman" w:cs="Times New Roman"/>
          <w:szCs w:val="22"/>
        </w:rPr>
        <w:t>“</w:t>
      </w:r>
      <w:r w:rsidRPr="006E7DC5">
        <w:rPr>
          <w:rFonts w:ascii="Times New Roman" w:eastAsia="楷体" w:hAnsi="Times New Roman" w:cs="Times New Roman"/>
          <w:szCs w:val="22"/>
        </w:rPr>
        <w:t>帝王之具</w:t>
      </w:r>
      <w:r w:rsidRPr="006E7DC5">
        <w:rPr>
          <w:rFonts w:ascii="Times New Roman" w:eastAsia="楷体" w:hAnsi="Times New Roman" w:cs="Times New Roman"/>
          <w:szCs w:val="22"/>
        </w:rPr>
        <w:t>”</w:t>
      </w:r>
      <w:r w:rsidRPr="006E7DC5">
        <w:rPr>
          <w:rFonts w:ascii="Times New Roman" w:eastAsia="楷体" w:hAnsi="Times New Roman" w:cs="Times New Roman"/>
          <w:szCs w:val="22"/>
        </w:rPr>
        <w:t>为指南。秦始皇之</w:t>
      </w:r>
      <w:r w:rsidRPr="006E7DC5">
        <w:rPr>
          <w:rFonts w:ascii="Times New Roman" w:eastAsia="楷体" w:hAnsi="Times New Roman" w:cs="Times New Roman"/>
          <w:szCs w:val="22"/>
        </w:rPr>
        <w:t>“</w:t>
      </w:r>
      <w:r w:rsidRPr="006E7DC5">
        <w:rPr>
          <w:rFonts w:ascii="Times New Roman" w:eastAsia="楷体" w:hAnsi="Times New Roman" w:cs="Times New Roman"/>
          <w:szCs w:val="22"/>
        </w:rPr>
        <w:t>法</w:t>
      </w:r>
      <w:r w:rsidRPr="006E7DC5">
        <w:rPr>
          <w:rFonts w:ascii="Times New Roman" w:eastAsia="楷体" w:hAnsi="Times New Roman" w:cs="Times New Roman"/>
          <w:szCs w:val="22"/>
        </w:rPr>
        <w:t>”</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诽谚者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族诛</w:t>
      </w:r>
      <w:r w:rsidRPr="006E7DC5">
        <w:rPr>
          <w:rFonts w:ascii="Times New Roman" w:eastAsia="楷体" w:hAnsi="Times New Roman" w:cs="Times New Roman"/>
          <w:szCs w:val="22"/>
        </w:rPr>
        <w:t>”</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p>
    <w:p w:rsidR="00051F6F" w:rsidRPr="006E7DC5" w:rsidP="006E7DC5">
      <w:pPr>
        <w:spacing w:line="360" w:lineRule="auto"/>
        <w:ind w:firstLine="42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以古非今者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族诛</w:t>
      </w:r>
      <w:r w:rsidRPr="006E7DC5">
        <w:rPr>
          <w:rFonts w:ascii="Times New Roman" w:eastAsia="楷体" w:hAnsi="Times New Roman" w:cs="Times New Roman"/>
          <w:szCs w:val="22"/>
        </w:rPr>
        <w:t>”</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偶语诗书者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弃市</w:t>
      </w:r>
      <w:r w:rsidRPr="006E7DC5">
        <w:rPr>
          <w:rFonts w:ascii="Times New Roman" w:eastAsia="楷体" w:hAnsi="Times New Roman" w:cs="Times New Roman"/>
          <w:szCs w:val="22"/>
        </w:rPr>
        <w:t>”</w:t>
      </w:r>
      <w:r w:rsidRPr="006E7DC5">
        <w:rPr>
          <w:rFonts w:ascii="Times New Roman" w:eastAsia="楷体" w:hAnsi="Times New Roman" w:cs="Times New Roman"/>
          <w:szCs w:val="22"/>
        </w:rPr>
        <w:t>。秦始皇二十年</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荆轲为燕太子丹刺秦王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后诛轲九族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其后志恨不已</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复夷轲</w:t>
      </w:r>
      <w:r w:rsidRPr="006E7DC5">
        <w:rPr>
          <w:rFonts w:ascii="Times New Roman" w:eastAsia="楷体" w:hAnsi="Times New Roman" w:cs="Times New Roman"/>
          <w:szCs w:val="22"/>
        </w:rPr>
        <w:t>之一里</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一里皆灭</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 xml:space="preserve"> </w:t>
      </w:r>
    </w:p>
    <w:p w:rsidR="00051F6F" w:rsidRPr="006E7DC5" w:rsidP="006E7DC5">
      <w:pPr>
        <w:spacing w:line="360" w:lineRule="auto"/>
        <w:ind w:firstLine="420"/>
        <w:jc w:val="right"/>
        <w:textAlignment w:val="center"/>
        <w:rPr>
          <w:rFonts w:ascii="Times New Roman" w:eastAsia="楷体" w:hAnsi="Times New Roman" w:cs="Times New Roman"/>
          <w:szCs w:val="22"/>
        </w:rPr>
      </w:pPr>
      <w:r w:rsidRPr="006E7DC5">
        <w:rPr>
          <w:rFonts w:ascii="Times New Roman" w:eastAsia="楷体" w:hAnsi="Times New Roman" w:cs="Times New Roman"/>
          <w:szCs w:val="22"/>
        </w:rPr>
        <w:t>——</w:t>
      </w:r>
      <w:r w:rsidRPr="006E7DC5">
        <w:rPr>
          <w:rFonts w:ascii="Times New Roman" w:eastAsia="楷体" w:hAnsi="Times New Roman" w:cs="Times New Roman"/>
          <w:szCs w:val="22"/>
        </w:rPr>
        <w:t>摘编自《也谈先秦政治思想中的</w:t>
      </w:r>
      <w:r w:rsidRPr="006E7DC5">
        <w:rPr>
          <w:rFonts w:ascii="Times New Roman" w:eastAsia="楷体" w:hAnsi="Times New Roman" w:cs="Times New Roman"/>
          <w:szCs w:val="22"/>
        </w:rPr>
        <w:t>“</w:t>
      </w:r>
      <w:r w:rsidRPr="006E7DC5">
        <w:rPr>
          <w:rFonts w:ascii="Times New Roman" w:eastAsia="楷体" w:hAnsi="Times New Roman" w:cs="Times New Roman"/>
          <w:szCs w:val="22"/>
        </w:rPr>
        <w:t>法</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 xml:space="preserve"> </w:t>
      </w:r>
    </w:p>
    <w:p w:rsidR="00051F6F" w:rsidRPr="006E7DC5" w:rsidP="006E7DC5">
      <w:pPr>
        <w:spacing w:line="360" w:lineRule="auto"/>
        <w:ind w:firstLine="42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00DC3343">
        <w:rPr>
          <w:rFonts w:ascii="Times New Roman" w:eastAsia="楷体" w:hAnsi="Times New Roman" w:cs="Times New Roman" w:hint="eastAsia"/>
          <w:szCs w:val="22"/>
        </w:rPr>
        <w:t xml:space="preserve"> </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罗马帝国经由罗马共和国蜕变而来</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凭借的不仅是</w:t>
      </w:r>
      <w:r w:rsidRPr="006E7DC5">
        <w:rPr>
          <w:rFonts w:ascii="Times New Roman" w:eastAsia="楷体" w:hAnsi="Times New Roman" w:cs="Times New Roman"/>
          <w:szCs w:val="22"/>
        </w:rPr>
        <w:t>“</w:t>
      </w:r>
      <w:r w:rsidRPr="006E7DC5">
        <w:rPr>
          <w:rFonts w:ascii="Times New Roman" w:eastAsia="楷体" w:hAnsi="Times New Roman" w:cs="Times New Roman"/>
          <w:szCs w:val="22"/>
        </w:rPr>
        <w:t>使罗马四邻畏服的精兵</w:t>
      </w:r>
      <w:r w:rsidRPr="006E7DC5">
        <w:rPr>
          <w:rFonts w:ascii="Times New Roman" w:eastAsia="楷体" w:hAnsi="Times New Roman" w:cs="Times New Roman"/>
          <w:szCs w:val="22"/>
        </w:rPr>
        <w:t>”</w:t>
      </w:r>
      <w:r w:rsidRPr="006E7DC5">
        <w:rPr>
          <w:rFonts w:ascii="Times New Roman" w:eastAsia="楷体" w:hAnsi="Times New Roman" w:cs="Times New Roman"/>
          <w:szCs w:val="22"/>
        </w:rPr>
        <w:t>更有</w:t>
      </w:r>
      <w:r w:rsidRPr="006E7DC5">
        <w:rPr>
          <w:rFonts w:ascii="Times New Roman" w:eastAsia="楷体" w:hAnsi="Times New Roman" w:cs="Times New Roman"/>
          <w:szCs w:val="22"/>
        </w:rPr>
        <w:t>“</w:t>
      </w:r>
      <w:r w:rsidRPr="006E7DC5">
        <w:rPr>
          <w:rFonts w:ascii="Times New Roman" w:eastAsia="楷体" w:hAnsi="Times New Roman" w:cs="Times New Roman"/>
          <w:szCs w:val="22"/>
        </w:rPr>
        <w:t>使罗马内部安定的良法</w:t>
      </w:r>
      <w:r w:rsidRPr="006E7DC5">
        <w:rPr>
          <w:rFonts w:ascii="Times New Roman" w:eastAsia="楷体" w:hAnsi="Times New Roman" w:cs="Times New Roman"/>
          <w:szCs w:val="22"/>
        </w:rPr>
        <w:t>”</w:t>
      </w:r>
      <w:r w:rsidRPr="006E7DC5">
        <w:rPr>
          <w:rFonts w:ascii="Times New Roman" w:eastAsia="楷体" w:hAnsi="Times New Roman" w:cs="Times New Roman"/>
          <w:szCs w:val="22"/>
        </w:rPr>
        <w:t>。罗马统治者也时常表现出加强君主专制权力的倾向</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但统治者的名分与统治的理论却依旧在很大程度上以自然法思想为归依</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而人性平等、个人权利保障、权力的合法性及对权力的约定则构成了这种思想的心。在法治实践方面</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如</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在涉及基督徒基于信仰而反对皇帝崇拜事件时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图拉真指示其部下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只要抓获罪证确凿的基督徒即可惩办</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但有悔改表现则可宽忽</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同时要防止诬告株</w:t>
      </w:r>
      <w:r w:rsidRPr="006E7DC5">
        <w:rPr>
          <w:rFonts w:ascii="Times New Roman" w:eastAsia="楷体" w:hAnsi="Times New Roman" w:cs="Times New Roman"/>
          <w:szCs w:val="22"/>
        </w:rPr>
        <w:t>逹</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否则便有违于时代精神。罗马帝国法治实践的一件大事是罗马公民权在帝国范国内的实现。</w:t>
      </w:r>
      <w:r w:rsidRPr="006E7DC5">
        <w:rPr>
          <w:rFonts w:ascii="Times New Roman" w:eastAsia="楷体" w:hAnsi="Times New Roman" w:cs="Times New Roman"/>
          <w:szCs w:val="22"/>
        </w:rPr>
        <w:t xml:space="preserve"> </w:t>
      </w:r>
    </w:p>
    <w:p w:rsidR="00051F6F" w:rsidRPr="006E7DC5" w:rsidP="006E7DC5">
      <w:pPr>
        <w:spacing w:line="360" w:lineRule="auto"/>
        <w:ind w:firstLine="420"/>
        <w:jc w:val="right"/>
        <w:textAlignment w:val="center"/>
        <w:rPr>
          <w:rFonts w:ascii="Times New Roman" w:eastAsia="楷体" w:hAnsi="Times New Roman" w:cs="Times New Roman"/>
          <w:szCs w:val="22"/>
        </w:rPr>
      </w:pPr>
      <w:r w:rsidRPr="006E7DC5">
        <w:rPr>
          <w:rFonts w:ascii="Times New Roman" w:eastAsia="楷体" w:hAnsi="Times New Roman" w:cs="Times New Roman"/>
          <w:szCs w:val="22"/>
        </w:rPr>
        <w:t>——</w:t>
      </w:r>
      <w:r w:rsidRPr="006E7DC5">
        <w:rPr>
          <w:rFonts w:ascii="Times New Roman" w:eastAsia="楷体" w:hAnsi="Times New Roman" w:cs="Times New Roman"/>
          <w:szCs w:val="22"/>
        </w:rPr>
        <w:t>摘编自《论法律价值取向与政治稳定》</w:t>
      </w:r>
      <w:r w:rsidRPr="006E7DC5">
        <w:rPr>
          <w:rFonts w:ascii="Times New Roman" w:eastAsia="楷体" w:hAnsi="Times New Roman" w:cs="Times New Roman"/>
          <w:szCs w:val="22"/>
        </w:rPr>
        <w:t xml:space="preserve"> </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请回答</w:t>
      </w:r>
      <w:r w:rsidRPr="006E7DC5" w:rsidR="006E7DC5">
        <w:rPr>
          <w:rFonts w:ascii="Times New Roman" w:eastAsia="宋体" w:hAnsi="Times New Roman" w:cs="Times New Roman"/>
          <w:szCs w:val="22"/>
        </w:rPr>
        <w:t>：</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据材料一、二及结合所学</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分析古代秦帝国和罗马帝国重视法律治国的历史背景。</w:t>
      </w:r>
      <w:r w:rsidRPr="006E7DC5" w:rsidR="005D215A">
        <w:rPr>
          <w:rFonts w:ascii="Times New Roman" w:eastAsia="宋体" w:hAnsi="Times New Roman" w:cs="Times New Roman"/>
          <w:szCs w:val="22"/>
        </w:rPr>
        <w:t xml:space="preserve"> </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根据材料一、二并结合所学知识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简要分析法治实践对秦帝国和罗马帝国统治的延续所起不同作用及原因。</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背景</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商鞅变法</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形成了秦国重法传统；秦国历代统治者厉行法治</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效果明显；秦帝国初建</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各种反对势力依然存在。</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答两点即可</w:t>
      </w:r>
      <w:r w:rsidRPr="00DC3343" w:rsidR="006E7DC5">
        <w:rPr>
          <w:rFonts w:ascii="Times New Roman" w:eastAsia="宋体" w:hAnsi="Times New Roman" w:cs="Times New Roman"/>
          <w:color w:val="FF0000"/>
          <w:szCs w:val="22"/>
        </w:rPr>
        <w:t>）</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罗马自共和国时期就形成了良好的法律传统；罗马帝国统治者信奉自然法思想；法治实践在罗马历史上取得了良好的效果等。</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答两点即可</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 xml:space="preserve"> </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作用</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秦</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激化了阶级矛盾</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加速了秦帝国的覆亡。</w:t>
      </w:r>
      <w:r w:rsidRPr="00DC3343" w:rsidR="005D215A">
        <w:rPr>
          <w:rFonts w:ascii="Times New Roman" w:eastAsia="宋体" w:hAnsi="Times New Roman" w:cs="Times New Roman"/>
          <w:color w:val="FF0000"/>
          <w:szCs w:val="22"/>
        </w:rPr>
        <w:t xml:space="preserve"> </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罗马</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有利于社会矛盾的缓和</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有效地维护了罗马帝国的统治。</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原因</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秦</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法律严苛</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轻罪重罚。</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罗马</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罗马法律相对宽松</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并适时调整。</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一问秦朝背景根据材料一</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治国思想秉承了法家传统</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秦帝国的立法指导思想以</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争强</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治民</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和</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帝王之具</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为指南</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荆轲为燕太子丹刺秦王</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从商鞅变法影响、历代传统、秦初局势进行分析；</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罗马背景材料二</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更有</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使罗马内部安定的良法</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却依旧在很大程度上以自然法思想为归依</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罗马帝国法治实践的一件大事是罗马公民权在帝国范国内的实现</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从法律传统、自然法思想、及法治效果进行分析。</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结合所学可知</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秦朝实行严刑峻法激发阶级矛盾使其短命而亡；罗马法随时势调整缓和了社会矛盾</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有效巩固帝国统治。</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6</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完成相关小题。</w:t>
      </w:r>
    </w:p>
    <w:p w:rsidR="00051F6F" w:rsidRPr="006E7DC5" w:rsidP="006E7DC5">
      <w:pPr>
        <w:spacing w:line="360" w:lineRule="auto"/>
        <w:ind w:firstLine="450"/>
        <w:jc w:val="left"/>
        <w:textAlignment w:val="center"/>
        <w:rPr>
          <w:rFonts w:ascii="Times New Roman" w:eastAsia="楷体" w:hAnsi="Times New Roman" w:cs="Times New Roman"/>
          <w:szCs w:val="22"/>
        </w:rPr>
        <w:sectPr w:rsidSect="006E7DC5">
          <w:type w:val="nextPage"/>
          <w:pgSz w:w="11906" w:h="16838"/>
          <w:pgMar w:top="1418" w:right="1077" w:bottom="1418" w:left="1077" w:header="851" w:footer="992" w:gutter="0"/>
          <w:pgNumType w:start="6"/>
          <w:cols w:space="425"/>
          <w:titlePg w:val="0"/>
          <w:docGrid w:type="lines" w:linePitch="312"/>
        </w:sect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西周的封建是层层分封</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而汉代封建只有一层分封</w:t>
      </w:r>
      <w:r w:rsidRPr="006E7DC5" w:rsidR="006E7DC5">
        <w:rPr>
          <w:rFonts w:ascii="Times New Roman" w:eastAsia="楷体" w:hAnsi="Times New Roman" w:cs="Times New Roman"/>
          <w:szCs w:val="22"/>
        </w:rPr>
        <w:t>，</w:t>
      </w:r>
      <w:r w:rsidRPr="006E7DC5">
        <w:rPr>
          <w:rFonts w:ascii="宋体" w:eastAsia="宋体" w:hAnsi="宋体" w:cs="宋体" w:hint="eastAsia"/>
          <w:szCs w:val="22"/>
        </w:rPr>
        <w:t>①</w:t>
      </w:r>
      <w:r w:rsidRPr="006E7DC5">
        <w:rPr>
          <w:rFonts w:ascii="Times New Roman" w:eastAsia="楷体" w:hAnsi="Times New Roman" w:cs="Times New Roman"/>
          <w:szCs w:val="22"/>
        </w:rPr>
        <w:t>诸侯王国以下依然是郡县制</w:t>
      </w:r>
      <w:r w:rsidRPr="006E7DC5" w:rsidR="006E7DC5">
        <w:rPr>
          <w:rFonts w:ascii="Times New Roman" w:eastAsia="楷体" w:hAnsi="Times New Roman" w:cs="Times New Roman"/>
          <w:szCs w:val="22"/>
        </w:rPr>
        <w:t>，</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每个王国领有三四郡、五六郡不等。除了诸侯王以外</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刘邦又分封萧何、张良等一百多位功臣为列侯</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建立侯国</w:t>
      </w:r>
      <w:r w:rsidRPr="006E7DC5" w:rsidR="006E7DC5">
        <w:rPr>
          <w:rFonts w:ascii="Times New Roman" w:eastAsia="楷体" w:hAnsi="Times New Roman" w:cs="Times New Roman"/>
          <w:szCs w:val="22"/>
        </w:rPr>
        <w:t>，</w:t>
      </w:r>
      <w:r w:rsidRPr="006E7DC5">
        <w:rPr>
          <w:rFonts w:ascii="宋体" w:eastAsia="宋体" w:hAnsi="宋体" w:cs="宋体" w:hint="eastAsia"/>
          <w:szCs w:val="22"/>
        </w:rPr>
        <w:t>②</w:t>
      </w:r>
      <w:r w:rsidRPr="006E7DC5">
        <w:rPr>
          <w:rFonts w:ascii="Times New Roman" w:eastAsia="楷体" w:hAnsi="Times New Roman" w:cs="Times New Roman"/>
          <w:szCs w:val="22"/>
        </w:rPr>
        <w:t>这些侯国的地位与县相当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但直属中央。因此</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汉代封建只是郡县制的变形</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并没有完全回到西周封建的道路上去。</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摘编自周振鹤《中国地方行政制度史》</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Pr="006E7DC5">
        <w:rPr>
          <w:rFonts w:ascii="Times New Roman" w:eastAsia="楷体" w:hAnsi="Times New Roman" w:cs="Times New Roman"/>
          <w:szCs w:val="22"/>
        </w:rPr>
        <w:t xml:space="preserve">  </w:t>
      </w:r>
      <w:r w:rsidRPr="006E7DC5">
        <w:rPr>
          <w:rFonts w:ascii="宋体" w:eastAsia="宋体" w:hAnsi="宋体" w:cs="宋体" w:hint="eastAsia"/>
          <w:szCs w:val="22"/>
        </w:rPr>
        <w:t>③</w:t>
      </w:r>
      <w:r w:rsidRPr="006E7DC5">
        <w:rPr>
          <w:rFonts w:ascii="Times New Roman" w:eastAsia="楷体" w:hAnsi="Times New Roman" w:cs="Times New Roman"/>
          <w:szCs w:val="22"/>
        </w:rPr>
        <w:t>唐初</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道作为一种区域</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有几种不同的划分。一是行台省统领的区域</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二是作为行军线路的道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三是作为监察区的道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四是作为军事防御区域。上述几种道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其划分区域都不尽相同。前两种道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唐初以后就不用了。后两种道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即监察区域的道与军事区域的道的各自划分</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使监察权与军权相分离</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便于唐朝廷对地方的控制；</w:t>
      </w:r>
      <w:r w:rsidRPr="006E7DC5">
        <w:rPr>
          <w:rFonts w:ascii="宋体" w:eastAsia="宋体" w:hAnsi="宋体" w:cs="宋体" w:hint="eastAsia"/>
          <w:szCs w:val="22"/>
        </w:rPr>
        <w:t>④</w:t>
      </w:r>
      <w:r w:rsidRPr="006E7DC5">
        <w:rPr>
          <w:rFonts w:ascii="Times New Roman" w:eastAsia="楷体" w:hAnsi="Times New Roman" w:cs="Times New Roman"/>
          <w:szCs w:val="22"/>
        </w:rPr>
        <w:t>中唐以后</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监察区域的道与军事区域的道相互结合</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军政长官合一</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形成了藩镇</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道就成了行政实体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是中央与州县之间的一级行政组织</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地方行政体制也由州、县两级制演变为道、州、县变相的三级制。</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摘编自白钢主编《中国政治制度史》</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材料三</w:t>
      </w:r>
      <w:r w:rsidRPr="006E7DC5">
        <w:rPr>
          <w:rFonts w:ascii="Times New Roman" w:eastAsia="楷体" w:hAnsi="Times New Roman" w:cs="Times New Roman"/>
          <w:szCs w:val="22"/>
        </w:rPr>
        <w:t xml:space="preserve">  </w:t>
      </w:r>
      <w:r w:rsidRPr="006E7DC5">
        <w:rPr>
          <w:rFonts w:ascii="宋体" w:eastAsia="宋体" w:hAnsi="宋体" w:cs="宋体" w:hint="eastAsia"/>
          <w:szCs w:val="22"/>
        </w:rPr>
        <w:t>⑤</w:t>
      </w:r>
      <w:r w:rsidRPr="006E7DC5">
        <w:rPr>
          <w:rFonts w:ascii="Times New Roman" w:eastAsia="楷体" w:hAnsi="Times New Roman" w:cs="Times New Roman"/>
          <w:szCs w:val="22"/>
        </w:rPr>
        <w:t>行省也实行群官负责和圆署会议制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行省官员通常由左丞相、平章、右丞、左丞、参知政事等六七人组成</w:t>
      </w:r>
      <w:r w:rsidRPr="006E7DC5">
        <w:rPr>
          <w:rFonts w:ascii="Times New Roman" w:eastAsia="楷体" w:hAnsi="Times New Roman" w:cs="Times New Roman"/>
          <w:szCs w:val="22"/>
        </w:rPr>
        <w:t>……</w:t>
      </w:r>
      <w:r w:rsidRPr="006E7DC5">
        <w:rPr>
          <w:rFonts w:ascii="宋体" w:eastAsia="宋体" w:hAnsi="宋体" w:cs="宋体" w:hint="eastAsia"/>
          <w:szCs w:val="22"/>
        </w:rPr>
        <w:t>⑥</w:t>
      </w:r>
      <w:r w:rsidRPr="006E7DC5">
        <w:rPr>
          <w:rFonts w:ascii="Times New Roman" w:eastAsia="楷体" w:hAnsi="Times New Roman" w:cs="Times New Roman"/>
          <w:szCs w:val="22"/>
        </w:rPr>
        <w:t>无论行政、财政、军事、司法诸事权</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朝廷总是在直接掌握某些基本权力</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如主要军队</w:t>
      </w:r>
      <w:r w:rsidRPr="006E7DC5">
        <w:rPr>
          <w:rFonts w:ascii="Times New Roman" w:eastAsia="楷体" w:hAnsi="Times New Roman" w:cs="Times New Roman"/>
          <w:szCs w:val="22"/>
        </w:rPr>
        <w:t>、官吏任用等</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的同时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把相当一部分权力分寄于行省</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然后借行省集权于中央。显而易见</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元行省制中央集权是秦汉以来郡县制中央集权模式的较高级演化形态。</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摘编自李治安《元代行省制度》</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指出汉初实行的地方行政制度</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并说明</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汉代封建只是郡县制的变形</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的理由。</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根据材料二并结合所学知识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概括唐朝</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道</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的职责与作用。</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3</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根据材料三并结合所学知识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谈谈你对</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元行省制中央集权是秦汉以来郡县制中央集权模式的较高级演化形态</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的理解。</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制度</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郡国并行制。理由</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诸侯王国以下依然是郡县制；侯国直属中央。</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职责</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行政管理、行军路线、监察地方、军事防御。作用</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在一定程度上加强了对地方官吏的监督</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但后期随着军事职能的强化</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作为行政实体的道出现</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形成藩镇割据</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严重削弱了中央集权。</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理解</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行省拥有大权</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但受中央节制；行省实行群官负责和圆署会议制；中央分寄部分权力于行省</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借行省集权中央；部分地方由中书省直接管理。</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第一小问</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结合所学</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可知汉初实行郡国并行化制度。第二小问</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由材料</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诸侯王国以下依然</w:t>
      </w:r>
      <w:r w:rsidRPr="00DC3343">
        <w:rPr>
          <w:rFonts w:ascii="Times New Roman" w:eastAsia="宋体" w:hAnsi="Times New Roman" w:cs="Times New Roman"/>
          <w:color w:val="FF0000"/>
          <w:szCs w:val="22"/>
        </w:rPr>
        <w:t>是郡县制</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每个王国领有三四郡、五六郡不等</w:t>
      </w:r>
      <w:r w:rsidRPr="00DC3343">
        <w:rPr>
          <w:rFonts w:ascii="Times New Roman" w:eastAsia="宋体" w:hAnsi="Times New Roman" w:cs="Times New Roman"/>
          <w:color w:val="FF0000"/>
          <w:szCs w:val="22"/>
        </w:rPr>
        <w:t>”</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可见诸侯王国以</w:t>
      </w:r>
      <w:r w:rsidRPr="00DC3343">
        <w:rPr>
          <w:rFonts w:ascii="Times New Roman" w:eastAsia="宋体" w:hAnsi="Times New Roman" w:cs="Times New Roman"/>
          <w:color w:val="FF0000"/>
          <w:szCs w:val="22"/>
        </w:rPr>
        <w:t>下依然是郡县制；由材料</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侯国的地位与县相当</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但直属中央</w:t>
      </w:r>
      <w:r w:rsidRPr="00DC3343">
        <w:rPr>
          <w:rFonts w:ascii="Times New Roman" w:eastAsia="宋体" w:hAnsi="Times New Roman" w:cs="Times New Roman"/>
          <w:color w:val="FF0000"/>
          <w:szCs w:val="22"/>
        </w:rPr>
        <w:t>”</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可见侯国直属中央。</w:t>
      </w:r>
    </w:p>
    <w:p w:rsidR="00051F6F" w:rsidRPr="00DC3343" w:rsidP="006E7DC5">
      <w:pPr>
        <w:spacing w:line="360" w:lineRule="auto"/>
        <w:jc w:val="left"/>
        <w:textAlignment w:val="center"/>
        <w:rPr>
          <w:rFonts w:ascii="Times New Roman" w:eastAsia="宋体" w:hAnsi="Times New Roman" w:cs="Times New Roman"/>
          <w:color w:val="FF0000"/>
          <w:szCs w:val="22"/>
        </w:rPr>
        <w:sectPr w:rsidSect="006E7DC5">
          <w:type w:val="nextPage"/>
          <w:pgSz w:w="11906" w:h="16838"/>
          <w:pgMar w:top="1418" w:right="1077" w:bottom="1418" w:left="1077" w:header="851" w:footer="992" w:gutter="0"/>
          <w:pgNumType w:start="7"/>
          <w:cols w:space="425"/>
          <w:titlePg w:val="0"/>
          <w:docGrid w:type="lines" w:linePitch="312"/>
        </w:sect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第一小问</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一是行台省统领的区域</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二是作为行军线路的道</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三是作为监察区的道</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四是作为军事防御区域。</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归纳作答。第二小问</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要一分为二评价唐朝</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道</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的作用</w:t>
      </w:r>
      <w:r w:rsidRPr="00DC3343">
        <w:rPr>
          <w:rFonts w:ascii="Times New Roman" w:eastAsia="宋体" w:hAnsi="Times New Roman" w:cs="Times New Roman"/>
          <w:color w:val="FF0000"/>
          <w:szCs w:val="22"/>
        </w:rPr>
        <w:t>，</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sidR="005D215A">
        <w:rPr>
          <w:rFonts w:ascii="Times New Roman" w:eastAsia="宋体" w:hAnsi="Times New Roman" w:cs="Times New Roman"/>
          <w:color w:val="FF0000"/>
          <w:szCs w:val="22"/>
        </w:rPr>
        <w:t>既要指出在一定程度上加强了对地方官吏的监督</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监察区域的道与军事区域的道相互结合</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军政长官合一</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形成了藩镇</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可见作为行政实体的道出现</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最终削弱了中央集权。</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3</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从行省权力而言</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行省受中央节制；由材料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行省也实行群官负责和圆署会议制</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可见行省实行群官负责和圆署会议制；就中央与地方关系而言</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一方面</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中央分寄部分权力于行省以集权中央</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从而密切了中央与地方的关系。</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7</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完成下列要求。</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汉武帝为了独揽大权</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一方面采取措施削弱丞相的权力</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如从建元元年到建元六年</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短短六年之内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就罢免了卫绾、窦婴、许昌三位丞相；剥夺丞相</w:t>
      </w:r>
      <w:r w:rsidRPr="006E7DC5">
        <w:rPr>
          <w:rFonts w:ascii="Times New Roman" w:eastAsia="楷体" w:hAnsi="Times New Roman" w:cs="Times New Roman"/>
          <w:szCs w:val="22"/>
        </w:rPr>
        <w:t>“</w:t>
      </w:r>
      <w:r w:rsidRPr="006E7DC5">
        <w:rPr>
          <w:rFonts w:ascii="Times New Roman" w:eastAsia="楷体" w:hAnsi="Times New Roman" w:cs="Times New Roman"/>
          <w:szCs w:val="22"/>
        </w:rPr>
        <w:t>主臣</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除吏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任免官吏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的人事大权等</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另一方面</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为了弥补因削弱相权而带来的空缺</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汉武帝提拔了一批出身低微但又才华横溢的文人、近臣</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并让他们参与朝政</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从而培养出了一批紧密团结在自身周围而又能与丞相为首的官品分庭抗礼的内朝官。</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摘编自郜金山《汉武帝时期朝议制度的研究》</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明成祖永乐初年</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阁臣的地位还较低</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大都是些编、检、讲读之官</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没有官署</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行政上与诸司没有从属关系</w:t>
      </w:r>
      <w:r w:rsidRPr="006E7DC5">
        <w:rPr>
          <w:rFonts w:ascii="Times New Roman" w:eastAsia="楷体" w:hAnsi="Times New Roman" w:cs="Times New Roman"/>
          <w:szCs w:val="22"/>
        </w:rPr>
        <w:t>——“</w:t>
      </w:r>
      <w:r w:rsidRPr="006E7DC5">
        <w:rPr>
          <w:rFonts w:ascii="Times New Roman" w:eastAsia="楷体" w:hAnsi="Times New Roman" w:cs="Times New Roman"/>
          <w:szCs w:val="22"/>
        </w:rPr>
        <w:t>不得专制诸司</w:t>
      </w:r>
      <w:r w:rsidRPr="006E7DC5">
        <w:rPr>
          <w:rFonts w:ascii="Times New Roman" w:eastAsia="楷体" w:hAnsi="Times New Roman" w:cs="Times New Roman"/>
          <w:szCs w:val="22"/>
        </w:rPr>
        <w:t>”</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阁臣主要奉皇帝旨意办事。</w:t>
      </w:r>
      <w:r w:rsidRPr="006E7DC5">
        <w:rPr>
          <w:rFonts w:ascii="Times New Roman" w:eastAsia="楷体" w:hAnsi="Times New Roman" w:cs="Times New Roman"/>
          <w:szCs w:val="22"/>
        </w:rPr>
        <w:t>……</w:t>
      </w:r>
      <w:r w:rsidRPr="006E7DC5">
        <w:rPr>
          <w:rFonts w:ascii="Times New Roman" w:eastAsia="楷体" w:hAnsi="Times New Roman" w:cs="Times New Roman"/>
          <w:szCs w:val="22"/>
        </w:rPr>
        <w:t>自宣宗后</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入职文渊阁的大臣均相继晋尚书</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且日后大学士居内阁</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官必以尚书为尊</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这些都标志着内阁成员地位的提高</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也为阁权在其强势时期凌驾于部权之上提供了契机。内阁根据上谕草拟诏敕</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但如果内阁认为上谕有假或不妥</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则可以封还上谕</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等皇帝再示明白</w:t>
      </w:r>
      <w:r w:rsidRPr="006E7DC5">
        <w:rPr>
          <w:rFonts w:ascii="Times New Roman" w:eastAsia="楷体" w:hAnsi="Times New Roman" w:cs="Times New Roman"/>
          <w:szCs w:val="22"/>
        </w:rPr>
        <w:t>之后方可草拟。</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摘编自张海英《明代内阁制度的盛与衰》</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概括汉武帝设立内朝的原因及其特点。</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根据材料一、二</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指出汉代内朝与明代内阁的共同点</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并分析明代内阁制度的变化。</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原因</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丞相权力严重威胁了皇权专制；削弱相权导致了中枢权力的空缺。</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特点</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内朝官员出身与职位低微；内朝官员皆是皇帝的亲信近臣；内朝官员可能直接参与国家决策；内朝官员可以制衡丞相为首的官员。</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共同点</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服务于皇权专制。</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变化</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内阁大臣由只备皇帝顾问到可以草拟诏令；从无权管理六部到凌驾于部权之上。</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第一小问</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原因</w:t>
      </w:r>
      <w:r w:rsidRPr="00DC3343">
        <w:rPr>
          <w:rFonts w:ascii="Times New Roman" w:eastAsia="宋体" w:hAnsi="Times New Roman" w:cs="Times New Roman"/>
          <w:color w:val="FF0000"/>
          <w:szCs w:val="22"/>
        </w:rPr>
        <w:t>”</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据材料中的</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除吏</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空缺</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得出</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丞相权力严重威胁了皇权专制</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削弱相权导</w:t>
      </w:r>
      <w:r w:rsidRPr="00DC3343">
        <w:rPr>
          <w:rFonts w:ascii="Times New Roman" w:eastAsia="宋体" w:hAnsi="Times New Roman" w:cs="Times New Roman"/>
          <w:color w:val="FF0000"/>
          <w:szCs w:val="22"/>
        </w:rPr>
        <w:t>致中枢权力的空缺。第二小问</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特点</w:t>
      </w:r>
      <w:r w:rsidRPr="00DC3343">
        <w:rPr>
          <w:rFonts w:ascii="Times New Roman" w:eastAsia="宋体" w:hAnsi="Times New Roman" w:cs="Times New Roman"/>
          <w:color w:val="FF0000"/>
          <w:szCs w:val="22"/>
        </w:rPr>
        <w:t>”</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据材料中的</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出身低微</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近臣</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参与朝政</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分庭抗礼</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得出</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内朝官员出身与职位低微；内朝官员皆是皇帝的亲信近臣；内朝官员可能直接参与国家决策；内朝官员可以制衡丞相为首的官员。</w:t>
      </w:r>
    </w:p>
    <w:p w:rsidR="00051F6F" w:rsidRPr="00DC3343" w:rsidP="006E7DC5">
      <w:pPr>
        <w:spacing w:line="360" w:lineRule="auto"/>
        <w:jc w:val="left"/>
        <w:textAlignment w:val="center"/>
        <w:rPr>
          <w:rFonts w:ascii="Times New Roman" w:eastAsia="宋体" w:hAnsi="Times New Roman" w:cs="Times New Roman"/>
          <w:color w:val="FF0000"/>
          <w:szCs w:val="22"/>
        </w:rPr>
        <w:sectPr w:rsidSect="006E7DC5">
          <w:type w:val="nextPage"/>
          <w:pgSz w:w="11906" w:h="16838"/>
          <w:pgMar w:top="1418" w:right="1077" w:bottom="1418" w:left="1077" w:header="851" w:footer="992" w:gutter="0"/>
          <w:pgNumType w:start="8"/>
          <w:cols w:space="425"/>
          <w:titlePg w:val="0"/>
          <w:docGrid w:type="lines" w:linePitch="312"/>
        </w:sect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第一小问</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共同点</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据材料中的</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为了独揽大权</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参与朝政</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奉皇帝旨意办事</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得出</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服务于皇权专制。第二小问</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变化</w:t>
      </w:r>
      <w:r w:rsidRPr="00DC3343" w:rsidR="005D215A">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结合材料和所学知识</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从内阁的职权、地位等作答。</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8</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完成下列要求。</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重罚轻赏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则上爱民</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民死上；重赏轻罚</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则上不爱民</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民不死上。</w:t>
      </w:r>
      <w:r w:rsidRPr="006E7DC5">
        <w:rPr>
          <w:rFonts w:ascii="Times New Roman" w:eastAsia="楷体" w:hAnsi="Times New Roman" w:cs="Times New Roman"/>
          <w:szCs w:val="22"/>
        </w:rPr>
        <w:t>……</w:t>
      </w:r>
      <w:r w:rsidRPr="006E7DC5">
        <w:rPr>
          <w:rFonts w:ascii="Times New Roman" w:eastAsia="楷体" w:hAnsi="Times New Roman" w:cs="Times New Roman"/>
          <w:szCs w:val="22"/>
        </w:rPr>
        <w:t>王者刑九赏一</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强国刑七赏三</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削国刑五赏五。</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《商君书</w:t>
      </w:r>
      <w:r w:rsidRPr="006E7DC5">
        <w:rPr>
          <w:rFonts w:ascii="Times New Roman" w:eastAsia="宋体" w:hAnsi="Times New Roman" w:cs="Times New Roman"/>
          <w:szCs w:val="22"/>
        </w:rPr>
        <w:t>·</w:t>
      </w:r>
      <w:r w:rsidRPr="006E7DC5">
        <w:rPr>
          <w:rFonts w:ascii="Times New Roman" w:eastAsia="宋体" w:hAnsi="Times New Roman" w:cs="Times New Roman"/>
          <w:szCs w:val="22"/>
        </w:rPr>
        <w:t>去强篇》</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董仲舒搜集整理了</w:t>
      </w:r>
      <w:r w:rsidRPr="006E7DC5">
        <w:rPr>
          <w:rFonts w:ascii="Times New Roman" w:eastAsia="楷体" w:hAnsi="Times New Roman" w:cs="Times New Roman"/>
          <w:szCs w:val="22"/>
        </w:rPr>
        <w:t>232</w:t>
      </w:r>
      <w:r w:rsidRPr="006E7DC5">
        <w:rPr>
          <w:rFonts w:ascii="Times New Roman" w:eastAsia="楷体" w:hAnsi="Times New Roman" w:cs="Times New Roman"/>
          <w:szCs w:val="22"/>
        </w:rPr>
        <w:t>个案例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将当时的法律抛在一边</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直接用《春秋》的经义定罪量刑</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编成案例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指导律吏</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称《春秋决狱比》。汉宣帝下诏规定</w:t>
      </w:r>
      <w:r w:rsidRPr="006E7DC5">
        <w:rPr>
          <w:rFonts w:ascii="Times New Roman" w:eastAsia="楷体" w:hAnsi="Times New Roman" w:cs="Times New Roman"/>
          <w:szCs w:val="22"/>
        </w:rPr>
        <w:t>“</w:t>
      </w:r>
      <w:r w:rsidRPr="006E7DC5">
        <w:rPr>
          <w:rFonts w:ascii="Times New Roman" w:eastAsia="楷体" w:hAnsi="Times New Roman" w:cs="Times New Roman"/>
          <w:szCs w:val="22"/>
        </w:rPr>
        <w:t>父子之亲</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夫妇之道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天性也。其父母匿子</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夫匿妻</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大父母匿孙</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皆勿坐。</w:t>
      </w:r>
      <w:r w:rsidRPr="006E7DC5">
        <w:rPr>
          <w:rFonts w:ascii="Times New Roman" w:eastAsia="楷体" w:hAnsi="Times New Roman" w:cs="Times New Roman"/>
          <w:szCs w:val="22"/>
        </w:rPr>
        <w:t>”</w:t>
      </w:r>
      <w:r w:rsidRPr="006E7DC5">
        <w:rPr>
          <w:rFonts w:ascii="Times New Roman" w:eastAsia="楷体" w:hAnsi="Times New Roman" w:cs="Times New Roman"/>
          <w:szCs w:val="22"/>
        </w:rPr>
        <w:t>与孔子的</w:t>
      </w:r>
      <w:r w:rsidRPr="006E7DC5">
        <w:rPr>
          <w:rFonts w:ascii="Times New Roman" w:eastAsia="楷体" w:hAnsi="Times New Roman" w:cs="Times New Roman"/>
          <w:szCs w:val="22"/>
        </w:rPr>
        <w:t>“</w:t>
      </w:r>
      <w:r w:rsidRPr="006E7DC5">
        <w:rPr>
          <w:rFonts w:ascii="Times New Roman" w:eastAsia="楷体" w:hAnsi="Times New Roman" w:cs="Times New Roman"/>
          <w:szCs w:val="22"/>
        </w:rPr>
        <w:t>父为子隐</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子为父隐</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直在其中矣</w:t>
      </w:r>
      <w:r w:rsidRPr="006E7DC5">
        <w:rPr>
          <w:rFonts w:ascii="Times New Roman" w:eastAsia="楷体" w:hAnsi="Times New Roman" w:cs="Times New Roman"/>
          <w:szCs w:val="22"/>
        </w:rPr>
        <w:t>”</w:t>
      </w:r>
      <w:r w:rsidRPr="006E7DC5">
        <w:rPr>
          <w:rFonts w:ascii="Times New Roman" w:eastAsia="楷体" w:hAnsi="Times New Roman" w:cs="Times New Roman"/>
          <w:szCs w:val="22"/>
        </w:rPr>
        <w:t>等观点相一致。当时的司法官吏首先用儒家经典去分析案情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再用儒家经义去解释法律、断案量刑</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这被称为</w:t>
      </w:r>
      <w:r w:rsidRPr="006E7DC5">
        <w:rPr>
          <w:rFonts w:ascii="Times New Roman" w:eastAsia="楷体" w:hAnsi="Times New Roman" w:cs="Times New Roman"/>
          <w:szCs w:val="22"/>
        </w:rPr>
        <w:t>“</w:t>
      </w:r>
      <w:r w:rsidRPr="006E7DC5">
        <w:rPr>
          <w:rFonts w:ascii="Times New Roman" w:eastAsia="楷体" w:hAnsi="Times New Roman" w:cs="Times New Roman"/>
          <w:szCs w:val="22"/>
        </w:rPr>
        <w:t>春秋决狱</w:t>
      </w:r>
      <w:r w:rsidRPr="006E7DC5">
        <w:rPr>
          <w:rFonts w:ascii="Times New Roman" w:eastAsia="楷体" w:hAnsi="Times New Roman" w:cs="Times New Roman"/>
          <w:szCs w:val="22"/>
        </w:rPr>
        <w:t>”</w:t>
      </w:r>
      <w:r w:rsidRPr="006E7DC5">
        <w:rPr>
          <w:rFonts w:ascii="Times New Roman" w:eastAsia="楷体" w:hAnsi="Times New Roman" w:cs="Times New Roman"/>
          <w:szCs w:val="22"/>
        </w:rPr>
        <w:t>。</w:t>
      </w:r>
    </w:p>
    <w:p w:rsidR="00051F6F" w:rsidRPr="006E7DC5" w:rsidP="006E7DC5">
      <w:pPr>
        <w:spacing w:line="360" w:lineRule="auto"/>
        <w:jc w:val="righ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Pr>
          <w:rFonts w:ascii="Times New Roman" w:eastAsia="宋体" w:hAnsi="Times New Roman" w:cs="Times New Roman"/>
          <w:szCs w:val="22"/>
        </w:rPr>
        <w:t>摘自毛亚磊《论汉代法律的</w:t>
      </w:r>
      <w:r w:rsidRPr="006E7DC5">
        <w:rPr>
          <w:rFonts w:ascii="Times New Roman" w:eastAsia="宋体" w:hAnsi="Times New Roman" w:cs="Times New Roman"/>
          <w:szCs w:val="22"/>
        </w:rPr>
        <w:t>“</w:t>
      </w:r>
      <w:r w:rsidRPr="006E7DC5">
        <w:rPr>
          <w:rFonts w:ascii="Times New Roman" w:eastAsia="宋体" w:hAnsi="Times New Roman" w:cs="Times New Roman"/>
          <w:szCs w:val="22"/>
        </w:rPr>
        <w:t>春秋决狱</w:t>
      </w:r>
      <w:r w:rsidRPr="006E7DC5">
        <w:rPr>
          <w:rFonts w:ascii="Times New Roman" w:eastAsia="宋体" w:hAnsi="Times New Roman" w:cs="Times New Roman"/>
          <w:szCs w:val="22"/>
        </w:rPr>
        <w:t>”</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概括商鞅的法治主张</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并指出其反映的社会背景。</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根据材料二并结合所学知识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指出汉代</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春秋决狱</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体现的法治特点</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并简析其影响。</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主张</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严刑峻法</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慎用赏赐。</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背景</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诸侯争霸</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战乱不断；诸侯国为实现富国强兵</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推行变法；思想活跃</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百家争鸣。</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特点</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引礼入法</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礼法结合。</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影响</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利于克服严刑峻法的弊端；利于扩大儒学影响</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维护统一。但将道德凌驾于法律之上</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削弱了法律的权威性</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主张</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根据材料</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重罚轻赏</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则上爱民</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民死上</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王者刑九赏一</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商鞅主张严刑峻法</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慎用赏赐。</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背景</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根据所学知识可知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商鞅正处于战国时期</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当时诸侯争霸</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战乱不断</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诸侯国为实现富国强兵</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推行变法；从思想角度看</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战国时期思想活跃</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百家争鸣。</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特点</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根据材料</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用《春秋》的经义定罪量刑</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编成案例</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指导律吏</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当时的司法官吏首先用儒家经典去分析案情</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再用儒家经义去解释法律</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可知</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春秋决狱具有引礼入法</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礼法结合。</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影响</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根据所学知识可知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春秋决狱用儒家经义解释法律</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关照人情</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利于克服严刑峻法的弊端；根据材料</w:t>
      </w:r>
      <w:r w:rsidRPr="00DC3343">
        <w:rPr>
          <w:rFonts w:ascii="Times New Roman" w:eastAsia="宋体" w:hAnsi="Times New Roman" w:cs="Times New Roman"/>
          <w:color w:val="FF0000"/>
          <w:szCs w:val="22"/>
        </w:rPr>
        <w:t xml:space="preserve"> “</w:t>
      </w:r>
      <w:r w:rsidRPr="00DC3343">
        <w:rPr>
          <w:rFonts w:ascii="Times New Roman" w:eastAsia="宋体" w:hAnsi="Times New Roman" w:cs="Times New Roman"/>
          <w:color w:val="FF0000"/>
          <w:szCs w:val="22"/>
        </w:rPr>
        <w:t>用儒家经典去分析案情</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再用儒家经义去解释法律、断案量刑</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这体现了法律儒家化</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利于扩大</w:t>
      </w:r>
      <w:r w:rsidRPr="00DC3343">
        <w:rPr>
          <w:rFonts w:ascii="Times New Roman" w:eastAsia="宋体" w:hAnsi="Times New Roman" w:cs="Times New Roman"/>
          <w:color w:val="FF0000"/>
          <w:szCs w:val="22"/>
        </w:rPr>
        <w:t>儒学影响</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维护统一。根据材料</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其父母匿子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夫匿妻</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大父母匿孙</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皆勿坐</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亲亲相匿</w:t>
      </w:r>
      <w:r w:rsidRPr="00DC3343">
        <w:rPr>
          <w:rFonts w:ascii="Times New Roman" w:eastAsia="宋体" w:hAnsi="Times New Roman" w:cs="Times New Roman"/>
          <w:color w:val="FF0000"/>
          <w:szCs w:val="22"/>
        </w:rPr>
        <w:t>原则将道德凌驾于法律之上</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削弱了法律的权威性</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9</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完成下列要求。</w:t>
      </w:r>
    </w:p>
    <w:p w:rsidR="00051F6F" w:rsidRPr="006E7DC5" w:rsidP="006E7DC5">
      <w:pPr>
        <w:spacing w:line="360" w:lineRule="auto"/>
        <w:ind w:firstLine="450"/>
        <w:jc w:val="left"/>
        <w:textAlignment w:val="center"/>
        <w:rPr>
          <w:rFonts w:ascii="Times New Roman" w:eastAsia="楷体" w:hAnsi="Times New Roman" w:cs="Times New Roman"/>
          <w:szCs w:val="22"/>
        </w:rPr>
        <w:sectPr w:rsidSect="006E7DC5">
          <w:type w:val="nextPage"/>
          <w:pgSz w:w="11906" w:h="16838"/>
          <w:pgMar w:top="1418" w:right="1077" w:bottom="1418" w:left="1077" w:header="851" w:footer="992" w:gutter="0"/>
          <w:pgNumType w:start="9"/>
          <w:cols w:space="425"/>
          <w:titlePg w:val="0"/>
          <w:docGrid w:type="lines" w:linePitch="312"/>
        </w:sectPr>
      </w:pPr>
      <w:r w:rsidRPr="006E7DC5">
        <w:rPr>
          <w:rFonts w:ascii="Times New Roman" w:eastAsia="楷体" w:hAnsi="Times New Roman" w:cs="Times New Roman"/>
          <w:szCs w:val="22"/>
        </w:rPr>
        <w:t>材料一</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士</w:t>
      </w:r>
      <w:r w:rsidRPr="006E7DC5">
        <w:rPr>
          <w:rFonts w:ascii="Times New Roman" w:eastAsia="楷体" w:hAnsi="Times New Roman" w:cs="Times New Roman"/>
          <w:szCs w:val="22"/>
        </w:rPr>
        <w:t>”</w:t>
      </w:r>
      <w:r w:rsidRPr="006E7DC5">
        <w:rPr>
          <w:rFonts w:ascii="Times New Roman" w:eastAsia="楷体" w:hAnsi="Times New Roman" w:cs="Times New Roman"/>
          <w:szCs w:val="22"/>
        </w:rPr>
        <w:t>原是贵族的最低阶层</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有一定的</w:t>
      </w:r>
      <w:r w:rsidRPr="006E7DC5">
        <w:rPr>
          <w:rFonts w:ascii="Times New Roman" w:eastAsia="楷体" w:hAnsi="Times New Roman" w:cs="Times New Roman"/>
          <w:szCs w:val="22"/>
        </w:rPr>
        <w:t>“</w:t>
      </w:r>
      <w:r w:rsidRPr="006E7DC5">
        <w:rPr>
          <w:rFonts w:ascii="Times New Roman" w:eastAsia="楷体" w:hAnsi="Times New Roman" w:cs="Times New Roman"/>
          <w:szCs w:val="22"/>
        </w:rPr>
        <w:t>食田</w:t>
      </w:r>
      <w:r w:rsidRPr="006E7DC5">
        <w:rPr>
          <w:rFonts w:ascii="Times New Roman" w:eastAsia="楷体" w:hAnsi="Times New Roman" w:cs="Times New Roman"/>
          <w:szCs w:val="22"/>
        </w:rPr>
        <w:t>”</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受过</w:t>
      </w:r>
      <w:r w:rsidRPr="006E7DC5">
        <w:rPr>
          <w:rFonts w:ascii="Times New Roman" w:eastAsia="楷体" w:hAnsi="Times New Roman" w:cs="Times New Roman"/>
          <w:szCs w:val="22"/>
        </w:rPr>
        <w:t>“</w:t>
      </w:r>
      <w:r w:rsidRPr="006E7DC5">
        <w:rPr>
          <w:rFonts w:ascii="Times New Roman" w:eastAsia="楷体" w:hAnsi="Times New Roman" w:cs="Times New Roman"/>
          <w:szCs w:val="22"/>
        </w:rPr>
        <w:t>六艺</w:t>
      </w:r>
      <w:r w:rsidRPr="006E7DC5">
        <w:rPr>
          <w:rFonts w:ascii="Times New Roman" w:eastAsia="楷体" w:hAnsi="Times New Roman" w:cs="Times New Roman"/>
          <w:szCs w:val="22"/>
        </w:rPr>
        <w:t>”</w:t>
      </w:r>
      <w:r w:rsidRPr="006E7DC5">
        <w:rPr>
          <w:rFonts w:ascii="Times New Roman" w:eastAsia="楷体" w:hAnsi="Times New Roman" w:cs="Times New Roman"/>
          <w:szCs w:val="22"/>
        </w:rPr>
        <w:t>教育</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能文能武</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战时可充当下级军官</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平时可作卿大夫的家臣。春秋战国之际</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w:t>
      </w:r>
      <w:r w:rsidRPr="006E7DC5">
        <w:rPr>
          <w:rFonts w:ascii="Times New Roman" w:eastAsia="楷体" w:hAnsi="Times New Roman" w:cs="Times New Roman"/>
          <w:szCs w:val="22"/>
        </w:rPr>
        <w:t>士</w:t>
      </w:r>
      <w:r w:rsidRPr="006E7DC5">
        <w:rPr>
          <w:rFonts w:ascii="Times New Roman" w:eastAsia="楷体" w:hAnsi="Times New Roman" w:cs="Times New Roman"/>
          <w:szCs w:val="22"/>
        </w:rPr>
        <w:t>”</w:t>
      </w:r>
      <w:r w:rsidRPr="006E7DC5">
        <w:rPr>
          <w:rFonts w:ascii="Times New Roman" w:eastAsia="楷体" w:hAnsi="Times New Roman" w:cs="Times New Roman"/>
          <w:szCs w:val="22"/>
        </w:rPr>
        <w:t>发生了分化</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既无田可食</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又失去原来的职守</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成为传授知识的教师或主持仪式的赞礼人</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于是</w:t>
      </w:r>
      <w:r w:rsidRPr="006E7DC5">
        <w:rPr>
          <w:rFonts w:ascii="Times New Roman" w:eastAsia="楷体" w:hAnsi="Times New Roman" w:cs="Times New Roman"/>
          <w:szCs w:val="22"/>
        </w:rPr>
        <w:t>“</w:t>
      </w:r>
      <w:r w:rsidRPr="006E7DC5">
        <w:rPr>
          <w:rFonts w:ascii="Times New Roman" w:eastAsia="楷体" w:hAnsi="Times New Roman" w:cs="Times New Roman"/>
          <w:szCs w:val="22"/>
        </w:rPr>
        <w:t>士</w:t>
      </w:r>
      <w:r w:rsidRPr="006E7DC5">
        <w:rPr>
          <w:rFonts w:ascii="Times New Roman" w:eastAsia="楷体" w:hAnsi="Times New Roman" w:cs="Times New Roman"/>
          <w:szCs w:val="22"/>
        </w:rPr>
        <w:t>”</w:t>
      </w:r>
      <w:r w:rsidRPr="006E7DC5">
        <w:rPr>
          <w:rFonts w:ascii="Times New Roman" w:eastAsia="楷体" w:hAnsi="Times New Roman" w:cs="Times New Roman"/>
          <w:szCs w:val="22"/>
        </w:rPr>
        <w:t>就成为知识分子的统称。</w:t>
      </w:r>
    </w:p>
    <w:p w:rsidR="00051F6F" w:rsidRPr="006E7DC5" w:rsidP="006E7DC5">
      <w:pPr>
        <w:spacing w:line="360" w:lineRule="auto"/>
        <w:ind w:firstLine="450"/>
        <w:jc w:val="right"/>
        <w:textAlignment w:val="center"/>
        <w:rPr>
          <w:rFonts w:ascii="Times New Roman" w:eastAsia="楷体" w:hAnsi="Times New Roman" w:cs="Times New Roman"/>
          <w:szCs w:val="22"/>
        </w:rPr>
      </w:pPr>
      <w:r w:rsidRPr="006E7DC5">
        <w:rPr>
          <w:rFonts w:ascii="Times New Roman" w:eastAsia="楷体" w:hAnsi="Times New Roman" w:cs="Times New Roman"/>
          <w:szCs w:val="22"/>
        </w:rPr>
        <w:t>——</w:t>
      </w:r>
      <w:r w:rsidRPr="006E7DC5">
        <w:rPr>
          <w:rFonts w:ascii="Times New Roman" w:eastAsia="楷体" w:hAnsi="Times New Roman" w:cs="Times New Roman"/>
          <w:szCs w:val="22"/>
        </w:rPr>
        <w:t>摘编自樊树志《国史概要》</w:t>
      </w:r>
    </w:p>
    <w:p w:rsidR="00051F6F" w:rsidRPr="006E7DC5" w:rsidP="006E7DC5">
      <w:pPr>
        <w:spacing w:line="360" w:lineRule="auto"/>
        <w:ind w:firstLine="45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Pr="006E7DC5">
        <w:rPr>
          <w:rFonts w:ascii="Times New Roman" w:eastAsia="楷体" w:hAnsi="Times New Roman" w:cs="Times New Roman"/>
          <w:szCs w:val="22"/>
        </w:rPr>
        <w:t xml:space="preserve">  </w:t>
      </w:r>
      <w:r w:rsidRPr="006E7DC5">
        <w:rPr>
          <w:rFonts w:ascii="Times New Roman" w:eastAsia="楷体" w:hAnsi="Times New Roman" w:cs="Times New Roman"/>
          <w:szCs w:val="22"/>
        </w:rPr>
        <w:t>汉朝皇帝的高招是</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延揽始终坚持封建制度的学派来支持中央集权的国家</w:t>
      </w:r>
      <w:r w:rsidRPr="006E7DC5">
        <w:rPr>
          <w:rFonts w:ascii="Times New Roman" w:eastAsia="楷体" w:hAnsi="Times New Roman" w:cs="Times New Roman"/>
          <w:szCs w:val="22"/>
        </w:rPr>
        <w:t>……</w:t>
      </w:r>
      <w:r w:rsidRPr="006E7DC5">
        <w:rPr>
          <w:rFonts w:ascii="Times New Roman" w:eastAsia="楷体" w:hAnsi="Times New Roman" w:cs="Times New Roman"/>
          <w:szCs w:val="22"/>
        </w:rPr>
        <w:t>中央集权国家的理念逐渐与这个文人阶层和儒家信徒紧密结合起来。这个文人阶层原来捍卫的是旧封建制锻度</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但是在此之后</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他们一直反对任何分裂活动。</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根据材料一并结合所学知识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分析</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士</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社会地位转变的原因。指出春秋战国之际</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以孔子为代表的</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士</w:t>
      </w:r>
      <w:r w:rsidRPr="006E7DC5" w:rsidR="005D215A">
        <w:rPr>
          <w:rFonts w:ascii="Times New Roman" w:eastAsia="宋体" w:hAnsi="Times New Roman" w:cs="Times New Roman"/>
          <w:szCs w:val="22"/>
        </w:rPr>
        <w:t>”</w:t>
      </w:r>
      <w:r w:rsidRPr="006E7DC5" w:rsidR="005D215A">
        <w:rPr>
          <w:rFonts w:ascii="Times New Roman" w:eastAsia="宋体" w:hAnsi="Times New Roman" w:cs="Times New Roman"/>
          <w:szCs w:val="22"/>
        </w:rPr>
        <w:t>追求的目标。</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2</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根据材料二并结合所学知识</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分析汉武帝时期促使儒家信徒的国家理念发生变化的措施及这些措施产生的影响。</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【答案】</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原因</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经济上</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铁器的使用和牛耕的推广</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促使井田制走向瓦解；政治上</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周王室衰微</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诸侯国独立性增强</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分封制渐趋瓦解</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士人阶层兴起并受到各诸侯国统治者的重用；文化上</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私学出现</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学术下移。目标</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希望规范社会秩序</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建立等级分明的社会。</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措施</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设置太学；重用儒生</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表彰六经；推行以德行和才能为选官标准的察举制；强调统一；</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罢黜百家</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独尊儒术</w:t>
      </w:r>
      <w:r w:rsidRPr="00DC3343" w:rsidR="005D215A">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。影响</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促进儒学教育官方化和制度化；巩固了统一；促进文化共同体的基本形成；使儒家思想逐渐成为正统思想。</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【解析】</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1</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原因</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可从当时的政治、经济、阶级及教育发展等方面进行分析即可。目的</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结合所学知识可知</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当时以孔子为代表的</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士</w:t>
      </w:r>
      <w:r w:rsidRPr="00DC3343">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追求的目标是希望规范社会秩序</w:t>
      </w:r>
      <w:r w:rsidRPr="00DC3343" w:rsidR="006E7DC5">
        <w:rPr>
          <w:rFonts w:ascii="Times New Roman" w:eastAsia="宋体" w:hAnsi="Times New Roman" w:cs="Times New Roman"/>
          <w:color w:val="FF0000"/>
          <w:szCs w:val="22"/>
        </w:rPr>
        <w:t>，</w:t>
      </w:r>
      <w:r w:rsidRPr="00DC3343">
        <w:rPr>
          <w:rFonts w:ascii="Times New Roman" w:eastAsia="宋体" w:hAnsi="Times New Roman" w:cs="Times New Roman"/>
          <w:color w:val="FF0000"/>
          <w:szCs w:val="22"/>
        </w:rPr>
        <w:t>建立等级分明的社会。</w:t>
      </w:r>
    </w:p>
    <w:p w:rsidR="00051F6F" w:rsidRPr="00DC3343" w:rsidP="006E7DC5">
      <w:pPr>
        <w:spacing w:line="360" w:lineRule="auto"/>
        <w:jc w:val="left"/>
        <w:textAlignment w:val="center"/>
        <w:rPr>
          <w:rFonts w:ascii="Times New Roman" w:eastAsia="宋体" w:hAnsi="Times New Roman" w:cs="Times New Roman"/>
          <w:color w:val="FF0000"/>
          <w:szCs w:val="22"/>
        </w:rPr>
      </w:pP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2</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措施</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结合汉武帝时期儒学取得独尊地位的表现进行作答即可。影响</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结合所学知识可知</w:t>
      </w:r>
      <w:r w:rsidRPr="00DC3343">
        <w:rPr>
          <w:rFonts w:ascii="Times New Roman" w:eastAsia="宋体" w:hAnsi="Times New Roman" w:cs="Times New Roman"/>
          <w:color w:val="FF0000"/>
          <w:szCs w:val="22"/>
        </w:rPr>
        <w:t>，</w:t>
      </w:r>
      <w:r w:rsidRPr="00DC3343" w:rsidR="005D215A">
        <w:rPr>
          <w:rFonts w:ascii="Times New Roman" w:eastAsia="宋体" w:hAnsi="Times New Roman" w:cs="Times New Roman"/>
          <w:color w:val="FF0000"/>
          <w:szCs w:val="22"/>
        </w:rPr>
        <w:t>儒学独尊的影响主要有促进儒学教育官方化和制度化；巩固了统一；促进文化共同体的基本形成；使儒家思想逐渐成为正统思想。</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10</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阅读下列材料</w:t>
      </w:r>
      <w:r w:rsidRPr="006E7DC5" w:rsidR="006E7DC5">
        <w:rPr>
          <w:rFonts w:ascii="Times New Roman" w:eastAsia="宋体" w:hAnsi="Times New Roman" w:cs="Times New Roman"/>
          <w:szCs w:val="22"/>
        </w:rPr>
        <w:t>，</w:t>
      </w:r>
      <w:r w:rsidRPr="006E7DC5">
        <w:rPr>
          <w:rFonts w:ascii="Times New Roman" w:eastAsia="宋体" w:hAnsi="Times New Roman" w:cs="Times New Roman"/>
          <w:szCs w:val="22"/>
        </w:rPr>
        <w:t>回答问题。</w:t>
      </w:r>
    </w:p>
    <w:p w:rsidR="00051F6F" w:rsidRPr="006E7DC5" w:rsidP="006E7DC5">
      <w:pPr>
        <w:spacing w:line="360" w:lineRule="auto"/>
        <w:ind w:firstLine="42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材料一</w:t>
      </w:r>
      <w:r w:rsidR="00DC3343">
        <w:rPr>
          <w:rFonts w:ascii="Times New Roman" w:eastAsia="楷体" w:hAnsi="Times New Roman" w:cs="Times New Roman" w:hint="eastAsia"/>
          <w:szCs w:val="22"/>
        </w:rPr>
        <w:t xml:space="preserve">  </w:t>
      </w:r>
      <w:r w:rsidRPr="006E7DC5">
        <w:rPr>
          <w:rFonts w:ascii="Times New Roman" w:eastAsia="楷体" w:hAnsi="Times New Roman" w:cs="Times New Roman"/>
          <w:szCs w:val="22"/>
        </w:rPr>
        <w:t>大概从公元二百年到五百年之间</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全球气候发生变化</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与以往相比各处都变得更为寒冷</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在中国北方地区寒冷气候出现得更早</w:t>
      </w:r>
      <w:r w:rsidRPr="006E7DC5">
        <w:rPr>
          <w:rFonts w:ascii="Times New Roman" w:eastAsia="宋体" w:hAnsi="Times New Roman" w:cs="Times New Roman"/>
          <w:szCs w:val="22"/>
        </w:rPr>
        <w:t>……</w:t>
      </w:r>
      <w:r w:rsidRPr="006E7DC5">
        <w:rPr>
          <w:rFonts w:ascii="Times New Roman" w:eastAsia="楷体" w:hAnsi="Times New Roman" w:cs="Times New Roman"/>
          <w:szCs w:val="22"/>
        </w:rPr>
        <w:t>由于气候改变的关系</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草原上的民族慢慢地向南移动；核心地区的汉人</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也许因为人口增加</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也许因为南方土地肥沃</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也慢慢向南移动。</w:t>
      </w:r>
      <w:r w:rsidRPr="006E7DC5">
        <w:rPr>
          <w:rFonts w:ascii="Times New Roman" w:eastAsia="宋体" w:hAnsi="Times New Roman" w:cs="Times New Roman"/>
          <w:szCs w:val="22"/>
        </w:rPr>
        <w:t>……</w:t>
      </w:r>
      <w:r w:rsidRPr="006E7DC5">
        <w:rPr>
          <w:rFonts w:ascii="Times New Roman" w:eastAsia="楷体" w:hAnsi="Times New Roman" w:cs="Times New Roman"/>
          <w:szCs w:val="22"/>
        </w:rPr>
        <w:t>大量的北方族群侵入南方</w:t>
      </w:r>
      <w:r w:rsidRPr="006E7DC5">
        <w:rPr>
          <w:rFonts w:ascii="Times New Roman" w:eastAsia="宋体" w:hAnsi="Times New Roman" w:cs="Times New Roman"/>
          <w:szCs w:val="22"/>
        </w:rPr>
        <w:t>……</w:t>
      </w:r>
      <w:r w:rsidRPr="006E7DC5">
        <w:rPr>
          <w:rFonts w:ascii="Times New Roman" w:eastAsia="楷体" w:hAnsi="Times New Roman" w:cs="Times New Roman"/>
          <w:szCs w:val="22"/>
        </w:rPr>
        <w:t>改变了中国本来的人口结构</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同样</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中国北方原来的人口在骨牌效应下</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也一波一波地不断南侵</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改变了南方的人口结构。</w:t>
      </w:r>
    </w:p>
    <w:p w:rsidR="00051F6F" w:rsidRPr="006E7DC5" w:rsidP="006E7DC5">
      <w:pPr>
        <w:spacing w:line="360" w:lineRule="auto"/>
        <w:ind w:firstLine="420"/>
        <w:jc w:val="right"/>
        <w:textAlignment w:val="center"/>
        <w:rPr>
          <w:rFonts w:ascii="Times New Roman" w:eastAsia="楷体" w:hAnsi="Times New Roman" w:cs="Times New Roman"/>
          <w:szCs w:val="22"/>
        </w:rPr>
      </w:pPr>
      <w:r w:rsidRPr="006E7DC5">
        <w:rPr>
          <w:rFonts w:ascii="Times New Roman" w:eastAsia="宋体" w:hAnsi="Times New Roman" w:cs="Times New Roman"/>
          <w:szCs w:val="22"/>
        </w:rPr>
        <w:t>——</w:t>
      </w:r>
      <w:r w:rsidRPr="006E7DC5">
        <w:rPr>
          <w:rFonts w:ascii="Times New Roman" w:eastAsia="楷体" w:hAnsi="Times New Roman" w:cs="Times New Roman"/>
          <w:szCs w:val="22"/>
        </w:rPr>
        <w:t>摘编自许倬云《大国霸业的兴废》</w:t>
      </w:r>
    </w:p>
    <w:p w:rsidR="00051F6F" w:rsidRPr="006E7DC5" w:rsidP="006E7DC5">
      <w:pPr>
        <w:spacing w:line="360" w:lineRule="auto"/>
        <w:ind w:firstLine="420"/>
        <w:jc w:val="left"/>
        <w:textAlignment w:val="center"/>
        <w:rPr>
          <w:rFonts w:ascii="Times New Roman" w:eastAsia="楷体" w:hAnsi="Times New Roman" w:cs="Times New Roman"/>
          <w:szCs w:val="22"/>
        </w:rPr>
      </w:pPr>
      <w:r w:rsidRPr="006E7DC5">
        <w:rPr>
          <w:rFonts w:ascii="Times New Roman" w:eastAsia="楷体" w:hAnsi="Times New Roman" w:cs="Times New Roman"/>
          <w:szCs w:val="22"/>
        </w:rPr>
        <w:t>材料二</w:t>
      </w:r>
      <w:r w:rsidR="00DC3343">
        <w:rPr>
          <w:rFonts w:ascii="Times New Roman" w:eastAsia="楷体" w:hAnsi="Times New Roman" w:cs="Times New Roman" w:hint="eastAsia"/>
          <w:szCs w:val="22"/>
        </w:rPr>
        <w:t xml:space="preserve">  </w:t>
      </w:r>
      <w:r w:rsidRPr="006E7DC5">
        <w:rPr>
          <w:rFonts w:ascii="Times New Roman" w:eastAsia="楷体" w:hAnsi="Times New Roman" w:cs="Times New Roman"/>
          <w:szCs w:val="22"/>
        </w:rPr>
        <w:t>江南</w:t>
      </w:r>
      <w:r w:rsidRPr="006E7DC5">
        <w:rPr>
          <w:rFonts w:ascii="Times New Roman" w:eastAsia="宋体" w:hAnsi="Times New Roman" w:cs="Times New Roman"/>
          <w:szCs w:val="22"/>
        </w:rPr>
        <w:t>……</w:t>
      </w:r>
      <w:r w:rsidRPr="006E7DC5">
        <w:rPr>
          <w:rFonts w:ascii="Times New Roman" w:eastAsia="楷体" w:hAnsi="Times New Roman" w:cs="Times New Roman"/>
          <w:szCs w:val="22"/>
        </w:rPr>
        <w:t>自义熙十一年司马休之外奔</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至于元嘉末</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三十有九载</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兵车勿用</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民不外劳</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役宽务简</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氓庶</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百姓</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繁息</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至余粮栖亩</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户不夜扃</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门上环钮</w:t>
      </w:r>
      <w:r w:rsidRPr="006E7DC5" w:rsidR="006E7DC5">
        <w:rPr>
          <w:rFonts w:ascii="Times New Roman" w:eastAsia="楷体" w:hAnsi="Times New Roman" w:cs="Times New Roman"/>
          <w:szCs w:val="22"/>
        </w:rPr>
        <w:t>），</w:t>
      </w:r>
      <w:r w:rsidRPr="006E7DC5">
        <w:rPr>
          <w:rFonts w:ascii="Times New Roman" w:eastAsia="楷体" w:hAnsi="Times New Roman" w:cs="Times New Roman"/>
          <w:szCs w:val="22"/>
        </w:rPr>
        <w:t>盖东西之极盛也。</w:t>
      </w:r>
    </w:p>
    <w:p w:rsidR="00051F6F" w:rsidRPr="006E7DC5" w:rsidP="006E7DC5">
      <w:pPr>
        <w:spacing w:line="360" w:lineRule="auto"/>
        <w:ind w:firstLine="420"/>
        <w:jc w:val="right"/>
        <w:textAlignment w:val="center"/>
        <w:rPr>
          <w:rFonts w:ascii="Times New Roman" w:eastAsia="楷体" w:hAnsi="Times New Roman" w:cs="Times New Roman"/>
          <w:szCs w:val="22"/>
        </w:rPr>
      </w:pPr>
      <w:r w:rsidRPr="006E7DC5">
        <w:rPr>
          <w:rFonts w:ascii="Times New Roman" w:eastAsia="宋体" w:hAnsi="Times New Roman" w:cs="Times New Roman"/>
          <w:szCs w:val="22"/>
        </w:rPr>
        <w:t>——</w:t>
      </w:r>
      <w:r w:rsidRPr="006E7DC5">
        <w:rPr>
          <w:rFonts w:ascii="Times New Roman" w:eastAsia="楷体" w:hAnsi="Times New Roman" w:cs="Times New Roman"/>
          <w:szCs w:val="22"/>
        </w:rPr>
        <w:t>摘自《宋书》</w:t>
      </w:r>
    </w:p>
    <w:p w:rsidR="00051F6F" w:rsidRPr="006E7DC5" w:rsidP="006E7DC5">
      <w:pPr>
        <w:spacing w:line="360" w:lineRule="auto"/>
        <w:jc w:val="left"/>
        <w:textAlignment w:val="center"/>
        <w:rPr>
          <w:rFonts w:ascii="Times New Roman" w:eastAsia="宋体" w:hAnsi="Times New Roman" w:cs="Times New Roman"/>
          <w:szCs w:val="22"/>
        </w:rPr>
      </w:pP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1</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据材料一</w:t>
      </w:r>
      <w:r w:rsidRPr="006E7DC5">
        <w:rPr>
          <w:rFonts w:ascii="Times New Roman" w:eastAsia="宋体" w:hAnsi="Times New Roman" w:cs="Times New Roman"/>
          <w:szCs w:val="22"/>
        </w:rPr>
        <w:t>，</w:t>
      </w:r>
      <w:r w:rsidRPr="006E7DC5" w:rsidR="005D215A">
        <w:rPr>
          <w:rFonts w:ascii="Times New Roman" w:eastAsia="宋体" w:hAnsi="Times New Roman" w:cs="Times New Roman"/>
          <w:szCs w:val="22"/>
        </w:rPr>
        <w:t>概括古代中国人口南迁的两种基本情形及其原因。</w:t>
      </w:r>
      <w:r w:rsidRPr="006E7DC5">
        <w:rPr>
          <w:rFonts w:ascii="Times New Roman" w:eastAsia="宋体" w:hAnsi="Times New Roman" w:cs="Times New Roman"/>
          <w:szCs w:val="22"/>
        </w:rPr>
        <w:br/>
      </w:r>
      <w:r w:rsidRPr="006E7DC5">
        <w:rPr>
          <w:rFonts w:ascii="Times New Roman" w:eastAsia="宋体" w:hAnsi="Times New Roman" w:cs="Times New Roman"/>
          <w:szCs w:val="2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https://d.book118.com/568142021134006027</w:t>
        </w:r>
      </w:hyperlink>
    </w:p>
    <w:p w:rsidR="00051F6F" w:rsidRPr="006E7DC5" w:rsidP="006E7DC5">
      <w:pPr>
        <w:spacing w:line="360" w:lineRule="auto"/>
        <w:jc w:val="left"/>
        <w:textAlignment w:val="center"/>
        <w:rPr>
          <w:rFonts w:ascii="Times New Roman" w:eastAsia="宋体" w:hAnsi="Times New Roman" w:cs="Times New Roman"/>
          <w:szCs w:val="22"/>
        </w:rPr>
      </w:pPr>
    </w:p>
    <w:sectPr w:rsidSect="006E7DC5">
      <w:type w:val="nextPage"/>
      <w:pgSz w:w="11906" w:h="16838"/>
      <w:pgMar w:top="1418" w:right="1077" w:bottom="1418" w:left="1077" w:header="851" w:footer="992" w:gutter="0"/>
      <w:pgNumType w:start="10"/>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00"/>
    <w:rsid w:val="00051F6F"/>
    <w:rsid w:val="005D215A"/>
    <w:rsid w:val="006E7DC5"/>
    <w:rsid w:val="00DC334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3">
    <w:name w:val="heading 3"/>
    <w:basedOn w:val="Normal"/>
    <w:next w:val="Normal"/>
    <w:unhideWhenUsed/>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rsid w:val="006E7DC5"/>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rsid w:val="006E7DC5"/>
    <w:rPr>
      <w:rFonts w:asciiTheme="minorHAnsi" w:eastAsiaTheme="minorEastAsia" w:hAnsiTheme="minorHAnsi" w:cstheme="minorBidi"/>
      <w:kern w:val="2"/>
      <w:sz w:val="18"/>
      <w:szCs w:val="18"/>
    </w:rPr>
  </w:style>
  <w:style w:type="paragraph" w:styleId="Footer">
    <w:name w:val="footer"/>
    <w:basedOn w:val="Normal"/>
    <w:link w:val="a0"/>
    <w:rsid w:val="006E7DC5"/>
    <w:pPr>
      <w:tabs>
        <w:tab w:val="center" w:pos="4153"/>
        <w:tab w:val="right" w:pos="8306"/>
      </w:tabs>
      <w:snapToGrid w:val="0"/>
      <w:jc w:val="left"/>
    </w:pPr>
    <w:rPr>
      <w:sz w:val="18"/>
      <w:szCs w:val="18"/>
    </w:rPr>
  </w:style>
  <w:style w:type="character" w:customStyle="1" w:styleId="a0">
    <w:name w:val="页脚 字符"/>
    <w:basedOn w:val="DefaultParagraphFont"/>
    <w:link w:val="Footer"/>
    <w:rsid w:val="006E7DC5"/>
    <w:rPr>
      <w:rFonts w:asciiTheme="minorHAnsi" w:eastAsiaTheme="minorEastAsia" w:hAnsiTheme="minorHAnsi" w:cstheme="minorBidi"/>
      <w:kern w:val="2"/>
      <w:sz w:val="18"/>
      <w:szCs w:val="18"/>
    </w:rPr>
  </w:style>
  <w:style w:type="paragraph" w:styleId="BalloonText">
    <w:name w:val="Balloon Text"/>
    <w:basedOn w:val="Normal"/>
    <w:link w:val="a1"/>
    <w:rsid w:val="006E7DC5"/>
    <w:rPr>
      <w:sz w:val="18"/>
      <w:szCs w:val="18"/>
    </w:rPr>
  </w:style>
  <w:style w:type="character" w:customStyle="1" w:styleId="a1">
    <w:name w:val="批注框文本 字符"/>
    <w:basedOn w:val="DefaultParagraphFont"/>
    <w:link w:val="BalloonText"/>
    <w:rsid w:val="006E7DC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568142021134006027" TargetMode="External" /><Relationship Id="rId9"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3479</Words>
  <Characters>19831</Characters>
  <Application>Microsoft Office Word</Application>
  <DocSecurity>0</DocSecurity>
  <Lines>165</Lines>
  <Paragraphs>46</Paragraphs>
  <ScaleCrop>false</ScaleCrop>
  <Company>Xman</Company>
  <LinksUpToDate>false</LinksUpToDate>
  <CharactersWithSpaces>23264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Xman</dc:creator>
  <cp:lastModifiedBy>Xman</cp:lastModifiedBy>
  <cp:revision>4</cp:revision>
  <dcterms:created xsi:type="dcterms:W3CDTF">2023-01-31T20:42:13Z</dcterms:created>
  <dcterms:modified xsi:type="dcterms:W3CDTF">2023-01-31T20:42:13Z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