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9E1" w:rsidRPr="003F69E1" w:rsidP="003F69E1">
      <w:pPr>
        <w:widowControl/>
        <w:spacing w:before="100" w:beforeAutospacing="1" w:after="100" w:afterAutospacing="1"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kern w:val="0"/>
          <w:sz w:val="36"/>
        </w:rPr>
        <w:t>先张法预应力空心板梁施工作业指导书</w:t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</w:rPr>
        <w:t>一、工程概况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仿宋_GB2312" w:eastAsia="仿宋_GB2312" w:hAnsi="宋体" w:cs="宋体"/>
          <w:color w:val="000000"/>
          <w:kern w:val="0"/>
          <w:sz w:val="36"/>
          <w:szCs w:val="36"/>
        </w:rPr>
        <w:t>本标段为叶集至信阳高速公路NO.7合同段,起止里程为：K88+880～K107+160.其中特大桥1座,长907.42米,中桥4座,长283.2米,小桥3座,长71.52米;分离式立交7座,长243.48米. 本合同段总计：30m先张法预应力混凝土空心板梁300片,20m先张法预应力混凝土空心板梁132片，16m先张法部分预应力砼空心板梁48片，13m先张法部分预应力砼空心板梁180片，10m先张法部分预应力砼空心板梁36片。共计先张法预应力混凝土空心板梁696片.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仿宋_GB2312" w:eastAsia="仿宋_GB2312" w:hAnsi="宋体" w:cs="宋体"/>
          <w:color w:val="000000"/>
          <w:kern w:val="0"/>
          <w:sz w:val="36"/>
        </w:rPr>
        <w:t>二、本标段预应力空心板梁技术参数一览表</w:t>
      </w:r>
    </w:p>
    <w:tbl>
      <w:tblPr>
        <w:tblStyle w:val="TableNormal"/>
        <w:tblW w:w="0" w:type="dxa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8"/>
        <w:gridCol w:w="1242"/>
        <w:gridCol w:w="690"/>
        <w:gridCol w:w="518"/>
        <w:gridCol w:w="536"/>
        <w:gridCol w:w="848"/>
        <w:gridCol w:w="653"/>
        <w:gridCol w:w="859"/>
        <w:gridCol w:w="893"/>
        <w:gridCol w:w="814"/>
        <w:gridCol w:w="859"/>
      </w:tblGrid>
      <w:tr w:rsidTr="003F69E1">
        <w:tblPrEx>
          <w:tblW w:w="0" w:type="dxa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里 程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结构物名称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交角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（度）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孔数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(孔)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梁长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（m）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片数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(片)</w:t>
            </w:r>
            <w:r w:rsidRPr="003F69E1">
              <w:rPr>
                <w:rFonts w:ascii="宋体" w:hAnsi="宋体" w:cs="宋体"/>
                <w:kern w:val="0"/>
                <w:szCs w:val="21"/>
              </w:rPr>
              <w:br/>
            </w:r>
            <w:r w:rsidRPr="003F69E1">
              <w:rPr>
                <w:rFonts w:ascii="宋体" w:hAnsi="宋体" w:cs="宋体"/>
                <w:kern w:val="0"/>
                <w:sz w:val="13"/>
                <w:szCs w:val="13"/>
              </w:rPr>
              <w:t>中板／边板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梁底宽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(cm)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单片砼方量（</w:t>
            </w:r>
            <w:r w:rsidRPr="003F69E1">
              <w:rPr>
                <w:rFonts w:ascii="宋体" w:hAnsi="宋体" w:cs="宋体"/>
                <w:kern w:val="0"/>
                <w:szCs w:val="21"/>
              </w:rPr>
              <w:t>m</w:t>
            </w: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3</w:t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）</w:t>
              <w:br/>
            </w:r>
            <w:r w:rsidRPr="003F69E1">
              <w:rPr>
                <w:rFonts w:ascii="宋体" w:hAnsi="宋体" w:cs="宋体"/>
                <w:kern w:val="0"/>
                <w:sz w:val="13"/>
                <w:szCs w:val="13"/>
              </w:rPr>
              <w:t>中板／边板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钢绞线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类 型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单根张拉力Ny(KN)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根 数</w:t>
              <w:br/>
            </w:r>
            <w:r w:rsidRPr="003F69E1">
              <w:rPr>
                <w:rFonts w:ascii="宋体" w:hAnsi="宋体" w:cs="宋体"/>
                <w:kern w:val="0"/>
                <w:sz w:val="15"/>
                <w:szCs w:val="15"/>
              </w:rPr>
              <w:t>(中板/边板)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K89+438.151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小潢河特大桥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240/60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149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17.66/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17.78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26/28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K93+287.687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农山北干渠中桥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K93+287.687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闻店子小桥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6.42/</w:t>
            </w: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12/12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>
      <w:pPr>
        <w:sectPr w:rsidSect="00624EA1">
          <w:pgSz w:w="11906" w:h="16838" w:code="9"/>
          <w:pgMar w:top="1134" w:right="1418" w:bottom="1134" w:left="1418" w:header="851" w:footer="992" w:gutter="0"/>
          <w:cols w:space="425"/>
          <w:docGrid w:type="lines" w:linePitch="312"/>
        </w:sectPr>
      </w:pPr>
    </w:p>
    <w:tbl>
      <w:tblPr>
        <w:tblStyle w:val="TableNormal"/>
        <w:tblW w:w="0" w:type="dxa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8"/>
        <w:gridCol w:w="1242"/>
        <w:gridCol w:w="690"/>
        <w:gridCol w:w="518"/>
        <w:gridCol w:w="536"/>
        <w:gridCol w:w="848"/>
        <w:gridCol w:w="653"/>
        <w:gridCol w:w="859"/>
        <w:gridCol w:w="893"/>
        <w:gridCol w:w="814"/>
        <w:gridCol w:w="859"/>
      </w:tblGrid>
      <w:tr w:rsidTr="003F69E1">
        <w:tblPrEx>
          <w:tblW w:w="0" w:type="dxa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 xml:space="preserve"> 7.28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/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K101+607.239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九子渠小桥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K102+613.296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五岳干渠中桥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50/10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</w:t>
            </w: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K105+734.376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刘老屋小桥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20/4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K106+162.276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张河沟1#中桥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K106+465.997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张河沟2#大桥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60/12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8.48/ 9.66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14/14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K90+808.29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2.95/ 3.26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8/8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K93+992.089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8.48/ 9.66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14/14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K96+070.275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20/4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6.42/ 7.28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12/12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K96+93</w:t>
            </w: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2.695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8.48/ 9.66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14/14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K97+030.291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8.48/ 9.66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14/14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K99+012.078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6.42/ 7.28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12/12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>
      <w:p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0" w:type="dxa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8"/>
        <w:gridCol w:w="1242"/>
        <w:gridCol w:w="690"/>
        <w:gridCol w:w="518"/>
        <w:gridCol w:w="536"/>
        <w:gridCol w:w="848"/>
        <w:gridCol w:w="653"/>
        <w:gridCol w:w="859"/>
        <w:gridCol w:w="893"/>
        <w:gridCol w:w="814"/>
        <w:gridCol w:w="859"/>
      </w:tblGrid>
      <w:tr w:rsidTr="003F69E1">
        <w:tblPrEx>
          <w:tblW w:w="0" w:type="dxa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33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K106+857.47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分离式立交桥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5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Cs w:val="21"/>
              </w:rPr>
              <w:t>10/2</w:t>
            </w:r>
          </w:p>
        </w:tc>
        <w:tc>
          <w:tcPr>
            <w:tcW w:w="72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99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4.96/ 5.47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φj15.24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5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195.3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4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18"/>
                <w:szCs w:val="18"/>
              </w:rPr>
              <w:t>10/11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各类型梁片数量汇总见下表：</w:t>
      </w:r>
    </w:p>
    <w:tbl>
      <w:tblPr>
        <w:tblStyle w:val="TableNormal"/>
        <w:tblW w:w="0" w:type="dxa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1"/>
        <w:gridCol w:w="977"/>
        <w:gridCol w:w="998"/>
        <w:gridCol w:w="998"/>
        <w:gridCol w:w="977"/>
        <w:gridCol w:w="1019"/>
        <w:gridCol w:w="998"/>
        <w:gridCol w:w="998"/>
        <w:gridCol w:w="894"/>
      </w:tblGrid>
      <w:tr w:rsidTr="003F69E1">
        <w:tblPrEx>
          <w:tblW w:w="0" w:type="dxa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梁长（m）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7560" w:type="dxa"/>
            <w:gridSpan w:val="7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梁交角类型（单位：片）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 w:val="24"/>
                <w:szCs w:val="24"/>
              </w:rPr>
              <w:t>中板／边板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总计(片)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45º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80º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90º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105º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110º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120º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130º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696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13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50/10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50/10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50/10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16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20/4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20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10/2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60/12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30/6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4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30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kern w:val="0"/>
                <w:szCs w:val="21"/>
              </w:rPr>
              <w:t>240/60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80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vAlign w:val="center"/>
            <w:hideMark/>
          </w:tcPr>
          <w:p w:rsidR="003F69E1" w:rsidRPr="003F69E1" w:rsidP="003F69E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3F69E1" w:rsidRPr="003F69E1" w:rsidP="003F69E1">
      <w:pPr>
        <w:widowControl/>
        <w:spacing w:after="240"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3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根据本合同段地势、交通、水源、拌合楼设置和各桥涵分布位置的情况，预制场地的选择如下：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在K89+870～KK90+049线右路基外侧设置预制场，负责预制本合同段结构物预制空心板梁。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预制场平面布置见附图。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</w:rPr>
        <w:t>三、施工准备</w:t>
      </w:r>
      <w:r w:rsidRPr="003F69E1">
        <w:rPr>
          <w:rFonts w:ascii="宋体" w:hAnsi="宋体" w:cs="宋体"/>
          <w:kern w:val="0"/>
          <w:szCs w:val="21"/>
        </w:rPr>
        <w:br/>
      </w:r>
    </w:p>
    <w:p w:rsidR="003F69E1" w:rsidRPr="003F69E1" w:rsidP="003F69E1">
      <w:pPr>
        <w:widowControl/>
        <w:spacing w:after="240"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4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1、制梁槽布置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根据空心板梁的数量和特点，以及场地情况，预制场采用长线槽式张拉台座，设置1</w:t>
      </w:r>
      <w:r w:rsidRPr="003F69E1">
        <w:rPr>
          <w:rFonts w:ascii="宋体" w:hAnsi="宋体" w:cs="宋体"/>
          <w:kern w:val="0"/>
          <w:sz w:val="30"/>
          <w:szCs w:val="30"/>
        </w:rPr>
        <w:t>＃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－5</w:t>
      </w:r>
      <w:r w:rsidRPr="003F69E1">
        <w:rPr>
          <w:rFonts w:ascii="宋体" w:hAnsi="宋体" w:cs="宋体"/>
          <w:kern w:val="0"/>
          <w:sz w:val="30"/>
          <w:szCs w:val="30"/>
        </w:rPr>
        <w:t>＃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计五个制梁台座，1#、2#台座槽长84.0m，3#、4#、5#台座槽长94.0m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1#、2#台座每个每周期可预制10m梁8片（或13m梁每次6片；16m梁每次5片；20 m梁每次4片）；3#－5#台座每个每周期可预制30m梁3片。按每周期5天计，预制梁生产工期为170天，平均每天生产约4片梁。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为加大芯模周转使用次数，施工安排中一个台座生产一种型号的空心梁，穿插进行。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详见先张法预应力空心板梁施工横道图。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2、张拉台座的施工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张拉台座是先张预应力生产工艺的主要设备之一，须承受预应力钢材张拉的全部张拉力，因此必须有足够的强度、刚度和稳定性。张拉台座采用框架式台座，用钢筋混凝土现场整体浇注而成，要求地基承载力大于150Kpa。台座主要有传力柱、台面、横梁和定位板组成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传力柱主要用于承受预应力钢材的张拉力，用钢筋混凝土整体浇注而成，其强度、刚度必须满足设计要求，以防止拉应力损失。浇注时要顺直，轴线误差不大于5mm／20m。</w:t>
      </w:r>
      <w:r w:rsidRPr="003F69E1">
        <w:rPr>
          <w:rFonts w:ascii="宋体" w:hAnsi="宋体" w:cs="宋体"/>
          <w:kern w:val="0"/>
          <w:szCs w:val="21"/>
        </w:rPr>
        <w:br/>
      </w:r>
    </w:p>
    <w:p w:rsidR="003F69E1" w:rsidRPr="003F69E1" w:rsidP="003F69E1">
      <w:pPr>
        <w:widowControl/>
        <w:spacing w:after="240"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台面在制作预应力梁时作底模用。在夯实的平整地基上现浇混凝土，并仔细找平，以使混凝土表面平整光滑，两边利用∠50×50×5mm角钢贴边，顺直；上铺5mm厚钢板。控制底模平整度在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 xml:space="preserve"> 以内。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为保证传力柱的稳定性和受力均匀性，在其底部每隔5m（端部2m）设一道横系梁，在整个端部加一块3cm厚的钢板，传递应力。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横系梁为支撑定位、固定预应力钢筋并将张拉力传给台座的构件，必须有足够的刚度和稳定性，避免受力后弯曲或翘曲。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定位板采用钢板用于固定预应力钢格，板上开成条形槽孔。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承力台座与传力墩现浇在一起，并适当配筋，混凝土现浇一次完成，台座标高严格控制在同一水平面，台座的强度、刚度必须满足设计要求，并满足抗倾覆、抗滑移的要求。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台座大样示意图见附图。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3、张拉设备与材料</w:t>
      </w:r>
    </w:p>
    <w:tbl>
      <w:tblPr>
        <w:tblStyle w:val="TableNormal"/>
        <w:tblW w:w="4900" w:type="pct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36"/>
      </w:tblGrid>
      <w:tr w:rsidTr="003F69E1">
        <w:tblPrEx>
          <w:tblW w:w="4900" w:type="pct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after="240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仿宋_GB2312" w:eastAsia="仿宋_GB2312" w:hAnsi="宋体" w:cs="宋体"/>
                <w:color w:val="000000"/>
                <w:kern w:val="0"/>
                <w:sz w:val="15"/>
                <w:szCs w:val="15"/>
              </w:rPr>
              <w:t>持荷2分钟</w:t>
            </w:r>
          </w:p>
        </w:tc>
      </w:tr>
    </w:tbl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5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张拉的一般程序如下：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0</w:t>
        <w:br/>
        <w:t>初应力（10％δk）</w:t>
        <w:br/>
        <w:t>100％δk</w:t>
        <w:br/>
        <w:br/>
        <w:t>（锚固）</w:t>
      </w:r>
      <w:r w:rsidRPr="003F69E1">
        <w:rPr>
          <w:rFonts w:ascii="宋体" w:hAnsi="宋体" w:cs="宋体"/>
          <w:kern w:val="0"/>
          <w:szCs w:val="21"/>
        </w:rPr>
        <w:br/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根据设计文件，预应力筋全部为钢绞线。预应力筋选用国产高强低松弛φj15.24钢绞线，单根控制张拉力为Ny＝195.3KN，每块梁内钢绞线数量为8～28根。采用单根张拉方式，单根放张的方法。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（1）千斤顶的选择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1单根预张时：Ny=195.3×10%=19.53 KN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单根张拉时，最大张拉力：Ny=1×</w:t>
      </w:r>
      <w:r w:rsidRPr="003F69E1">
        <w:rPr>
          <w:rFonts w:ascii="宋体" w:hAnsi="宋体" w:cs="宋体"/>
          <w:color w:val="000000"/>
          <w:kern w:val="0"/>
          <w:sz w:val="36"/>
        </w:rPr>
        <w:t>195.3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＝195.3KN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张拉机具吨位：Q =1.5*195.35KN/10=29.3T;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2根据钢绞线长度，确定张拉设备最大行程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最大行程：⊿L＝PpL/ApEp＝195300*94480/（1.9*105*139.98）＝69.4cm。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根据以上计算，单根张拉钢绞线用YDC300Q型穿心式千斤顶，技术指标见下表：</w:t>
      </w:r>
    </w:p>
    <w:tbl>
      <w:tblPr>
        <w:tblStyle w:val="TableNormal"/>
        <w:tblW w:w="0" w:type="dxa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590"/>
      </w:tblGrid>
      <w:tr w:rsidTr="003F69E1">
        <w:tblPrEx>
          <w:tblW w:w="0" w:type="dxa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型</w:t>
              <w:br/>
              <w:t>号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张拉力（KN）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油压（MPa）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工作行程（mm）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自重 （Kg）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外形尺寸（mm）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Tr="003F69E1">
        <w:tblPrEx>
          <w:tblW w:w="0" w:type="dxa"/>
          <w:jc w:val="center"/>
          <w:tblCellSpacing w:w="0" w:type="dxa"/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YDCQ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300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54.5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200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22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25" w:type="dxa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before="100" w:beforeAutospacing="1" w:after="100" w:afterAutospacing="1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Ø108X580</w:t>
            </w:r>
          </w:p>
          <w:p w:rsidR="003F69E1" w:rsidRPr="003F69E1" w:rsidP="003F69E1">
            <w:pPr>
              <w:widowControl/>
              <w:spacing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6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（2）压力表的选择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油压表的读数反映出千斤顶工作活塞上单位面积承受的压力，正确掌握油压的大小，才能保证正确的张拉力和生产的安全，压力表的读数和张拉力的关系如下：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Pu=Ny/Au</w:t>
      </w:r>
      <w:r w:rsidRPr="003F69E1">
        <w:rPr>
          <w:rFonts w:ascii="宋体" w:hAnsi="宋体" w:cs="宋体"/>
          <w:kern w:val="0"/>
          <w:szCs w:val="21"/>
        </w:rPr>
        <w:br/>
        <w:t>(Pu—压力表的读数；Ny—张拉力；Au—张拉设备工作油压面积)</w:t>
        <w:br/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7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为保证压力表的安全，Pu</w:t>
      </w:r>
      <w:r w:rsidRPr="003F69E1">
        <w:rPr>
          <w:rFonts w:ascii="宋体" w:hAnsi="宋体" w:cs="宋体"/>
          <w:kern w:val="0"/>
          <w:sz w:val="44"/>
          <w:szCs w:val="44"/>
        </w:rPr>
        <w:t>max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=(1.5～2) ×Pu，且压力表的精度不低于1.5级。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实际选用与YDCQ型千斤项配套使用产品ZB4—500S型电动油泵。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（3）千斤顶与油压表的标定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在理论上，千斤顶的作用力（即张拉力）等于油压表上指示的油缸的单位油压乘以活塞面积，但由于油缸与活塞之间有一定的摩擦力，以及油压表本身也有示值误差，因此实际上的张拉力不等于理论上的计算值，所以要事先对千斤顶和油压表进行标定，标定须在专业单位进行。经标定的千斤顶和油压表，每张拉200次或使用时间在6个月以上以及张拉过程中出现不正常时，均应重新标定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4、预应力张拉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（1）、预应力筋制作及安装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钢绞线下料切断必须用砂轮机或切割机，严禁使用电弧烧割。下料长度按张拉台座的距离及锚具的工作长度确定，在有效长度外可用连接器将钢绞线连接。钢绞线下料场地要干燥、平整。制作好的钢绞线按编号穿入张拉台座两端定位板中。安装模板及钢筋，在安装好千斤顶、锚具，确保千斤顶与钢绞线成一水平直线，然后进行张拉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（2）、张拉</w:t>
      </w:r>
      <w:r w:rsidRPr="003F69E1">
        <w:rPr>
          <w:rFonts w:ascii="宋体" w:hAnsi="宋体" w:cs="宋体"/>
          <w:kern w:val="0"/>
          <w:szCs w:val="21"/>
        </w:rPr>
        <w:br/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8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钢绞线的张拉采用单根张拉、两次张拉的方法。预应力钢绞线均采用“双控”即应力控制和伸长值控制，实际伸长值和理论伸长值控制在±6％范围内、否则停止张拉，查明原因后采取措施，再继续张拉。单根张拉采用一台YDC300Q穿心式千斤顶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单根张拉张拉程序为：首先张拉到初应力（10％δk），在钢绞线上作标记并测量，继续张拉，控制张拉行程为15cm后，固定张拉端固定横梁处锚具，千斤项回程，继续张拉，使应力达到100％δk，此时，张拉力为195.3KN，持荷2分钟后可锚固，根据张拉的一般程序，张拉到初应力（10％δk）时要在钢绞线上作标记并测量，作为计算伸长量的基准。锚固前再作标记并测量伸长量，计算出实测伸长量与理论伸长量差值，其误差在±6％范围内，可锚固钢绞线，如不符合要求，则要重新张拉、标定千斤顶或更换钢绞线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预应力钢筋有效长度以外部分，采用硬塑料管(或塑料布包裹)将实效范围的预应力筋套住，以便于预应力筋与混凝土之间不产生力。预应力筋有效长度以板中心对称布置，使板两端失效长度相等。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宋体" w:hAnsi="宋体" w:cs="宋体"/>
          <w:color w:val="000000"/>
          <w:kern w:val="0"/>
          <w:sz w:val="36"/>
        </w:rPr>
        <w:t>四、施工方法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在施工场地施工完成，张拉台座养护达到设计强度及各项准备工作完毕后，即可进行空心板梁预制的施工。下面以施工30m梁为例，说明施工过程。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1、钢绞线制作</w:t>
      </w:r>
      <w:r w:rsidRPr="003F69E1">
        <w:rPr>
          <w:rFonts w:ascii="宋体" w:hAnsi="宋体" w:cs="宋体"/>
          <w:kern w:val="0"/>
          <w:szCs w:val="21"/>
        </w:rPr>
        <w:br/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  <w:sectPr w:rsidSect="00624EA1">
          <w:type w:val="nextPage"/>
          <w:pgSz w:w="11906" w:h="16838" w:code="9"/>
          <w:pgMar w:top="1134" w:right="1418" w:bottom="1134" w:left="1418" w:header="851" w:footer="992" w:gutter="0"/>
          <w:pgNumType w:start="9"/>
          <w:cols w:space="425"/>
          <w:titlePg w:val="0"/>
          <w:docGrid w:type="lines" w:linePitch="312"/>
        </w:sect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由于本预制场采用的是双横梁施工方法，张拉端单根张拉，故钢绞线的长度为：L=93m（台座长度）+0.58m（千斤顶长度）+2*0.05m（锚夹具长度，圆套筒三片式夹具）+2*0.35m（固定端横梁宽度）+0.10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 xml:space="preserve"> m（定位板等）＝94.48m。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将钢绞线在距下料尺寸5mm处用铅丝绑扎牢固后，用切割机将钢绞线切断，逐根放入张拉槽，穿入定位板中。安装模板及钢筋，安装好千斤顶、横梁及锚具夹等。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2、钢绞线的张拉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在固定端利用YDC300Q千斤顶对钢绞线初调应力，达10％（即19.53KN）以后，锚固工具锚。应力初调以后，在钢绞线上两端一定部位（本例取两端模板端部一致处）作好标记，并量取两标记之间的距离L1，在监理工程师同意的情况下即可进行张拉。开动千斤顶油泵，进行张拉：首先张拉到初应力（10％δk），在钢绞线上作标记并测量，继续张拉，控制张拉行程为15cm后，固定张拉端固定横梁处锚具，千斤顶回程，继续张拉，使应力达到100％δk，此时，张拉力为195.3KN，持荷2分钟后可锚固，量取两标记之间的距离L2。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则：实际伸长值ΔL＝ΔL1+ΔL2，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ΔL1＝L2－L1；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ΔL2＝δ0/Eg. L＝195.3×10%÷(1.9×105)×94480=10mm</w:t>
      </w:r>
      <w:r w:rsidRPr="003F69E1">
        <w:rPr>
          <w:rFonts w:ascii="宋体" w:hAnsi="宋体" w:cs="宋体"/>
          <w:kern w:val="0"/>
          <w:szCs w:val="21"/>
        </w:rPr>
        <w:t>(δ</w:t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0</w:t>
      </w:r>
      <w:r w:rsidRPr="003F69E1">
        <w:rPr>
          <w:rFonts w:ascii="宋体" w:hAnsi="宋体" w:cs="宋体"/>
          <w:kern w:val="0"/>
          <w:szCs w:val="21"/>
        </w:rPr>
        <w:t>—初应力)</w:t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理论伸长值ΔL＝PPL/（APEP）=694 mm</w:t>
      </w:r>
      <w:r w:rsidRPr="003F69E1">
        <w:rPr>
          <w:rFonts w:ascii="宋体" w:hAnsi="宋体" w:cs="宋体"/>
          <w:kern w:val="0"/>
          <w:szCs w:val="21"/>
        </w:rPr>
        <w:br/>
        <w:br/>
      </w:r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PP＝195.3KN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br/>
        <w:t>L＝94480mm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br/>
        <w:t>AP＝139.98mm2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Eg=1.9×105 N /mm2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如果: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(实际伸长值ΔL-理论伸长值ΔL)/ 理论伸长值ΔL≤± 6％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即可将张拉端工具锚锚固，张拉即告完毕。</w:t>
      </w:r>
      <w:r w:rsidRPr="003F69E1">
        <w:rPr>
          <w:rFonts w:ascii="宋体" w:hAnsi="宋体" w:cs="宋体"/>
          <w:kern w:val="0"/>
          <w:szCs w:val="21"/>
        </w:rPr>
        <w:br/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如果: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(实际伸长值ΔL-理论伸长值ΔL)/ 理论伸长值ΔL</w:t>
        <w:br/>
        <w:t>&gt;±6％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color w:val="000000"/>
          <w:kern w:val="0"/>
          <w:sz w:val="36"/>
          <w:szCs w:val="36"/>
        </w:rPr>
        <w:t>则要重新张拉或标定千斤项、更换钢绞线。张拉完毕后将钢绞线失效长度部分用硬塑料管套住(或塑料布包裹)，以便于预应力筋与混凝土之间不产生握力，并包扎固定。</w:t>
      </w:r>
    </w:p>
    <w:tbl>
      <w:tblPr>
        <w:tblStyle w:val="TableNormal"/>
        <w:tblW w:w="4900" w:type="pct"/>
        <w:jc w:val="center"/>
        <w:tblCellSpacing w:w="0" w:type="dxa"/>
        <w:tblBorders>
          <w:top w:val="single" w:sz="6" w:space="0" w:color="CAD9EA"/>
          <w:left w:val="single" w:sz="6" w:space="0" w:color="CAD9EA"/>
          <w:bottom w:val="single" w:sz="6" w:space="0" w:color="CAD9EA"/>
          <w:right w:val="single" w:sz="6" w:space="0" w:color="CAD9EA"/>
          <w:insideH w:val="none" w:sz="0" w:space="0" w:color="auto"/>
          <w:insideV w:val="none" w:sz="0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36"/>
      </w:tblGrid>
      <w:tr w:rsidTr="003F69E1">
        <w:tblPrEx>
          <w:tblW w:w="4900" w:type="pct"/>
          <w:jc w:val="center"/>
          <w:tblCellSpacing w:w="0" w:type="dxa"/>
          <w:tblBorders>
            <w:top w:val="single" w:sz="6" w:space="0" w:color="CAD9EA"/>
            <w:left w:val="single" w:sz="6" w:space="0" w:color="CAD9EA"/>
            <w:bottom w:val="single" w:sz="6" w:space="0" w:color="CAD9EA"/>
            <w:right w:val="single" w:sz="6" w:space="0" w:color="CAD9EA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single" w:sz="6" w:space="0" w:color="CAD9EA"/>
              <w:left w:val="single" w:sz="6" w:space="0" w:color="CAD9EA"/>
              <w:bottom w:val="single" w:sz="6" w:space="0" w:color="CAD9EA"/>
              <w:right w:val="single" w:sz="6" w:space="0" w:color="CAD9EA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F69E1" w:rsidRPr="003F69E1" w:rsidP="003F69E1">
            <w:pPr>
              <w:widowControl/>
              <w:spacing w:after="240" w:line="384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F69E1">
              <w:rPr>
                <w:rFonts w:ascii="仿宋_GB2312" w:eastAsia="仿宋_GB2312" w:hAnsi="宋体" w:cs="宋体"/>
                <w:color w:val="000000"/>
                <w:kern w:val="0"/>
                <w:sz w:val="15"/>
                <w:szCs w:val="15"/>
              </w:rPr>
              <w:t>持荷2分钟</w:t>
            </w:r>
          </w:p>
        </w:tc>
      </w:tr>
    </w:tbl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  <w:r w:rsidRPr="003F69E1">
        <w:rPr>
          <w:rFonts w:ascii="宋体" w:hAnsi="宋体" w:cs="宋体"/>
          <w:color w:val="000000"/>
          <w:kern w:val="0"/>
          <w:sz w:val="36"/>
          <w:szCs w:val="36"/>
        </w:rPr>
        <w:t>张拉程序如下:</w:t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kern w:val="0"/>
          <w:szCs w:val="21"/>
        </w:rPr>
        <w:br/>
      </w:r>
      <w:r w:rsidRPr="003F69E1">
        <w:rPr>
          <w:rFonts w:ascii="宋体" w:hAnsi="宋体" w:cs="宋体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https://d.book118.com/575033344211011113</w:t>
        </w:r>
      </w:hyperlink>
    </w:p>
    <w:p w:rsidR="003F69E1" w:rsidRPr="003F69E1" w:rsidP="003F69E1">
      <w:pPr>
        <w:widowControl/>
        <w:spacing w:line="384" w:lineRule="atLeast"/>
        <w:jc w:val="center"/>
        <w:rPr>
          <w:rFonts w:ascii="宋体" w:hAnsi="宋体" w:cs="宋体"/>
          <w:kern w:val="0"/>
          <w:szCs w:val="21"/>
        </w:rPr>
      </w:pPr>
    </w:p>
    <w:sectPr w:rsidSect="00624EA1">
      <w:type w:val="nextPage"/>
      <w:pgSz w:w="11906" w:h="16838" w:code="9"/>
      <w:pgMar w:top="1134" w:right="1418" w:bottom="1134" w:left="1418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16A"/>
    <w:rsid w:val="0003619B"/>
    <w:rsid w:val="000C0851"/>
    <w:rsid w:val="000C1392"/>
    <w:rsid w:val="00126343"/>
    <w:rsid w:val="001E016A"/>
    <w:rsid w:val="00200351"/>
    <w:rsid w:val="002F1A19"/>
    <w:rsid w:val="003A6A69"/>
    <w:rsid w:val="003F69E1"/>
    <w:rsid w:val="005C77EF"/>
    <w:rsid w:val="005D5EC9"/>
    <w:rsid w:val="006056A9"/>
    <w:rsid w:val="00624EA1"/>
    <w:rsid w:val="00705F33"/>
    <w:rsid w:val="009018C6"/>
    <w:rsid w:val="00A92869"/>
    <w:rsid w:val="00BC2F89"/>
    <w:rsid w:val="00C54422"/>
    <w:rsid w:val="00D21964"/>
    <w:rsid w:val="00E910A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19B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link w:val="1Char"/>
    <w:uiPriority w:val="9"/>
    <w:qFormat/>
    <w:rsid w:val="003F69E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24"/>
      <w:szCs w:val="24"/>
    </w:rPr>
  </w:style>
  <w:style w:type="paragraph" w:styleId="Heading2">
    <w:name w:val="heading 2"/>
    <w:basedOn w:val="Normal"/>
    <w:link w:val="2Char"/>
    <w:uiPriority w:val="9"/>
    <w:qFormat/>
    <w:rsid w:val="003F69E1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24"/>
      <w:szCs w:val="24"/>
    </w:rPr>
  </w:style>
  <w:style w:type="paragraph" w:styleId="Heading3">
    <w:name w:val="heading 3"/>
    <w:basedOn w:val="Normal"/>
    <w:link w:val="3Char"/>
    <w:uiPriority w:val="9"/>
    <w:qFormat/>
    <w:rsid w:val="003F69E1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4"/>
      <w:szCs w:val="24"/>
    </w:rPr>
  </w:style>
  <w:style w:type="paragraph" w:styleId="Heading4">
    <w:name w:val="heading 4"/>
    <w:basedOn w:val="Normal"/>
    <w:link w:val="4Char"/>
    <w:uiPriority w:val="9"/>
    <w:qFormat/>
    <w:rsid w:val="003F69E1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  <w:szCs w:val="24"/>
    </w:rPr>
  </w:style>
  <w:style w:type="paragraph" w:styleId="Heading5">
    <w:name w:val="heading 5"/>
    <w:basedOn w:val="Normal"/>
    <w:link w:val="5Char"/>
    <w:uiPriority w:val="9"/>
    <w:qFormat/>
    <w:rsid w:val="003F69E1"/>
    <w:pPr>
      <w:widowControl/>
      <w:spacing w:before="100" w:beforeAutospacing="1" w:after="100" w:afterAutospacing="1"/>
      <w:jc w:val="left"/>
      <w:outlineLvl w:val="4"/>
    </w:pPr>
    <w:rPr>
      <w:rFonts w:ascii="宋体" w:hAnsi="宋体" w:cs="宋体"/>
      <w:b/>
      <w:bCs/>
      <w:kern w:val="0"/>
      <w:sz w:val="24"/>
      <w:szCs w:val="24"/>
    </w:rPr>
  </w:style>
  <w:style w:type="paragraph" w:styleId="Heading6">
    <w:name w:val="heading 6"/>
    <w:basedOn w:val="Normal"/>
    <w:link w:val="6Char"/>
    <w:uiPriority w:val="9"/>
    <w:qFormat/>
    <w:rsid w:val="003F69E1"/>
    <w:pPr>
      <w:widowControl/>
      <w:spacing w:before="100" w:beforeAutospacing="1" w:after="100" w:afterAutospacing="1"/>
      <w:jc w:val="left"/>
      <w:outlineLvl w:val="5"/>
    </w:pPr>
    <w:rPr>
      <w:rFonts w:ascii="宋体" w:hAnsi="宋体" w:cs="宋体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1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a">
    <w:name w:val="浅色底纹"/>
    <w:basedOn w:val="TableNormal"/>
    <w:uiPriority w:val="60"/>
    <w:rsid w:val="001E016A"/>
    <w:rPr>
      <w:color w:val="000000"/>
    </w:rPr>
    <w:tblPr>
      <w:tblStyleRowBandSize w:val="1"/>
      <w:tblStyleColBandSize w:val="1"/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Col">
      <w:rPr>
        <w:b/>
        <w:bCs/>
      </w:rPr>
    </w:tblStylePr>
    <w:tblStylePr w:type="firstCol">
      <w:rPr>
        <w:b/>
        <w:bCs/>
      </w:rPr>
    </w:tblStylePr>
  </w:style>
  <w:style w:type="table" w:styleId="MediumGrid3Accent5">
    <w:name w:val="Medium Grid 3 Accent 5"/>
    <w:basedOn w:val="TableNormal"/>
    <w:uiPriority w:val="69"/>
    <w:rsid w:val="001E016A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</w:style>
  <w:style w:type="paragraph" w:styleId="ListParagraph">
    <w:name w:val="List Paragraph"/>
    <w:basedOn w:val="Normal"/>
    <w:uiPriority w:val="34"/>
    <w:qFormat/>
    <w:rsid w:val="002F1A19"/>
    <w:pPr>
      <w:ind w:firstLine="420" w:firstLineChars="200"/>
    </w:pPr>
  </w:style>
  <w:style w:type="paragraph" w:styleId="Header">
    <w:name w:val="header"/>
    <w:basedOn w:val="Normal"/>
    <w:link w:val="Char"/>
    <w:uiPriority w:val="99"/>
    <w:semiHidden/>
    <w:unhideWhenUsed/>
    <w:rsid w:val="00E910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910A5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910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910A5"/>
    <w:rPr>
      <w:sz w:val="18"/>
      <w:szCs w:val="18"/>
    </w:rPr>
  </w:style>
  <w:style w:type="character" w:customStyle="1" w:styleId="1Char">
    <w:name w:val="标题 1 Char"/>
    <w:basedOn w:val="DefaultParagraphFont"/>
    <w:link w:val="Heading1"/>
    <w:uiPriority w:val="9"/>
    <w:rsid w:val="003F69E1"/>
    <w:rPr>
      <w:rFonts w:ascii="宋体" w:hAnsi="宋体" w:cs="宋体"/>
      <w:b/>
      <w:bCs/>
      <w:kern w:val="36"/>
      <w:sz w:val="24"/>
      <w:szCs w:val="24"/>
    </w:rPr>
  </w:style>
  <w:style w:type="character" w:customStyle="1" w:styleId="2Char">
    <w:name w:val="标题 2 Char"/>
    <w:basedOn w:val="DefaultParagraphFont"/>
    <w:link w:val="Heading2"/>
    <w:uiPriority w:val="9"/>
    <w:rsid w:val="003F69E1"/>
    <w:rPr>
      <w:rFonts w:ascii="宋体" w:hAnsi="宋体" w:cs="宋体"/>
      <w:b/>
      <w:bCs/>
      <w:sz w:val="24"/>
      <w:szCs w:val="24"/>
    </w:rPr>
  </w:style>
  <w:style w:type="character" w:customStyle="1" w:styleId="3Char">
    <w:name w:val="标题 3 Char"/>
    <w:basedOn w:val="DefaultParagraphFont"/>
    <w:link w:val="Heading3"/>
    <w:uiPriority w:val="9"/>
    <w:rsid w:val="003F69E1"/>
    <w:rPr>
      <w:rFonts w:ascii="宋体" w:hAnsi="宋体" w:cs="宋体"/>
      <w:b/>
      <w:bCs/>
      <w:sz w:val="24"/>
      <w:szCs w:val="24"/>
    </w:rPr>
  </w:style>
  <w:style w:type="character" w:customStyle="1" w:styleId="4Char">
    <w:name w:val="标题 4 Char"/>
    <w:basedOn w:val="DefaultParagraphFont"/>
    <w:link w:val="Heading4"/>
    <w:uiPriority w:val="9"/>
    <w:rsid w:val="003F69E1"/>
    <w:rPr>
      <w:rFonts w:ascii="宋体" w:hAnsi="宋体" w:cs="宋体"/>
      <w:b/>
      <w:bCs/>
      <w:sz w:val="24"/>
      <w:szCs w:val="24"/>
    </w:rPr>
  </w:style>
  <w:style w:type="character" w:customStyle="1" w:styleId="5Char">
    <w:name w:val="标题 5 Char"/>
    <w:basedOn w:val="DefaultParagraphFont"/>
    <w:link w:val="Heading5"/>
    <w:uiPriority w:val="9"/>
    <w:rsid w:val="003F69E1"/>
    <w:rPr>
      <w:rFonts w:ascii="宋体" w:hAnsi="宋体" w:cs="宋体"/>
      <w:b/>
      <w:bCs/>
      <w:sz w:val="24"/>
      <w:szCs w:val="24"/>
    </w:rPr>
  </w:style>
  <w:style w:type="character" w:customStyle="1" w:styleId="6Char">
    <w:name w:val="标题 6 Char"/>
    <w:basedOn w:val="DefaultParagraphFont"/>
    <w:link w:val="Heading6"/>
    <w:uiPriority w:val="9"/>
    <w:rsid w:val="003F69E1"/>
    <w:rPr>
      <w:rFonts w:ascii="宋体" w:hAnsi="宋体" w:cs="宋体"/>
      <w:b/>
      <w:bCs/>
      <w:sz w:val="24"/>
      <w:szCs w:val="24"/>
    </w:rPr>
  </w:style>
  <w:style w:type="character" w:customStyle="1" w:styleId="z-Char">
    <w:name w:val="z-窗体顶端 Char"/>
    <w:basedOn w:val="DefaultParagraphFont"/>
    <w:link w:val="HTMLTopofForm"/>
    <w:uiPriority w:val="99"/>
    <w:semiHidden/>
    <w:rsid w:val="003F69E1"/>
    <w:rPr>
      <w:rFonts w:ascii="Arial" w:hAnsi="Arial" w:cs="Arial"/>
      <w:vanish/>
      <w:sz w:val="16"/>
      <w:szCs w:val="16"/>
    </w:rPr>
  </w:style>
  <w:style w:type="paragraph" w:styleId="HTMLTopofForm">
    <w:name w:val="HTML Top of Form"/>
    <w:basedOn w:val="Normal"/>
    <w:next w:val="Normal"/>
    <w:link w:val="z-Char"/>
    <w:hidden/>
    <w:uiPriority w:val="99"/>
    <w:semiHidden/>
    <w:unhideWhenUsed/>
    <w:rsid w:val="003F69E1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DefaultParagraphFont"/>
    <w:link w:val="HTMLBottomofForm"/>
    <w:uiPriority w:val="99"/>
    <w:semiHidden/>
    <w:rsid w:val="003F69E1"/>
    <w:rPr>
      <w:rFonts w:ascii="Arial" w:hAnsi="Arial" w:cs="Arial"/>
      <w:vanish/>
      <w:sz w:val="16"/>
      <w:szCs w:val="16"/>
    </w:rPr>
  </w:style>
  <w:style w:type="paragraph" w:styleId="HTMLBottomofForm">
    <w:name w:val="HTML Bottom of Form"/>
    <w:basedOn w:val="Normal"/>
    <w:next w:val="Normal"/>
    <w:link w:val="z-Char0"/>
    <w:hidden/>
    <w:uiPriority w:val="99"/>
    <w:semiHidden/>
    <w:unhideWhenUsed/>
    <w:rsid w:val="003F69E1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503334421101111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1322</Words>
  <Characters>7537</Characters>
  <Application>Microsoft Office Word</Application>
  <DocSecurity>0</DocSecurity>
  <Lines>62</Lines>
  <Paragraphs>17</Paragraphs>
  <ScaleCrop>false</ScaleCrop>
  <Company>JZDCG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</dc:creator>
  <cp:lastModifiedBy>yhf</cp:lastModifiedBy>
  <cp:revision>3</cp:revision>
  <cp:lastPrinted>2009-01-14T04:11:00Z</cp:lastPrinted>
  <dcterms:created xsi:type="dcterms:W3CDTF">2009-02-06T12:57:00Z</dcterms:created>
  <dcterms:modified xsi:type="dcterms:W3CDTF">2009-02-06T13:37:00Z</dcterms:modified>
</cp:coreProperties>
</file>