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27B">
      <w:pPr>
        <w:bidi w:val="0"/>
        <w:spacing w:before="300"/>
        <w:jc w:val="both"/>
        <w:rPr>
          <w:rFonts w:cs="Times New Roman" w:hint="default"/>
          <w:szCs w:val="24"/>
        </w:rPr>
      </w:pPr>
      <w:r>
        <w:rPr>
          <w:rFonts w:ascii="Times New Roman" w:eastAsia="宋体" w:hAnsi="Times New Roman" w:cs="Times New Roman" w:hint="eastAsia"/>
          <w:kern w:val="2"/>
          <w:sz w:val="18"/>
          <w:szCs w:val="24"/>
          <w:lang w:val="en-US" w:eastAsia="zh-CN"/>
        </w:rPr>
        <w:t>证券代码：</w:t>
      </w:r>
      <w:r>
        <w:rPr>
          <w:rFonts w:ascii="Times New Roman" w:eastAsia="宋体" w:hAnsi="Times New Roman" w:cs="Times New Roman" w:hint="default"/>
          <w:kern w:val="2"/>
          <w:sz w:val="18"/>
          <w:szCs w:val="24"/>
          <w:lang w:val="en-US" w:eastAsia="zh-CN"/>
        </w:rPr>
        <w:t xml:space="preserve">000962                           </w:t>
      </w:r>
      <w:r>
        <w:rPr>
          <w:rFonts w:ascii="Times New Roman" w:eastAsia="宋体" w:hAnsi="Times New Roman" w:cs="Times New Roman" w:hint="eastAsia"/>
          <w:kern w:val="2"/>
          <w:sz w:val="18"/>
          <w:szCs w:val="24"/>
          <w:lang w:val="en-US" w:eastAsia="zh-CN"/>
        </w:rPr>
        <w:t>证券简称：东方钽业</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公告编号：</w:t>
      </w:r>
      <w:r>
        <w:rPr>
          <w:rFonts w:ascii="Times New Roman" w:eastAsia="宋体" w:hAnsi="Times New Roman" w:cs="Times New Roman" w:hint="default"/>
          <w:kern w:val="2"/>
          <w:sz w:val="18"/>
          <w:szCs w:val="24"/>
          <w:lang w:val="en-US" w:eastAsia="zh-CN"/>
        </w:rPr>
        <w:t>2021-027</w:t>
      </w:r>
      <w:r>
        <w:rPr>
          <w:rFonts w:cs="Times New Roman" w:hint="default"/>
          <w:szCs w:val="24"/>
        </w:rPr>
        <w:t>　　　</w:t>
      </w:r>
    </w:p>
    <w:p w:rsidR="00E2627B">
      <w:pPr>
        <w:pStyle w:val="Title"/>
        <w:bidi w:val="0"/>
        <w:jc w:val="center"/>
        <w:outlineLvl w:val="0"/>
        <w:rPr>
          <w:rFonts w:cs="Times New Roman"/>
          <w:szCs w:val="24"/>
        </w:rPr>
      </w:pPr>
      <w:r>
        <w:rPr>
          <w:rFonts w:ascii="Times New Roman" w:eastAsia="宋体" w:hAnsi="Times New Roman" w:cs="Times New Roman" w:hint="eastAsia"/>
          <w:b/>
          <w:kern w:val="32"/>
          <w:sz w:val="32"/>
          <w:szCs w:val="24"/>
          <w:lang w:val="en-US" w:eastAsia="zh-CN"/>
        </w:rPr>
        <w:t>宁夏东方钽业股份</w:t>
      </w:r>
      <w:r>
        <w:rPr>
          <w:rFonts w:ascii="Times New Roman" w:eastAsia="宋体" w:hAnsi="Times New Roman" w:cs="Times New Roman" w:hint="default"/>
          <w:b/>
          <w:kern w:val="32"/>
          <w:sz w:val="32"/>
          <w:szCs w:val="24"/>
          <w:lang w:val="en-US" w:eastAsia="zh-CN"/>
        </w:rPr>
        <w:t>2021</w:t>
      </w:r>
      <w:r>
        <w:rPr>
          <w:rFonts w:ascii="Times New Roman" w:eastAsia="宋体" w:hAnsi="Times New Roman" w:cs="Times New Roman" w:hint="eastAsia"/>
          <w:b/>
          <w:kern w:val="32"/>
          <w:sz w:val="32"/>
          <w:szCs w:val="24"/>
          <w:lang w:val="en-US" w:eastAsia="zh-CN"/>
        </w:rPr>
        <w:t>年半年度报告摘要</w:t>
      </w:r>
      <w:r>
        <w:rPr>
          <w:rFonts w:cs="Times New Roman"/>
          <w:szCs w:val="24"/>
        </w:rPr>
        <w:t>　　　</w:t>
      </w:r>
    </w:p>
    <w:p w:rsidR="00E2627B">
      <w:pPr>
        <w:pStyle w:val="Chapter"/>
        <w:bidi w:val="0"/>
        <w:jc w:val="both"/>
        <w:outlineLvl w:val="1"/>
        <w:rPr>
          <w:rFonts w:cs="Times New Roman"/>
          <w:szCs w:val="24"/>
        </w:rPr>
      </w:pPr>
      <w:r>
        <w:rPr>
          <w:rFonts w:ascii="Times New Roman" w:eastAsia="宋体" w:hAnsi="Times New Roman" w:cs="Times New Roman" w:hint="eastAsia"/>
          <w:b/>
          <w:kern w:val="28"/>
          <w:sz w:val="24"/>
          <w:szCs w:val="24"/>
          <w:lang w:val="en-US" w:eastAsia="zh-CN"/>
        </w:rPr>
        <w:t>§</w:t>
      </w:r>
      <w:r>
        <w:rPr>
          <w:rFonts w:ascii="Times New Roman" w:eastAsia="宋体" w:hAnsi="Times New Roman" w:cs="Times New Roman" w:hint="default"/>
          <w:b/>
          <w:kern w:val="28"/>
          <w:sz w:val="24"/>
          <w:szCs w:val="24"/>
          <w:lang w:val="en-US" w:eastAsia="zh-CN"/>
        </w:rPr>
        <w:t xml:space="preserve">1 </w:t>
      </w:r>
      <w:r>
        <w:rPr>
          <w:rFonts w:ascii="Times New Roman" w:eastAsia="宋体" w:hAnsi="Times New Roman" w:cs="Times New Roman" w:hint="eastAsia"/>
          <w:b/>
          <w:kern w:val="28"/>
          <w:sz w:val="24"/>
          <w:szCs w:val="24"/>
          <w:lang w:val="en-US" w:eastAsia="zh-CN"/>
        </w:rPr>
        <w:t>重要提示</w:t>
      </w:r>
      <w:r>
        <w:rPr>
          <w:rFonts w:cs="Times New Roman"/>
          <w:szCs w:val="24"/>
        </w:rPr>
        <w:t>　　　</w:t>
      </w:r>
    </w:p>
    <w:p w:rsidR="00E2627B" w:rsidP="00E2627B">
      <w:pPr>
        <w:bidi w:val="0"/>
        <w:ind w:firstLine="420" w:firstLineChars="200"/>
        <w:jc w:val="both"/>
        <w:rPr>
          <w:rFonts w:cs="Times New Roman"/>
          <w:sz w:val="21"/>
          <w:szCs w:val="24"/>
        </w:rPr>
      </w:pPr>
      <w:r>
        <w:rPr>
          <w:rFonts w:ascii="Times New Roman" w:eastAsia="宋体" w:hAnsi="Times New Roman" w:cs="Times New Roman" w:hint="default"/>
          <w:kern w:val="2"/>
          <w:sz w:val="21"/>
          <w:szCs w:val="24"/>
          <w:lang w:val="en-US" w:eastAsia="zh-CN"/>
        </w:rPr>
        <w:t xml:space="preserve">1.1 </w:t>
      </w:r>
      <w:r>
        <w:rPr>
          <w:rFonts w:ascii="Times New Roman" w:eastAsia="宋体" w:hAnsi="Times New Roman" w:cs="Times New Roman" w:hint="eastAsia"/>
          <w:kern w:val="2"/>
          <w:sz w:val="21"/>
          <w:szCs w:val="24"/>
          <w:lang w:val="en-US" w:eastAsia="zh-CN"/>
        </w:rPr>
        <w:t>本公司董事会、监事会及其董事、监事、高级管理人员保证本报告所载资料不存在任何虚假记载、误导性陈述或者重大遗漏，并对其内容的真实性、准确性和完整性负个别及连带责任。</w:t>
      </w:r>
      <w:r>
        <w:rPr>
          <w:rFonts w:ascii="Courier New" w:eastAsia="Courier New" w:hAnsi="Courier New" w:cs="Courier New"/>
          <w:i/>
          <w:color w:val="FFFFFF"/>
          <w:sz w:val="36"/>
        </w:rPr>
        <w:t>　　　</w:t>
      </w:r>
      <w:r>
        <w:rPr>
          <w:rFonts w:cs="Times New Roman"/>
          <w:sz w:val="21"/>
          <w:szCs w:val="24"/>
        </w:rPr>
        <w:t>　　</w:t>
      </w:r>
    </w:p>
    <w:p w:rsidR="00E2627B" w:rsidP="00E2627B">
      <w:pPr>
        <w:bidi w:val="0"/>
        <w:ind w:firstLine="420" w:firstLineChars="200"/>
        <w:jc w:val="both"/>
        <w:rPr>
          <w:rFonts w:cs="Times New Roman"/>
          <w:sz w:val="21"/>
          <w:szCs w:val="24"/>
        </w:rPr>
      </w:pPr>
      <w:r>
        <w:rPr>
          <w:rFonts w:ascii="Times New Roman" w:eastAsia="宋体" w:hAnsi="Times New Roman" w:cs="Times New Roman" w:hint="eastAsia"/>
          <w:kern w:val="2"/>
          <w:sz w:val="21"/>
          <w:szCs w:val="24"/>
          <w:lang w:val="en-US" w:eastAsia="zh-CN"/>
        </w:rPr>
        <w:t>本半年度报告摘要摘自半年度报告全文，报告全文同时刊载于巨潮资讯网〔</w:t>
      </w:r>
      <w:r>
        <w:rPr>
          <w:rFonts w:ascii="Times New Roman" w:eastAsia="宋体" w:hAnsi="Times New Roman" w:cs="Times New Roman" w:hint="default"/>
          <w:kern w:val="2"/>
          <w:sz w:val="21"/>
          <w:szCs w:val="24"/>
          <w:lang w:val="en-US" w:eastAsia="zh-CN"/>
        </w:rPr>
        <w:t xml:space="preserve">www info     </w:t>
      </w:r>
      <w:r>
        <w:rPr>
          <w:rFonts w:ascii="Times New Roman" w:eastAsia="宋体" w:hAnsi="Times New Roman" w:cs="Times New Roman" w:hint="eastAsia"/>
          <w:kern w:val="2"/>
          <w:sz w:val="21"/>
          <w:szCs w:val="24"/>
          <w:lang w:val="en-US" w:eastAsia="zh-CN"/>
        </w:rPr>
        <w:t>〕。投资者欲了解详细内容，应当仔细阅读半年度报告全文。</w:t>
      </w:r>
      <w:r>
        <w:rPr>
          <w:rFonts w:ascii="Courier New" w:eastAsia="Courier New" w:hAnsi="Courier New" w:cs="Courier New"/>
          <w:i/>
          <w:color w:val="FFFFFF"/>
          <w:sz w:val="36"/>
        </w:rPr>
        <w:t>　　　</w:t>
      </w:r>
      <w:r>
        <w:rPr>
          <w:rFonts w:cs="Times New Roman"/>
          <w:sz w:val="21"/>
          <w:szCs w:val="24"/>
        </w:rPr>
        <w:t>　　</w:t>
      </w:r>
    </w:p>
    <w:p w:rsidR="00E2627B" w:rsidP="00E2627B">
      <w:pPr>
        <w:bidi w:val="0"/>
        <w:ind w:firstLine="420" w:firstLineChars="200"/>
        <w:jc w:val="both"/>
        <w:rPr>
          <w:rFonts w:cs="Times New Roman"/>
          <w:sz w:val="21"/>
          <w:szCs w:val="24"/>
        </w:rPr>
      </w:pPr>
      <w:r>
        <w:rPr>
          <w:rFonts w:ascii="Times New Roman" w:eastAsia="宋体" w:hAnsi="Times New Roman" w:cs="Times New Roman" w:hint="default"/>
          <w:kern w:val="2"/>
          <w:sz w:val="21"/>
          <w:szCs w:val="24"/>
          <w:lang w:val="en-US" w:eastAsia="zh-CN"/>
        </w:rPr>
        <w:t xml:space="preserve">1.2 </w:t>
      </w:r>
      <w:r>
        <w:rPr>
          <w:rFonts w:ascii="Times New Roman" w:eastAsia="宋体" w:hAnsi="Times New Roman" w:cs="Times New Roman" w:hint="eastAsia"/>
          <w:kern w:val="2"/>
          <w:sz w:val="21"/>
          <w:szCs w:val="24"/>
          <w:lang w:val="en-US" w:eastAsia="zh-CN"/>
        </w:rPr>
        <w:t>公司半年度财务报告未经会计师事务所审计。</w:t>
      </w:r>
      <w:r>
        <w:rPr>
          <w:rFonts w:ascii="Courier New" w:eastAsia="Courier New" w:hAnsi="Courier New" w:cs="Courier New"/>
          <w:i/>
          <w:color w:val="FFFFFF"/>
          <w:sz w:val="36"/>
        </w:rPr>
        <w:t>　　　</w:t>
      </w:r>
      <w:r>
        <w:rPr>
          <w:rFonts w:cs="Times New Roman"/>
          <w:sz w:val="21"/>
          <w:szCs w:val="24"/>
        </w:rPr>
        <w:t>　　</w:t>
      </w:r>
    </w:p>
    <w:p w:rsidR="00E2627B" w:rsidP="00E2627B">
      <w:pPr>
        <w:bidi w:val="0"/>
        <w:ind w:firstLine="420" w:firstLineChars="200"/>
        <w:jc w:val="both"/>
        <w:rPr>
          <w:rFonts w:cs="Times New Roman"/>
          <w:sz w:val="21"/>
          <w:szCs w:val="24"/>
        </w:rPr>
      </w:pPr>
      <w:r>
        <w:rPr>
          <w:rFonts w:ascii="Times New Roman" w:eastAsia="宋体" w:hAnsi="Times New Roman" w:cs="Times New Roman" w:hint="default"/>
          <w:kern w:val="2"/>
          <w:sz w:val="21"/>
          <w:szCs w:val="24"/>
          <w:lang w:val="en-US" w:eastAsia="zh-CN"/>
        </w:rPr>
        <w:t xml:space="preserve">1.3 </w:t>
      </w:r>
      <w:r>
        <w:rPr>
          <w:rFonts w:ascii="Times New Roman" w:eastAsia="宋体" w:hAnsi="Times New Roman" w:cs="Times New Roman" w:hint="eastAsia"/>
          <w:kern w:val="2"/>
          <w:sz w:val="21"/>
          <w:szCs w:val="24"/>
          <w:lang w:val="en-US" w:eastAsia="zh-CN"/>
        </w:rPr>
        <w:t>公司董事长张创奇、总经理李彬，财务负责人孙慧智声明：保证半年度报告中财务报告的真实、完整。</w:t>
      </w:r>
      <w:r>
        <w:rPr>
          <w:rFonts w:cs="Times New Roman"/>
          <w:sz w:val="21"/>
          <w:szCs w:val="24"/>
        </w:rPr>
        <w:t>　</w:t>
      </w:r>
      <w:r>
        <w:rPr>
          <w:rFonts w:ascii="Courier New" w:eastAsia="Courier New" w:hAnsi="Courier New" w:cs="Courier New"/>
          <w:i/>
          <w:color w:val="FFFFFF"/>
          <w:sz w:val="36"/>
        </w:rPr>
        <w:t>　　　</w:t>
      </w:r>
    </w:p>
    <w:p w:rsidR="00E2627B">
      <w:pPr>
        <w:pStyle w:val="Chapter"/>
        <w:bidi w:val="0"/>
        <w:jc w:val="both"/>
        <w:outlineLvl w:val="1"/>
        <w:rPr>
          <w:rFonts w:cs="Times New Roman"/>
          <w:szCs w:val="24"/>
        </w:rPr>
      </w:pPr>
      <w:r>
        <w:rPr>
          <w:rFonts w:ascii="Times New Roman" w:eastAsia="宋体" w:hAnsi="Times New Roman" w:cs="Times New Roman" w:hint="eastAsia"/>
          <w:b/>
          <w:kern w:val="28"/>
          <w:sz w:val="24"/>
          <w:szCs w:val="24"/>
          <w:lang w:val="en-US" w:eastAsia="zh-CN"/>
        </w:rPr>
        <w:t>§</w:t>
      </w:r>
      <w:r>
        <w:rPr>
          <w:rFonts w:ascii="Times New Roman" w:eastAsia="宋体" w:hAnsi="Times New Roman" w:cs="Times New Roman" w:hint="default"/>
          <w:b/>
          <w:kern w:val="28"/>
          <w:sz w:val="24"/>
          <w:szCs w:val="24"/>
          <w:lang w:val="en-US" w:eastAsia="zh-CN"/>
        </w:rPr>
        <w:t xml:space="preserve">2 </w:t>
      </w:r>
      <w:r>
        <w:rPr>
          <w:rFonts w:ascii="Times New Roman" w:eastAsia="宋体" w:hAnsi="Times New Roman" w:cs="Times New Roman" w:hint="eastAsia"/>
          <w:b/>
          <w:kern w:val="28"/>
          <w:sz w:val="24"/>
          <w:szCs w:val="24"/>
          <w:lang w:val="en-US" w:eastAsia="zh-CN"/>
        </w:rPr>
        <w:t>上市公司根本情况</w:t>
      </w:r>
      <w:r>
        <w:rPr>
          <w:rFonts w:cs="Times New Roman"/>
          <w:szCs w:val="24"/>
        </w:rPr>
        <w:t>　　　</w:t>
      </w:r>
    </w:p>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2.1 </w:t>
      </w:r>
      <w:r>
        <w:rPr>
          <w:rFonts w:ascii="Times New Roman" w:eastAsia="宋体" w:hAnsi="Times New Roman" w:cs="Times New Roman" w:hint="eastAsia"/>
          <w:b/>
          <w:kern w:val="28"/>
          <w:sz w:val="21"/>
          <w:szCs w:val="24"/>
          <w:lang w:val="en-US" w:eastAsia="zh-CN"/>
        </w:rPr>
        <w:t>根本情况简介</w:t>
      </w:r>
      <w:r>
        <w:rPr>
          <w:rFonts w:cs="Times New Roman"/>
          <w:szCs w:val="24"/>
        </w:rPr>
        <w:t>　　　　</w:t>
      </w:r>
    </w:p>
    <w:tbl>
      <w:tblPr>
        <w:tblStyle w:val="TableNormal"/>
        <w:tblW w:w="0" w:type="auto"/>
        <w:tblInd w:w="28" w:type="dxa"/>
        <w:tblLayout w:type="fixed"/>
        <w:tblCellMar>
          <w:left w:w="28" w:type="dxa"/>
          <w:right w:w="28" w:type="dxa"/>
        </w:tblCellMar>
        <w:tblLook w:val="04A0"/>
      </w:tblPr>
      <w:tblGrid>
        <w:gridCol w:w="2860"/>
        <w:gridCol w:w="3484"/>
        <w:gridCol w:w="3484"/>
      </w:tblGrid>
      <w:tr>
        <w:tblPrEx>
          <w:tblW w:w="0" w:type="auto"/>
          <w:tblInd w:w="28" w:type="dxa"/>
          <w:tblLayout w:type="fixed"/>
          <w:tblCellMar>
            <w:left w:w="28" w:type="dxa"/>
            <w:right w:w="28" w:type="dxa"/>
          </w:tblCellMar>
          <w:tblLook w:val="04A0"/>
        </w:tblPrEx>
        <w:tc>
          <w:tcPr>
            <w:tcW w:w="286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股票简称　　　</w:t>
            </w:r>
          </w:p>
        </w:tc>
        <w:tc>
          <w:tcPr>
            <w:tcW w:w="6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东方钽业　　　　</w:t>
            </w:r>
          </w:p>
        </w:tc>
      </w:tr>
      <w:tr>
        <w:tblPrEx>
          <w:tblW w:w="0" w:type="auto"/>
          <w:tblInd w:w="28" w:type="dxa"/>
          <w:tblLayout w:type="fixed"/>
          <w:tblCellMar>
            <w:left w:w="28" w:type="dxa"/>
            <w:right w:w="28" w:type="dxa"/>
          </w:tblCellMar>
          <w:tblLook w:val="04A0"/>
        </w:tblPrEx>
        <w:tc>
          <w:tcPr>
            <w:tcW w:w="286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股票代码　</w:t>
            </w:r>
            <w:r>
              <w:rPr>
                <w:rFonts w:ascii="Courier New" w:eastAsia="Courier New" w:hAnsi="Courier New" w:cs="Courier New" w:hint="eastAsia"/>
                <w:i/>
                <w:noProof/>
                <w:color w:val="FFFFFF"/>
                <w:kern w:val="2"/>
                <w:sz w:val="36"/>
                <w:lang w:val="en-US" w:eastAsia="zh-CN"/>
              </w:rPr>
              <w:t>　　　</w:t>
            </w:r>
          </w:p>
        </w:tc>
        <w:tc>
          <w:tcPr>
            <w:tcW w:w="6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000962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286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上市证券交易所　　　　</w:t>
            </w:r>
          </w:p>
        </w:tc>
        <w:tc>
          <w:tcPr>
            <w:tcW w:w="6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深圳证券交易所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286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3484"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董事会秘书</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3484"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证券事务代表　　</w:t>
            </w:r>
          </w:p>
        </w:tc>
      </w:tr>
      <w:tr>
        <w:tblPrEx>
          <w:tblW w:w="0" w:type="auto"/>
          <w:tblInd w:w="28" w:type="dxa"/>
          <w:tblLayout w:type="fixed"/>
          <w:tblCellMar>
            <w:left w:w="28" w:type="dxa"/>
            <w:right w:w="28" w:type="dxa"/>
          </w:tblCellMar>
          <w:tblLook w:val="04A0"/>
        </w:tblPrEx>
        <w:tc>
          <w:tcPr>
            <w:tcW w:w="286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姓名　　　</w:t>
            </w:r>
          </w:p>
        </w:tc>
        <w:tc>
          <w:tcPr>
            <w:tcW w:w="3484"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叶照贯　　　</w:t>
            </w:r>
          </w:p>
        </w:tc>
        <w:tc>
          <w:tcPr>
            <w:tcW w:w="3484"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汪红杰　　　</w:t>
            </w:r>
          </w:p>
        </w:tc>
      </w:tr>
      <w:tr>
        <w:tblPrEx>
          <w:tblW w:w="0" w:type="auto"/>
          <w:tblInd w:w="28" w:type="dxa"/>
          <w:tblLayout w:type="fixed"/>
          <w:tblCellMar>
            <w:left w:w="28" w:type="dxa"/>
            <w:right w:w="28" w:type="dxa"/>
          </w:tblCellMar>
          <w:tblLook w:val="04A0"/>
        </w:tblPrEx>
        <w:tc>
          <w:tcPr>
            <w:tcW w:w="286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xml:space="preserve">     　</w:t>
            </w:r>
            <w:r>
              <w:rPr>
                <w:rFonts w:ascii="Courier New" w:eastAsia="Courier New" w:hAnsi="Courier New" w:cs="Courier New" w:hint="eastAsia"/>
                <w:i/>
                <w:noProof/>
                <w:color w:val="FFFFFF"/>
                <w:kern w:val="2"/>
                <w:sz w:val="36"/>
                <w:lang w:val="en-US" w:eastAsia="zh-CN"/>
              </w:rPr>
              <w:t>　　　</w:t>
            </w:r>
          </w:p>
        </w:tc>
        <w:tc>
          <w:tcPr>
            <w:tcW w:w="3484"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宁夏石嘴山市大武口区冶金路　　</w:t>
            </w:r>
            <w:r>
              <w:rPr>
                <w:rFonts w:ascii="Courier New" w:eastAsia="Courier New" w:hAnsi="Courier New" w:cs="Courier New" w:hint="eastAsia"/>
                <w:i/>
                <w:noProof/>
                <w:color w:val="FFFFFF"/>
                <w:kern w:val="2"/>
                <w:sz w:val="36"/>
                <w:lang w:val="en-US" w:eastAsia="zh-CN"/>
              </w:rPr>
              <w:t>　　　</w:t>
            </w:r>
          </w:p>
        </w:tc>
        <w:tc>
          <w:tcPr>
            <w:tcW w:w="3484"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宁夏石嘴山市大武口区冶金路</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286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xml:space="preserve">   　　　</w:t>
            </w:r>
          </w:p>
        </w:tc>
        <w:tc>
          <w:tcPr>
            <w:tcW w:w="3484"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0952-2098561　　　</w:t>
            </w:r>
          </w:p>
        </w:tc>
        <w:tc>
          <w:tcPr>
            <w:tcW w:w="3484"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0952-2098563　　　</w:t>
            </w:r>
          </w:p>
        </w:tc>
      </w:tr>
      <w:tr>
        <w:tblPrEx>
          <w:tblW w:w="0" w:type="auto"/>
          <w:tblInd w:w="28" w:type="dxa"/>
          <w:tblLayout w:type="fixed"/>
          <w:tblCellMar>
            <w:left w:w="28" w:type="dxa"/>
            <w:right w:w="28" w:type="dxa"/>
          </w:tblCellMar>
          <w:tblLook w:val="04A0"/>
        </w:tblPrEx>
        <w:tc>
          <w:tcPr>
            <w:tcW w:w="286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xml:space="preserve">   　　　　</w:t>
            </w:r>
          </w:p>
        </w:tc>
        <w:tc>
          <w:tcPr>
            <w:tcW w:w="3484"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0952-2098562</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3484"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0952-2098562　　　　</w:t>
            </w:r>
          </w:p>
        </w:tc>
      </w:tr>
      <w:tr>
        <w:tblPrEx>
          <w:tblW w:w="0" w:type="auto"/>
          <w:tblInd w:w="28" w:type="dxa"/>
          <w:tblLayout w:type="fixed"/>
          <w:tblCellMar>
            <w:left w:w="28" w:type="dxa"/>
            <w:right w:w="28" w:type="dxa"/>
          </w:tblCellMar>
          <w:tblLook w:val="04A0"/>
        </w:tblPrEx>
        <w:tc>
          <w:tcPr>
            <w:tcW w:w="286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电子信箱　　　　</w:t>
            </w:r>
          </w:p>
        </w:tc>
        <w:tc>
          <w:tcPr>
            <w:tcW w:w="3484"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xml:space="preserve">zhqb@otic.public.yc.nx </w:t>
            </w:r>
            <w:r>
              <w:rPr>
                <w:rFonts w:ascii="Courier New" w:eastAsia="Courier New" w:hAnsi="Courier New" w:cs="Courier New" w:hint="eastAsia"/>
                <w:i/>
                <w:noProof/>
                <w:color w:val="FFFFFF"/>
                <w:kern w:val="2"/>
                <w:sz w:val="36"/>
                <w:lang w:val="en-US" w:eastAsia="zh-CN"/>
              </w:rPr>
              <w:t>　　　　　　</w:t>
            </w:r>
          </w:p>
        </w:tc>
        <w:tc>
          <w:tcPr>
            <w:tcW w:w="3484"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zhqb@otic.public.yc.nx 　</w:t>
            </w:r>
            <w:r>
              <w:rPr>
                <w:rFonts w:ascii="Courier New" w:eastAsia="Courier New" w:hAnsi="Courier New" w:cs="Courier New" w:hint="eastAsia"/>
                <w:i/>
                <w:noProof/>
                <w:color w:val="FFFFFF"/>
                <w:kern w:val="2"/>
                <w:sz w:val="36"/>
                <w:lang w:val="en-US" w:eastAsia="zh-CN"/>
              </w:rPr>
              <w:t>　　　</w:t>
            </w:r>
          </w:p>
        </w:tc>
      </w:tr>
    </w:tbl>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2.2 </w:t>
      </w:r>
      <w:r>
        <w:rPr>
          <w:rFonts w:ascii="Times New Roman" w:eastAsia="宋体" w:hAnsi="Times New Roman" w:cs="Times New Roman" w:hint="eastAsia"/>
          <w:b/>
          <w:kern w:val="28"/>
          <w:sz w:val="21"/>
          <w:szCs w:val="24"/>
          <w:lang w:val="en-US" w:eastAsia="zh-CN"/>
        </w:rPr>
        <w:t>主要财务数据和指标</w:t>
      </w:r>
      <w:r>
        <w:rPr>
          <w:rFonts w:cs="Times New Roman"/>
          <w:szCs w:val="24"/>
        </w:rPr>
        <w:t>　　　</w:t>
      </w:r>
    </w:p>
    <w:p w:rsidR="00E2627B">
      <w:pPr>
        <w:pStyle w:val="Section"/>
        <w:bidi w:val="0"/>
        <w:jc w:val="both"/>
        <w:outlineLvl w:val="3"/>
        <w:rPr>
          <w:rFonts w:cs="Times New Roman"/>
          <w:szCs w:val="24"/>
        </w:rPr>
      </w:pPr>
      <w:r>
        <w:rPr>
          <w:rFonts w:ascii="Times New Roman" w:eastAsia="宋体" w:hAnsi="Times New Roman" w:cs="Times New Roman" w:hint="default"/>
          <w:b/>
          <w:kern w:val="28"/>
          <w:sz w:val="21"/>
          <w:szCs w:val="24"/>
          <w:lang w:val="en-US" w:eastAsia="zh-CN"/>
        </w:rPr>
        <w:t xml:space="preserve">2.2.1 </w:t>
      </w:r>
      <w:r>
        <w:rPr>
          <w:rFonts w:ascii="Times New Roman" w:eastAsia="宋体" w:hAnsi="Times New Roman" w:cs="Times New Roman" w:hint="eastAsia"/>
          <w:b/>
          <w:kern w:val="28"/>
          <w:sz w:val="21"/>
          <w:szCs w:val="24"/>
          <w:lang w:val="en-US" w:eastAsia="zh-CN"/>
        </w:rPr>
        <w:t>主要会计数据和财务指标</w:t>
      </w:r>
      <w:r>
        <w:rPr>
          <w:rFonts w:cs="Times New Roman"/>
          <w:szCs w:val="24"/>
        </w:rPr>
        <w:t>　　</w:t>
      </w:r>
      <w:r>
        <w:rPr>
          <w:rFonts w:ascii="Courier New" w:eastAsia="Courier New" w:hAnsi="Courier New" w:cs="Courier New"/>
          <w:i/>
          <w:color w:val="FFFFFF"/>
          <w:sz w:val="36"/>
        </w:rPr>
        <w:t>　　　</w:t>
      </w:r>
    </w:p>
    <w:p w:rsidR="00E2627B">
      <w:pPr>
        <w:bidi w:val="0"/>
        <w:jc w:val="right"/>
        <w:rPr>
          <w:rFonts w:cs="Times New Roman"/>
          <w:szCs w:val="24"/>
        </w:rPr>
      </w:pPr>
      <w:r>
        <w:rPr>
          <w:rFonts w:ascii="Times New Roman" w:eastAsia="宋体" w:hAnsi="Times New Roman" w:cs="Times New Roman" w:hint="eastAsia"/>
          <w:kern w:val="2"/>
          <w:sz w:val="18"/>
          <w:szCs w:val="24"/>
          <w:lang w:val="en-US" w:eastAsia="zh-CN"/>
        </w:rPr>
        <w:t>单位：元</w:t>
      </w:r>
      <w:r>
        <w:rPr>
          <w:rFonts w:cs="Times New Roman"/>
          <w:szCs w:val="24"/>
        </w:rPr>
        <w:t>　　</w:t>
      </w:r>
      <w:r>
        <w:rPr>
          <w:rFonts w:ascii="Courier New" w:eastAsia="Courier New" w:hAnsi="Courier New" w:cs="Courier New"/>
          <w:i/>
          <w:color w:val="FFFFFF"/>
          <w:sz w:val="36"/>
        </w:rPr>
        <w:t>　　　</w:t>
      </w:r>
    </w:p>
    <w:tbl>
      <w:tblPr>
        <w:tblStyle w:val="TableNormal"/>
        <w:tblW w:w="0" w:type="auto"/>
        <w:tblInd w:w="28" w:type="dxa"/>
        <w:tblLayout w:type="fixed"/>
        <w:tblCellMar>
          <w:left w:w="28" w:type="dxa"/>
          <w:right w:w="28" w:type="dxa"/>
        </w:tblCellMar>
        <w:tblLook w:val="04A0"/>
      </w:tblPr>
      <w:tblGrid>
        <w:gridCol w:w="3705"/>
        <w:gridCol w:w="1690"/>
        <w:gridCol w:w="1365"/>
        <w:gridCol w:w="1365"/>
        <w:gridCol w:w="1703"/>
      </w:tblGrid>
      <w:tr>
        <w:tblPrEx>
          <w:tblW w:w="0" w:type="auto"/>
          <w:tblInd w:w="28" w:type="dxa"/>
          <w:tblLayout w:type="fixed"/>
          <w:tblCellMar>
            <w:left w:w="28" w:type="dxa"/>
            <w:right w:w="28" w:type="dxa"/>
          </w:tblCellMar>
          <w:tblLook w:val="04A0"/>
        </w:tblPrEx>
        <w:tc>
          <w:tcPr>
            <w:tcW w:w="370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69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本报告期末　　</w:t>
            </w:r>
            <w:r>
              <w:rPr>
                <w:rFonts w:ascii="Courier New" w:eastAsia="Courier New" w:hAnsi="Courier New" w:cs="Courier New" w:hint="eastAsia"/>
                <w:i/>
                <w:noProof/>
                <w:color w:val="FFFFFF"/>
                <w:kern w:val="2"/>
                <w:sz w:val="36"/>
                <w:lang w:val="en-US" w:eastAsia="zh-CN"/>
              </w:rPr>
              <w:t>　　　</w:t>
            </w:r>
          </w:p>
        </w:tc>
        <w:tc>
          <w:tcPr>
            <w:tcW w:w="2730" w:type="dxa"/>
            <w:gridSpan w:val="2"/>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上年度期末　　　</w:t>
            </w:r>
          </w:p>
        </w:tc>
        <w:tc>
          <w:tcPr>
            <w:tcW w:w="1703"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本报告期末比上年度期末增减〔％〕</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370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169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调整前</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调整后</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703"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调整后　　</w:t>
            </w:r>
          </w:p>
        </w:tc>
      </w:tr>
      <w:tr>
        <w:tblPrEx>
          <w:tblW w:w="0" w:type="auto"/>
          <w:tblInd w:w="28" w:type="dxa"/>
          <w:tblLayout w:type="fixed"/>
          <w:tblCellMar>
            <w:left w:w="28" w:type="dxa"/>
            <w:right w:w="28" w:type="dxa"/>
          </w:tblCellMar>
          <w:tblLook w:val="04A0"/>
        </w:tblPrEx>
        <w:tc>
          <w:tcPr>
            <w:tcW w:w="370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总资产　　　</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2,967,996,893.69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2,881,057,742.83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2,881,057,742.83</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3.02%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370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归属于上市公司股东的所有者权益　　　</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1,194,992,131.11</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1,192,800,933.94</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1,192,800,933.94　　　</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0.18%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370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股本　　　</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356,400,000.00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356,400,000.00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356,400,000.00　　</w:t>
            </w:r>
            <w:r>
              <w:rPr>
                <w:rFonts w:ascii="Courier New" w:eastAsia="Courier New" w:hAnsi="Courier New" w:cs="Courier New" w:hint="eastAsia"/>
                <w:i/>
                <w:noProof/>
                <w:color w:val="FFFFFF"/>
                <w:kern w:val="2"/>
                <w:sz w:val="36"/>
                <w:lang w:val="en-US" w:eastAsia="zh-CN"/>
              </w:rPr>
              <w:t>　　　</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370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归属于上市公司股东的每股净资产〔元</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股〕　　　</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3.3530　　</w:t>
            </w:r>
            <w:r>
              <w:rPr>
                <w:rFonts w:ascii="Courier New" w:eastAsia="Courier New" w:hAnsi="Courier New" w:cs="Courier New" w:hint="eastAsia"/>
                <w:i/>
                <w:noProof/>
                <w:color w:val="FFFFFF"/>
                <w:kern w:val="2"/>
                <w:sz w:val="36"/>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noProof/>
                <w:szCs w:val="24"/>
              </w:rPr>
            </w:pPr>
            <w:r>
              <w:rPr>
                <w:rFonts w:ascii="Times New Roman" w:eastAsia="宋体" w:hAnsi="Times New Roman" w:cs="Times New Roman" w:hint="default"/>
                <w:noProof/>
                <w:kern w:val="2"/>
                <w:sz w:val="18"/>
                <w:szCs w:val="24"/>
                <w:lang w:val="en-US" w:eastAsia="zh-CN"/>
              </w:rPr>
              <w:t>3.3468</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3.3468　　　</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0.19%　　　</w:t>
            </w:r>
          </w:p>
        </w:tc>
      </w:tr>
      <w:tr>
        <w:tblPrEx>
          <w:tblW w:w="0" w:type="auto"/>
          <w:tblInd w:w="28" w:type="dxa"/>
          <w:tblLayout w:type="fixed"/>
          <w:tblCellMar>
            <w:left w:w="28" w:type="dxa"/>
            <w:right w:w="28" w:type="dxa"/>
          </w:tblCellMar>
          <w:tblLook w:val="04A0"/>
        </w:tblPrEx>
        <w:tc>
          <w:tcPr>
            <w:tcW w:w="370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169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报告期〔</w:t>
            </w:r>
            <w:r>
              <w:rPr>
                <w:rFonts w:ascii="Times New Roman" w:eastAsia="宋体" w:hAnsi="Times New Roman" w:cs="Times New Roman" w:hint="default"/>
                <w:noProof/>
                <w:kern w:val="2"/>
                <w:sz w:val="18"/>
                <w:szCs w:val="24"/>
                <w:lang w:val="en-US" w:eastAsia="zh-CN"/>
              </w:rPr>
              <w:t>1</w:t>
            </w:r>
            <w:r>
              <w:rPr>
                <w:rFonts w:ascii="Times New Roman" w:eastAsia="宋体" w:hAnsi="Times New Roman" w:cs="Times New Roman" w:hint="eastAsia"/>
                <w:noProof/>
                <w:kern w:val="2"/>
                <w:sz w:val="18"/>
                <w:szCs w:val="24"/>
                <w:lang w:val="en-US" w:eastAsia="zh-CN"/>
              </w:rPr>
              <w:t>－</w:t>
            </w:r>
            <w:r>
              <w:rPr>
                <w:rFonts w:ascii="Times New Roman" w:eastAsia="宋体" w:hAnsi="Times New Roman" w:cs="Times New Roman" w:hint="default"/>
                <w:noProof/>
                <w:kern w:val="2"/>
                <w:sz w:val="18"/>
                <w:szCs w:val="24"/>
                <w:lang w:val="en-US" w:eastAsia="zh-CN"/>
              </w:rPr>
              <w:t>6</w:t>
            </w:r>
            <w:r>
              <w:rPr>
                <w:rFonts w:ascii="Times New Roman" w:eastAsia="宋体" w:hAnsi="Times New Roman" w:cs="Times New Roman" w:hint="eastAsia"/>
                <w:noProof/>
                <w:kern w:val="2"/>
                <w:sz w:val="18"/>
                <w:szCs w:val="24"/>
                <w:lang w:val="en-US" w:eastAsia="zh-CN"/>
              </w:rPr>
              <w:t>月〕</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730" w:type="dxa"/>
            <w:gridSpan w:val="2"/>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上年同期</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703"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本报告期比上年同期增减〔％〕　　　</w:t>
            </w:r>
          </w:p>
        </w:tc>
      </w:tr>
    </w:tbl>
    <w:p>
      <w:pPr>
        <w:sectPr>
          <w:pgSz w:w="11906" w:h="16838"/>
          <w:pgMar w:top="1440" w:right="1134" w:bottom="1440" w:left="1134" w:header="708" w:footer="708" w:gutter="0"/>
          <w:cols w:space="708"/>
        </w:sectPr>
      </w:pPr>
    </w:p>
    <w:tbl>
      <w:tblPr>
        <w:tblStyle w:val="TableNormal"/>
        <w:tblW w:w="0" w:type="auto"/>
        <w:tblInd w:w="28" w:type="dxa"/>
        <w:tblLayout w:type="fixed"/>
        <w:tblCellMar>
          <w:left w:w="28" w:type="dxa"/>
          <w:right w:w="28" w:type="dxa"/>
        </w:tblCellMar>
        <w:tblLook w:val="04A0"/>
      </w:tblPr>
      <w:tblGrid>
        <w:gridCol w:w="3705"/>
        <w:gridCol w:w="1690"/>
        <w:gridCol w:w="1365"/>
        <w:gridCol w:w="1365"/>
        <w:gridCol w:w="1703"/>
      </w:tblGrid>
      <w:tr>
        <w:tblPrEx>
          <w:tblW w:w="0" w:type="auto"/>
          <w:tblInd w:w="28" w:type="dxa"/>
          <w:tblLayout w:type="fixed"/>
          <w:tblCellMar>
            <w:left w:w="28" w:type="dxa"/>
            <w:right w:w="28" w:type="dxa"/>
          </w:tblCellMar>
          <w:tblLook w:val="04A0"/>
        </w:tblPrEx>
        <w:tc>
          <w:tcPr>
            <w:tcW w:w="370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69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调整前　　</w:t>
            </w:r>
            <w:r>
              <w:rPr>
                <w:rFonts w:ascii="Courier New" w:eastAsia="Courier New" w:hAnsi="Courier New" w:cs="Courier New" w:hint="eastAsia"/>
                <w:i/>
                <w:noProof/>
                <w:color w:val="FFFFFF"/>
                <w:kern w:val="2"/>
                <w:sz w:val="36"/>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调整后　　</w:t>
            </w:r>
          </w:p>
        </w:tc>
        <w:tc>
          <w:tcPr>
            <w:tcW w:w="1703"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调整后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370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营业总收入</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703,622,349.67</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466,247,816.62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486,001,918.76　　　</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44.78%</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370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营业利润　　　　</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20,835,926.07</w:t>
            </w:r>
            <w:r>
              <w:rPr>
                <w:rFonts w:ascii="Courier New" w:eastAsia="Courier New" w:hAnsi="Courier New" w:cs="Courier New" w:hint="eastAsia"/>
                <w:i/>
                <w:noProof/>
                <w:color w:val="FFFFFF"/>
                <w:kern w:val="2"/>
                <w:sz w:val="36"/>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14,327,056.64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11,041,356.83　　　　</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88.71%　　　　</w:t>
            </w:r>
          </w:p>
        </w:tc>
      </w:tr>
      <w:tr>
        <w:tblPrEx>
          <w:tblW w:w="0" w:type="auto"/>
          <w:tblInd w:w="28" w:type="dxa"/>
          <w:tblLayout w:type="fixed"/>
          <w:tblCellMar>
            <w:left w:w="28" w:type="dxa"/>
            <w:right w:w="28" w:type="dxa"/>
          </w:tblCellMar>
          <w:tblLook w:val="04A0"/>
        </w:tblPrEx>
        <w:tc>
          <w:tcPr>
            <w:tcW w:w="370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利润总额　　　　</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21,908,836.89　</w:t>
            </w:r>
            <w:r>
              <w:rPr>
                <w:rFonts w:ascii="Courier New" w:eastAsia="Courier New" w:hAnsi="Courier New" w:cs="Courier New" w:hint="eastAsia"/>
                <w:i/>
                <w:noProof/>
                <w:color w:val="FFFFFF"/>
                <w:kern w:val="2"/>
                <w:sz w:val="36"/>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19,310,179.14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26,490,865.34</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-17.30%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370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归属于上市公司股东的净利润　　　</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20,011,197.17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16,749,709.58</w:t>
            </w:r>
            <w:r>
              <w:rPr>
                <w:rFonts w:ascii="Courier New" w:eastAsia="Courier New" w:hAnsi="Courier New" w:cs="Courier New" w:hint="eastAsia"/>
                <w:i/>
                <w:noProof/>
                <w:color w:val="FFFFFF"/>
                <w:kern w:val="2"/>
                <w:sz w:val="36"/>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23,930,395.78　　</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-16.38%　　　</w:t>
            </w:r>
          </w:p>
        </w:tc>
      </w:tr>
      <w:tr>
        <w:tblPrEx>
          <w:tblW w:w="0" w:type="auto"/>
          <w:tblInd w:w="28" w:type="dxa"/>
          <w:tblLayout w:type="fixed"/>
          <w:tblCellMar>
            <w:left w:w="28" w:type="dxa"/>
            <w:right w:w="28" w:type="dxa"/>
          </w:tblCellMar>
          <w:tblLook w:val="04A0"/>
        </w:tblPrEx>
        <w:tc>
          <w:tcPr>
            <w:tcW w:w="370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归属于上市公司股东的扣除非经常性损益后的净利润　　</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18,841,840.15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12,420,708.60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12,420,708.60　　</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51.70%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370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根本每股收益〔元</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股〕</w:t>
            </w:r>
            <w:r>
              <w:rPr>
                <w:rFonts w:ascii="Courier New" w:eastAsia="Courier New" w:hAnsi="Courier New" w:cs="Courier New" w:hint="eastAsia"/>
                <w:i/>
                <w:noProof/>
                <w:color w:val="FFFFFF"/>
                <w:kern w:val="2"/>
                <w:sz w:val="36"/>
                <w:lang w:val="en-US" w:eastAsia="zh-CN"/>
              </w:rPr>
              <w:t>　　　　　　</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0.0561</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0.0470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0.0671</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-16.39%</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370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稀释每股收益〔元</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股〕</w:t>
            </w:r>
            <w:r>
              <w:rPr>
                <w:rFonts w:ascii="Courier New" w:eastAsia="Courier New" w:hAnsi="Courier New" w:cs="Courier New" w:hint="eastAsia"/>
                <w:i/>
                <w:noProof/>
                <w:color w:val="FFFFFF"/>
                <w:kern w:val="2"/>
                <w:sz w:val="36"/>
                <w:lang w:val="en-US" w:eastAsia="zh-CN"/>
              </w:rPr>
              <w:t>　　　　　　</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0.0561</w:t>
            </w:r>
            <w:r>
              <w:rPr>
                <w:rFonts w:ascii="Courier New" w:eastAsia="Courier New" w:hAnsi="Courier New" w:cs="Courier New" w:hint="eastAsia"/>
                <w:i/>
                <w:noProof/>
                <w:color w:val="FFFFFF"/>
                <w:kern w:val="2"/>
                <w:sz w:val="36"/>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0.0470　　</w:t>
            </w:r>
            <w:r>
              <w:rPr>
                <w:rFonts w:ascii="Courier New" w:eastAsia="Courier New" w:hAnsi="Courier New" w:cs="Courier New" w:hint="eastAsia"/>
                <w:i/>
                <w:noProof/>
                <w:color w:val="FFFFFF"/>
                <w:kern w:val="2"/>
                <w:sz w:val="36"/>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0.0671　　　</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-16.39%　　</w:t>
            </w:r>
          </w:p>
        </w:tc>
      </w:tr>
      <w:tr>
        <w:tblPrEx>
          <w:tblW w:w="0" w:type="auto"/>
          <w:tblInd w:w="28" w:type="dxa"/>
          <w:tblLayout w:type="fixed"/>
          <w:tblCellMar>
            <w:left w:w="28" w:type="dxa"/>
            <w:right w:w="28" w:type="dxa"/>
          </w:tblCellMar>
          <w:tblLook w:val="04A0"/>
        </w:tblPrEx>
        <w:tc>
          <w:tcPr>
            <w:tcW w:w="370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净资产收益率〔</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　　　</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1.68%</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1.34%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1.79%　　</w:t>
            </w:r>
            <w:r>
              <w:rPr>
                <w:rFonts w:ascii="Courier New" w:eastAsia="Courier New" w:hAnsi="Courier New" w:cs="Courier New" w:hint="eastAsia"/>
                <w:i/>
                <w:noProof/>
                <w:color w:val="FFFFFF"/>
                <w:kern w:val="2"/>
                <w:sz w:val="36"/>
                <w:lang w:val="en-US" w:eastAsia="zh-CN"/>
              </w:rPr>
              <w:t>　　　</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-0.11%　　　</w:t>
            </w:r>
          </w:p>
        </w:tc>
      </w:tr>
      <w:tr>
        <w:tblPrEx>
          <w:tblW w:w="0" w:type="auto"/>
          <w:tblInd w:w="28" w:type="dxa"/>
          <w:tblLayout w:type="fixed"/>
          <w:tblCellMar>
            <w:left w:w="28" w:type="dxa"/>
            <w:right w:w="28" w:type="dxa"/>
          </w:tblCellMar>
          <w:tblLook w:val="04A0"/>
        </w:tblPrEx>
        <w:tc>
          <w:tcPr>
            <w:tcW w:w="370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经营活动产生的现金流量净额　</w:t>
            </w:r>
            <w:r>
              <w:rPr>
                <w:rFonts w:ascii="Courier New" w:eastAsia="Courier New" w:hAnsi="Courier New" w:cs="Courier New" w:hint="eastAsia"/>
                <w:i/>
                <w:noProof/>
                <w:color w:val="FFFFFF"/>
                <w:kern w:val="2"/>
                <w:sz w:val="36"/>
                <w:lang w:val="en-US" w:eastAsia="zh-CN"/>
              </w:rPr>
              <w:t>　　　</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-57,325,629.76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17,774,669.77</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8,539,710.24</w:t>
            </w:r>
            <w:r>
              <w:rPr>
                <w:rFonts w:ascii="Courier New" w:eastAsia="Courier New" w:hAnsi="Courier New" w:cs="Courier New" w:hint="eastAsia"/>
                <w:i/>
                <w:noProof/>
                <w:color w:val="FFFFFF"/>
                <w:kern w:val="2"/>
                <w:sz w:val="36"/>
                <w:lang w:val="en-US" w:eastAsia="zh-CN"/>
              </w:rPr>
              <w:t>　　　　　　</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-771.28%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370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每股经营活动产生的现金流量净额〔元</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股〕</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-0.16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0.05　</w:t>
            </w:r>
            <w:r>
              <w:rPr>
                <w:rFonts w:ascii="Courier New" w:eastAsia="Courier New" w:hAnsi="Courier New" w:cs="Courier New" w:hint="eastAsia"/>
                <w:i/>
                <w:noProof/>
                <w:color w:val="FFFFFF"/>
                <w:kern w:val="2"/>
                <w:sz w:val="36"/>
                <w:lang w:val="en-US" w:eastAsia="zh-CN"/>
              </w:rPr>
              <w:t>　　　</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0.02</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-900.00%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r>
    </w:tbl>
    <w:p w:rsidR="00E2627B">
      <w:pPr>
        <w:pStyle w:val="Section"/>
        <w:bidi w:val="0"/>
        <w:jc w:val="both"/>
        <w:outlineLvl w:val="3"/>
        <w:rPr>
          <w:rFonts w:cs="Times New Roman"/>
          <w:szCs w:val="24"/>
        </w:rPr>
      </w:pPr>
      <w:r>
        <w:rPr>
          <w:rFonts w:ascii="Times New Roman" w:eastAsia="宋体" w:hAnsi="Times New Roman" w:cs="Times New Roman" w:hint="default"/>
          <w:b/>
          <w:kern w:val="28"/>
          <w:sz w:val="21"/>
          <w:szCs w:val="24"/>
          <w:lang w:val="en-US" w:eastAsia="zh-CN"/>
        </w:rPr>
        <w:t xml:space="preserve">2.2.2 </w:t>
      </w:r>
      <w:r>
        <w:rPr>
          <w:rFonts w:ascii="Times New Roman" w:eastAsia="宋体" w:hAnsi="Times New Roman" w:cs="Times New Roman" w:hint="eastAsia"/>
          <w:b/>
          <w:kern w:val="28"/>
          <w:sz w:val="21"/>
          <w:szCs w:val="24"/>
          <w:lang w:val="en-US" w:eastAsia="zh-CN"/>
        </w:rPr>
        <w:t>非经常性损益工程</w:t>
      </w:r>
      <w:r>
        <w:rPr>
          <w:rFonts w:cs="Times New Roman"/>
          <w:szCs w:val="24"/>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r>
        <w:rPr>
          <w:rFonts w:ascii="Courier New" w:eastAsia="Courier New" w:hAnsi="Courier New" w:cs="Courier New"/>
          <w:i/>
          <w:color w:val="FFFFFF"/>
          <w:sz w:val="36"/>
        </w:rPr>
        <w:t>　　　</w:t>
      </w:r>
    </w:p>
    <w:p w:rsidR="00E2627B">
      <w:pPr>
        <w:bidi w:val="0"/>
        <w:jc w:val="right"/>
        <w:rPr>
          <w:rFonts w:cs="Times New Roman"/>
          <w:szCs w:val="24"/>
        </w:rPr>
      </w:pPr>
      <w:r>
        <w:rPr>
          <w:rFonts w:ascii="Times New Roman" w:eastAsia="宋体" w:hAnsi="Times New Roman" w:cs="Times New Roman" w:hint="eastAsia"/>
          <w:kern w:val="2"/>
          <w:sz w:val="18"/>
          <w:szCs w:val="24"/>
          <w:lang w:val="en-US" w:eastAsia="zh-CN"/>
        </w:rPr>
        <w:t>单位：元</w:t>
      </w:r>
      <w:r>
        <w:rPr>
          <w:rFonts w:cs="Times New Roman"/>
          <w:szCs w:val="24"/>
        </w:rPr>
        <w:t>　</w:t>
      </w:r>
      <w:r>
        <w:rPr>
          <w:rFonts w:ascii="Courier New" w:eastAsia="Courier New" w:hAnsi="Courier New" w:cs="Courier New"/>
          <w:i/>
          <w:color w:val="FFFFFF"/>
          <w:sz w:val="36"/>
        </w:rPr>
        <w:t>　　　</w:t>
      </w:r>
    </w:p>
    <w:tbl>
      <w:tblPr>
        <w:tblStyle w:val="TableNormal"/>
        <w:tblW w:w="0" w:type="auto"/>
        <w:tblInd w:w="28" w:type="dxa"/>
        <w:tblLayout w:type="fixed"/>
        <w:tblCellMar>
          <w:left w:w="28" w:type="dxa"/>
          <w:right w:w="28" w:type="dxa"/>
        </w:tblCellMar>
        <w:tblLook w:val="04A0"/>
      </w:tblPr>
      <w:tblGrid>
        <w:gridCol w:w="5200"/>
        <w:gridCol w:w="2600"/>
        <w:gridCol w:w="2028"/>
      </w:tblGrid>
      <w:tr>
        <w:tblPrEx>
          <w:tblW w:w="0" w:type="auto"/>
          <w:tblInd w:w="28" w:type="dxa"/>
          <w:tblLayout w:type="fixed"/>
          <w:tblCellMar>
            <w:left w:w="28" w:type="dxa"/>
            <w:right w:w="28" w:type="dxa"/>
          </w:tblCellMar>
          <w:tblLook w:val="04A0"/>
        </w:tblPrEx>
        <w:tc>
          <w:tcPr>
            <w:tcW w:w="520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非经常性损益工程</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60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金额　</w:t>
            </w:r>
            <w:r>
              <w:rPr>
                <w:rFonts w:ascii="Courier New" w:eastAsia="Courier New" w:hAnsi="Courier New" w:cs="Courier New" w:hint="eastAsia"/>
                <w:i/>
                <w:noProof/>
                <w:color w:val="FFFFFF"/>
                <w:kern w:val="2"/>
                <w:sz w:val="36"/>
                <w:lang w:val="en-US" w:eastAsia="zh-CN"/>
              </w:rPr>
              <w:t>　　　</w:t>
            </w:r>
          </w:p>
        </w:tc>
        <w:tc>
          <w:tcPr>
            <w:tcW w:w="202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附注〔如适用〕</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52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非流动资产处置损益　　　</w:t>
            </w:r>
          </w:p>
        </w:tc>
        <w:tc>
          <w:tcPr>
            <w:tcW w:w="26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109,699.92　　</w:t>
            </w:r>
            <w:r>
              <w:rPr>
                <w:rFonts w:ascii="Courier New" w:eastAsia="Courier New" w:hAnsi="Courier New" w:cs="Courier New" w:hint="eastAsia"/>
                <w:i/>
                <w:noProof/>
                <w:color w:val="FFFFFF"/>
                <w:kern w:val="2"/>
                <w:sz w:val="36"/>
                <w:lang w:val="en-US" w:eastAsia="zh-CN"/>
              </w:rPr>
              <w:t>　　　</w:t>
            </w:r>
          </w:p>
        </w:tc>
        <w:tc>
          <w:tcPr>
            <w:tcW w:w="202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52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计入当期损益的政府补助，但与公司正常经营业务密切相关，符合国家政策规定、按照一定标准定额或定量持续享受的政府补助除外　　</w:t>
            </w:r>
            <w:r>
              <w:rPr>
                <w:rFonts w:ascii="Courier New" w:eastAsia="Courier New" w:hAnsi="Courier New" w:cs="Courier New" w:hint="eastAsia"/>
                <w:i/>
                <w:noProof/>
                <w:color w:val="FFFFFF"/>
                <w:kern w:val="2"/>
                <w:sz w:val="36"/>
                <w:lang w:val="en-US" w:eastAsia="zh-CN"/>
              </w:rPr>
              <w:t>　　　</w:t>
            </w:r>
          </w:p>
        </w:tc>
        <w:tc>
          <w:tcPr>
            <w:tcW w:w="26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1,080,006.00</w:t>
            </w:r>
            <w:r>
              <w:rPr>
                <w:rFonts w:ascii="Courier New" w:eastAsia="Courier New" w:hAnsi="Courier New" w:cs="Courier New" w:hint="eastAsia"/>
                <w:i/>
                <w:noProof/>
                <w:color w:val="FFFFFF"/>
                <w:kern w:val="2"/>
                <w:sz w:val="36"/>
                <w:lang w:val="en-US" w:eastAsia="zh-CN"/>
              </w:rPr>
              <w:t>　　　　　　</w:t>
            </w:r>
          </w:p>
        </w:tc>
        <w:tc>
          <w:tcPr>
            <w:tcW w:w="202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52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除同公司正常经营业务相关的有效套期保值业务外，持有交易性金融资产、交易性金融负债产生的公允价值变动损益，以及处置交易性金融资产、交易性金融负债和可供出售金融资产取得的投资收益</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6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111,651.58</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202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52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除上述各项之外的其他营业外收入和支出　　　</w:t>
            </w:r>
          </w:p>
        </w:tc>
        <w:tc>
          <w:tcPr>
            <w:tcW w:w="26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-116,795.10　</w:t>
            </w:r>
            <w:r>
              <w:rPr>
                <w:rFonts w:ascii="Courier New" w:eastAsia="Courier New" w:hAnsi="Courier New" w:cs="Courier New" w:hint="eastAsia"/>
                <w:i/>
                <w:noProof/>
                <w:color w:val="FFFFFF"/>
                <w:kern w:val="2"/>
                <w:sz w:val="36"/>
                <w:lang w:val="en-US" w:eastAsia="zh-CN"/>
              </w:rPr>
              <w:t>　　　</w:t>
            </w:r>
          </w:p>
        </w:tc>
        <w:tc>
          <w:tcPr>
            <w:tcW w:w="202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52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所得税影响额　</w:t>
            </w:r>
            <w:r>
              <w:rPr>
                <w:rFonts w:ascii="Courier New" w:eastAsia="Courier New" w:hAnsi="Courier New" w:cs="Courier New" w:hint="eastAsia"/>
                <w:i/>
                <w:noProof/>
                <w:color w:val="FFFFFF"/>
                <w:kern w:val="2"/>
                <w:sz w:val="36"/>
                <w:lang w:val="en-US" w:eastAsia="zh-CN"/>
              </w:rPr>
              <w:t>　　　</w:t>
            </w:r>
          </w:p>
        </w:tc>
        <w:tc>
          <w:tcPr>
            <w:tcW w:w="26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-15,082.31</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202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52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少数股东权益影响额　　</w:t>
            </w:r>
          </w:p>
        </w:tc>
        <w:tc>
          <w:tcPr>
            <w:tcW w:w="26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-123.07</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202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520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合计　　　</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1,169,357.02　　</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center"/>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p>
        </w:tc>
      </w:tr>
    </w:tbl>
    <w:p w:rsidR="00E2627B">
      <w:pPr>
        <w:pStyle w:val="Section"/>
        <w:bidi w:val="0"/>
        <w:jc w:val="both"/>
        <w:outlineLvl w:val="3"/>
        <w:rPr>
          <w:rFonts w:cs="Times New Roman"/>
          <w:szCs w:val="24"/>
        </w:rPr>
      </w:pPr>
      <w:r>
        <w:rPr>
          <w:rFonts w:ascii="Times New Roman" w:eastAsia="宋体" w:hAnsi="Times New Roman" w:cs="Times New Roman" w:hint="default"/>
          <w:b/>
          <w:kern w:val="28"/>
          <w:sz w:val="21"/>
          <w:szCs w:val="24"/>
          <w:lang w:val="en-US" w:eastAsia="zh-CN"/>
        </w:rPr>
        <w:t xml:space="preserve">2.2.3 </w:t>
      </w:r>
      <w:r>
        <w:rPr>
          <w:rFonts w:ascii="Times New Roman" w:eastAsia="宋体" w:hAnsi="Times New Roman" w:cs="Times New Roman" w:hint="eastAsia"/>
          <w:b/>
          <w:kern w:val="28"/>
          <w:sz w:val="21"/>
          <w:szCs w:val="24"/>
          <w:lang w:val="en-US" w:eastAsia="zh-CN"/>
        </w:rPr>
        <w:t>境内外会计准那么差异</w:t>
      </w:r>
      <w:r>
        <w:rPr>
          <w:rFonts w:cs="Times New Roman"/>
          <w:szCs w:val="24"/>
        </w:rPr>
        <w:t>　　</w:t>
      </w:r>
      <w:r>
        <w:rPr>
          <w:rFonts w:ascii="Courier New" w:eastAsia="Courier New" w:hAnsi="Courier New" w:cs="Courier New"/>
          <w:i/>
          <w:color w:val="FFFFFF"/>
          <w:sz w:val="36"/>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p>
    <w:p w:rsidR="00E2627B">
      <w:pPr>
        <w:pStyle w:val="Chapter"/>
        <w:bidi w:val="0"/>
        <w:jc w:val="both"/>
        <w:outlineLvl w:val="1"/>
        <w:rPr>
          <w:rFonts w:cs="Times New Roman"/>
          <w:szCs w:val="24"/>
        </w:rPr>
      </w:pPr>
      <w:r>
        <w:rPr>
          <w:rFonts w:ascii="Times New Roman" w:eastAsia="宋体" w:hAnsi="Times New Roman" w:cs="Times New Roman" w:hint="eastAsia"/>
          <w:b/>
          <w:kern w:val="28"/>
          <w:sz w:val="24"/>
          <w:szCs w:val="24"/>
          <w:lang w:val="en-US" w:eastAsia="zh-CN"/>
        </w:rPr>
        <w:t>§</w:t>
      </w:r>
      <w:r>
        <w:rPr>
          <w:rFonts w:ascii="Times New Roman" w:eastAsia="宋体" w:hAnsi="Times New Roman" w:cs="Times New Roman" w:hint="default"/>
          <w:b/>
          <w:kern w:val="28"/>
          <w:sz w:val="24"/>
          <w:szCs w:val="24"/>
          <w:lang w:val="en-US" w:eastAsia="zh-CN"/>
        </w:rPr>
        <w:t xml:space="preserve">3 </w:t>
      </w:r>
      <w:r>
        <w:rPr>
          <w:rFonts w:ascii="Times New Roman" w:eastAsia="宋体" w:hAnsi="Times New Roman" w:cs="Times New Roman" w:hint="eastAsia"/>
          <w:b/>
          <w:kern w:val="28"/>
          <w:sz w:val="24"/>
          <w:szCs w:val="24"/>
          <w:lang w:val="en-US" w:eastAsia="zh-CN"/>
        </w:rPr>
        <w:t>股本变动及股东情况</w:t>
      </w:r>
      <w:r>
        <w:rPr>
          <w:rFonts w:cs="Times New Roman"/>
          <w:szCs w:val="24"/>
        </w:rPr>
        <w:t>　　　</w:t>
      </w:r>
    </w:p>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3.1 </w:t>
      </w:r>
      <w:r>
        <w:rPr>
          <w:rFonts w:ascii="Times New Roman" w:eastAsia="宋体" w:hAnsi="Times New Roman" w:cs="Times New Roman" w:hint="eastAsia"/>
          <w:b/>
          <w:kern w:val="28"/>
          <w:sz w:val="21"/>
          <w:szCs w:val="24"/>
          <w:lang w:val="en-US" w:eastAsia="zh-CN"/>
        </w:rPr>
        <w:t>股份变动情况表</w:t>
      </w:r>
      <w:r>
        <w:rPr>
          <w:rFonts w:ascii="Courier New" w:eastAsia="Courier New" w:hAnsi="Courier New" w:cs="Courier New"/>
          <w:i/>
          <w:color w:val="FFFFFF"/>
          <w:sz w:val="36"/>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p>
    <w:p w:rsidR="00E2627B">
      <w:pPr>
        <w:bidi w:val="0"/>
        <w:jc w:val="right"/>
        <w:rPr>
          <w:rFonts w:cs="Times New Roman"/>
          <w:szCs w:val="24"/>
        </w:rPr>
      </w:pPr>
      <w:r>
        <w:rPr>
          <w:rFonts w:ascii="Times New Roman" w:eastAsia="宋体" w:hAnsi="Times New Roman" w:cs="Times New Roman" w:hint="eastAsia"/>
          <w:kern w:val="2"/>
          <w:sz w:val="18"/>
          <w:szCs w:val="24"/>
          <w:lang w:val="en-US" w:eastAsia="zh-CN"/>
        </w:rPr>
        <w:t>单位：股</w:t>
      </w:r>
      <w:r>
        <w:rPr>
          <w:rFonts w:cs="Times New Roman"/>
          <w:szCs w:val="24"/>
        </w:rPr>
        <w:t>　　　</w:t>
      </w:r>
    </w:p>
    <w:tbl>
      <w:tblPr>
        <w:tblStyle w:val="TableNormal"/>
        <w:tblW w:w="0" w:type="auto"/>
        <w:tblInd w:w="28" w:type="dxa"/>
        <w:tblLayout w:type="fixed"/>
        <w:tblCellMar>
          <w:left w:w="28" w:type="dxa"/>
          <w:right w:w="28" w:type="dxa"/>
        </w:tblCellMar>
        <w:tblLook w:val="04A0"/>
      </w:tblPr>
      <w:tblGrid>
        <w:gridCol w:w="1638"/>
        <w:gridCol w:w="910"/>
        <w:gridCol w:w="910"/>
        <w:gridCol w:w="910"/>
        <w:gridCol w:w="910"/>
        <w:gridCol w:w="910"/>
        <w:gridCol w:w="910"/>
        <w:gridCol w:w="910"/>
        <w:gridCol w:w="910"/>
        <w:gridCol w:w="910"/>
      </w:tblGrid>
      <w:tr>
        <w:tblPrEx>
          <w:tblW w:w="0" w:type="auto"/>
          <w:tblInd w:w="28" w:type="dxa"/>
          <w:tblLayout w:type="fixed"/>
          <w:tblCellMar>
            <w:left w:w="28" w:type="dxa"/>
            <w:right w:w="28" w:type="dxa"/>
          </w:tblCellMar>
          <w:tblLook w:val="04A0"/>
        </w:tblPrEx>
        <w:tc>
          <w:tcPr>
            <w:tcW w:w="1638" w:type="dxa"/>
            <w:vMerge w:val="restart"/>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1820" w:type="dxa"/>
            <w:gridSpan w:val="2"/>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本次变动前　　</w:t>
            </w:r>
          </w:p>
        </w:tc>
        <w:tc>
          <w:tcPr>
            <w:tcW w:w="4550" w:type="dxa"/>
            <w:gridSpan w:val="5"/>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本次变动增减〔</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　　　</w:t>
            </w:r>
          </w:p>
        </w:tc>
        <w:tc>
          <w:tcPr>
            <w:tcW w:w="1820" w:type="dxa"/>
            <w:gridSpan w:val="2"/>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本次变动后　　</w:t>
            </w:r>
          </w:p>
        </w:tc>
      </w:tr>
      <w:tr>
        <w:tblPrEx>
          <w:tblW w:w="0" w:type="auto"/>
          <w:tblInd w:w="28" w:type="dxa"/>
          <w:tblLayout w:type="fixed"/>
          <w:tblCellMar>
            <w:left w:w="28" w:type="dxa"/>
            <w:right w:w="28" w:type="dxa"/>
          </w:tblCellMar>
          <w:tblLook w:val="04A0"/>
        </w:tblPrEx>
        <w:tc>
          <w:tcPr>
            <w:tcW w:w="163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数量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比例</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发行新股</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送股　　　</w:t>
            </w:r>
          </w:p>
        </w:tc>
        <w:tc>
          <w:tcPr>
            <w:tcW w:w="91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公积金转股　　　　</w:t>
            </w:r>
          </w:p>
        </w:tc>
        <w:tc>
          <w:tcPr>
            <w:tcW w:w="91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其他　　　</w:t>
            </w:r>
          </w:p>
        </w:tc>
        <w:tc>
          <w:tcPr>
            <w:tcW w:w="91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小计　　</w:t>
            </w:r>
          </w:p>
        </w:tc>
        <w:tc>
          <w:tcPr>
            <w:tcW w:w="91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数量</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比例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163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一、有限售条件股份</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8,034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-5,290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-5,290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2,744</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163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1</w:t>
            </w:r>
            <w:r>
              <w:rPr>
                <w:rFonts w:ascii="Times New Roman" w:eastAsia="宋体" w:hAnsi="Times New Roman" w:cs="Times New Roman" w:hint="eastAsia"/>
                <w:noProof/>
                <w:kern w:val="2"/>
                <w:sz w:val="18"/>
                <w:szCs w:val="24"/>
                <w:lang w:val="en-US" w:eastAsia="zh-CN"/>
              </w:rPr>
              <w:t>、国家持股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163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w:t>
            </w:r>
            <w:r>
              <w:rPr>
                <w:rFonts w:ascii="Times New Roman" w:eastAsia="宋体" w:hAnsi="Times New Roman" w:cs="Times New Roman" w:hint="eastAsia"/>
                <w:noProof/>
                <w:kern w:val="2"/>
                <w:sz w:val="18"/>
                <w:szCs w:val="24"/>
                <w:lang w:val="en-US" w:eastAsia="zh-CN"/>
              </w:rPr>
              <w:t>、国有法人持股</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163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3</w:t>
            </w:r>
            <w:r>
              <w:rPr>
                <w:rFonts w:ascii="Times New Roman" w:eastAsia="宋体" w:hAnsi="Times New Roman" w:cs="Times New Roman" w:hint="eastAsia"/>
                <w:noProof/>
                <w:kern w:val="2"/>
                <w:sz w:val="18"/>
                <w:szCs w:val="24"/>
                <w:lang w:val="en-US" w:eastAsia="zh-CN"/>
              </w:rPr>
              <w:t>、其他内资持股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r>
    </w:tbl>
    <w:p>
      <w:pPr>
        <w:sectPr>
          <w:type w:val="nextPage"/>
          <w:pgSz w:w="11906" w:h="16838"/>
          <w:pgMar w:top="1440" w:right="1134" w:bottom="1440" w:left="1134" w:header="708" w:footer="708" w:gutter="0"/>
          <w:pgNumType w:start="2"/>
          <w:cols w:space="708"/>
          <w:titlePg w:val="0"/>
        </w:sectPr>
      </w:pPr>
    </w:p>
    <w:tbl>
      <w:tblPr>
        <w:tblStyle w:val="TableNormal"/>
        <w:tblW w:w="0" w:type="auto"/>
        <w:tblInd w:w="28" w:type="dxa"/>
        <w:tblLayout w:type="fixed"/>
        <w:tblCellMar>
          <w:left w:w="28" w:type="dxa"/>
          <w:right w:w="28" w:type="dxa"/>
        </w:tblCellMar>
        <w:tblLook w:val="04A0"/>
      </w:tblPr>
      <w:tblGrid>
        <w:gridCol w:w="1638"/>
        <w:gridCol w:w="910"/>
        <w:gridCol w:w="910"/>
        <w:gridCol w:w="910"/>
        <w:gridCol w:w="910"/>
        <w:gridCol w:w="910"/>
        <w:gridCol w:w="910"/>
        <w:gridCol w:w="910"/>
        <w:gridCol w:w="910"/>
        <w:gridCol w:w="910"/>
      </w:tblGrid>
      <w:tr>
        <w:tblPrEx>
          <w:tblW w:w="0" w:type="auto"/>
          <w:tblInd w:w="28" w:type="dxa"/>
          <w:tblLayout w:type="fixed"/>
          <w:tblCellMar>
            <w:left w:w="28" w:type="dxa"/>
            <w:right w:w="28" w:type="dxa"/>
          </w:tblCellMar>
          <w:tblLook w:val="04A0"/>
        </w:tblPrEx>
        <w:tc>
          <w:tcPr>
            <w:tcW w:w="163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其中：境内非国有法人持股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163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境内自然人持股</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163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4</w:t>
            </w:r>
            <w:r>
              <w:rPr>
                <w:rFonts w:ascii="Times New Roman" w:eastAsia="宋体" w:hAnsi="Times New Roman" w:cs="Times New Roman" w:hint="eastAsia"/>
                <w:noProof/>
                <w:kern w:val="2"/>
                <w:sz w:val="18"/>
                <w:szCs w:val="24"/>
                <w:lang w:val="en-US" w:eastAsia="zh-CN"/>
              </w:rPr>
              <w:t>、外资持股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63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其中：境外法人持股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63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境外自然人持股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163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5</w:t>
            </w:r>
            <w:r>
              <w:rPr>
                <w:rFonts w:ascii="Times New Roman" w:eastAsia="宋体" w:hAnsi="Times New Roman" w:cs="Times New Roman" w:hint="eastAsia"/>
                <w:noProof/>
                <w:kern w:val="2"/>
                <w:sz w:val="18"/>
                <w:szCs w:val="24"/>
                <w:lang w:val="en-US" w:eastAsia="zh-CN"/>
              </w:rPr>
              <w:t>、高管股份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8,034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-5,290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-5,290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2,744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　　</w:t>
            </w:r>
          </w:p>
        </w:tc>
      </w:tr>
      <w:tr>
        <w:tblPrEx>
          <w:tblW w:w="0" w:type="auto"/>
          <w:tblInd w:w="28" w:type="dxa"/>
          <w:tblLayout w:type="fixed"/>
          <w:tblCellMar>
            <w:left w:w="28" w:type="dxa"/>
            <w:right w:w="28" w:type="dxa"/>
          </w:tblCellMar>
          <w:tblLook w:val="04A0"/>
        </w:tblPrEx>
        <w:tc>
          <w:tcPr>
            <w:tcW w:w="163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二、无限售条件股份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356,391,966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100.00%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5,290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5,290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356,397,256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100.00%　　　</w:t>
            </w:r>
          </w:p>
        </w:tc>
      </w:tr>
      <w:tr>
        <w:tblPrEx>
          <w:tblW w:w="0" w:type="auto"/>
          <w:tblInd w:w="28" w:type="dxa"/>
          <w:tblLayout w:type="fixed"/>
          <w:tblCellMar>
            <w:left w:w="28" w:type="dxa"/>
            <w:right w:w="28" w:type="dxa"/>
          </w:tblCellMar>
          <w:tblLook w:val="04A0"/>
        </w:tblPrEx>
        <w:tc>
          <w:tcPr>
            <w:tcW w:w="163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1</w:t>
            </w:r>
            <w:r>
              <w:rPr>
                <w:rFonts w:ascii="Times New Roman" w:eastAsia="宋体" w:hAnsi="Times New Roman" w:cs="Times New Roman" w:hint="eastAsia"/>
                <w:noProof/>
                <w:kern w:val="2"/>
                <w:sz w:val="18"/>
                <w:szCs w:val="24"/>
                <w:lang w:val="en-US" w:eastAsia="zh-CN"/>
              </w:rPr>
              <w:t>、人民币普通股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356,391,966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100.00%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5,290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5,290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356,397,256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100.00%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63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w:t>
            </w:r>
            <w:r>
              <w:rPr>
                <w:rFonts w:ascii="Times New Roman" w:eastAsia="宋体" w:hAnsi="Times New Roman" w:cs="Times New Roman" w:hint="eastAsia"/>
                <w:noProof/>
                <w:kern w:val="2"/>
                <w:sz w:val="18"/>
                <w:szCs w:val="24"/>
                <w:lang w:val="en-US" w:eastAsia="zh-CN"/>
              </w:rPr>
              <w:t>、境内上市的外资股</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63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3</w:t>
            </w:r>
            <w:r>
              <w:rPr>
                <w:rFonts w:ascii="Times New Roman" w:eastAsia="宋体" w:hAnsi="Times New Roman" w:cs="Times New Roman" w:hint="eastAsia"/>
                <w:noProof/>
                <w:kern w:val="2"/>
                <w:sz w:val="18"/>
                <w:szCs w:val="24"/>
                <w:lang w:val="en-US" w:eastAsia="zh-CN"/>
              </w:rPr>
              <w:t>、境外上市的外资股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63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4</w:t>
            </w:r>
            <w:r>
              <w:rPr>
                <w:rFonts w:ascii="Times New Roman" w:eastAsia="宋体" w:hAnsi="Times New Roman" w:cs="Times New Roman" w:hint="eastAsia"/>
                <w:noProof/>
                <w:kern w:val="2"/>
                <w:sz w:val="18"/>
                <w:szCs w:val="24"/>
                <w:lang w:val="en-US" w:eastAsia="zh-CN"/>
              </w:rPr>
              <w:t>、其他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63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三、股份总数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356,400,000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100.00%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356,400,000</w:t>
            </w:r>
            <w:r>
              <w:rPr>
                <w:rFonts w:ascii="Courier New" w:eastAsia="Courier New" w:hAnsi="Courier New" w:cs="Courier New" w:hint="eastAsia"/>
                <w:i/>
                <w:noProof/>
                <w:color w:val="FFFFFF"/>
                <w:kern w:val="2"/>
                <w:sz w:val="36"/>
                <w:lang w:val="en-US" w:eastAsia="zh-CN"/>
              </w:rPr>
              <w:t>　　　　　　</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100.00%　　</w:t>
            </w:r>
            <w:r>
              <w:rPr>
                <w:rFonts w:ascii="Courier New" w:eastAsia="Courier New" w:hAnsi="Courier New" w:cs="Courier New" w:hint="eastAsia"/>
                <w:i/>
                <w:noProof/>
                <w:color w:val="FFFFFF"/>
                <w:kern w:val="2"/>
                <w:sz w:val="36"/>
                <w:lang w:val="en-US" w:eastAsia="zh-CN"/>
              </w:rPr>
              <w:t>　　　</w:t>
            </w:r>
          </w:p>
        </w:tc>
      </w:tr>
    </w:tbl>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3.2 </w:t>
      </w:r>
      <w:r>
        <w:rPr>
          <w:rFonts w:ascii="Times New Roman" w:eastAsia="宋体" w:hAnsi="Times New Roman" w:cs="Times New Roman" w:hint="eastAsia"/>
          <w:b/>
          <w:kern w:val="28"/>
          <w:sz w:val="21"/>
          <w:szCs w:val="24"/>
          <w:lang w:val="en-US" w:eastAsia="zh-CN"/>
        </w:rPr>
        <w:t>前</w:t>
      </w:r>
      <w:r>
        <w:rPr>
          <w:rFonts w:ascii="Times New Roman" w:eastAsia="宋体" w:hAnsi="Times New Roman" w:cs="Times New Roman" w:hint="default"/>
          <w:b/>
          <w:kern w:val="28"/>
          <w:sz w:val="21"/>
          <w:szCs w:val="24"/>
          <w:lang w:val="en-US" w:eastAsia="zh-CN"/>
        </w:rPr>
        <w:t>10</w:t>
      </w:r>
      <w:r>
        <w:rPr>
          <w:rFonts w:ascii="Times New Roman" w:eastAsia="宋体" w:hAnsi="Times New Roman" w:cs="Times New Roman" w:hint="eastAsia"/>
          <w:b/>
          <w:kern w:val="28"/>
          <w:sz w:val="21"/>
          <w:szCs w:val="24"/>
          <w:lang w:val="en-US" w:eastAsia="zh-CN"/>
        </w:rPr>
        <w:t>名股东、前</w:t>
      </w:r>
      <w:r>
        <w:rPr>
          <w:rFonts w:ascii="Times New Roman" w:eastAsia="宋体" w:hAnsi="Times New Roman" w:cs="Times New Roman" w:hint="default"/>
          <w:b/>
          <w:kern w:val="28"/>
          <w:sz w:val="21"/>
          <w:szCs w:val="24"/>
          <w:lang w:val="en-US" w:eastAsia="zh-CN"/>
        </w:rPr>
        <w:t>10</w:t>
      </w:r>
      <w:r>
        <w:rPr>
          <w:rFonts w:ascii="Times New Roman" w:eastAsia="宋体" w:hAnsi="Times New Roman" w:cs="Times New Roman" w:hint="eastAsia"/>
          <w:b/>
          <w:kern w:val="28"/>
          <w:sz w:val="21"/>
          <w:szCs w:val="24"/>
          <w:lang w:val="en-US" w:eastAsia="zh-CN"/>
        </w:rPr>
        <w:t>名无限售条件股东持股情况表</w:t>
      </w:r>
      <w:r>
        <w:rPr>
          <w:rFonts w:cs="Times New Roman"/>
          <w:szCs w:val="24"/>
        </w:rPr>
        <w:t>　　　</w:t>
      </w:r>
    </w:p>
    <w:p w:rsidR="00E2627B">
      <w:pPr>
        <w:bidi w:val="0"/>
        <w:jc w:val="right"/>
        <w:rPr>
          <w:rFonts w:cs="Times New Roman"/>
          <w:szCs w:val="24"/>
        </w:rPr>
      </w:pPr>
      <w:r>
        <w:rPr>
          <w:rFonts w:ascii="Times New Roman" w:eastAsia="宋体" w:hAnsi="Times New Roman" w:cs="Times New Roman" w:hint="eastAsia"/>
          <w:kern w:val="2"/>
          <w:sz w:val="18"/>
          <w:szCs w:val="24"/>
          <w:lang w:val="en-US" w:eastAsia="zh-CN"/>
        </w:rPr>
        <w:t>单位：股</w:t>
      </w:r>
      <w:r>
        <w:rPr>
          <w:rFonts w:cs="Times New Roman"/>
          <w:szCs w:val="24"/>
        </w:rPr>
        <w:t>　　</w:t>
      </w:r>
    </w:p>
    <w:tbl>
      <w:tblPr>
        <w:tblStyle w:val="TableNormal"/>
        <w:tblW w:w="0" w:type="auto"/>
        <w:tblInd w:w="28" w:type="dxa"/>
        <w:tblLayout w:type="fixed"/>
        <w:tblCellMar>
          <w:left w:w="28" w:type="dxa"/>
          <w:right w:w="28" w:type="dxa"/>
        </w:tblCellMar>
        <w:tblLook w:val="04A0"/>
      </w:tblPr>
      <w:tblGrid>
        <w:gridCol w:w="2340"/>
        <w:gridCol w:w="1300"/>
        <w:gridCol w:w="1300"/>
        <w:gridCol w:w="1300"/>
        <w:gridCol w:w="520"/>
        <w:gridCol w:w="1300"/>
        <w:gridCol w:w="1768"/>
      </w:tblGrid>
      <w:tr>
        <w:tblPrEx>
          <w:tblW w:w="0" w:type="auto"/>
          <w:tblInd w:w="28" w:type="dxa"/>
          <w:tblLayout w:type="fixed"/>
          <w:tblCellMar>
            <w:left w:w="28" w:type="dxa"/>
            <w:right w:w="28" w:type="dxa"/>
          </w:tblCellMar>
          <w:tblLook w:val="04A0"/>
        </w:tblPrEx>
        <w:tc>
          <w:tcPr>
            <w:tcW w:w="234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股东总数　　</w:t>
            </w:r>
            <w:r>
              <w:rPr>
                <w:rFonts w:ascii="Courier New" w:eastAsia="Courier New" w:hAnsi="Courier New" w:cs="Courier New" w:hint="eastAsia"/>
                <w:i/>
                <w:noProof/>
                <w:color w:val="FFFFFF"/>
                <w:kern w:val="2"/>
                <w:sz w:val="36"/>
                <w:lang w:val="en-US" w:eastAsia="zh-CN"/>
              </w:rPr>
              <w:t>　　　</w:t>
            </w:r>
          </w:p>
        </w:tc>
        <w:tc>
          <w:tcPr>
            <w:tcW w:w="74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59,284</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9828" w:type="dxa"/>
            <w:gridSpan w:val="7"/>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前</w:t>
            </w:r>
            <w:r>
              <w:rPr>
                <w:rFonts w:ascii="Times New Roman" w:eastAsia="宋体" w:hAnsi="Times New Roman" w:cs="Times New Roman" w:hint="default"/>
                <w:noProof/>
                <w:kern w:val="2"/>
                <w:sz w:val="18"/>
                <w:szCs w:val="24"/>
                <w:lang w:val="en-US" w:eastAsia="zh-CN"/>
              </w:rPr>
              <w:t>10</w:t>
            </w:r>
            <w:r>
              <w:rPr>
                <w:rFonts w:ascii="Times New Roman" w:eastAsia="宋体" w:hAnsi="Times New Roman" w:cs="Times New Roman" w:hint="eastAsia"/>
                <w:noProof/>
                <w:kern w:val="2"/>
                <w:sz w:val="18"/>
                <w:szCs w:val="24"/>
                <w:lang w:val="en-US" w:eastAsia="zh-CN"/>
              </w:rPr>
              <w:t>名股东持股情况　　　　</w:t>
            </w:r>
          </w:p>
        </w:tc>
      </w:tr>
      <w:tr>
        <w:tblPrEx>
          <w:tblW w:w="0" w:type="auto"/>
          <w:tblInd w:w="28" w:type="dxa"/>
          <w:tblLayout w:type="fixed"/>
          <w:tblCellMar>
            <w:left w:w="28" w:type="dxa"/>
            <w:right w:w="28" w:type="dxa"/>
          </w:tblCellMar>
          <w:tblLook w:val="04A0"/>
        </w:tblPrEx>
        <w:tc>
          <w:tcPr>
            <w:tcW w:w="234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股东名称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股东性质　　　</w:t>
            </w:r>
          </w:p>
        </w:tc>
        <w:tc>
          <w:tcPr>
            <w:tcW w:w="130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持股比例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持股总数</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820" w:type="dxa"/>
            <w:gridSpan w:val="2"/>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持有有限售条件股份数量　　</w:t>
            </w:r>
          </w:p>
        </w:tc>
        <w:tc>
          <w:tcPr>
            <w:tcW w:w="17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质押或冻结的股份数量　　　</w:t>
            </w:r>
          </w:p>
        </w:tc>
      </w:tr>
      <w:tr>
        <w:tblPrEx>
          <w:tblW w:w="0" w:type="auto"/>
          <w:tblInd w:w="28" w:type="dxa"/>
          <w:tblLayout w:type="fixed"/>
          <w:tblCellMar>
            <w:left w:w="28" w:type="dxa"/>
            <w:right w:w="28" w:type="dxa"/>
          </w:tblCellMar>
          <w:tblLook w:val="04A0"/>
        </w:tblPrEx>
        <w:tc>
          <w:tcPr>
            <w:tcW w:w="23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中色</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宁夏</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东方集团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国有法人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45.32%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161,533,440　　</w:t>
            </w:r>
          </w:p>
        </w:tc>
        <w:tc>
          <w:tcPr>
            <w:tcW w:w="182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76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6,000,000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23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四川天玖投资有限责任公司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国有法人</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1.64%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5,830,000　　　　</w:t>
            </w:r>
          </w:p>
        </w:tc>
        <w:tc>
          <w:tcPr>
            <w:tcW w:w="182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c>
          <w:tcPr>
            <w:tcW w:w="176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23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中国工商银行－广发稳健增长证券投资基金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境内非国有法人</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1.15%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4,099,894　　</w:t>
            </w:r>
            <w:r>
              <w:rPr>
                <w:rFonts w:ascii="Courier New" w:eastAsia="Courier New" w:hAnsi="Courier New" w:cs="Courier New" w:hint="eastAsia"/>
                <w:i/>
                <w:noProof/>
                <w:color w:val="FFFFFF"/>
                <w:kern w:val="2"/>
                <w:sz w:val="36"/>
                <w:lang w:val="en-US" w:eastAsia="zh-CN"/>
              </w:rPr>
              <w:t>　　　</w:t>
            </w:r>
          </w:p>
        </w:tc>
        <w:tc>
          <w:tcPr>
            <w:tcW w:w="182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c>
          <w:tcPr>
            <w:tcW w:w="176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23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东方证券股份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国有法人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0.98%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3,500,189　　　</w:t>
            </w:r>
          </w:p>
        </w:tc>
        <w:tc>
          <w:tcPr>
            <w:tcW w:w="182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76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23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杭州高翔运输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境内非国有法人</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0.80%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2,839,277　　　</w:t>
            </w:r>
          </w:p>
        </w:tc>
        <w:tc>
          <w:tcPr>
            <w:tcW w:w="182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c>
          <w:tcPr>
            <w:tcW w:w="176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r>
      <w:tr>
        <w:tblPrEx>
          <w:tblW w:w="0" w:type="auto"/>
          <w:tblInd w:w="28" w:type="dxa"/>
          <w:tblLayout w:type="fixed"/>
          <w:tblCellMar>
            <w:left w:w="28" w:type="dxa"/>
            <w:right w:w="28" w:type="dxa"/>
          </w:tblCellMar>
          <w:tblLook w:val="04A0"/>
        </w:tblPrEx>
        <w:tc>
          <w:tcPr>
            <w:tcW w:w="23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青铜峡铝业集团</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国有法人</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0.47%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1,682,640　　　　</w:t>
            </w:r>
          </w:p>
        </w:tc>
        <w:tc>
          <w:tcPr>
            <w:tcW w:w="182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c>
          <w:tcPr>
            <w:tcW w:w="176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r>
      <w:tr>
        <w:tblPrEx>
          <w:tblW w:w="0" w:type="auto"/>
          <w:tblInd w:w="28" w:type="dxa"/>
          <w:tblLayout w:type="fixed"/>
          <w:tblCellMar>
            <w:left w:w="28" w:type="dxa"/>
            <w:right w:w="28" w:type="dxa"/>
          </w:tblCellMar>
          <w:tblLook w:val="04A0"/>
        </w:tblPrEx>
        <w:tc>
          <w:tcPr>
            <w:tcW w:w="23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中国工商银行－申万巴黎新经济混合型证券投资基金</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境内非国有法人</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0.46%</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1,649,559　</w:t>
            </w:r>
            <w:r>
              <w:rPr>
                <w:rFonts w:ascii="Courier New" w:eastAsia="Courier New" w:hAnsi="Courier New" w:cs="Courier New" w:hint="eastAsia"/>
                <w:i/>
                <w:noProof/>
                <w:color w:val="FFFFFF"/>
                <w:kern w:val="2"/>
                <w:sz w:val="36"/>
                <w:lang w:val="en-US" w:eastAsia="zh-CN"/>
              </w:rPr>
              <w:t>　　　</w:t>
            </w:r>
          </w:p>
        </w:tc>
        <w:tc>
          <w:tcPr>
            <w:tcW w:w="182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r>
              <w:rPr>
                <w:rFonts w:ascii="Courier New" w:eastAsia="Courier New" w:hAnsi="Courier New" w:cs="Courier New" w:hint="eastAsia"/>
                <w:i/>
                <w:noProof/>
                <w:color w:val="FFFFFF"/>
                <w:kern w:val="2"/>
                <w:sz w:val="36"/>
                <w:lang w:val="en-US" w:eastAsia="zh-CN"/>
              </w:rPr>
              <w:t>　　　</w:t>
            </w:r>
          </w:p>
        </w:tc>
        <w:tc>
          <w:tcPr>
            <w:tcW w:w="176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23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姚玮俊</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境内自然人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0.35%</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1,251,466　　</w:t>
            </w:r>
            <w:r>
              <w:rPr>
                <w:rFonts w:ascii="Courier New" w:eastAsia="Courier New" w:hAnsi="Courier New" w:cs="Courier New" w:hint="eastAsia"/>
                <w:i/>
                <w:noProof/>
                <w:color w:val="FFFFFF"/>
                <w:kern w:val="2"/>
                <w:sz w:val="36"/>
                <w:lang w:val="en-US" w:eastAsia="zh-CN"/>
              </w:rPr>
              <w:t>　　　</w:t>
            </w:r>
          </w:p>
        </w:tc>
        <w:tc>
          <w:tcPr>
            <w:tcW w:w="182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c>
          <w:tcPr>
            <w:tcW w:w="176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23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中国建设银行－海富通风格优势股票型证券投资基金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境内非国有法人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0.34%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1,199,963　　　</w:t>
            </w:r>
          </w:p>
        </w:tc>
        <w:tc>
          <w:tcPr>
            <w:tcW w:w="182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c>
          <w:tcPr>
            <w:tcW w:w="176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23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招商银行股份－德盛优势股票证券投资基金</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境内非国有法人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0.29%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1,050,700　</w:t>
            </w:r>
            <w:r>
              <w:rPr>
                <w:rFonts w:ascii="Courier New" w:eastAsia="Courier New" w:hAnsi="Courier New" w:cs="Courier New" w:hint="eastAsia"/>
                <w:i/>
                <w:noProof/>
                <w:color w:val="FFFFFF"/>
                <w:kern w:val="2"/>
                <w:sz w:val="36"/>
                <w:lang w:val="en-US" w:eastAsia="zh-CN"/>
              </w:rPr>
              <w:t>　　　</w:t>
            </w:r>
          </w:p>
        </w:tc>
        <w:tc>
          <w:tcPr>
            <w:tcW w:w="182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r>
              <w:rPr>
                <w:rFonts w:ascii="Courier New" w:eastAsia="Courier New" w:hAnsi="Courier New" w:cs="Courier New" w:hint="eastAsia"/>
                <w:i/>
                <w:noProof/>
                <w:color w:val="FFFFFF"/>
                <w:kern w:val="2"/>
                <w:sz w:val="36"/>
                <w:lang w:val="en-US" w:eastAsia="zh-CN"/>
              </w:rPr>
              <w:t>　　　</w:t>
            </w:r>
          </w:p>
        </w:tc>
        <w:tc>
          <w:tcPr>
            <w:tcW w:w="176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9828" w:type="dxa"/>
            <w:gridSpan w:val="7"/>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前</w:t>
            </w:r>
            <w:r>
              <w:rPr>
                <w:rFonts w:ascii="Times New Roman" w:eastAsia="宋体" w:hAnsi="Times New Roman" w:cs="Times New Roman" w:hint="default"/>
                <w:noProof/>
                <w:kern w:val="2"/>
                <w:sz w:val="18"/>
                <w:szCs w:val="24"/>
                <w:lang w:val="en-US" w:eastAsia="zh-CN"/>
              </w:rPr>
              <w:t>10</w:t>
            </w:r>
            <w:r>
              <w:rPr>
                <w:rFonts w:ascii="Times New Roman" w:eastAsia="宋体" w:hAnsi="Times New Roman" w:cs="Times New Roman" w:hint="eastAsia"/>
                <w:noProof/>
                <w:kern w:val="2"/>
                <w:sz w:val="18"/>
                <w:szCs w:val="24"/>
                <w:lang w:val="en-US" w:eastAsia="zh-CN"/>
              </w:rPr>
              <w:t>名无限售条件股东持股情况　　　　</w:t>
            </w:r>
          </w:p>
        </w:tc>
      </w:tr>
      <w:tr>
        <w:tblPrEx>
          <w:tblW w:w="0" w:type="auto"/>
          <w:tblInd w:w="28" w:type="dxa"/>
          <w:tblLayout w:type="fixed"/>
          <w:tblCellMar>
            <w:left w:w="28" w:type="dxa"/>
            <w:right w:w="28" w:type="dxa"/>
          </w:tblCellMar>
          <w:tblLook w:val="04A0"/>
        </w:tblPrEx>
        <w:tc>
          <w:tcPr>
            <w:tcW w:w="3640" w:type="dxa"/>
            <w:gridSpan w:val="2"/>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股东名称　　</w:t>
            </w:r>
          </w:p>
        </w:tc>
        <w:tc>
          <w:tcPr>
            <w:tcW w:w="3120" w:type="dxa"/>
            <w:gridSpan w:val="3"/>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持有无限售条件股份数量　　　</w:t>
            </w:r>
          </w:p>
        </w:tc>
        <w:tc>
          <w:tcPr>
            <w:tcW w:w="3068" w:type="dxa"/>
            <w:gridSpan w:val="2"/>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股份种类　　</w:t>
            </w:r>
          </w:p>
        </w:tc>
      </w:tr>
      <w:tr>
        <w:tblPrEx>
          <w:tblW w:w="0" w:type="auto"/>
          <w:tblInd w:w="28" w:type="dxa"/>
          <w:tblLayout w:type="fixed"/>
          <w:tblCellMar>
            <w:left w:w="28" w:type="dxa"/>
            <w:right w:w="28" w:type="dxa"/>
          </w:tblCellMar>
          <w:tblLook w:val="04A0"/>
        </w:tblPrEx>
        <w:tc>
          <w:tcPr>
            <w:tcW w:w="36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中色</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宁夏</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东方集团　　　</w:t>
            </w:r>
          </w:p>
        </w:tc>
        <w:tc>
          <w:tcPr>
            <w:tcW w:w="3120" w:type="dxa"/>
            <w:gridSpan w:val="3"/>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161,533,440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3068"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人民币普通股</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36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四川天玖投资有限责任公司　</w:t>
            </w:r>
            <w:r>
              <w:rPr>
                <w:rFonts w:ascii="Courier New" w:eastAsia="Courier New" w:hAnsi="Courier New" w:cs="Courier New" w:hint="eastAsia"/>
                <w:i/>
                <w:noProof/>
                <w:color w:val="FFFFFF"/>
                <w:kern w:val="2"/>
                <w:sz w:val="36"/>
                <w:lang w:val="en-US" w:eastAsia="zh-CN"/>
              </w:rPr>
              <w:t>　　　</w:t>
            </w:r>
          </w:p>
        </w:tc>
        <w:tc>
          <w:tcPr>
            <w:tcW w:w="3120" w:type="dxa"/>
            <w:gridSpan w:val="3"/>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5,830,000　　　　</w:t>
            </w:r>
          </w:p>
        </w:tc>
        <w:tc>
          <w:tcPr>
            <w:tcW w:w="3068"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人民币普通股　</w:t>
            </w:r>
            <w:r>
              <w:rPr>
                <w:rFonts w:ascii="Courier New" w:eastAsia="Courier New" w:hAnsi="Courier New" w:cs="Courier New" w:hint="eastAsia"/>
                <w:i/>
                <w:noProof/>
                <w:color w:val="FFFFFF"/>
                <w:kern w:val="2"/>
                <w:sz w:val="36"/>
                <w:lang w:val="en-US" w:eastAsia="zh-CN"/>
              </w:rPr>
              <w:t>　　　</w:t>
            </w:r>
          </w:p>
        </w:tc>
      </w:tr>
    </w:tbl>
    <w:p>
      <w:pPr>
        <w:sectPr>
          <w:type w:val="nextPage"/>
          <w:pgSz w:w="11906" w:h="16838"/>
          <w:pgMar w:top="1440" w:right="1134" w:bottom="1440" w:left="1134" w:header="708" w:footer="708" w:gutter="0"/>
          <w:pgNumType w:start="3"/>
          <w:cols w:space="708"/>
          <w:titlePg w:val="0"/>
        </w:sectPr>
      </w:pPr>
    </w:p>
    <w:tbl>
      <w:tblPr>
        <w:tblStyle w:val="TableNormal"/>
        <w:tblW w:w="0" w:type="auto"/>
        <w:tblInd w:w="28" w:type="dxa"/>
        <w:tblLayout w:type="fixed"/>
        <w:tblCellMar>
          <w:left w:w="28" w:type="dxa"/>
          <w:right w:w="28" w:type="dxa"/>
        </w:tblCellMar>
        <w:tblLook w:val="04A0"/>
      </w:tblPr>
      <w:tblGrid>
        <w:gridCol w:w="2340"/>
        <w:gridCol w:w="1300"/>
        <w:gridCol w:w="3120"/>
        <w:gridCol w:w="3068"/>
      </w:tblGrid>
      <w:tr>
        <w:tblPrEx>
          <w:tblW w:w="0" w:type="auto"/>
          <w:tblInd w:w="28" w:type="dxa"/>
          <w:tblLayout w:type="fixed"/>
          <w:tblCellMar>
            <w:left w:w="28" w:type="dxa"/>
            <w:right w:w="28" w:type="dxa"/>
          </w:tblCellMar>
          <w:tblLook w:val="04A0"/>
        </w:tblPrEx>
        <w:tc>
          <w:tcPr>
            <w:tcW w:w="36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中国工商银行－广发稳健增长证券投资基金</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312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4,099,894</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306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人民币普通股　　　　</w:t>
            </w:r>
          </w:p>
        </w:tc>
      </w:tr>
      <w:tr>
        <w:tblPrEx>
          <w:tblW w:w="0" w:type="auto"/>
          <w:tblInd w:w="28" w:type="dxa"/>
          <w:tblLayout w:type="fixed"/>
          <w:tblCellMar>
            <w:left w:w="28" w:type="dxa"/>
            <w:right w:w="28" w:type="dxa"/>
          </w:tblCellMar>
          <w:tblLook w:val="04A0"/>
        </w:tblPrEx>
        <w:tc>
          <w:tcPr>
            <w:tcW w:w="36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东方证券股份</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312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3,500,189</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306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人民币普通股</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36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杭州高翔运输　　</w:t>
            </w:r>
            <w:r>
              <w:rPr>
                <w:rFonts w:ascii="Courier New" w:eastAsia="Courier New" w:hAnsi="Courier New" w:cs="Courier New" w:hint="eastAsia"/>
                <w:i/>
                <w:noProof/>
                <w:color w:val="FFFFFF"/>
                <w:kern w:val="2"/>
                <w:sz w:val="36"/>
                <w:lang w:val="en-US" w:eastAsia="zh-CN"/>
              </w:rPr>
              <w:t>　　　</w:t>
            </w:r>
          </w:p>
        </w:tc>
        <w:tc>
          <w:tcPr>
            <w:tcW w:w="312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2,839,277　　</w:t>
            </w:r>
          </w:p>
        </w:tc>
        <w:tc>
          <w:tcPr>
            <w:tcW w:w="306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人民币普通股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36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青铜峡铝业集团</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312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1,682,640　　　</w:t>
            </w:r>
          </w:p>
        </w:tc>
        <w:tc>
          <w:tcPr>
            <w:tcW w:w="306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人民币普通股</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36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中国工商银行－申万巴黎新经济混合型证券投资基金　</w:t>
            </w:r>
            <w:r>
              <w:rPr>
                <w:rFonts w:ascii="Courier New" w:eastAsia="Courier New" w:hAnsi="Courier New" w:cs="Courier New" w:hint="eastAsia"/>
                <w:i/>
                <w:noProof/>
                <w:color w:val="FFFFFF"/>
                <w:kern w:val="2"/>
                <w:sz w:val="36"/>
                <w:lang w:val="en-US" w:eastAsia="zh-CN"/>
              </w:rPr>
              <w:t>　　　</w:t>
            </w:r>
          </w:p>
        </w:tc>
        <w:tc>
          <w:tcPr>
            <w:tcW w:w="312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1,649,559　　</w:t>
            </w:r>
          </w:p>
        </w:tc>
        <w:tc>
          <w:tcPr>
            <w:tcW w:w="306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人民币普通股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36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姚玮俊</w:t>
            </w:r>
            <w:r>
              <w:rPr>
                <w:rFonts w:ascii="Courier New" w:eastAsia="Courier New" w:hAnsi="Courier New" w:cs="Courier New" w:hint="eastAsia"/>
                <w:i/>
                <w:noProof/>
                <w:color w:val="FFFFFF"/>
                <w:kern w:val="2"/>
                <w:sz w:val="36"/>
                <w:lang w:val="en-US" w:eastAsia="zh-CN"/>
              </w:rPr>
              <w:t>　　　　　　</w:t>
            </w:r>
          </w:p>
        </w:tc>
        <w:tc>
          <w:tcPr>
            <w:tcW w:w="312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1,251,466　　</w:t>
            </w:r>
          </w:p>
        </w:tc>
        <w:tc>
          <w:tcPr>
            <w:tcW w:w="306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人民币普通股</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36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中国建设银行－海富通风格优势股票型证券投资基金　　　</w:t>
            </w:r>
          </w:p>
        </w:tc>
        <w:tc>
          <w:tcPr>
            <w:tcW w:w="312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1,199,963　　　</w:t>
            </w:r>
          </w:p>
        </w:tc>
        <w:tc>
          <w:tcPr>
            <w:tcW w:w="306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人民币普通股　　</w:t>
            </w:r>
          </w:p>
        </w:tc>
      </w:tr>
      <w:tr>
        <w:tblPrEx>
          <w:tblW w:w="0" w:type="auto"/>
          <w:tblInd w:w="28" w:type="dxa"/>
          <w:tblLayout w:type="fixed"/>
          <w:tblCellMar>
            <w:left w:w="28" w:type="dxa"/>
            <w:right w:w="28" w:type="dxa"/>
          </w:tblCellMar>
          <w:tblLook w:val="04A0"/>
        </w:tblPrEx>
        <w:tc>
          <w:tcPr>
            <w:tcW w:w="36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招商银行股份－德盛优势股票证券投资基金</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312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1,050,700　　</w:t>
            </w:r>
          </w:p>
        </w:tc>
        <w:tc>
          <w:tcPr>
            <w:tcW w:w="306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人民币普通股</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234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上述股东关联关系或一致行动的说明　　</w:t>
            </w:r>
            <w:r>
              <w:rPr>
                <w:rFonts w:ascii="Courier New" w:eastAsia="Courier New" w:hAnsi="Courier New" w:cs="Courier New" w:hint="eastAsia"/>
                <w:i/>
                <w:noProof/>
                <w:color w:val="FFFFFF"/>
                <w:kern w:val="2"/>
                <w:sz w:val="36"/>
                <w:lang w:val="en-US" w:eastAsia="zh-CN"/>
              </w:rPr>
              <w:t>　　　</w:t>
            </w:r>
          </w:p>
        </w:tc>
        <w:tc>
          <w:tcPr>
            <w:tcW w:w="74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前十名股东中，控股股东与其他股东之间不存在?上市公司股东持股变动信息管理方法?中规定的一致行动人关系。其余股东未知是否存在一致行动人关系。　　　　</w:t>
            </w:r>
          </w:p>
        </w:tc>
      </w:tr>
    </w:tbl>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3.3 </w:t>
      </w:r>
      <w:r>
        <w:rPr>
          <w:rFonts w:ascii="Times New Roman" w:eastAsia="宋体" w:hAnsi="Times New Roman" w:cs="Times New Roman" w:hint="eastAsia"/>
          <w:b/>
          <w:kern w:val="28"/>
          <w:sz w:val="21"/>
          <w:szCs w:val="24"/>
          <w:lang w:val="en-US" w:eastAsia="zh-CN"/>
        </w:rPr>
        <w:t>控股股东及实际控制人变更情况</w:t>
      </w:r>
      <w:r>
        <w:rPr>
          <w:rFonts w:cs="Times New Roman"/>
          <w:szCs w:val="24"/>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ascii="Courier New" w:eastAsia="Courier New" w:hAnsi="Courier New" w:cs="Courier New"/>
          <w:i/>
          <w:color w:val="FFFFFF"/>
          <w:sz w:val="36"/>
        </w:rPr>
        <w:t>　　　　　　</w:t>
      </w:r>
    </w:p>
    <w:p w:rsidR="00E2627B">
      <w:pPr>
        <w:pStyle w:val="Chapter"/>
        <w:bidi w:val="0"/>
        <w:jc w:val="both"/>
        <w:outlineLvl w:val="1"/>
        <w:rPr>
          <w:rFonts w:cs="Times New Roman"/>
          <w:szCs w:val="24"/>
        </w:rPr>
      </w:pPr>
      <w:r>
        <w:rPr>
          <w:rFonts w:ascii="Times New Roman" w:eastAsia="宋体" w:hAnsi="Times New Roman" w:cs="Times New Roman" w:hint="eastAsia"/>
          <w:b/>
          <w:kern w:val="28"/>
          <w:sz w:val="24"/>
          <w:szCs w:val="24"/>
          <w:lang w:val="en-US" w:eastAsia="zh-CN"/>
        </w:rPr>
        <w:t>§</w:t>
      </w:r>
      <w:r>
        <w:rPr>
          <w:rFonts w:ascii="Times New Roman" w:eastAsia="宋体" w:hAnsi="Times New Roman" w:cs="Times New Roman" w:hint="default"/>
          <w:b/>
          <w:kern w:val="28"/>
          <w:sz w:val="24"/>
          <w:szCs w:val="24"/>
          <w:lang w:val="en-US" w:eastAsia="zh-CN"/>
        </w:rPr>
        <w:t xml:space="preserve">4 </w:t>
      </w:r>
      <w:r>
        <w:rPr>
          <w:rFonts w:ascii="Times New Roman" w:eastAsia="宋体" w:hAnsi="Times New Roman" w:cs="Times New Roman" w:hint="eastAsia"/>
          <w:b/>
          <w:kern w:val="28"/>
          <w:sz w:val="24"/>
          <w:szCs w:val="24"/>
          <w:lang w:val="en-US" w:eastAsia="zh-CN"/>
        </w:rPr>
        <w:t>董事、监事和高级管理人员情况</w:t>
      </w:r>
      <w:r>
        <w:rPr>
          <w:rFonts w:cs="Times New Roman"/>
          <w:szCs w:val="24"/>
        </w:rPr>
        <w:t>　　</w:t>
      </w:r>
      <w:r>
        <w:rPr>
          <w:rFonts w:ascii="Courier New" w:eastAsia="Courier New" w:hAnsi="Courier New" w:cs="Courier New"/>
          <w:i/>
          <w:color w:val="FFFFFF"/>
          <w:sz w:val="36"/>
        </w:rPr>
        <w:t>　　　</w:t>
      </w:r>
    </w:p>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4.1 </w:t>
      </w:r>
      <w:r>
        <w:rPr>
          <w:rFonts w:ascii="Times New Roman" w:eastAsia="宋体" w:hAnsi="Times New Roman" w:cs="Times New Roman" w:hint="eastAsia"/>
          <w:b/>
          <w:kern w:val="28"/>
          <w:sz w:val="21"/>
          <w:szCs w:val="24"/>
          <w:lang w:val="en-US" w:eastAsia="zh-CN"/>
        </w:rPr>
        <w:t>董事、监事和高级管理人员持股变动</w:t>
      </w:r>
      <w:r>
        <w:rPr>
          <w:rFonts w:cs="Times New Roman"/>
          <w:szCs w:val="24"/>
        </w:rPr>
        <w:t>　　</w:t>
      </w:r>
      <w:r>
        <w:rPr>
          <w:rFonts w:ascii="Courier New" w:eastAsia="Courier New" w:hAnsi="Courier New" w:cs="Courier New"/>
          <w:i/>
          <w:color w:val="FFFFFF"/>
          <w:sz w:val="36"/>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r>
        <w:rPr>
          <w:rFonts w:ascii="Courier New" w:eastAsia="Courier New" w:hAnsi="Courier New" w:cs="Courier New"/>
          <w:i/>
          <w:color w:val="FFFFFF"/>
          <w:sz w:val="36"/>
        </w:rPr>
        <w:t>　　　</w:t>
      </w:r>
    </w:p>
    <w:tbl>
      <w:tblPr>
        <w:tblStyle w:val="TableNormal"/>
        <w:tblW w:w="0" w:type="auto"/>
        <w:tblInd w:w="28" w:type="dxa"/>
        <w:tblLayout w:type="fixed"/>
        <w:tblCellMar>
          <w:left w:w="28" w:type="dxa"/>
          <w:right w:w="28" w:type="dxa"/>
        </w:tblCellMar>
        <w:tblLook w:val="04A0"/>
      </w:tblPr>
      <w:tblGrid>
        <w:gridCol w:w="1092"/>
        <w:gridCol w:w="1365"/>
        <w:gridCol w:w="1040"/>
        <w:gridCol w:w="1040"/>
        <w:gridCol w:w="1040"/>
        <w:gridCol w:w="1040"/>
        <w:gridCol w:w="1040"/>
        <w:gridCol w:w="1040"/>
        <w:gridCol w:w="1131"/>
      </w:tblGrid>
      <w:tr>
        <w:tblPrEx>
          <w:tblW w:w="0" w:type="auto"/>
          <w:tblInd w:w="28" w:type="dxa"/>
          <w:tblLayout w:type="fixed"/>
          <w:tblCellMar>
            <w:left w:w="28" w:type="dxa"/>
            <w:right w:w="28" w:type="dxa"/>
          </w:tblCellMar>
          <w:tblLook w:val="04A0"/>
        </w:tblPrEx>
        <w:tc>
          <w:tcPr>
            <w:tcW w:w="1092"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姓名　　</w:t>
            </w:r>
          </w:p>
        </w:tc>
        <w:tc>
          <w:tcPr>
            <w:tcW w:w="136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职务　　</w:t>
            </w:r>
            <w:r>
              <w:rPr>
                <w:rFonts w:ascii="Courier New" w:eastAsia="Courier New" w:hAnsi="Courier New" w:cs="Courier New" w:hint="eastAsia"/>
                <w:i/>
                <w:noProof/>
                <w:color w:val="FFFFFF"/>
                <w:kern w:val="2"/>
                <w:sz w:val="36"/>
                <w:lang w:val="en-US" w:eastAsia="zh-CN"/>
              </w:rPr>
              <w:t>　　　</w:t>
            </w:r>
          </w:p>
        </w:tc>
        <w:tc>
          <w:tcPr>
            <w:tcW w:w="104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年初持股数</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04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本期增持股份数量</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04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本期减持股份数量</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04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期末持股数</w:t>
            </w:r>
            <w:r>
              <w:rPr>
                <w:rFonts w:ascii="Courier New" w:eastAsia="Courier New" w:hAnsi="Courier New" w:cs="Courier New" w:hint="eastAsia"/>
                <w:i/>
                <w:noProof/>
                <w:color w:val="FFFFFF"/>
                <w:kern w:val="2"/>
                <w:sz w:val="36"/>
                <w:lang w:val="en-US" w:eastAsia="zh-CN"/>
              </w:rPr>
              <w:t>　　　　　　</w:t>
            </w:r>
          </w:p>
        </w:tc>
        <w:tc>
          <w:tcPr>
            <w:tcW w:w="104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其中：持有限制性股票数量　　</w:t>
            </w:r>
          </w:p>
        </w:tc>
        <w:tc>
          <w:tcPr>
            <w:tcW w:w="104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期末持有股票期权数量</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131"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变动原因　　　</w:t>
            </w:r>
          </w:p>
        </w:tc>
      </w:tr>
      <w:tr>
        <w:tblPrEx>
          <w:tblW w:w="0" w:type="auto"/>
          <w:tblInd w:w="28" w:type="dxa"/>
          <w:tblLayout w:type="fixed"/>
          <w:tblCellMar>
            <w:left w:w="28" w:type="dxa"/>
            <w:right w:w="28" w:type="dxa"/>
          </w:tblCellMar>
          <w:tblLook w:val="04A0"/>
        </w:tblPrEx>
        <w:tc>
          <w:tcPr>
            <w:tcW w:w="1092"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郑爱国</w:t>
            </w:r>
            <w:r>
              <w:rPr>
                <w:rFonts w:ascii="Courier New" w:eastAsia="Courier New" w:hAnsi="Courier New" w:cs="Courier New" w:hint="eastAsia"/>
                <w:i/>
                <w:noProof/>
                <w:color w:val="FFFFFF"/>
                <w:kern w:val="2"/>
                <w:sz w:val="36"/>
                <w:lang w:val="en-US" w:eastAsia="zh-CN"/>
              </w:rPr>
              <w:t>　　　　　　</w:t>
            </w:r>
          </w:p>
        </w:tc>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副总经理</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965　</w:t>
            </w:r>
            <w:r>
              <w:rPr>
                <w:rFonts w:ascii="Courier New" w:eastAsia="Courier New" w:hAnsi="Courier New" w:cs="Courier New" w:hint="eastAsia"/>
                <w:i/>
                <w:noProof/>
                <w:color w:val="FFFFFF"/>
                <w:kern w:val="2"/>
                <w:sz w:val="36"/>
                <w:lang w:val="en-US" w:eastAsia="zh-CN"/>
              </w:rPr>
              <w:t>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r>
              <w:rPr>
                <w:rFonts w:ascii="Courier New" w:eastAsia="Courier New" w:hAnsi="Courier New" w:cs="Courier New" w:hint="eastAsia"/>
                <w:i/>
                <w:noProof/>
                <w:color w:val="FFFFFF"/>
                <w:kern w:val="2"/>
                <w:sz w:val="36"/>
                <w:lang w:val="en-US" w:eastAsia="zh-CN"/>
              </w:rPr>
              <w:t>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965　　</w:t>
            </w:r>
            <w:r>
              <w:rPr>
                <w:rFonts w:ascii="Courier New" w:eastAsia="Courier New" w:hAnsi="Courier New" w:cs="Courier New" w:hint="eastAsia"/>
                <w:i/>
                <w:noProof/>
                <w:color w:val="FFFFFF"/>
                <w:kern w:val="2"/>
                <w:sz w:val="36"/>
                <w:lang w:val="en-US" w:eastAsia="zh-CN"/>
              </w:rPr>
              <w:t>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13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无</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092"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姜滨</w:t>
            </w:r>
            <w:r>
              <w:rPr>
                <w:rFonts w:ascii="Courier New" w:eastAsia="Courier New" w:hAnsi="Courier New" w:cs="Courier New" w:hint="eastAsia"/>
                <w:i/>
                <w:noProof/>
                <w:color w:val="FFFFFF"/>
                <w:kern w:val="2"/>
                <w:sz w:val="36"/>
                <w:lang w:val="en-US" w:eastAsia="zh-CN"/>
              </w:rPr>
              <w:t>　　　　　　</w:t>
            </w:r>
          </w:p>
        </w:tc>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副总经理</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2,573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2,573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1,930　</w:t>
            </w:r>
            <w:r>
              <w:rPr>
                <w:rFonts w:ascii="Courier New" w:eastAsia="Courier New" w:hAnsi="Courier New" w:cs="Courier New" w:hint="eastAsia"/>
                <w:i/>
                <w:noProof/>
                <w:color w:val="FFFFFF"/>
                <w:kern w:val="2"/>
                <w:sz w:val="36"/>
                <w:lang w:val="en-US" w:eastAsia="zh-CN"/>
              </w:rPr>
              <w:t>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13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无　　</w:t>
            </w:r>
          </w:p>
        </w:tc>
      </w:tr>
      <w:tr>
        <w:tblPrEx>
          <w:tblW w:w="0" w:type="auto"/>
          <w:tblInd w:w="28" w:type="dxa"/>
          <w:tblLayout w:type="fixed"/>
          <w:tblCellMar>
            <w:left w:w="28" w:type="dxa"/>
            <w:right w:w="28" w:type="dxa"/>
          </w:tblCellMar>
          <w:tblLook w:val="04A0"/>
        </w:tblPrEx>
        <w:tc>
          <w:tcPr>
            <w:tcW w:w="1092"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聂全新</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监事</w:t>
            </w:r>
            <w:r>
              <w:rPr>
                <w:rFonts w:ascii="Courier New" w:eastAsia="Courier New" w:hAnsi="Courier New" w:cs="Courier New" w:hint="eastAsia"/>
                <w:i/>
                <w:noProof/>
                <w:color w:val="FFFFFF"/>
                <w:kern w:val="2"/>
                <w:sz w:val="36"/>
                <w:lang w:val="en-US" w:eastAsia="zh-CN"/>
              </w:rPr>
              <w:t>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98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98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c>
          <w:tcPr>
            <w:tcW w:w="113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无　　　　</w:t>
            </w:r>
          </w:p>
        </w:tc>
      </w:tr>
      <w:tr>
        <w:tblPrEx>
          <w:tblW w:w="0" w:type="auto"/>
          <w:tblInd w:w="28" w:type="dxa"/>
          <w:tblLayout w:type="fixed"/>
          <w:tblCellMar>
            <w:left w:w="28" w:type="dxa"/>
            <w:right w:w="28" w:type="dxa"/>
          </w:tblCellMar>
          <w:tblLook w:val="04A0"/>
        </w:tblPrEx>
        <w:tc>
          <w:tcPr>
            <w:tcW w:w="1092"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孙慧智　</w:t>
            </w:r>
            <w:r>
              <w:rPr>
                <w:rFonts w:ascii="Courier New" w:eastAsia="Courier New" w:hAnsi="Courier New" w:cs="Courier New" w:hint="eastAsia"/>
                <w:i/>
                <w:noProof/>
                <w:color w:val="FFFFFF"/>
                <w:kern w:val="2"/>
                <w:sz w:val="36"/>
                <w:lang w:val="en-US" w:eastAsia="zh-CN"/>
              </w:rPr>
              <w:t>　　　</w:t>
            </w:r>
          </w:p>
        </w:tc>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财务总监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1,085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1,085</w:t>
            </w:r>
            <w:r>
              <w:rPr>
                <w:rFonts w:ascii="Courier New" w:eastAsia="Courier New" w:hAnsi="Courier New" w:cs="Courier New" w:hint="eastAsia"/>
                <w:i/>
                <w:noProof/>
                <w:color w:val="FFFFFF"/>
                <w:kern w:val="2"/>
                <w:sz w:val="36"/>
                <w:lang w:val="en-US" w:eastAsia="zh-CN"/>
              </w:rPr>
              <w:t>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814</w:t>
            </w:r>
            <w:r>
              <w:rPr>
                <w:rFonts w:ascii="Courier New" w:eastAsia="Courier New" w:hAnsi="Courier New" w:cs="Courier New" w:hint="eastAsia"/>
                <w:i/>
                <w:noProof/>
                <w:color w:val="FFFFFF"/>
                <w:kern w:val="2"/>
                <w:sz w:val="36"/>
                <w:lang w:val="en-US" w:eastAsia="zh-CN"/>
              </w:rPr>
              <w:t>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13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无　　</w:t>
            </w:r>
          </w:p>
        </w:tc>
      </w:tr>
    </w:tbl>
    <w:p w:rsidR="00E2627B">
      <w:pPr>
        <w:pStyle w:val="Chapter"/>
        <w:bidi w:val="0"/>
        <w:jc w:val="both"/>
        <w:outlineLvl w:val="1"/>
        <w:rPr>
          <w:rFonts w:cs="Times New Roman"/>
          <w:szCs w:val="24"/>
        </w:rPr>
      </w:pPr>
      <w:r>
        <w:rPr>
          <w:rFonts w:ascii="Times New Roman" w:eastAsia="宋体" w:hAnsi="Times New Roman" w:cs="Times New Roman" w:hint="eastAsia"/>
          <w:b/>
          <w:kern w:val="28"/>
          <w:sz w:val="24"/>
          <w:szCs w:val="24"/>
          <w:lang w:val="en-US" w:eastAsia="zh-CN"/>
        </w:rPr>
        <w:t>§</w:t>
      </w:r>
      <w:r>
        <w:rPr>
          <w:rFonts w:ascii="Times New Roman" w:eastAsia="宋体" w:hAnsi="Times New Roman" w:cs="Times New Roman" w:hint="default"/>
          <w:b/>
          <w:kern w:val="28"/>
          <w:sz w:val="24"/>
          <w:szCs w:val="24"/>
          <w:lang w:val="en-US" w:eastAsia="zh-CN"/>
        </w:rPr>
        <w:t xml:space="preserve">5 </w:t>
      </w:r>
      <w:r>
        <w:rPr>
          <w:rFonts w:ascii="Times New Roman" w:eastAsia="宋体" w:hAnsi="Times New Roman" w:cs="Times New Roman" w:hint="eastAsia"/>
          <w:b/>
          <w:kern w:val="28"/>
          <w:sz w:val="24"/>
          <w:szCs w:val="24"/>
          <w:lang w:val="en-US" w:eastAsia="zh-CN"/>
        </w:rPr>
        <w:t>董事会报告</w:t>
      </w:r>
      <w:r>
        <w:rPr>
          <w:rFonts w:cs="Times New Roman"/>
          <w:szCs w:val="24"/>
        </w:rPr>
        <w:t>　　　</w:t>
      </w:r>
    </w:p>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5.1 </w:t>
      </w:r>
      <w:r>
        <w:rPr>
          <w:rFonts w:ascii="Times New Roman" w:eastAsia="宋体" w:hAnsi="Times New Roman" w:cs="Times New Roman" w:hint="eastAsia"/>
          <w:b/>
          <w:kern w:val="28"/>
          <w:sz w:val="21"/>
          <w:szCs w:val="24"/>
          <w:lang w:val="en-US" w:eastAsia="zh-CN"/>
        </w:rPr>
        <w:t>主营业务分行业、产品情况表</w:t>
      </w:r>
      <w:r>
        <w:rPr>
          <w:rFonts w:cs="Times New Roman"/>
          <w:szCs w:val="24"/>
        </w:rPr>
        <w:t>　　　</w:t>
      </w:r>
    </w:p>
    <w:p w:rsidR="00E2627B">
      <w:pPr>
        <w:bidi w:val="0"/>
        <w:jc w:val="right"/>
        <w:rPr>
          <w:rFonts w:cs="Times New Roman"/>
          <w:szCs w:val="24"/>
        </w:rPr>
      </w:pPr>
      <w:r>
        <w:rPr>
          <w:rFonts w:ascii="Times New Roman" w:eastAsia="宋体" w:hAnsi="Times New Roman" w:cs="Times New Roman" w:hint="eastAsia"/>
          <w:kern w:val="2"/>
          <w:sz w:val="18"/>
          <w:szCs w:val="24"/>
          <w:lang w:val="en-US" w:eastAsia="zh-CN"/>
        </w:rPr>
        <w:t>单位：万元</w:t>
      </w:r>
      <w:r>
        <w:rPr>
          <w:rFonts w:cs="Times New Roman"/>
          <w:szCs w:val="24"/>
        </w:rPr>
        <w:t>　　　　</w:t>
      </w:r>
    </w:p>
    <w:tbl>
      <w:tblPr>
        <w:tblStyle w:val="TableNormal"/>
        <w:tblW w:w="0" w:type="auto"/>
        <w:tblInd w:w="28" w:type="dxa"/>
        <w:tblLayout w:type="fixed"/>
        <w:tblCellMar>
          <w:left w:w="28" w:type="dxa"/>
          <w:right w:w="28" w:type="dxa"/>
        </w:tblCellMar>
        <w:tblLook w:val="04A0"/>
      </w:tblPr>
      <w:tblGrid>
        <w:gridCol w:w="1950"/>
        <w:gridCol w:w="1300"/>
        <w:gridCol w:w="1300"/>
        <w:gridCol w:w="1300"/>
        <w:gridCol w:w="1300"/>
        <w:gridCol w:w="1300"/>
        <w:gridCol w:w="1378"/>
      </w:tblGrid>
      <w:tr>
        <w:tblPrEx>
          <w:tblW w:w="0" w:type="auto"/>
          <w:tblInd w:w="28" w:type="dxa"/>
          <w:tblLayout w:type="fixed"/>
          <w:tblCellMar>
            <w:left w:w="28" w:type="dxa"/>
            <w:right w:w="28" w:type="dxa"/>
          </w:tblCellMar>
          <w:tblLook w:val="04A0"/>
        </w:tblPrEx>
        <w:tc>
          <w:tcPr>
            <w:tcW w:w="9828" w:type="dxa"/>
            <w:gridSpan w:val="7"/>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主营业务分行业情况</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195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分行业或分产品</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30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营业收入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营业本钱</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30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毛利率〔</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营业收入比上年同期增减〔</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　　　　</w:t>
            </w:r>
          </w:p>
        </w:tc>
        <w:tc>
          <w:tcPr>
            <w:tcW w:w="130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营业本钱比上年同期增减〔</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　　　</w:t>
            </w:r>
          </w:p>
        </w:tc>
        <w:tc>
          <w:tcPr>
            <w:tcW w:w="137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毛利率比上年同期增减〔</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95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有色金属冶炼及压延加工业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55,504.68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46,665.02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15.93%</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56.43%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49.73%　　</w:t>
            </w:r>
            <w:r>
              <w:rPr>
                <w:rFonts w:ascii="Courier New" w:eastAsia="Courier New" w:hAnsi="Courier New" w:cs="Courier New" w:hint="eastAsia"/>
                <w:i/>
                <w:noProof/>
                <w:color w:val="FFFFFF"/>
                <w:kern w:val="2"/>
                <w:sz w:val="36"/>
                <w:lang w:val="en-US" w:eastAsia="zh-CN"/>
              </w:rPr>
              <w:t>　　　</w:t>
            </w:r>
          </w:p>
        </w:tc>
        <w:tc>
          <w:tcPr>
            <w:tcW w:w="137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3.76%　　　　</w:t>
            </w:r>
          </w:p>
        </w:tc>
      </w:tr>
      <w:tr>
        <w:tblPrEx>
          <w:tblW w:w="0" w:type="auto"/>
          <w:tblInd w:w="28" w:type="dxa"/>
          <w:tblLayout w:type="fixed"/>
          <w:tblCellMar>
            <w:left w:w="28" w:type="dxa"/>
            <w:right w:w="28" w:type="dxa"/>
          </w:tblCellMar>
          <w:tblLook w:val="04A0"/>
        </w:tblPrEx>
        <w:tc>
          <w:tcPr>
            <w:tcW w:w="195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新能源材料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13,879.96</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12,552.80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9.56%</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123.47%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111.06%　　</w:t>
            </w:r>
          </w:p>
        </w:tc>
        <w:tc>
          <w:tcPr>
            <w:tcW w:w="137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5.32%</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95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房屋工程建筑业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418.98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427.82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-2.11%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-90.13%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-89.13%　　</w:t>
            </w:r>
            <w:r>
              <w:rPr>
                <w:rFonts w:ascii="Courier New" w:eastAsia="Courier New" w:hAnsi="Courier New" w:cs="Courier New" w:hint="eastAsia"/>
                <w:i/>
                <w:noProof/>
                <w:color w:val="FFFFFF"/>
                <w:kern w:val="2"/>
                <w:sz w:val="36"/>
                <w:lang w:val="en-US" w:eastAsia="zh-CN"/>
              </w:rPr>
              <w:t>　　　</w:t>
            </w:r>
          </w:p>
        </w:tc>
        <w:tc>
          <w:tcPr>
            <w:tcW w:w="137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-9.42%</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9828" w:type="dxa"/>
            <w:gridSpan w:val="7"/>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主营业务分产品情况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195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钽制品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44,927.09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37,486.56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16.56%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79.67%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75.57%</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37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1.95%</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95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碳化硅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12,911.96</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11,627.98</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9.94%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144.37%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138.19%　　</w:t>
            </w:r>
          </w:p>
        </w:tc>
        <w:tc>
          <w:tcPr>
            <w:tcW w:w="137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2.34%</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95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能源材料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968.00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924.82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4.46%</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4.37%</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-13.22%　　　</w:t>
            </w:r>
          </w:p>
        </w:tc>
        <w:tc>
          <w:tcPr>
            <w:tcW w:w="137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19.37%　　</w:t>
            </w:r>
          </w:p>
        </w:tc>
      </w:tr>
    </w:tbl>
    <w:p>
      <w:pPr>
        <w:sectPr>
          <w:type w:val="nextPage"/>
          <w:pgSz w:w="11906" w:h="16838"/>
          <w:pgMar w:top="1440" w:right="1134" w:bottom="1440" w:left="1134" w:header="708" w:footer="708" w:gutter="0"/>
          <w:pgNumType w:start="4"/>
          <w:cols w:space="708"/>
          <w:titlePg w:val="0"/>
        </w:sectPr>
      </w:pPr>
    </w:p>
    <w:tbl>
      <w:tblPr>
        <w:tblStyle w:val="TableNormal"/>
        <w:tblW w:w="0" w:type="auto"/>
        <w:tblInd w:w="28" w:type="dxa"/>
        <w:tblLayout w:type="fixed"/>
        <w:tblCellMar>
          <w:left w:w="28" w:type="dxa"/>
          <w:right w:w="28" w:type="dxa"/>
        </w:tblCellMar>
        <w:tblLook w:val="04A0"/>
      </w:tblPr>
      <w:tblGrid>
        <w:gridCol w:w="1950"/>
        <w:gridCol w:w="1300"/>
        <w:gridCol w:w="1300"/>
        <w:gridCol w:w="1300"/>
        <w:gridCol w:w="1300"/>
        <w:gridCol w:w="1300"/>
        <w:gridCol w:w="1378"/>
      </w:tblGrid>
      <w:tr>
        <w:tblPrEx>
          <w:tblW w:w="0" w:type="auto"/>
          <w:tblInd w:w="28" w:type="dxa"/>
          <w:tblLayout w:type="fixed"/>
          <w:tblCellMar>
            <w:left w:w="28" w:type="dxa"/>
            <w:right w:w="28" w:type="dxa"/>
          </w:tblCellMar>
          <w:tblLook w:val="04A0"/>
        </w:tblPrEx>
        <w:tc>
          <w:tcPr>
            <w:tcW w:w="195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房地产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418.98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427.82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-2.11%</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-90.13%</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-89.13%</w:t>
            </w:r>
            <w:r>
              <w:rPr>
                <w:rFonts w:ascii="Courier New" w:eastAsia="Courier New" w:hAnsi="Courier New" w:cs="Courier New" w:hint="eastAsia"/>
                <w:i/>
                <w:noProof/>
                <w:color w:val="FFFFFF"/>
                <w:kern w:val="2"/>
                <w:sz w:val="36"/>
                <w:lang w:val="en-US" w:eastAsia="zh-CN"/>
              </w:rPr>
              <w:t>　　　　　　</w:t>
            </w:r>
          </w:p>
        </w:tc>
        <w:tc>
          <w:tcPr>
            <w:tcW w:w="137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-9.42%　　　</w:t>
            </w:r>
          </w:p>
        </w:tc>
      </w:tr>
      <w:tr>
        <w:tblPrEx>
          <w:tblW w:w="0" w:type="auto"/>
          <w:tblInd w:w="28" w:type="dxa"/>
          <w:tblLayout w:type="fixed"/>
          <w:tblCellMar>
            <w:left w:w="28" w:type="dxa"/>
            <w:right w:w="28" w:type="dxa"/>
          </w:tblCellMar>
          <w:tblLook w:val="04A0"/>
        </w:tblPrEx>
        <w:tc>
          <w:tcPr>
            <w:tcW w:w="195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其他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10,577.59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9,178.46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13.23%</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0.96%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-6.48%</w:t>
            </w:r>
            <w:r>
              <w:rPr>
                <w:rFonts w:ascii="Courier New" w:eastAsia="Courier New" w:hAnsi="Courier New" w:cs="Courier New" w:hint="eastAsia"/>
                <w:i/>
                <w:noProof/>
                <w:color w:val="FFFFFF"/>
                <w:kern w:val="2"/>
                <w:sz w:val="36"/>
                <w:lang w:val="en-US" w:eastAsia="zh-CN"/>
              </w:rPr>
              <w:t>　　　　　　</w:t>
            </w:r>
          </w:p>
        </w:tc>
        <w:tc>
          <w:tcPr>
            <w:tcW w:w="137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6.90%　　　</w:t>
            </w:r>
          </w:p>
        </w:tc>
      </w:tr>
    </w:tbl>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5.2 </w:t>
      </w:r>
      <w:r>
        <w:rPr>
          <w:rFonts w:ascii="Times New Roman" w:eastAsia="宋体" w:hAnsi="Times New Roman" w:cs="Times New Roman" w:hint="eastAsia"/>
          <w:b/>
          <w:kern w:val="28"/>
          <w:sz w:val="21"/>
          <w:szCs w:val="24"/>
          <w:lang w:val="en-US" w:eastAsia="zh-CN"/>
        </w:rPr>
        <w:t>主营业务分地区情况</w:t>
      </w:r>
      <w:r>
        <w:rPr>
          <w:rFonts w:ascii="Courier New" w:eastAsia="Courier New" w:hAnsi="Courier New" w:cs="Courier New"/>
          <w:i/>
          <w:color w:val="FFFFFF"/>
          <w:sz w:val="36"/>
        </w:rPr>
        <w:t>　　　　　　</w:t>
      </w:r>
    </w:p>
    <w:p w:rsidR="00E2627B">
      <w:pPr>
        <w:bidi w:val="0"/>
        <w:jc w:val="right"/>
        <w:rPr>
          <w:rFonts w:cs="Times New Roman"/>
          <w:szCs w:val="24"/>
        </w:rPr>
      </w:pPr>
      <w:r>
        <w:rPr>
          <w:rFonts w:ascii="Times New Roman" w:eastAsia="宋体" w:hAnsi="Times New Roman" w:cs="Times New Roman" w:hint="eastAsia"/>
          <w:kern w:val="2"/>
          <w:sz w:val="18"/>
          <w:szCs w:val="24"/>
          <w:lang w:val="en-US" w:eastAsia="zh-CN"/>
        </w:rPr>
        <w:t>单位：万元</w:t>
      </w:r>
      <w:r>
        <w:rPr>
          <w:rFonts w:cs="Times New Roman"/>
          <w:szCs w:val="24"/>
        </w:rPr>
        <w:t>　　　</w:t>
      </w:r>
    </w:p>
    <w:tbl>
      <w:tblPr>
        <w:tblStyle w:val="TableNormal"/>
        <w:tblW w:w="0" w:type="auto"/>
        <w:tblInd w:w="28" w:type="dxa"/>
        <w:tblLayout w:type="fixed"/>
        <w:tblCellMar>
          <w:left w:w="28" w:type="dxa"/>
          <w:right w:w="28" w:type="dxa"/>
        </w:tblCellMar>
        <w:tblLook w:val="04A0"/>
      </w:tblPr>
      <w:tblGrid>
        <w:gridCol w:w="4160"/>
        <w:gridCol w:w="2860"/>
        <w:gridCol w:w="2808"/>
      </w:tblGrid>
      <w:tr>
        <w:tblPrEx>
          <w:tblW w:w="0" w:type="auto"/>
          <w:tblInd w:w="28" w:type="dxa"/>
          <w:tblLayout w:type="fixed"/>
          <w:tblCellMar>
            <w:left w:w="28" w:type="dxa"/>
            <w:right w:w="28" w:type="dxa"/>
          </w:tblCellMar>
          <w:tblLook w:val="04A0"/>
        </w:tblPrEx>
        <w:tc>
          <w:tcPr>
            <w:tcW w:w="416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地区</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86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营业收入　　</w:t>
            </w:r>
          </w:p>
        </w:tc>
        <w:tc>
          <w:tcPr>
            <w:tcW w:w="280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营业收入比上年增减〔</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416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内销　　　　</w:t>
            </w:r>
          </w:p>
        </w:tc>
        <w:tc>
          <w:tcPr>
            <w:tcW w:w="286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30,235.59　</w:t>
            </w:r>
            <w:r>
              <w:rPr>
                <w:rFonts w:ascii="Courier New" w:eastAsia="Courier New" w:hAnsi="Courier New" w:cs="Courier New" w:hint="eastAsia"/>
                <w:i/>
                <w:noProof/>
                <w:color w:val="FFFFFF"/>
                <w:kern w:val="2"/>
                <w:sz w:val="36"/>
                <w:lang w:val="en-US" w:eastAsia="zh-CN"/>
              </w:rPr>
              <w:t>　　　</w:t>
            </w:r>
          </w:p>
        </w:tc>
        <w:tc>
          <w:tcPr>
            <w:tcW w:w="280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36.68%</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416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外销　　　</w:t>
            </w:r>
          </w:p>
        </w:tc>
        <w:tc>
          <w:tcPr>
            <w:tcW w:w="286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39,568.03　　　　</w:t>
            </w:r>
          </w:p>
        </w:tc>
        <w:tc>
          <w:tcPr>
            <w:tcW w:w="280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66.13%　</w:t>
            </w:r>
            <w:r>
              <w:rPr>
                <w:rFonts w:ascii="Courier New" w:eastAsia="Courier New" w:hAnsi="Courier New" w:cs="Courier New" w:hint="eastAsia"/>
                <w:i/>
                <w:noProof/>
                <w:color w:val="FFFFFF"/>
                <w:kern w:val="2"/>
                <w:sz w:val="36"/>
                <w:lang w:val="en-US" w:eastAsia="zh-CN"/>
              </w:rPr>
              <w:t>　　　</w:t>
            </w:r>
          </w:p>
        </w:tc>
      </w:tr>
    </w:tbl>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5.3 </w:t>
      </w:r>
      <w:r>
        <w:rPr>
          <w:rFonts w:ascii="Times New Roman" w:eastAsia="宋体" w:hAnsi="Times New Roman" w:cs="Times New Roman" w:hint="eastAsia"/>
          <w:b/>
          <w:kern w:val="28"/>
          <w:sz w:val="21"/>
          <w:szCs w:val="24"/>
          <w:lang w:val="en-US" w:eastAsia="zh-CN"/>
        </w:rPr>
        <w:t>主营业务及其结构发生重大变化的原因说明</w:t>
      </w:r>
      <w:r>
        <w:rPr>
          <w:rFonts w:cs="Times New Roman"/>
          <w:szCs w:val="24"/>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r>
        <w:rPr>
          <w:rFonts w:ascii="Courier New" w:eastAsia="Courier New" w:hAnsi="Courier New" w:cs="Courier New"/>
          <w:i/>
          <w:color w:val="FFFFFF"/>
          <w:sz w:val="36"/>
        </w:rPr>
        <w:t>　　　</w:t>
      </w:r>
    </w:p>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5.4 </w:t>
      </w:r>
      <w:r>
        <w:rPr>
          <w:rFonts w:ascii="Times New Roman" w:eastAsia="宋体" w:hAnsi="Times New Roman" w:cs="Times New Roman" w:hint="eastAsia"/>
          <w:b/>
          <w:kern w:val="28"/>
          <w:sz w:val="21"/>
          <w:szCs w:val="24"/>
          <w:lang w:val="en-US" w:eastAsia="zh-CN"/>
        </w:rPr>
        <w:t>主营业务盈利能力〔毛利率〕与上年相比发生重大变化的原因说明</w:t>
      </w:r>
      <w:r>
        <w:rPr>
          <w:rFonts w:cs="Times New Roman"/>
          <w:szCs w:val="24"/>
        </w:rPr>
        <w:t>　　</w:t>
      </w:r>
      <w:r>
        <w:rPr>
          <w:rFonts w:ascii="Courier New" w:eastAsia="Courier New" w:hAnsi="Courier New" w:cs="Courier New"/>
          <w:i/>
          <w:color w:val="FFFFFF"/>
          <w:sz w:val="36"/>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ascii="Courier New" w:eastAsia="Courier New" w:hAnsi="Courier New" w:cs="Courier New"/>
          <w:i/>
          <w:color w:val="FFFFFF"/>
          <w:sz w:val="36"/>
        </w:rPr>
        <w:t>　　　</w:t>
      </w:r>
      <w:r>
        <w:rPr>
          <w:rFonts w:cs="Times New Roman"/>
          <w:szCs w:val="24"/>
        </w:rPr>
        <w:t>　</w:t>
      </w:r>
    </w:p>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5.5 </w:t>
      </w:r>
      <w:r>
        <w:rPr>
          <w:rFonts w:ascii="Times New Roman" w:eastAsia="宋体" w:hAnsi="Times New Roman" w:cs="Times New Roman" w:hint="eastAsia"/>
          <w:b/>
          <w:kern w:val="28"/>
          <w:sz w:val="21"/>
          <w:szCs w:val="24"/>
          <w:lang w:val="en-US" w:eastAsia="zh-CN"/>
        </w:rPr>
        <w:t>利润构成与上年度相比发生重大变化的原因分析</w:t>
      </w:r>
      <w:r>
        <w:rPr>
          <w:rFonts w:cs="Times New Roman"/>
          <w:szCs w:val="24"/>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r>
        <w:rPr>
          <w:rFonts w:ascii="Courier New" w:eastAsia="Courier New" w:hAnsi="Courier New" w:cs="Courier New"/>
          <w:i/>
          <w:color w:val="FFFFFF"/>
          <w:sz w:val="36"/>
        </w:rPr>
        <w:t>　　　</w:t>
      </w:r>
    </w:p>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5.6 </w:t>
      </w:r>
      <w:r>
        <w:rPr>
          <w:rFonts w:ascii="Times New Roman" w:eastAsia="宋体" w:hAnsi="Times New Roman" w:cs="Times New Roman" w:hint="eastAsia"/>
          <w:b/>
          <w:kern w:val="28"/>
          <w:sz w:val="21"/>
          <w:szCs w:val="24"/>
          <w:lang w:val="en-US" w:eastAsia="zh-CN"/>
        </w:rPr>
        <w:t>募集资金使用情况</w:t>
      </w:r>
      <w:r>
        <w:rPr>
          <w:rFonts w:ascii="Courier New" w:eastAsia="Courier New" w:hAnsi="Courier New" w:cs="Courier New"/>
          <w:i/>
          <w:color w:val="FFFFFF"/>
          <w:sz w:val="36"/>
        </w:rPr>
        <w:t>　　　</w:t>
      </w:r>
      <w:r>
        <w:rPr>
          <w:rFonts w:cs="Times New Roman"/>
          <w:szCs w:val="24"/>
        </w:rPr>
        <w:t>　　</w:t>
      </w:r>
    </w:p>
    <w:p w:rsidR="00E2627B">
      <w:pPr>
        <w:pStyle w:val="Section"/>
        <w:bidi w:val="0"/>
        <w:jc w:val="both"/>
        <w:outlineLvl w:val="3"/>
        <w:rPr>
          <w:rFonts w:cs="Times New Roman"/>
          <w:szCs w:val="24"/>
        </w:rPr>
      </w:pPr>
      <w:r>
        <w:rPr>
          <w:rFonts w:ascii="Times New Roman" w:eastAsia="宋体" w:hAnsi="Times New Roman" w:cs="Times New Roman" w:hint="default"/>
          <w:b/>
          <w:kern w:val="28"/>
          <w:sz w:val="21"/>
          <w:szCs w:val="24"/>
          <w:lang w:val="en-US" w:eastAsia="zh-CN"/>
        </w:rPr>
        <w:t xml:space="preserve">5.6.1 </w:t>
      </w:r>
      <w:r>
        <w:rPr>
          <w:rFonts w:ascii="Times New Roman" w:eastAsia="宋体" w:hAnsi="Times New Roman" w:cs="Times New Roman" w:hint="eastAsia"/>
          <w:b/>
          <w:kern w:val="28"/>
          <w:sz w:val="21"/>
          <w:szCs w:val="24"/>
          <w:lang w:val="en-US" w:eastAsia="zh-CN"/>
        </w:rPr>
        <w:t>募集资金运用</w:t>
      </w:r>
      <w:r>
        <w:rPr>
          <w:rFonts w:cs="Times New Roman"/>
          <w:szCs w:val="24"/>
        </w:rPr>
        <w:t>　</w:t>
      </w:r>
      <w:r>
        <w:rPr>
          <w:rFonts w:ascii="Courier New" w:eastAsia="Courier New" w:hAnsi="Courier New" w:cs="Courier New"/>
          <w:i/>
          <w:color w:val="FFFFFF"/>
          <w:sz w:val="36"/>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p>
    <w:p w:rsidR="00E2627B">
      <w:pPr>
        <w:pStyle w:val="Section"/>
        <w:bidi w:val="0"/>
        <w:jc w:val="both"/>
        <w:outlineLvl w:val="3"/>
        <w:rPr>
          <w:rFonts w:cs="Times New Roman"/>
          <w:szCs w:val="24"/>
        </w:rPr>
      </w:pPr>
      <w:r>
        <w:rPr>
          <w:rFonts w:ascii="Times New Roman" w:eastAsia="宋体" w:hAnsi="Times New Roman" w:cs="Times New Roman" w:hint="default"/>
          <w:b/>
          <w:kern w:val="28"/>
          <w:sz w:val="21"/>
          <w:szCs w:val="24"/>
          <w:lang w:val="en-US" w:eastAsia="zh-CN"/>
        </w:rPr>
        <w:t xml:space="preserve">5.6.2 </w:t>
      </w:r>
      <w:r>
        <w:rPr>
          <w:rFonts w:ascii="Times New Roman" w:eastAsia="宋体" w:hAnsi="Times New Roman" w:cs="Times New Roman" w:hint="eastAsia"/>
          <w:b/>
          <w:kern w:val="28"/>
          <w:sz w:val="21"/>
          <w:szCs w:val="24"/>
          <w:lang w:val="en-US" w:eastAsia="zh-CN"/>
        </w:rPr>
        <w:t>变更工程情况</w:t>
      </w:r>
      <w:r>
        <w:rPr>
          <w:rFonts w:cs="Times New Roman"/>
          <w:szCs w:val="24"/>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p>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5.7 </w:t>
      </w:r>
      <w:r>
        <w:rPr>
          <w:rFonts w:ascii="Times New Roman" w:eastAsia="宋体" w:hAnsi="Times New Roman" w:cs="Times New Roman" w:hint="eastAsia"/>
          <w:b/>
          <w:kern w:val="28"/>
          <w:sz w:val="21"/>
          <w:szCs w:val="24"/>
          <w:lang w:val="en-US" w:eastAsia="zh-CN"/>
        </w:rPr>
        <w:t>董事会下半年的经营方案修改方案</w:t>
      </w:r>
      <w:r>
        <w:rPr>
          <w:rFonts w:ascii="Courier New" w:eastAsia="Courier New" w:hAnsi="Courier New" w:cs="Courier New"/>
          <w:i/>
          <w:color w:val="FFFFFF"/>
          <w:sz w:val="36"/>
        </w:rPr>
        <w:t>　　　</w:t>
      </w:r>
      <w:r>
        <w:rPr>
          <w:rFonts w:cs="Times New Roman"/>
          <w:szCs w:val="24"/>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p>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5.8 </w:t>
      </w:r>
      <w:r>
        <w:rPr>
          <w:rFonts w:ascii="Times New Roman" w:eastAsia="宋体" w:hAnsi="Times New Roman" w:cs="Times New Roman" w:hint="eastAsia"/>
          <w:b/>
          <w:kern w:val="28"/>
          <w:sz w:val="21"/>
          <w:szCs w:val="24"/>
          <w:lang w:val="en-US" w:eastAsia="zh-CN"/>
        </w:rPr>
        <w:t>预测年初至下一报告期期末的累计净利润可能为亏损或者与上年同期相比发生大幅度变动的警示及原因说明</w:t>
      </w:r>
      <w:r>
        <w:rPr>
          <w:rFonts w:cs="Times New Roman"/>
          <w:szCs w:val="24"/>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ascii="Courier New" w:eastAsia="Courier New" w:hAnsi="Courier New" w:cs="Courier New"/>
          <w:i/>
          <w:color w:val="FFFFFF"/>
          <w:sz w:val="36"/>
        </w:rPr>
        <w:t>　　　　　　</w:t>
      </w:r>
    </w:p>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5.9 </w:t>
      </w:r>
      <w:r>
        <w:rPr>
          <w:rFonts w:ascii="Times New Roman" w:eastAsia="宋体" w:hAnsi="Times New Roman" w:cs="Times New Roman" w:hint="eastAsia"/>
          <w:b/>
          <w:kern w:val="28"/>
          <w:sz w:val="21"/>
          <w:szCs w:val="24"/>
          <w:lang w:val="en-US" w:eastAsia="zh-CN"/>
        </w:rPr>
        <w:t>公司董事会对会计师事务所本报告期</w:t>
      </w:r>
      <w:r>
        <w:rPr>
          <w:rFonts w:ascii="Times New Roman" w:eastAsia="宋体" w:hAnsi="Times New Roman" w:cs="Times New Roman" w:hint="eastAsia"/>
          <w:b/>
          <w:kern w:val="28"/>
          <w:sz w:val="21"/>
          <w:szCs w:val="24"/>
          <w:lang w:val="en-US" w:eastAsia="zh-CN"/>
        </w:rPr>
        <w:t>“</w:t>
      </w:r>
      <w:r>
        <w:rPr>
          <w:rFonts w:ascii="Times New Roman" w:eastAsia="宋体" w:hAnsi="Times New Roman" w:cs="Times New Roman" w:hint="eastAsia"/>
          <w:b/>
          <w:kern w:val="28"/>
          <w:sz w:val="21"/>
          <w:szCs w:val="24"/>
          <w:lang w:val="en-US" w:eastAsia="zh-CN"/>
        </w:rPr>
        <w:t>非标准审计报告〞的说明</w:t>
      </w:r>
      <w:r>
        <w:rPr>
          <w:rFonts w:ascii="Courier New" w:eastAsia="Courier New" w:hAnsi="Courier New" w:cs="Courier New"/>
          <w:i/>
          <w:color w:val="FFFFFF"/>
          <w:sz w:val="36"/>
        </w:rPr>
        <w:t>　　　</w:t>
      </w:r>
      <w:r>
        <w:rPr>
          <w:rFonts w:cs="Times New Roman"/>
          <w:szCs w:val="24"/>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r>
        <w:rPr>
          <w:rFonts w:ascii="Courier New" w:eastAsia="Courier New" w:hAnsi="Courier New" w:cs="Courier New"/>
          <w:i/>
          <w:color w:val="FFFFFF"/>
          <w:sz w:val="36"/>
        </w:rPr>
        <w:t>　　　</w:t>
      </w:r>
    </w:p>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5.10 </w:t>
      </w:r>
      <w:r>
        <w:rPr>
          <w:rFonts w:ascii="Times New Roman" w:eastAsia="宋体" w:hAnsi="Times New Roman" w:cs="Times New Roman" w:hint="eastAsia"/>
          <w:b/>
          <w:kern w:val="28"/>
          <w:sz w:val="21"/>
          <w:szCs w:val="24"/>
          <w:lang w:val="en-US" w:eastAsia="zh-CN"/>
        </w:rPr>
        <w:t>公司董事会对会计师事务所上年度</w:t>
      </w:r>
      <w:r>
        <w:rPr>
          <w:rFonts w:ascii="Times New Roman" w:eastAsia="宋体" w:hAnsi="Times New Roman" w:cs="Times New Roman" w:hint="eastAsia"/>
          <w:b/>
          <w:kern w:val="28"/>
          <w:sz w:val="21"/>
          <w:szCs w:val="24"/>
          <w:lang w:val="en-US" w:eastAsia="zh-CN"/>
        </w:rPr>
        <w:t>“</w:t>
      </w:r>
      <w:r>
        <w:rPr>
          <w:rFonts w:ascii="Times New Roman" w:eastAsia="宋体" w:hAnsi="Times New Roman" w:cs="Times New Roman" w:hint="eastAsia"/>
          <w:b/>
          <w:kern w:val="28"/>
          <w:sz w:val="21"/>
          <w:szCs w:val="24"/>
          <w:lang w:val="en-US" w:eastAsia="zh-CN"/>
        </w:rPr>
        <w:t>非标准审计报告〞涉及事项的变化及处理情况的说明</w:t>
      </w:r>
      <w:r>
        <w:rPr>
          <w:rFonts w:cs="Times New Roman"/>
          <w:szCs w:val="24"/>
        </w:rPr>
        <w:t>　　　</w:t>
      </w:r>
    </w:p>
    <w:p w:rsidR="00E2627B">
      <w:pPr>
        <w:bidi w:val="0"/>
        <w:jc w:val="both"/>
        <w:rPr>
          <w:rFonts w:cs="Times New Roman"/>
          <w:szCs w:val="24"/>
        </w:rPr>
        <w:sectPr>
          <w:type w:val="nextPage"/>
          <w:pgSz w:w="11906" w:h="16838"/>
          <w:pgMar w:top="1440" w:right="1134" w:bottom="1440" w:left="1134" w:header="708" w:footer="708" w:gutter="0"/>
          <w:pgNumType w:start="5"/>
          <w:cols w:space="708"/>
          <w:titlePg w:val="0"/>
        </w:sect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p>
    <w:p w:rsidR="00E2627B">
      <w:pPr>
        <w:pStyle w:val="Chapter"/>
        <w:bidi w:val="0"/>
        <w:jc w:val="both"/>
        <w:outlineLvl w:val="1"/>
        <w:rPr>
          <w:rFonts w:cs="Times New Roman"/>
          <w:szCs w:val="24"/>
        </w:rPr>
      </w:pPr>
      <w:r>
        <w:rPr>
          <w:rFonts w:ascii="Times New Roman" w:eastAsia="宋体" w:hAnsi="Times New Roman" w:cs="Times New Roman" w:hint="eastAsia"/>
          <w:b/>
          <w:kern w:val="28"/>
          <w:sz w:val="24"/>
          <w:szCs w:val="24"/>
          <w:lang w:val="en-US" w:eastAsia="zh-CN"/>
        </w:rPr>
        <w:t>§</w:t>
      </w:r>
      <w:r>
        <w:rPr>
          <w:rFonts w:ascii="Times New Roman" w:eastAsia="宋体" w:hAnsi="Times New Roman" w:cs="Times New Roman" w:hint="default"/>
          <w:b/>
          <w:kern w:val="28"/>
          <w:sz w:val="24"/>
          <w:szCs w:val="24"/>
          <w:lang w:val="en-US" w:eastAsia="zh-CN"/>
        </w:rPr>
        <w:t xml:space="preserve">6 </w:t>
      </w:r>
      <w:r>
        <w:rPr>
          <w:rFonts w:ascii="Times New Roman" w:eastAsia="宋体" w:hAnsi="Times New Roman" w:cs="Times New Roman" w:hint="eastAsia"/>
          <w:b/>
          <w:kern w:val="28"/>
          <w:sz w:val="24"/>
          <w:szCs w:val="24"/>
          <w:lang w:val="en-US" w:eastAsia="zh-CN"/>
        </w:rPr>
        <w:t>重要事项</w:t>
      </w:r>
      <w:r>
        <w:rPr>
          <w:rFonts w:cs="Times New Roman"/>
          <w:szCs w:val="24"/>
        </w:rPr>
        <w:t>　　</w:t>
      </w:r>
    </w:p>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6.1 </w:t>
      </w:r>
      <w:r>
        <w:rPr>
          <w:rFonts w:ascii="Times New Roman" w:eastAsia="宋体" w:hAnsi="Times New Roman" w:cs="Times New Roman" w:hint="eastAsia"/>
          <w:b/>
          <w:kern w:val="28"/>
          <w:sz w:val="21"/>
          <w:szCs w:val="24"/>
          <w:lang w:val="en-US" w:eastAsia="zh-CN"/>
        </w:rPr>
        <w:t>收购、出售资产及资产重组</w:t>
      </w:r>
      <w:r>
        <w:rPr>
          <w:rFonts w:cs="Times New Roman"/>
          <w:szCs w:val="24"/>
        </w:rPr>
        <w:t>　　</w:t>
      </w:r>
    </w:p>
    <w:p w:rsidR="00E2627B">
      <w:pPr>
        <w:pStyle w:val="Section"/>
        <w:bidi w:val="0"/>
        <w:jc w:val="both"/>
        <w:outlineLvl w:val="3"/>
        <w:rPr>
          <w:rFonts w:cs="Times New Roman"/>
          <w:szCs w:val="24"/>
        </w:rPr>
      </w:pPr>
      <w:r>
        <w:rPr>
          <w:rFonts w:ascii="Times New Roman" w:eastAsia="宋体" w:hAnsi="Times New Roman" w:cs="Times New Roman" w:hint="default"/>
          <w:b/>
          <w:kern w:val="28"/>
          <w:sz w:val="21"/>
          <w:szCs w:val="24"/>
          <w:lang w:val="en-US" w:eastAsia="zh-CN"/>
        </w:rPr>
        <w:t xml:space="preserve">6.1.1 </w:t>
      </w:r>
      <w:r>
        <w:rPr>
          <w:rFonts w:ascii="Times New Roman" w:eastAsia="宋体" w:hAnsi="Times New Roman" w:cs="Times New Roman" w:hint="eastAsia"/>
          <w:b/>
          <w:kern w:val="28"/>
          <w:sz w:val="21"/>
          <w:szCs w:val="24"/>
          <w:lang w:val="en-US" w:eastAsia="zh-CN"/>
        </w:rPr>
        <w:t>收购资产</w:t>
      </w:r>
      <w:r>
        <w:rPr>
          <w:rFonts w:ascii="Courier New" w:eastAsia="Courier New" w:hAnsi="Courier New" w:cs="Courier New"/>
          <w:i/>
          <w:color w:val="FFFFFF"/>
          <w:sz w:val="36"/>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r>
        <w:rPr>
          <w:rFonts w:ascii="Courier New" w:eastAsia="Courier New" w:hAnsi="Courier New" w:cs="Courier New"/>
          <w:i/>
          <w:color w:val="FFFFFF"/>
          <w:sz w:val="36"/>
        </w:rPr>
        <w:t>　　　</w:t>
      </w:r>
    </w:p>
    <w:p w:rsidR="00E2627B">
      <w:pPr>
        <w:pStyle w:val="Section"/>
        <w:bidi w:val="0"/>
        <w:jc w:val="both"/>
        <w:outlineLvl w:val="3"/>
        <w:rPr>
          <w:rFonts w:cs="Times New Roman"/>
          <w:szCs w:val="24"/>
        </w:rPr>
      </w:pPr>
      <w:r>
        <w:rPr>
          <w:rFonts w:ascii="Times New Roman" w:eastAsia="宋体" w:hAnsi="Times New Roman" w:cs="Times New Roman" w:hint="default"/>
          <w:b/>
          <w:kern w:val="28"/>
          <w:sz w:val="21"/>
          <w:szCs w:val="24"/>
          <w:lang w:val="en-US" w:eastAsia="zh-CN"/>
        </w:rPr>
        <w:t xml:space="preserve">6.1.2 </w:t>
      </w:r>
      <w:r>
        <w:rPr>
          <w:rFonts w:ascii="Times New Roman" w:eastAsia="宋体" w:hAnsi="Times New Roman" w:cs="Times New Roman" w:hint="eastAsia"/>
          <w:b/>
          <w:kern w:val="28"/>
          <w:sz w:val="21"/>
          <w:szCs w:val="24"/>
          <w:lang w:val="en-US" w:eastAsia="zh-CN"/>
        </w:rPr>
        <w:t>出售资产</w:t>
      </w:r>
      <w:r>
        <w:rPr>
          <w:rFonts w:cs="Times New Roman"/>
          <w:szCs w:val="24"/>
        </w:rPr>
        <w:t>　</w:t>
      </w:r>
      <w:r>
        <w:rPr>
          <w:rFonts w:ascii="Courier New" w:eastAsia="Courier New" w:hAnsi="Courier New" w:cs="Courier New"/>
          <w:i/>
          <w:color w:val="FFFFFF"/>
          <w:sz w:val="36"/>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ascii="Courier New" w:eastAsia="Courier New" w:hAnsi="Courier New" w:cs="Courier New"/>
          <w:i/>
          <w:color w:val="FFFFFF"/>
          <w:sz w:val="36"/>
        </w:rPr>
        <w:t>　　　　　　</w:t>
      </w:r>
    </w:p>
    <w:p w:rsidR="00E2627B">
      <w:pPr>
        <w:pStyle w:val="Section"/>
        <w:bidi w:val="0"/>
        <w:jc w:val="both"/>
        <w:outlineLvl w:val="3"/>
        <w:rPr>
          <w:rFonts w:cs="Times New Roman"/>
          <w:szCs w:val="24"/>
        </w:rPr>
      </w:pPr>
      <w:r>
        <w:rPr>
          <w:rFonts w:ascii="Times New Roman" w:eastAsia="宋体" w:hAnsi="Times New Roman" w:cs="Times New Roman" w:hint="default"/>
          <w:b/>
          <w:kern w:val="28"/>
          <w:sz w:val="21"/>
          <w:szCs w:val="24"/>
          <w:lang w:val="en-US" w:eastAsia="zh-CN"/>
        </w:rPr>
        <w:t xml:space="preserve">6.1.3 </w:t>
      </w:r>
      <w:r>
        <w:rPr>
          <w:rFonts w:ascii="Times New Roman" w:eastAsia="宋体" w:hAnsi="Times New Roman" w:cs="Times New Roman" w:hint="eastAsia"/>
          <w:b/>
          <w:kern w:val="28"/>
          <w:sz w:val="21"/>
          <w:szCs w:val="24"/>
          <w:lang w:val="en-US" w:eastAsia="zh-CN"/>
        </w:rPr>
        <w:t>自资产重组报告书或收购出售资产公告刊登后，该事项的进展情况及对报告期经营成果与财务状况的影响</w:t>
      </w:r>
      <w:r>
        <w:rPr>
          <w:rFonts w:cs="Times New Roman"/>
          <w:szCs w:val="24"/>
        </w:rPr>
        <w:t>　</w:t>
      </w:r>
      <w:r>
        <w:rPr>
          <w:rFonts w:ascii="Courier New" w:eastAsia="Courier New" w:hAnsi="Courier New" w:cs="Courier New"/>
          <w:i/>
          <w:color w:val="FFFFFF"/>
          <w:sz w:val="36"/>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ascii="Courier New" w:eastAsia="Courier New" w:hAnsi="Courier New" w:cs="Courier New"/>
          <w:i/>
          <w:color w:val="FFFFFF"/>
          <w:sz w:val="36"/>
        </w:rPr>
        <w:t>　　　</w:t>
      </w:r>
      <w:r>
        <w:rPr>
          <w:rFonts w:cs="Times New Roman"/>
          <w:szCs w:val="24"/>
        </w:rPr>
        <w:t>　　</w:t>
      </w:r>
    </w:p>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6.2 </w:t>
      </w:r>
      <w:r>
        <w:rPr>
          <w:rFonts w:ascii="Times New Roman" w:eastAsia="宋体" w:hAnsi="Times New Roman" w:cs="Times New Roman" w:hint="eastAsia"/>
          <w:b/>
          <w:kern w:val="28"/>
          <w:sz w:val="21"/>
          <w:szCs w:val="24"/>
          <w:lang w:val="en-US" w:eastAsia="zh-CN"/>
        </w:rPr>
        <w:t>担保事项</w:t>
      </w:r>
      <w:r>
        <w:rPr>
          <w:rFonts w:cs="Times New Roman"/>
          <w:szCs w:val="24"/>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p>
    <w:p w:rsidR="00E2627B">
      <w:pPr>
        <w:bidi w:val="0"/>
        <w:jc w:val="right"/>
        <w:rPr>
          <w:rFonts w:cs="Times New Roman"/>
          <w:szCs w:val="24"/>
        </w:rPr>
      </w:pPr>
      <w:r>
        <w:rPr>
          <w:rFonts w:ascii="Times New Roman" w:eastAsia="宋体" w:hAnsi="Times New Roman" w:cs="Times New Roman" w:hint="eastAsia"/>
          <w:kern w:val="2"/>
          <w:sz w:val="18"/>
          <w:szCs w:val="24"/>
          <w:lang w:val="en-US" w:eastAsia="zh-CN"/>
        </w:rPr>
        <w:t>单位：万元</w:t>
      </w:r>
      <w:r>
        <w:rPr>
          <w:rFonts w:ascii="Courier New" w:eastAsia="Courier New" w:hAnsi="Courier New" w:cs="Courier New"/>
          <w:i/>
          <w:color w:val="FFFFFF"/>
          <w:sz w:val="36"/>
        </w:rPr>
        <w:t>　　　　　　</w:t>
      </w:r>
    </w:p>
    <w:tbl>
      <w:tblPr>
        <w:tblStyle w:val="TableNormal"/>
        <w:tblW w:w="0" w:type="auto"/>
        <w:tblInd w:w="28" w:type="dxa"/>
        <w:tblLayout w:type="fixed"/>
        <w:tblCellMar>
          <w:left w:w="28" w:type="dxa"/>
          <w:right w:w="28" w:type="dxa"/>
        </w:tblCellMar>
        <w:tblLook w:val="04A0"/>
      </w:tblPr>
      <w:tblGrid>
        <w:gridCol w:w="1300"/>
        <w:gridCol w:w="1040"/>
        <w:gridCol w:w="117"/>
        <w:gridCol w:w="923"/>
        <w:gridCol w:w="1170"/>
        <w:gridCol w:w="364"/>
        <w:gridCol w:w="676"/>
        <w:gridCol w:w="1040"/>
        <w:gridCol w:w="741"/>
        <w:gridCol w:w="299"/>
        <w:gridCol w:w="975"/>
        <w:gridCol w:w="1183"/>
      </w:tblGrid>
      <w:tr>
        <w:tblPrEx>
          <w:tblW w:w="0" w:type="auto"/>
          <w:tblInd w:w="28" w:type="dxa"/>
          <w:tblLayout w:type="fixed"/>
          <w:tblCellMar>
            <w:left w:w="28" w:type="dxa"/>
            <w:right w:w="28" w:type="dxa"/>
          </w:tblCellMar>
          <w:tblLook w:val="04A0"/>
        </w:tblPrEx>
        <w:tc>
          <w:tcPr>
            <w:tcW w:w="9828" w:type="dxa"/>
            <w:gridSpan w:val="12"/>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公司对外担保情况〔不包括对子公司的担保〕　　　</w:t>
            </w:r>
          </w:p>
        </w:tc>
      </w:tr>
      <w:tr>
        <w:tblPrEx>
          <w:tblW w:w="0" w:type="auto"/>
          <w:tblInd w:w="28" w:type="dxa"/>
          <w:tblLayout w:type="fixed"/>
          <w:tblCellMar>
            <w:left w:w="28" w:type="dxa"/>
            <w:right w:w="28" w:type="dxa"/>
          </w:tblCellMar>
          <w:tblLook w:val="04A0"/>
        </w:tblPrEx>
        <w:tc>
          <w:tcPr>
            <w:tcW w:w="130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担保对象名称　　　　</w:t>
            </w:r>
          </w:p>
        </w:tc>
        <w:tc>
          <w:tcPr>
            <w:tcW w:w="104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担保额度相关公告披露日和编号</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040" w:type="dxa"/>
            <w:gridSpan w:val="2"/>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担保额度</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17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实际发生日期〔协议签署日〕</w:t>
            </w:r>
            <w:r>
              <w:rPr>
                <w:rFonts w:ascii="Courier New" w:eastAsia="Courier New" w:hAnsi="Courier New" w:cs="Courier New" w:hint="eastAsia"/>
                <w:i/>
                <w:noProof/>
                <w:color w:val="FFFFFF"/>
                <w:kern w:val="2"/>
                <w:sz w:val="36"/>
                <w:lang w:val="en-US" w:eastAsia="zh-CN"/>
              </w:rPr>
              <w:t>　　　　　　</w:t>
            </w:r>
          </w:p>
        </w:tc>
        <w:tc>
          <w:tcPr>
            <w:tcW w:w="1040" w:type="dxa"/>
            <w:gridSpan w:val="2"/>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实际担保金额</w:t>
            </w:r>
            <w:r>
              <w:rPr>
                <w:rFonts w:ascii="Courier New" w:eastAsia="Courier New" w:hAnsi="Courier New" w:cs="Courier New" w:hint="eastAsia"/>
                <w:i/>
                <w:noProof/>
                <w:color w:val="FFFFFF"/>
                <w:kern w:val="2"/>
                <w:sz w:val="36"/>
                <w:lang w:val="en-US" w:eastAsia="zh-CN"/>
              </w:rPr>
              <w:t>　　　　　　</w:t>
            </w:r>
          </w:p>
        </w:tc>
        <w:tc>
          <w:tcPr>
            <w:tcW w:w="104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担保类型　　</w:t>
            </w:r>
          </w:p>
        </w:tc>
        <w:tc>
          <w:tcPr>
            <w:tcW w:w="1040" w:type="dxa"/>
            <w:gridSpan w:val="2"/>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担保期</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7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是否履行完毕　</w:t>
            </w:r>
            <w:r>
              <w:rPr>
                <w:rFonts w:ascii="Courier New" w:eastAsia="Courier New" w:hAnsi="Courier New" w:cs="Courier New" w:hint="eastAsia"/>
                <w:i/>
                <w:noProof/>
                <w:color w:val="FFFFFF"/>
                <w:kern w:val="2"/>
                <w:sz w:val="36"/>
                <w:lang w:val="en-US" w:eastAsia="zh-CN"/>
              </w:rPr>
              <w:t>　　　</w:t>
            </w:r>
          </w:p>
        </w:tc>
        <w:tc>
          <w:tcPr>
            <w:tcW w:w="1183"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是否为关联方担保〔是或否〕　　</w:t>
            </w:r>
          </w:p>
        </w:tc>
      </w:tr>
      <w:tr>
        <w:tblPrEx>
          <w:tblW w:w="0" w:type="auto"/>
          <w:tblInd w:w="28" w:type="dxa"/>
          <w:tblLayout w:type="fixed"/>
          <w:tblCellMar>
            <w:left w:w="28" w:type="dxa"/>
            <w:right w:w="28" w:type="dxa"/>
          </w:tblCellMar>
          <w:tblLook w:val="04A0"/>
        </w:tblPrEx>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〔中色〕宁夏东方集团　</w:t>
            </w:r>
            <w:r>
              <w:rPr>
                <w:rFonts w:ascii="Courier New" w:eastAsia="Courier New" w:hAnsi="Courier New" w:cs="Courier New" w:hint="eastAsia"/>
                <w:i/>
                <w:noProof/>
                <w:color w:val="FFFFFF"/>
                <w:kern w:val="2"/>
                <w:sz w:val="36"/>
                <w:lang w:val="en-US" w:eastAsia="zh-CN"/>
              </w:rPr>
              <w:t>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4</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20</w:t>
            </w:r>
            <w:r>
              <w:rPr>
                <w:rFonts w:ascii="Times New Roman" w:eastAsia="宋体" w:hAnsi="Times New Roman" w:cs="Times New Roman" w:hint="eastAsia"/>
                <w:noProof/>
                <w:kern w:val="2"/>
                <w:sz w:val="18"/>
                <w:szCs w:val="24"/>
                <w:lang w:val="en-US" w:eastAsia="zh-CN"/>
              </w:rPr>
              <w:t>日</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编号</w:t>
            </w:r>
            <w:r>
              <w:rPr>
                <w:rFonts w:ascii="Times New Roman" w:eastAsia="宋体" w:hAnsi="Times New Roman" w:cs="Times New Roman" w:hint="default"/>
                <w:noProof/>
                <w:kern w:val="2"/>
                <w:sz w:val="18"/>
                <w:szCs w:val="24"/>
                <w:lang w:val="en-US" w:eastAsia="zh-CN"/>
              </w:rPr>
              <w:t>2021-014</w:t>
            </w:r>
            <w:r>
              <w:rPr>
                <w:rFonts w:ascii="Times New Roman" w:eastAsia="宋体" w:hAnsi="Times New Roman" w:cs="Times New Roman" w:hint="eastAsia"/>
                <w:noProof/>
                <w:kern w:val="2"/>
                <w:sz w:val="18"/>
                <w:szCs w:val="24"/>
                <w:lang w:val="en-US" w:eastAsia="zh-CN"/>
              </w:rPr>
              <w:t>号　　　</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12,800.00　　</w:t>
            </w:r>
          </w:p>
        </w:tc>
        <w:tc>
          <w:tcPr>
            <w:tcW w:w="117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08</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17</w:t>
            </w:r>
            <w:r>
              <w:rPr>
                <w:rFonts w:ascii="Times New Roman" w:eastAsia="宋体" w:hAnsi="Times New Roman" w:cs="Times New Roman" w:hint="eastAsia"/>
                <w:noProof/>
                <w:kern w:val="2"/>
                <w:sz w:val="18"/>
                <w:szCs w:val="24"/>
                <w:lang w:val="en-US" w:eastAsia="zh-CN"/>
              </w:rPr>
              <w:t>日　　</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12,800.00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连带责任担保　</w:t>
            </w:r>
            <w:r>
              <w:rPr>
                <w:rFonts w:ascii="Courier New" w:eastAsia="Courier New" w:hAnsi="Courier New" w:cs="Courier New" w:hint="eastAsia"/>
                <w:i/>
                <w:noProof/>
                <w:color w:val="FFFFFF"/>
                <w:kern w:val="2"/>
                <w:sz w:val="36"/>
                <w:lang w:val="en-US" w:eastAsia="zh-CN"/>
              </w:rPr>
              <w:t>　　　</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1</w:t>
            </w:r>
            <w:r>
              <w:rPr>
                <w:rFonts w:ascii="Times New Roman" w:eastAsia="宋体" w:hAnsi="Times New Roman" w:cs="Times New Roman" w:hint="eastAsia"/>
                <w:noProof/>
                <w:kern w:val="2"/>
                <w:sz w:val="18"/>
                <w:szCs w:val="24"/>
                <w:lang w:val="en-US" w:eastAsia="zh-CN"/>
              </w:rPr>
              <w:t>年　　</w:t>
            </w:r>
          </w:p>
        </w:tc>
        <w:tc>
          <w:tcPr>
            <w:tcW w:w="97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否　　</w:t>
            </w:r>
          </w:p>
        </w:tc>
        <w:tc>
          <w:tcPr>
            <w:tcW w:w="118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是　　</w:t>
            </w:r>
          </w:p>
        </w:tc>
      </w:tr>
      <w:tr>
        <w:tblPrEx>
          <w:tblW w:w="0" w:type="auto"/>
          <w:tblInd w:w="28" w:type="dxa"/>
          <w:tblLayout w:type="fixed"/>
          <w:tblCellMar>
            <w:left w:w="28" w:type="dxa"/>
            <w:right w:w="28" w:type="dxa"/>
          </w:tblCellMar>
          <w:tblLook w:val="04A0"/>
        </w:tblPrEx>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〔中色〕宁夏东方集团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4</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20</w:t>
            </w:r>
            <w:r>
              <w:rPr>
                <w:rFonts w:ascii="Times New Roman" w:eastAsia="宋体" w:hAnsi="Times New Roman" w:cs="Times New Roman" w:hint="eastAsia"/>
                <w:noProof/>
                <w:kern w:val="2"/>
                <w:sz w:val="18"/>
                <w:szCs w:val="24"/>
                <w:lang w:val="en-US" w:eastAsia="zh-CN"/>
              </w:rPr>
              <w:t>日</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编号</w:t>
            </w:r>
            <w:r>
              <w:rPr>
                <w:rFonts w:ascii="Times New Roman" w:eastAsia="宋体" w:hAnsi="Times New Roman" w:cs="Times New Roman" w:hint="default"/>
                <w:noProof/>
                <w:kern w:val="2"/>
                <w:sz w:val="18"/>
                <w:szCs w:val="24"/>
                <w:lang w:val="en-US" w:eastAsia="zh-CN"/>
              </w:rPr>
              <w:t>2021-014</w:t>
            </w:r>
            <w:r>
              <w:rPr>
                <w:rFonts w:ascii="Times New Roman" w:eastAsia="宋体" w:hAnsi="Times New Roman" w:cs="Times New Roman" w:hint="eastAsia"/>
                <w:noProof/>
                <w:kern w:val="2"/>
                <w:sz w:val="18"/>
                <w:szCs w:val="24"/>
                <w:lang w:val="en-US" w:eastAsia="zh-CN"/>
              </w:rPr>
              <w:t>号　　</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9,600.00　　　</w:t>
            </w:r>
          </w:p>
        </w:tc>
        <w:tc>
          <w:tcPr>
            <w:tcW w:w="117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04</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22</w:t>
            </w:r>
            <w:r>
              <w:rPr>
                <w:rFonts w:ascii="Times New Roman" w:eastAsia="宋体" w:hAnsi="Times New Roman" w:cs="Times New Roman" w:hint="eastAsia"/>
                <w:noProof/>
                <w:kern w:val="2"/>
                <w:sz w:val="18"/>
                <w:szCs w:val="24"/>
                <w:lang w:val="en-US" w:eastAsia="zh-CN"/>
              </w:rPr>
              <w:t>日　　　</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9,600.00　</w:t>
            </w:r>
            <w:r>
              <w:rPr>
                <w:rFonts w:ascii="Courier New" w:eastAsia="Courier New" w:hAnsi="Courier New" w:cs="Courier New" w:hint="eastAsia"/>
                <w:i/>
                <w:noProof/>
                <w:color w:val="FFFFFF"/>
                <w:kern w:val="2"/>
                <w:sz w:val="36"/>
                <w:lang w:val="en-US" w:eastAsia="zh-CN"/>
              </w:rPr>
              <w:t>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连带责任担保　　　　</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1</w:t>
            </w:r>
            <w:r>
              <w:rPr>
                <w:rFonts w:ascii="Times New Roman" w:eastAsia="宋体" w:hAnsi="Times New Roman" w:cs="Times New Roman" w:hint="eastAsia"/>
                <w:noProof/>
                <w:kern w:val="2"/>
                <w:sz w:val="18"/>
                <w:szCs w:val="24"/>
                <w:lang w:val="en-US" w:eastAsia="zh-CN"/>
              </w:rPr>
              <w:t>年</w:t>
            </w:r>
            <w:r>
              <w:rPr>
                <w:rFonts w:ascii="Courier New" w:eastAsia="Courier New" w:hAnsi="Courier New" w:cs="Courier New" w:hint="eastAsia"/>
                <w:i/>
                <w:noProof/>
                <w:color w:val="FFFFFF"/>
                <w:kern w:val="2"/>
                <w:sz w:val="36"/>
                <w:lang w:val="en-US" w:eastAsia="zh-CN"/>
              </w:rPr>
              <w:t>　　　　　　</w:t>
            </w:r>
          </w:p>
        </w:tc>
        <w:tc>
          <w:tcPr>
            <w:tcW w:w="97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是　　　　</w:t>
            </w:r>
          </w:p>
        </w:tc>
        <w:tc>
          <w:tcPr>
            <w:tcW w:w="118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是　　　</w:t>
            </w:r>
          </w:p>
        </w:tc>
      </w:tr>
      <w:tr>
        <w:tblPrEx>
          <w:tblW w:w="0" w:type="auto"/>
          <w:tblInd w:w="28" w:type="dxa"/>
          <w:tblLayout w:type="fixed"/>
          <w:tblCellMar>
            <w:left w:w="28" w:type="dxa"/>
            <w:right w:w="28" w:type="dxa"/>
          </w:tblCellMar>
          <w:tblLook w:val="04A0"/>
        </w:tblPrEx>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〔中色〕宁夏东方集团</w:t>
            </w:r>
            <w:r>
              <w:rPr>
                <w:rFonts w:ascii="Courier New" w:eastAsia="Courier New" w:hAnsi="Courier New" w:cs="Courier New" w:hint="eastAsia"/>
                <w:i/>
                <w:noProof/>
                <w:color w:val="FFFFFF"/>
                <w:kern w:val="2"/>
                <w:sz w:val="36"/>
                <w:lang w:val="en-US" w:eastAsia="zh-CN"/>
              </w:rPr>
              <w:t>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4</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20</w:t>
            </w:r>
            <w:r>
              <w:rPr>
                <w:rFonts w:ascii="Times New Roman" w:eastAsia="宋体" w:hAnsi="Times New Roman" w:cs="Times New Roman" w:hint="eastAsia"/>
                <w:noProof/>
                <w:kern w:val="2"/>
                <w:sz w:val="18"/>
                <w:szCs w:val="24"/>
                <w:lang w:val="en-US" w:eastAsia="zh-CN"/>
              </w:rPr>
              <w:t>日</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编号</w:t>
            </w:r>
            <w:r>
              <w:rPr>
                <w:rFonts w:ascii="Times New Roman" w:eastAsia="宋体" w:hAnsi="Times New Roman" w:cs="Times New Roman" w:hint="default"/>
                <w:noProof/>
                <w:kern w:val="2"/>
                <w:sz w:val="18"/>
                <w:szCs w:val="24"/>
                <w:lang w:val="en-US" w:eastAsia="zh-CN"/>
              </w:rPr>
              <w:t>2021-014</w:t>
            </w:r>
            <w:r>
              <w:rPr>
                <w:rFonts w:ascii="Times New Roman" w:eastAsia="宋体" w:hAnsi="Times New Roman" w:cs="Times New Roman" w:hint="eastAsia"/>
                <w:noProof/>
                <w:kern w:val="2"/>
                <w:sz w:val="18"/>
                <w:szCs w:val="24"/>
                <w:lang w:val="en-US" w:eastAsia="zh-CN"/>
              </w:rPr>
              <w:t>号　　</w:t>
            </w:r>
            <w:r>
              <w:rPr>
                <w:rFonts w:ascii="Courier New" w:eastAsia="Courier New" w:hAnsi="Courier New" w:cs="Courier New" w:hint="eastAsia"/>
                <w:i/>
                <w:noProof/>
                <w:color w:val="FFFFFF"/>
                <w:kern w:val="2"/>
                <w:sz w:val="36"/>
                <w:lang w:val="en-US" w:eastAsia="zh-CN"/>
              </w:rPr>
              <w:t>　　　</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10,000.00　　</w:t>
            </w:r>
            <w:r>
              <w:rPr>
                <w:rFonts w:ascii="Courier New" w:eastAsia="Courier New" w:hAnsi="Courier New" w:cs="Courier New" w:hint="eastAsia"/>
                <w:i/>
                <w:noProof/>
                <w:color w:val="FFFFFF"/>
                <w:kern w:val="2"/>
                <w:sz w:val="36"/>
                <w:lang w:val="en-US" w:eastAsia="zh-CN"/>
              </w:rPr>
              <w:t>　　　</w:t>
            </w:r>
          </w:p>
        </w:tc>
        <w:tc>
          <w:tcPr>
            <w:tcW w:w="117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06</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25</w:t>
            </w:r>
            <w:r>
              <w:rPr>
                <w:rFonts w:ascii="Times New Roman" w:eastAsia="宋体" w:hAnsi="Times New Roman" w:cs="Times New Roman" w:hint="eastAsia"/>
                <w:noProof/>
                <w:kern w:val="2"/>
                <w:sz w:val="18"/>
                <w:szCs w:val="24"/>
                <w:lang w:val="en-US" w:eastAsia="zh-CN"/>
              </w:rPr>
              <w:t>日　　　</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5,000.00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连带责任担保</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1</w:t>
            </w:r>
            <w:r>
              <w:rPr>
                <w:rFonts w:ascii="Times New Roman" w:eastAsia="宋体" w:hAnsi="Times New Roman" w:cs="Times New Roman" w:hint="eastAsia"/>
                <w:noProof/>
                <w:kern w:val="2"/>
                <w:sz w:val="18"/>
                <w:szCs w:val="24"/>
                <w:lang w:val="en-US" w:eastAsia="zh-CN"/>
              </w:rPr>
              <w:t>年</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7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是</w:t>
            </w:r>
            <w:r>
              <w:rPr>
                <w:rFonts w:ascii="Courier New" w:eastAsia="Courier New" w:hAnsi="Courier New" w:cs="Courier New" w:hint="eastAsia"/>
                <w:i/>
                <w:noProof/>
                <w:color w:val="FFFFFF"/>
                <w:kern w:val="2"/>
                <w:sz w:val="36"/>
                <w:lang w:val="en-US" w:eastAsia="zh-CN"/>
              </w:rPr>
              <w:t>　　　　　　</w:t>
            </w:r>
          </w:p>
        </w:tc>
        <w:tc>
          <w:tcPr>
            <w:tcW w:w="118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是　　　</w:t>
            </w:r>
          </w:p>
        </w:tc>
      </w:tr>
      <w:tr>
        <w:tblPrEx>
          <w:tblW w:w="0" w:type="auto"/>
          <w:tblInd w:w="28" w:type="dxa"/>
          <w:tblLayout w:type="fixed"/>
          <w:tblCellMar>
            <w:left w:w="28" w:type="dxa"/>
            <w:right w:w="28" w:type="dxa"/>
          </w:tblCellMar>
          <w:tblLook w:val="04A0"/>
        </w:tblPrEx>
        <w:tc>
          <w:tcPr>
            <w:tcW w:w="2457" w:type="dxa"/>
            <w:gridSpan w:val="3"/>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报告期内审批的对外担保额度合计〔</w:t>
            </w:r>
            <w:r>
              <w:rPr>
                <w:rFonts w:ascii="Times New Roman" w:eastAsia="宋体" w:hAnsi="Times New Roman" w:cs="Times New Roman" w:hint="default"/>
                <w:noProof/>
                <w:kern w:val="2"/>
                <w:sz w:val="18"/>
                <w:szCs w:val="24"/>
                <w:lang w:val="en-US" w:eastAsia="zh-CN"/>
              </w:rPr>
              <w:t>A1</w:t>
            </w:r>
            <w:r>
              <w:rPr>
                <w:rFonts w:ascii="Times New Roman" w:eastAsia="宋体" w:hAnsi="Times New Roman" w:cs="Times New Roman" w:hint="eastAsia"/>
                <w:noProof/>
                <w:kern w:val="2"/>
                <w:sz w:val="18"/>
                <w:szCs w:val="24"/>
                <w:lang w:val="en-US" w:eastAsia="zh-CN"/>
              </w:rPr>
              <w:t>〕</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4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　　　</w:t>
            </w:r>
          </w:p>
        </w:tc>
        <w:tc>
          <w:tcPr>
            <w:tcW w:w="2457" w:type="dxa"/>
            <w:gridSpan w:val="3"/>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报告期内对外担保实际发生额合计〔</w:t>
            </w:r>
            <w:r>
              <w:rPr>
                <w:rFonts w:ascii="Times New Roman" w:eastAsia="宋体" w:hAnsi="Times New Roman" w:cs="Times New Roman" w:hint="default"/>
                <w:noProof/>
                <w:kern w:val="2"/>
                <w:sz w:val="18"/>
                <w:szCs w:val="24"/>
                <w:lang w:val="en-US" w:eastAsia="zh-CN"/>
              </w:rPr>
              <w:t>A2</w:t>
            </w:r>
            <w:r>
              <w:rPr>
                <w:rFonts w:ascii="Times New Roman" w:eastAsia="宋体" w:hAnsi="Times New Roman" w:cs="Times New Roman" w:hint="eastAsia"/>
                <w:noProof/>
                <w:kern w:val="2"/>
                <w:sz w:val="18"/>
                <w:szCs w:val="24"/>
                <w:lang w:val="en-US" w:eastAsia="zh-CN"/>
              </w:rPr>
              <w:t>〕　　</w:t>
            </w:r>
          </w:p>
        </w:tc>
        <w:tc>
          <w:tcPr>
            <w:tcW w:w="24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2457" w:type="dxa"/>
            <w:gridSpan w:val="3"/>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报告期末已审批的对外担保额度合计〔</w:t>
            </w:r>
            <w:r>
              <w:rPr>
                <w:rFonts w:ascii="Times New Roman" w:eastAsia="宋体" w:hAnsi="Times New Roman" w:cs="Times New Roman" w:hint="default"/>
                <w:noProof/>
                <w:kern w:val="2"/>
                <w:sz w:val="18"/>
                <w:szCs w:val="24"/>
                <w:lang w:val="en-US" w:eastAsia="zh-CN"/>
              </w:rPr>
              <w:t>A3</w:t>
            </w: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24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60,000.00　　　　</w:t>
            </w:r>
          </w:p>
        </w:tc>
        <w:tc>
          <w:tcPr>
            <w:tcW w:w="2457" w:type="dxa"/>
            <w:gridSpan w:val="3"/>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报告期末实际对外担保余额合计〔</w:t>
            </w:r>
            <w:r>
              <w:rPr>
                <w:rFonts w:ascii="Times New Roman" w:eastAsia="宋体" w:hAnsi="Times New Roman" w:cs="Times New Roman" w:hint="default"/>
                <w:noProof/>
                <w:kern w:val="2"/>
                <w:sz w:val="18"/>
                <w:szCs w:val="24"/>
                <w:lang w:val="en-US" w:eastAsia="zh-CN"/>
              </w:rPr>
              <w:t>A4</w:t>
            </w:r>
            <w:r>
              <w:rPr>
                <w:rFonts w:ascii="Times New Roman" w:eastAsia="宋体" w:hAnsi="Times New Roman" w:cs="Times New Roman" w:hint="eastAsia"/>
                <w:noProof/>
                <w:kern w:val="2"/>
                <w:sz w:val="18"/>
                <w:szCs w:val="24"/>
                <w:lang w:val="en-US" w:eastAsia="zh-CN"/>
              </w:rPr>
              <w:t>〕　　　</w:t>
            </w:r>
          </w:p>
        </w:tc>
        <w:tc>
          <w:tcPr>
            <w:tcW w:w="24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12,800.00　　　</w:t>
            </w:r>
          </w:p>
        </w:tc>
      </w:tr>
      <w:tr>
        <w:tblPrEx>
          <w:tblW w:w="0" w:type="auto"/>
          <w:tblInd w:w="28" w:type="dxa"/>
          <w:tblLayout w:type="fixed"/>
          <w:tblCellMar>
            <w:left w:w="28" w:type="dxa"/>
            <w:right w:w="28" w:type="dxa"/>
          </w:tblCellMar>
          <w:tblLook w:val="04A0"/>
        </w:tblPrEx>
        <w:tc>
          <w:tcPr>
            <w:tcW w:w="9828" w:type="dxa"/>
            <w:gridSpan w:val="12"/>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公司对子公司的担保情况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130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担保对象名称</w:t>
            </w:r>
            <w:r>
              <w:rPr>
                <w:rFonts w:ascii="Courier New" w:eastAsia="Courier New" w:hAnsi="Courier New" w:cs="Courier New" w:hint="eastAsia"/>
                <w:i/>
                <w:noProof/>
                <w:color w:val="FFFFFF"/>
                <w:kern w:val="2"/>
                <w:sz w:val="36"/>
                <w:lang w:val="en-US" w:eastAsia="zh-CN"/>
              </w:rPr>
              <w:t>　　　　　　</w:t>
            </w:r>
          </w:p>
        </w:tc>
        <w:tc>
          <w:tcPr>
            <w:tcW w:w="104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担保额度相关公告披露日和编号　　　　</w:t>
            </w:r>
          </w:p>
        </w:tc>
        <w:tc>
          <w:tcPr>
            <w:tcW w:w="1040" w:type="dxa"/>
            <w:gridSpan w:val="2"/>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担保额度　　</w:t>
            </w:r>
            <w:r>
              <w:rPr>
                <w:rFonts w:ascii="Courier New" w:eastAsia="Courier New" w:hAnsi="Courier New" w:cs="Courier New" w:hint="eastAsia"/>
                <w:i/>
                <w:noProof/>
                <w:color w:val="FFFFFF"/>
                <w:kern w:val="2"/>
                <w:sz w:val="36"/>
                <w:lang w:val="en-US" w:eastAsia="zh-CN"/>
              </w:rPr>
              <w:t>　　　</w:t>
            </w:r>
          </w:p>
        </w:tc>
        <w:tc>
          <w:tcPr>
            <w:tcW w:w="117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实际发生日期〔协议签署日〕　　　</w:t>
            </w:r>
          </w:p>
        </w:tc>
        <w:tc>
          <w:tcPr>
            <w:tcW w:w="1040" w:type="dxa"/>
            <w:gridSpan w:val="2"/>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实际担保金额　　　</w:t>
            </w:r>
          </w:p>
        </w:tc>
        <w:tc>
          <w:tcPr>
            <w:tcW w:w="104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担保类型　</w:t>
            </w:r>
            <w:r>
              <w:rPr>
                <w:rFonts w:ascii="Courier New" w:eastAsia="Courier New" w:hAnsi="Courier New" w:cs="Courier New" w:hint="eastAsia"/>
                <w:i/>
                <w:noProof/>
                <w:color w:val="FFFFFF"/>
                <w:kern w:val="2"/>
                <w:sz w:val="36"/>
                <w:lang w:val="en-US" w:eastAsia="zh-CN"/>
              </w:rPr>
              <w:t>　　　</w:t>
            </w:r>
          </w:p>
        </w:tc>
        <w:tc>
          <w:tcPr>
            <w:tcW w:w="1040" w:type="dxa"/>
            <w:gridSpan w:val="2"/>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担保期　　　　</w:t>
            </w:r>
          </w:p>
        </w:tc>
        <w:tc>
          <w:tcPr>
            <w:tcW w:w="97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是否履行完毕　　</w:t>
            </w:r>
            <w:r>
              <w:rPr>
                <w:rFonts w:ascii="Courier New" w:eastAsia="Courier New" w:hAnsi="Courier New" w:cs="Courier New" w:hint="eastAsia"/>
                <w:i/>
                <w:noProof/>
                <w:color w:val="FFFFFF"/>
                <w:kern w:val="2"/>
                <w:sz w:val="36"/>
                <w:lang w:val="en-US" w:eastAsia="zh-CN"/>
              </w:rPr>
              <w:t>　　　</w:t>
            </w:r>
          </w:p>
        </w:tc>
        <w:tc>
          <w:tcPr>
            <w:tcW w:w="1183"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是否为关联方担保〔是或否〕　　</w:t>
            </w:r>
          </w:p>
        </w:tc>
      </w:tr>
      <w:tr>
        <w:tblPrEx>
          <w:tblW w:w="0" w:type="auto"/>
          <w:tblInd w:w="28" w:type="dxa"/>
          <w:tblLayout w:type="fixed"/>
          <w:tblCellMar>
            <w:left w:w="28" w:type="dxa"/>
            <w:right w:w="28" w:type="dxa"/>
          </w:tblCellMar>
          <w:tblLook w:val="04A0"/>
        </w:tblPrEx>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宁夏东方南兴研磨材料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4</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20</w:t>
            </w:r>
            <w:r>
              <w:rPr>
                <w:rFonts w:ascii="Times New Roman" w:eastAsia="宋体" w:hAnsi="Times New Roman" w:cs="Times New Roman" w:hint="eastAsia"/>
                <w:noProof/>
                <w:kern w:val="2"/>
                <w:sz w:val="18"/>
                <w:szCs w:val="24"/>
                <w:lang w:val="en-US" w:eastAsia="zh-CN"/>
              </w:rPr>
              <w:t>日</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编号</w:t>
            </w:r>
            <w:r>
              <w:rPr>
                <w:rFonts w:ascii="Times New Roman" w:eastAsia="宋体" w:hAnsi="Times New Roman" w:cs="Times New Roman" w:hint="default"/>
                <w:noProof/>
                <w:kern w:val="2"/>
                <w:sz w:val="18"/>
                <w:szCs w:val="24"/>
                <w:lang w:val="en-US" w:eastAsia="zh-CN"/>
              </w:rPr>
              <w:t>2021-014</w:t>
            </w:r>
            <w:r>
              <w:rPr>
                <w:rFonts w:ascii="Times New Roman" w:eastAsia="宋体" w:hAnsi="Times New Roman" w:cs="Times New Roman" w:hint="eastAsia"/>
                <w:noProof/>
                <w:kern w:val="2"/>
                <w:sz w:val="18"/>
                <w:szCs w:val="24"/>
                <w:lang w:val="en-US" w:eastAsia="zh-CN"/>
              </w:rPr>
              <w:t>号　</w:t>
            </w:r>
            <w:r>
              <w:rPr>
                <w:rFonts w:ascii="Courier New" w:eastAsia="Courier New" w:hAnsi="Courier New" w:cs="Courier New" w:hint="eastAsia"/>
                <w:i/>
                <w:noProof/>
                <w:color w:val="FFFFFF"/>
                <w:kern w:val="2"/>
                <w:sz w:val="36"/>
                <w:lang w:val="en-US" w:eastAsia="zh-CN"/>
              </w:rPr>
              <w:t>　　　</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7,000.00　　　</w:t>
            </w:r>
          </w:p>
        </w:tc>
        <w:tc>
          <w:tcPr>
            <w:tcW w:w="117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02</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21</w:t>
            </w:r>
            <w:r>
              <w:rPr>
                <w:rFonts w:ascii="Times New Roman" w:eastAsia="宋体" w:hAnsi="Times New Roman" w:cs="Times New Roman" w:hint="eastAsia"/>
                <w:noProof/>
                <w:kern w:val="2"/>
                <w:sz w:val="18"/>
                <w:szCs w:val="24"/>
                <w:lang w:val="en-US" w:eastAsia="zh-CN"/>
              </w:rPr>
              <w:t>日　　</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5,600.00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连带责任担保</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1</w:t>
            </w:r>
            <w:r>
              <w:rPr>
                <w:rFonts w:ascii="Times New Roman" w:eastAsia="宋体" w:hAnsi="Times New Roman" w:cs="Times New Roman" w:hint="eastAsia"/>
                <w:noProof/>
                <w:kern w:val="2"/>
                <w:sz w:val="18"/>
                <w:szCs w:val="24"/>
                <w:lang w:val="en-US" w:eastAsia="zh-CN"/>
              </w:rPr>
              <w:t>年　　　　</w:t>
            </w:r>
          </w:p>
        </w:tc>
        <w:tc>
          <w:tcPr>
            <w:tcW w:w="97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否　　　　</w:t>
            </w:r>
          </w:p>
        </w:tc>
        <w:tc>
          <w:tcPr>
            <w:tcW w:w="118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是　　　</w:t>
            </w:r>
          </w:p>
        </w:tc>
      </w:tr>
      <w:tr>
        <w:tblPrEx>
          <w:tblW w:w="0" w:type="auto"/>
          <w:tblInd w:w="28" w:type="dxa"/>
          <w:tblLayout w:type="fixed"/>
          <w:tblCellMar>
            <w:left w:w="28" w:type="dxa"/>
            <w:right w:w="28" w:type="dxa"/>
          </w:tblCellMar>
          <w:tblLook w:val="04A0"/>
        </w:tblPrEx>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宁夏东方南兴研磨材料</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4</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20</w:t>
            </w:r>
            <w:r>
              <w:rPr>
                <w:rFonts w:ascii="Times New Roman" w:eastAsia="宋体" w:hAnsi="Times New Roman" w:cs="Times New Roman" w:hint="eastAsia"/>
                <w:noProof/>
                <w:kern w:val="2"/>
                <w:sz w:val="18"/>
                <w:szCs w:val="24"/>
                <w:lang w:val="en-US" w:eastAsia="zh-CN"/>
              </w:rPr>
              <w:t>日</w:t>
            </w:r>
            <w:r>
              <w:rPr>
                <w:rFonts w:ascii="Times New Roman" w:eastAsia="宋体" w:hAnsi="Times New Roman" w:cs="Times New Roman" w:hint="default"/>
                <w:noProof/>
                <w:kern w:val="2"/>
                <w:sz w:val="18"/>
                <w:szCs w:val="24"/>
                <w:lang w:val="en-US" w:eastAsia="zh-CN"/>
              </w:rPr>
              <w:t>,</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5,000.00　　</w:t>
            </w:r>
          </w:p>
        </w:tc>
        <w:tc>
          <w:tcPr>
            <w:tcW w:w="117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06</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09</w:t>
            </w:r>
            <w:r>
              <w:rPr>
                <w:rFonts w:ascii="Times New Roman" w:eastAsia="宋体" w:hAnsi="Times New Roman" w:cs="Times New Roman" w:hint="eastAsia"/>
                <w:noProof/>
                <w:kern w:val="2"/>
                <w:sz w:val="18"/>
                <w:szCs w:val="24"/>
                <w:lang w:val="en-US" w:eastAsia="zh-CN"/>
              </w:rPr>
              <w:t>日</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3,750.00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连带责任担保　</w:t>
            </w:r>
            <w:r>
              <w:rPr>
                <w:rFonts w:ascii="Courier New" w:eastAsia="Courier New" w:hAnsi="Courier New" w:cs="Courier New" w:hint="eastAsia"/>
                <w:i/>
                <w:noProof/>
                <w:color w:val="FFFFFF"/>
                <w:kern w:val="2"/>
                <w:sz w:val="36"/>
                <w:lang w:val="en-US" w:eastAsia="zh-CN"/>
              </w:rPr>
              <w:t>　　　</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4</w:t>
            </w:r>
            <w:r>
              <w:rPr>
                <w:rFonts w:ascii="Times New Roman" w:eastAsia="宋体" w:hAnsi="Times New Roman" w:cs="Times New Roman" w:hint="eastAsia"/>
                <w:noProof/>
                <w:kern w:val="2"/>
                <w:sz w:val="18"/>
                <w:szCs w:val="24"/>
                <w:lang w:val="en-US" w:eastAsia="zh-CN"/>
              </w:rPr>
              <w:t>年</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97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否　　　</w:t>
            </w:r>
          </w:p>
        </w:tc>
        <w:tc>
          <w:tcPr>
            <w:tcW w:w="118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是　</w:t>
            </w:r>
            <w:r>
              <w:rPr>
                <w:rFonts w:ascii="Courier New" w:eastAsia="Courier New" w:hAnsi="Courier New" w:cs="Courier New" w:hint="eastAsia"/>
                <w:i/>
                <w:noProof/>
                <w:color w:val="FFFFFF"/>
                <w:kern w:val="2"/>
                <w:sz w:val="36"/>
                <w:lang w:val="en-US" w:eastAsia="zh-CN"/>
              </w:rPr>
              <w:t>　　　</w:t>
            </w:r>
          </w:p>
        </w:tc>
      </w:tr>
    </w:tbl>
    <w:p>
      <w:pPr>
        <w:sectPr>
          <w:type w:val="nextPage"/>
          <w:pgSz w:w="11906" w:h="16838"/>
          <w:pgMar w:top="1440" w:right="1134" w:bottom="1440" w:left="1134" w:header="708" w:footer="708" w:gutter="0"/>
          <w:pgNumType w:start="6"/>
          <w:cols w:space="708"/>
          <w:titlePg w:val="0"/>
        </w:sectPr>
      </w:pPr>
    </w:p>
    <w:tbl>
      <w:tblPr>
        <w:tblStyle w:val="TableNormal"/>
        <w:tblW w:w="0" w:type="auto"/>
        <w:tblInd w:w="28" w:type="dxa"/>
        <w:tblLayout w:type="fixed"/>
        <w:tblCellMar>
          <w:left w:w="28" w:type="dxa"/>
          <w:right w:w="28" w:type="dxa"/>
        </w:tblCellMar>
        <w:tblLook w:val="04A0"/>
      </w:tblPr>
      <w:tblGrid>
        <w:gridCol w:w="1300"/>
        <w:gridCol w:w="1040"/>
        <w:gridCol w:w="117"/>
        <w:gridCol w:w="923"/>
        <w:gridCol w:w="1170"/>
        <w:gridCol w:w="364"/>
        <w:gridCol w:w="286"/>
        <w:gridCol w:w="390"/>
        <w:gridCol w:w="1040"/>
        <w:gridCol w:w="741"/>
        <w:gridCol w:w="299"/>
        <w:gridCol w:w="975"/>
        <w:gridCol w:w="1183"/>
      </w:tblGrid>
      <w:tr>
        <w:tblPrEx>
          <w:tblW w:w="0" w:type="auto"/>
          <w:tblInd w:w="28" w:type="dxa"/>
          <w:tblLayout w:type="fixed"/>
          <w:tblCellMar>
            <w:left w:w="28" w:type="dxa"/>
            <w:right w:w="28" w:type="dxa"/>
          </w:tblCellMar>
          <w:tblLook w:val="04A0"/>
        </w:tblPrEx>
        <w:tc>
          <w:tcPr>
            <w:tcW w:w="1300" w:type="dxa"/>
            <w:tcBorders>
              <w:top w:val="single" w:sz="4" w:space="0" w:color="auto"/>
              <w:left w:val="single" w:sz="4" w:space="0" w:color="auto"/>
              <w:bottom w:val="single" w:sz="4" w:space="0" w:color="auto"/>
              <w:right w:val="single" w:sz="4" w:space="0" w:color="auto"/>
            </w:tcBorders>
            <w:vAlign w:val="center"/>
          </w:tcP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编号</w:t>
            </w:r>
            <w:r>
              <w:rPr>
                <w:rFonts w:ascii="Times New Roman" w:eastAsia="宋体" w:hAnsi="Times New Roman" w:cs="Times New Roman" w:hint="default"/>
                <w:noProof/>
                <w:kern w:val="2"/>
                <w:sz w:val="18"/>
                <w:szCs w:val="24"/>
                <w:lang w:val="en-US" w:eastAsia="zh-CN"/>
              </w:rPr>
              <w:t>2021-014</w:t>
            </w:r>
            <w:r>
              <w:rPr>
                <w:rFonts w:ascii="Times New Roman" w:eastAsia="宋体" w:hAnsi="Times New Roman" w:cs="Times New Roman" w:hint="eastAsia"/>
                <w:noProof/>
                <w:kern w:val="2"/>
                <w:sz w:val="18"/>
                <w:szCs w:val="24"/>
                <w:lang w:val="en-US" w:eastAsia="zh-CN"/>
              </w:rPr>
              <w:t>号</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040" w:type="dxa"/>
            <w:gridSpan w:val="2"/>
            <w:tcBorders>
              <w:top w:val="single" w:sz="4" w:space="0" w:color="auto"/>
              <w:left w:val="single" w:sz="4" w:space="0" w:color="auto"/>
              <w:bottom w:val="single" w:sz="4" w:space="0" w:color="auto"/>
              <w:right w:val="single" w:sz="4" w:space="0" w:color="auto"/>
            </w:tcBorders>
            <w:vAlign w:val="center"/>
          </w:tcPr>
          <w:p/>
        </w:tc>
        <w:tc>
          <w:tcPr>
            <w:tcW w:w="1170" w:type="dxa"/>
            <w:tcBorders>
              <w:top w:val="single" w:sz="4" w:space="0" w:color="auto"/>
              <w:left w:val="single" w:sz="4" w:space="0" w:color="auto"/>
              <w:bottom w:val="single" w:sz="4" w:space="0" w:color="auto"/>
              <w:right w:val="single" w:sz="4" w:space="0" w:color="auto"/>
            </w:tcBorders>
            <w:vAlign w:val="center"/>
          </w:tcPr>
          <w:p/>
        </w:tc>
        <w:tc>
          <w:tcPr>
            <w:tcW w:w="1040" w:type="dxa"/>
            <w:gridSpan w:val="3"/>
            <w:tcBorders>
              <w:top w:val="single" w:sz="4" w:space="0" w:color="auto"/>
              <w:left w:val="single" w:sz="4" w:space="0" w:color="auto"/>
              <w:bottom w:val="single" w:sz="4" w:space="0" w:color="auto"/>
              <w:right w:val="single" w:sz="4" w:space="0" w:color="auto"/>
            </w:tcBorders>
            <w:vAlign w:val="center"/>
          </w:tcPr>
          <w:p/>
        </w:tc>
        <w:tc>
          <w:tcPr>
            <w:tcW w:w="1040" w:type="dxa"/>
            <w:tcBorders>
              <w:top w:val="single" w:sz="4" w:space="0" w:color="auto"/>
              <w:left w:val="single" w:sz="4" w:space="0" w:color="auto"/>
              <w:bottom w:val="single" w:sz="4" w:space="0" w:color="auto"/>
              <w:right w:val="single" w:sz="4" w:space="0" w:color="auto"/>
            </w:tcBorders>
            <w:vAlign w:val="center"/>
          </w:tcPr>
          <w:p/>
        </w:tc>
        <w:tc>
          <w:tcPr>
            <w:tcW w:w="1040" w:type="dxa"/>
            <w:gridSpan w:val="2"/>
            <w:tcBorders>
              <w:top w:val="single" w:sz="4" w:space="0" w:color="auto"/>
              <w:left w:val="single" w:sz="4" w:space="0" w:color="auto"/>
              <w:bottom w:val="single" w:sz="4" w:space="0" w:color="auto"/>
              <w:right w:val="single" w:sz="4" w:space="0" w:color="auto"/>
            </w:tcBorders>
            <w:vAlign w:val="center"/>
          </w:tcPr>
          <w:p/>
        </w:tc>
        <w:tc>
          <w:tcPr>
            <w:tcW w:w="975" w:type="dxa"/>
            <w:tcBorders>
              <w:top w:val="single" w:sz="4" w:space="0" w:color="auto"/>
              <w:left w:val="single" w:sz="4" w:space="0" w:color="auto"/>
              <w:bottom w:val="single" w:sz="4" w:space="0" w:color="auto"/>
              <w:right w:val="single" w:sz="4" w:space="0" w:color="auto"/>
            </w:tcBorders>
            <w:vAlign w:val="center"/>
          </w:tcPr>
          <w:p/>
        </w:tc>
        <w:tc>
          <w:tcPr>
            <w:tcW w:w="1183" w:type="dxa"/>
            <w:tcBorders>
              <w:top w:val="single" w:sz="4" w:space="0" w:color="auto"/>
              <w:left w:val="single" w:sz="4" w:space="0" w:color="auto"/>
              <w:bottom w:val="single" w:sz="4" w:space="0" w:color="auto"/>
              <w:right w:val="single" w:sz="4" w:space="0" w:color="auto"/>
            </w:tcBorders>
            <w:vAlign w:val="center"/>
          </w:tcPr>
          <w:p/>
        </w:tc>
      </w:tr>
      <w:tr>
        <w:tblPrEx>
          <w:tblW w:w="0" w:type="auto"/>
          <w:tblInd w:w="28" w:type="dxa"/>
          <w:tblLayout w:type="fixed"/>
          <w:tblCellMar>
            <w:left w:w="28" w:type="dxa"/>
            <w:right w:w="28" w:type="dxa"/>
          </w:tblCellMar>
          <w:tblLook w:val="04A0"/>
        </w:tblPrEx>
        <w:tc>
          <w:tcPr>
            <w:tcW w:w="2457" w:type="dxa"/>
            <w:gridSpan w:val="3"/>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报告期内审批对子公司担保额度合计〔</w:t>
            </w:r>
            <w:r>
              <w:rPr>
                <w:rFonts w:ascii="Times New Roman" w:eastAsia="宋体" w:hAnsi="Times New Roman" w:cs="Times New Roman" w:hint="default"/>
                <w:noProof/>
                <w:kern w:val="2"/>
                <w:sz w:val="18"/>
                <w:szCs w:val="24"/>
                <w:lang w:val="en-US" w:eastAsia="zh-CN"/>
              </w:rPr>
              <w:t>B1</w:t>
            </w:r>
            <w:r>
              <w:rPr>
                <w:rFonts w:ascii="Times New Roman" w:eastAsia="宋体" w:hAnsi="Times New Roman" w:cs="Times New Roman" w:hint="eastAsia"/>
                <w:noProof/>
                <w:kern w:val="2"/>
                <w:sz w:val="18"/>
                <w:szCs w:val="24"/>
                <w:lang w:val="en-US" w:eastAsia="zh-CN"/>
              </w:rPr>
              <w:t>〕　　　</w:t>
            </w:r>
          </w:p>
        </w:tc>
        <w:tc>
          <w:tcPr>
            <w:tcW w:w="24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　　</w:t>
            </w:r>
          </w:p>
        </w:tc>
        <w:tc>
          <w:tcPr>
            <w:tcW w:w="2457" w:type="dxa"/>
            <w:gridSpan w:val="4"/>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报告期内对子公司担保实际发生额合计〔</w:t>
            </w:r>
            <w:r>
              <w:rPr>
                <w:rFonts w:ascii="Times New Roman" w:eastAsia="宋体" w:hAnsi="Times New Roman" w:cs="Times New Roman" w:hint="default"/>
                <w:noProof/>
                <w:kern w:val="2"/>
                <w:sz w:val="18"/>
                <w:szCs w:val="24"/>
                <w:lang w:val="en-US" w:eastAsia="zh-CN"/>
              </w:rPr>
              <w:t>B2</w:t>
            </w:r>
            <w:r>
              <w:rPr>
                <w:rFonts w:ascii="Times New Roman" w:eastAsia="宋体" w:hAnsi="Times New Roman" w:cs="Times New Roman" w:hint="eastAsia"/>
                <w:noProof/>
                <w:kern w:val="2"/>
                <w:sz w:val="18"/>
                <w:szCs w:val="24"/>
                <w:lang w:val="en-US" w:eastAsia="zh-CN"/>
              </w:rPr>
              <w:t>〕　　　</w:t>
            </w:r>
          </w:p>
        </w:tc>
        <w:tc>
          <w:tcPr>
            <w:tcW w:w="24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5,600.00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2457" w:type="dxa"/>
            <w:gridSpan w:val="3"/>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报告期末已审批的对子公司担保额度合计〔</w:t>
            </w:r>
            <w:r>
              <w:rPr>
                <w:rFonts w:ascii="Times New Roman" w:eastAsia="宋体" w:hAnsi="Times New Roman" w:cs="Times New Roman" w:hint="default"/>
                <w:noProof/>
                <w:kern w:val="2"/>
                <w:sz w:val="18"/>
                <w:szCs w:val="24"/>
                <w:lang w:val="en-US" w:eastAsia="zh-CN"/>
              </w:rPr>
              <w:t>B3</w:t>
            </w:r>
            <w:r>
              <w:rPr>
                <w:rFonts w:ascii="Times New Roman" w:eastAsia="宋体" w:hAnsi="Times New Roman" w:cs="Times New Roman" w:hint="eastAsia"/>
                <w:noProof/>
                <w:kern w:val="2"/>
                <w:sz w:val="18"/>
                <w:szCs w:val="24"/>
                <w:lang w:val="en-US" w:eastAsia="zh-CN"/>
              </w:rPr>
              <w:t>〕　　　</w:t>
            </w:r>
          </w:p>
        </w:tc>
        <w:tc>
          <w:tcPr>
            <w:tcW w:w="24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14,000.00　</w:t>
            </w:r>
            <w:r>
              <w:rPr>
                <w:rFonts w:ascii="Courier New" w:eastAsia="Courier New" w:hAnsi="Courier New" w:cs="Courier New" w:hint="eastAsia"/>
                <w:i/>
                <w:noProof/>
                <w:color w:val="FFFFFF"/>
                <w:kern w:val="2"/>
                <w:sz w:val="36"/>
                <w:lang w:val="en-US" w:eastAsia="zh-CN"/>
              </w:rPr>
              <w:t>　　　</w:t>
            </w:r>
          </w:p>
        </w:tc>
        <w:tc>
          <w:tcPr>
            <w:tcW w:w="2457" w:type="dxa"/>
            <w:gridSpan w:val="4"/>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报告期末对子公司实际担保余额合计〔</w:t>
            </w:r>
            <w:r>
              <w:rPr>
                <w:rFonts w:ascii="Times New Roman" w:eastAsia="宋体" w:hAnsi="Times New Roman" w:cs="Times New Roman" w:hint="default"/>
                <w:noProof/>
                <w:kern w:val="2"/>
                <w:sz w:val="18"/>
                <w:szCs w:val="24"/>
                <w:lang w:val="en-US" w:eastAsia="zh-CN"/>
              </w:rPr>
              <w:t>B4</w:t>
            </w:r>
            <w:r>
              <w:rPr>
                <w:rFonts w:ascii="Times New Roman" w:eastAsia="宋体" w:hAnsi="Times New Roman" w:cs="Times New Roman" w:hint="eastAsia"/>
                <w:noProof/>
                <w:kern w:val="2"/>
                <w:sz w:val="18"/>
                <w:szCs w:val="24"/>
                <w:lang w:val="en-US" w:eastAsia="zh-CN"/>
              </w:rPr>
              <w:t>〕</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4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9,350.00　　　</w:t>
            </w:r>
          </w:p>
        </w:tc>
      </w:tr>
      <w:tr>
        <w:tblPrEx>
          <w:tblW w:w="0" w:type="auto"/>
          <w:tblInd w:w="28" w:type="dxa"/>
          <w:tblLayout w:type="fixed"/>
          <w:tblCellMar>
            <w:left w:w="28" w:type="dxa"/>
            <w:right w:w="28" w:type="dxa"/>
          </w:tblCellMar>
          <w:tblLook w:val="04A0"/>
        </w:tblPrEx>
        <w:tc>
          <w:tcPr>
            <w:tcW w:w="9828" w:type="dxa"/>
            <w:gridSpan w:val="13"/>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公司担保总额〔即前两大项的合计〕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2457" w:type="dxa"/>
            <w:gridSpan w:val="3"/>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报告期内审批担保额度合计〔</w:t>
            </w:r>
            <w:r>
              <w:rPr>
                <w:rFonts w:ascii="Times New Roman" w:eastAsia="宋体" w:hAnsi="Times New Roman" w:cs="Times New Roman" w:hint="default"/>
                <w:noProof/>
                <w:kern w:val="2"/>
                <w:sz w:val="18"/>
                <w:szCs w:val="24"/>
                <w:lang w:val="en-US" w:eastAsia="zh-CN"/>
              </w:rPr>
              <w:t>A1+B1</w:t>
            </w:r>
            <w:r>
              <w:rPr>
                <w:rFonts w:ascii="Times New Roman" w:eastAsia="宋体" w:hAnsi="Times New Roman" w:cs="Times New Roman" w:hint="eastAsia"/>
                <w:noProof/>
                <w:kern w:val="2"/>
                <w:sz w:val="18"/>
                <w:szCs w:val="24"/>
                <w:lang w:val="en-US" w:eastAsia="zh-CN"/>
              </w:rPr>
              <w:t>〕</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4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　　　</w:t>
            </w:r>
          </w:p>
        </w:tc>
        <w:tc>
          <w:tcPr>
            <w:tcW w:w="2457" w:type="dxa"/>
            <w:gridSpan w:val="4"/>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报告期内担保实际发生额合计〔</w:t>
            </w:r>
            <w:r>
              <w:rPr>
                <w:rFonts w:ascii="Times New Roman" w:eastAsia="宋体" w:hAnsi="Times New Roman" w:cs="Times New Roman" w:hint="default"/>
                <w:noProof/>
                <w:kern w:val="2"/>
                <w:sz w:val="18"/>
                <w:szCs w:val="24"/>
                <w:lang w:val="en-US" w:eastAsia="zh-CN"/>
              </w:rPr>
              <w:t>A2+B2</w:t>
            </w: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24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5,600.00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2457" w:type="dxa"/>
            <w:gridSpan w:val="3"/>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报告期末已审批的担保额度合计〔</w:t>
            </w:r>
            <w:r>
              <w:rPr>
                <w:rFonts w:ascii="Times New Roman" w:eastAsia="宋体" w:hAnsi="Times New Roman" w:cs="Times New Roman" w:hint="default"/>
                <w:noProof/>
                <w:kern w:val="2"/>
                <w:sz w:val="18"/>
                <w:szCs w:val="24"/>
                <w:lang w:val="en-US" w:eastAsia="zh-CN"/>
              </w:rPr>
              <w:t>A3+B3</w:t>
            </w:r>
            <w:r>
              <w:rPr>
                <w:rFonts w:ascii="Times New Roman" w:eastAsia="宋体" w:hAnsi="Times New Roman" w:cs="Times New Roman" w:hint="eastAsia"/>
                <w:noProof/>
                <w:kern w:val="2"/>
                <w:sz w:val="18"/>
                <w:szCs w:val="24"/>
                <w:lang w:val="en-US" w:eastAsia="zh-CN"/>
              </w:rPr>
              <w:t>〕　　　</w:t>
            </w:r>
          </w:p>
        </w:tc>
        <w:tc>
          <w:tcPr>
            <w:tcW w:w="24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74,000.00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2457" w:type="dxa"/>
            <w:gridSpan w:val="4"/>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报告期末实际担保余额合计〔</w:t>
            </w:r>
            <w:r>
              <w:rPr>
                <w:rFonts w:ascii="Times New Roman" w:eastAsia="宋体" w:hAnsi="Times New Roman" w:cs="Times New Roman" w:hint="default"/>
                <w:noProof/>
                <w:kern w:val="2"/>
                <w:sz w:val="18"/>
                <w:szCs w:val="24"/>
                <w:lang w:val="en-US" w:eastAsia="zh-CN"/>
              </w:rPr>
              <w:t>A4+B4</w:t>
            </w:r>
            <w:r>
              <w:rPr>
                <w:rFonts w:ascii="Times New Roman" w:eastAsia="宋体" w:hAnsi="Times New Roman" w:cs="Times New Roman" w:hint="eastAsia"/>
                <w:noProof/>
                <w:kern w:val="2"/>
                <w:sz w:val="18"/>
                <w:szCs w:val="24"/>
                <w:lang w:val="en-US" w:eastAsia="zh-CN"/>
              </w:rPr>
              <w:t>〕</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4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22,150.00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5200" w:type="dxa"/>
            <w:gridSpan w:val="7"/>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实际担保总额〔即</w:t>
            </w:r>
            <w:r>
              <w:rPr>
                <w:rFonts w:ascii="Times New Roman" w:eastAsia="宋体" w:hAnsi="Times New Roman" w:cs="Times New Roman" w:hint="default"/>
                <w:noProof/>
                <w:kern w:val="2"/>
                <w:sz w:val="18"/>
                <w:szCs w:val="24"/>
                <w:lang w:val="en-US" w:eastAsia="zh-CN"/>
              </w:rPr>
              <w:t>A4+B4</w:t>
            </w:r>
            <w:r>
              <w:rPr>
                <w:rFonts w:ascii="Times New Roman" w:eastAsia="宋体" w:hAnsi="Times New Roman" w:cs="Times New Roman" w:hint="eastAsia"/>
                <w:noProof/>
                <w:kern w:val="2"/>
                <w:sz w:val="18"/>
                <w:szCs w:val="24"/>
                <w:lang w:val="en-US" w:eastAsia="zh-CN"/>
              </w:rPr>
              <w:t>〕占公司净资产的比例</w:t>
            </w:r>
            <w:r>
              <w:rPr>
                <w:rFonts w:ascii="Courier New" w:eastAsia="Courier New" w:hAnsi="Courier New" w:cs="Courier New" w:hint="eastAsia"/>
                <w:i/>
                <w:noProof/>
                <w:color w:val="FFFFFF"/>
                <w:kern w:val="2"/>
                <w:sz w:val="36"/>
                <w:lang w:val="en-US" w:eastAsia="zh-CN"/>
              </w:rPr>
              <w:t>　　　　　　</w:t>
            </w:r>
          </w:p>
        </w:tc>
        <w:tc>
          <w:tcPr>
            <w:tcW w:w="46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18.54%</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9828" w:type="dxa"/>
            <w:gridSpan w:val="13"/>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其中：</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5200" w:type="dxa"/>
            <w:gridSpan w:val="7"/>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为股东、实际控制人及其关联方提供担保的金额〔</w:t>
            </w:r>
            <w:r>
              <w:rPr>
                <w:rFonts w:ascii="Times New Roman" w:eastAsia="宋体" w:hAnsi="Times New Roman" w:cs="Times New Roman" w:hint="default"/>
                <w:noProof/>
                <w:kern w:val="2"/>
                <w:sz w:val="18"/>
                <w:szCs w:val="24"/>
                <w:lang w:val="en-US" w:eastAsia="zh-CN"/>
              </w:rPr>
              <w:t>C</w:t>
            </w:r>
            <w:r>
              <w:rPr>
                <w:rFonts w:ascii="Times New Roman" w:eastAsia="宋体" w:hAnsi="Times New Roman" w:cs="Times New Roman" w:hint="eastAsia"/>
                <w:noProof/>
                <w:kern w:val="2"/>
                <w:sz w:val="18"/>
                <w:szCs w:val="24"/>
                <w:lang w:val="en-US" w:eastAsia="zh-CN"/>
              </w:rPr>
              <w:t>〕</w:t>
            </w:r>
            <w:r>
              <w:rPr>
                <w:rFonts w:ascii="Courier New" w:eastAsia="Courier New" w:hAnsi="Courier New" w:cs="Courier New" w:hint="eastAsia"/>
                <w:i/>
                <w:noProof/>
                <w:color w:val="FFFFFF"/>
                <w:kern w:val="2"/>
                <w:sz w:val="36"/>
                <w:lang w:val="en-US" w:eastAsia="zh-CN"/>
              </w:rPr>
              <w:t>　　　　　　</w:t>
            </w:r>
          </w:p>
        </w:tc>
        <w:tc>
          <w:tcPr>
            <w:tcW w:w="46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22,150.00　　</w:t>
            </w:r>
          </w:p>
        </w:tc>
      </w:tr>
      <w:tr>
        <w:tblPrEx>
          <w:tblW w:w="0" w:type="auto"/>
          <w:tblInd w:w="28" w:type="dxa"/>
          <w:tblLayout w:type="fixed"/>
          <w:tblCellMar>
            <w:left w:w="28" w:type="dxa"/>
            <w:right w:w="28" w:type="dxa"/>
          </w:tblCellMar>
          <w:tblLook w:val="04A0"/>
        </w:tblPrEx>
        <w:tc>
          <w:tcPr>
            <w:tcW w:w="5200" w:type="dxa"/>
            <w:gridSpan w:val="7"/>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直接或间接为资产负债率超过</w:t>
            </w:r>
            <w:r>
              <w:rPr>
                <w:rFonts w:ascii="Times New Roman" w:eastAsia="宋体" w:hAnsi="Times New Roman" w:cs="Times New Roman" w:hint="default"/>
                <w:noProof/>
                <w:kern w:val="2"/>
                <w:sz w:val="18"/>
                <w:szCs w:val="24"/>
                <w:lang w:val="en-US" w:eastAsia="zh-CN"/>
              </w:rPr>
              <w:t>70%</w:t>
            </w:r>
            <w:r>
              <w:rPr>
                <w:rFonts w:ascii="Times New Roman" w:eastAsia="宋体" w:hAnsi="Times New Roman" w:cs="Times New Roman" w:hint="eastAsia"/>
                <w:noProof/>
                <w:kern w:val="2"/>
                <w:sz w:val="18"/>
                <w:szCs w:val="24"/>
                <w:lang w:val="en-US" w:eastAsia="zh-CN"/>
              </w:rPr>
              <w:t>的被担保对象提供的债务担保金额〔</w:t>
            </w:r>
            <w:r>
              <w:rPr>
                <w:rFonts w:ascii="Times New Roman" w:eastAsia="宋体" w:hAnsi="Times New Roman" w:cs="Times New Roman" w:hint="default"/>
                <w:noProof/>
                <w:kern w:val="2"/>
                <w:sz w:val="18"/>
                <w:szCs w:val="24"/>
                <w:lang w:val="en-US" w:eastAsia="zh-CN"/>
              </w:rPr>
              <w:t>D</w:t>
            </w:r>
            <w:r>
              <w:rPr>
                <w:rFonts w:ascii="Times New Roman" w:eastAsia="宋体" w:hAnsi="Times New Roman" w:cs="Times New Roman" w:hint="eastAsia"/>
                <w:noProof/>
                <w:kern w:val="2"/>
                <w:sz w:val="18"/>
                <w:szCs w:val="24"/>
                <w:lang w:val="en-US" w:eastAsia="zh-CN"/>
              </w:rPr>
              <w:t>〕</w:t>
            </w:r>
            <w:r>
              <w:rPr>
                <w:rFonts w:ascii="Courier New" w:eastAsia="Courier New" w:hAnsi="Courier New" w:cs="Courier New" w:hint="eastAsia"/>
                <w:i/>
                <w:noProof/>
                <w:color w:val="FFFFFF"/>
                <w:kern w:val="2"/>
                <w:sz w:val="36"/>
                <w:lang w:val="en-US" w:eastAsia="zh-CN"/>
              </w:rPr>
              <w:t>　　　　　　</w:t>
            </w:r>
          </w:p>
        </w:tc>
        <w:tc>
          <w:tcPr>
            <w:tcW w:w="46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　　　</w:t>
            </w:r>
          </w:p>
        </w:tc>
      </w:tr>
      <w:tr>
        <w:tblPrEx>
          <w:tblW w:w="0" w:type="auto"/>
          <w:tblInd w:w="28" w:type="dxa"/>
          <w:tblLayout w:type="fixed"/>
          <w:tblCellMar>
            <w:left w:w="28" w:type="dxa"/>
            <w:right w:w="28" w:type="dxa"/>
          </w:tblCellMar>
          <w:tblLook w:val="04A0"/>
        </w:tblPrEx>
        <w:tc>
          <w:tcPr>
            <w:tcW w:w="5200" w:type="dxa"/>
            <w:gridSpan w:val="7"/>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担保总额超过净资产</w:t>
            </w:r>
            <w:r>
              <w:rPr>
                <w:rFonts w:ascii="Times New Roman" w:eastAsia="宋体" w:hAnsi="Times New Roman" w:cs="Times New Roman" w:hint="default"/>
                <w:noProof/>
                <w:kern w:val="2"/>
                <w:sz w:val="18"/>
                <w:szCs w:val="24"/>
                <w:lang w:val="en-US" w:eastAsia="zh-CN"/>
              </w:rPr>
              <w:t xml:space="preserve"> 50%</w:t>
            </w:r>
            <w:r>
              <w:rPr>
                <w:rFonts w:ascii="Times New Roman" w:eastAsia="宋体" w:hAnsi="Times New Roman" w:cs="Times New Roman" w:hint="eastAsia"/>
                <w:noProof/>
                <w:kern w:val="2"/>
                <w:sz w:val="18"/>
                <w:szCs w:val="24"/>
                <w:lang w:val="en-US" w:eastAsia="zh-CN"/>
              </w:rPr>
              <w:t>局部的金额〔</w:t>
            </w:r>
            <w:r>
              <w:rPr>
                <w:rFonts w:ascii="Times New Roman" w:eastAsia="宋体" w:hAnsi="Times New Roman" w:cs="Times New Roman" w:hint="default"/>
                <w:noProof/>
                <w:kern w:val="2"/>
                <w:sz w:val="18"/>
                <w:szCs w:val="24"/>
                <w:lang w:val="en-US" w:eastAsia="zh-CN"/>
              </w:rPr>
              <w:t>E</w:t>
            </w:r>
            <w:r>
              <w:rPr>
                <w:rFonts w:ascii="Times New Roman" w:eastAsia="宋体" w:hAnsi="Times New Roman" w:cs="Times New Roman" w:hint="eastAsia"/>
                <w:noProof/>
                <w:kern w:val="2"/>
                <w:sz w:val="18"/>
                <w:szCs w:val="24"/>
                <w:lang w:val="en-US" w:eastAsia="zh-CN"/>
              </w:rPr>
              <w:t>〕</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46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5200" w:type="dxa"/>
            <w:gridSpan w:val="7"/>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上述三项担保金额合计〔</w:t>
            </w:r>
            <w:r>
              <w:rPr>
                <w:rFonts w:ascii="Times New Roman" w:eastAsia="宋体" w:hAnsi="Times New Roman" w:cs="Times New Roman" w:hint="default"/>
                <w:noProof/>
                <w:kern w:val="2"/>
                <w:sz w:val="18"/>
                <w:szCs w:val="24"/>
                <w:lang w:val="en-US" w:eastAsia="zh-CN"/>
              </w:rPr>
              <w:t>C+D+E</w:t>
            </w: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46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22,150.00</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5200" w:type="dxa"/>
            <w:gridSpan w:val="7"/>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未到期担保可能承当连带清偿责任说明　　　</w:t>
            </w:r>
          </w:p>
        </w:tc>
        <w:tc>
          <w:tcPr>
            <w:tcW w:w="46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公司担保为连带责任担保，到期被担保方如果不能归还贷款，公司将承当归还贷款的责任。</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bl>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6.3 </w:t>
      </w:r>
      <w:r>
        <w:rPr>
          <w:rFonts w:ascii="Times New Roman" w:eastAsia="宋体" w:hAnsi="Times New Roman" w:cs="Times New Roman" w:hint="eastAsia"/>
          <w:b/>
          <w:kern w:val="28"/>
          <w:sz w:val="21"/>
          <w:szCs w:val="24"/>
          <w:lang w:val="en-US" w:eastAsia="zh-CN"/>
        </w:rPr>
        <w:t>非经营性关联债权债务往来</w:t>
      </w:r>
      <w:r>
        <w:rPr>
          <w:rFonts w:cs="Times New Roman"/>
          <w:szCs w:val="24"/>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ascii="Courier New" w:eastAsia="Courier New" w:hAnsi="Courier New" w:cs="Courier New"/>
          <w:i/>
          <w:color w:val="FFFFFF"/>
          <w:sz w:val="36"/>
        </w:rPr>
        <w:t>　　　</w:t>
      </w:r>
      <w:r>
        <w:rPr>
          <w:rFonts w:cs="Times New Roman"/>
          <w:szCs w:val="24"/>
        </w:rPr>
        <w:t>　　</w:t>
      </w:r>
    </w:p>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6.4 </w:t>
      </w:r>
      <w:r>
        <w:rPr>
          <w:rFonts w:ascii="Times New Roman" w:eastAsia="宋体" w:hAnsi="Times New Roman" w:cs="Times New Roman" w:hint="eastAsia"/>
          <w:b/>
          <w:kern w:val="28"/>
          <w:sz w:val="21"/>
          <w:szCs w:val="24"/>
          <w:lang w:val="en-US" w:eastAsia="zh-CN"/>
        </w:rPr>
        <w:t>重大诉讼仲裁事项</w:t>
      </w:r>
      <w:r>
        <w:rPr>
          <w:rFonts w:cs="Times New Roman"/>
          <w:szCs w:val="24"/>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ascii="Courier New" w:eastAsia="Courier New" w:hAnsi="Courier New" w:cs="Courier New"/>
          <w:i/>
          <w:color w:val="FFFFFF"/>
          <w:sz w:val="36"/>
        </w:rPr>
        <w:t>　　　</w:t>
      </w:r>
      <w:r>
        <w:rPr>
          <w:rFonts w:cs="Times New Roman"/>
          <w:szCs w:val="24"/>
        </w:rPr>
        <w:t>　</w:t>
      </w:r>
    </w:p>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6.5 </w:t>
      </w:r>
      <w:r>
        <w:rPr>
          <w:rFonts w:ascii="Times New Roman" w:eastAsia="宋体" w:hAnsi="Times New Roman" w:cs="Times New Roman" w:hint="eastAsia"/>
          <w:b/>
          <w:kern w:val="28"/>
          <w:sz w:val="21"/>
          <w:szCs w:val="24"/>
          <w:lang w:val="en-US" w:eastAsia="zh-CN"/>
        </w:rPr>
        <w:t>其他重大事项及其影响和解决方案的分析说明</w:t>
      </w:r>
      <w:r>
        <w:rPr>
          <w:rFonts w:ascii="Courier New" w:eastAsia="Courier New" w:hAnsi="Courier New" w:cs="Courier New"/>
          <w:i/>
          <w:color w:val="FFFFFF"/>
          <w:sz w:val="36"/>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p>
    <w:p w:rsidR="00E2627B">
      <w:pPr>
        <w:pStyle w:val="Section"/>
        <w:bidi w:val="0"/>
        <w:jc w:val="both"/>
        <w:outlineLvl w:val="3"/>
        <w:rPr>
          <w:rFonts w:cs="Times New Roman"/>
          <w:szCs w:val="24"/>
        </w:rPr>
      </w:pPr>
      <w:r>
        <w:rPr>
          <w:rFonts w:ascii="Times New Roman" w:eastAsia="宋体" w:hAnsi="Times New Roman" w:cs="Times New Roman" w:hint="default"/>
          <w:b/>
          <w:kern w:val="28"/>
          <w:sz w:val="21"/>
          <w:szCs w:val="24"/>
          <w:lang w:val="en-US" w:eastAsia="zh-CN"/>
        </w:rPr>
        <w:t xml:space="preserve">6.5.1 </w:t>
      </w:r>
      <w:r>
        <w:rPr>
          <w:rFonts w:ascii="Times New Roman" w:eastAsia="宋体" w:hAnsi="Times New Roman" w:cs="Times New Roman" w:hint="eastAsia"/>
          <w:b/>
          <w:kern w:val="28"/>
          <w:sz w:val="21"/>
          <w:szCs w:val="24"/>
          <w:lang w:val="en-US" w:eastAsia="zh-CN"/>
        </w:rPr>
        <w:t>证券投资情况</w:t>
      </w:r>
      <w:r>
        <w:rPr>
          <w:rFonts w:cs="Times New Roman"/>
          <w:szCs w:val="24"/>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p>
    <w:p w:rsidR="00E2627B">
      <w:pPr>
        <w:bidi w:val="0"/>
        <w:jc w:val="right"/>
        <w:rPr>
          <w:rFonts w:cs="Times New Roman"/>
          <w:szCs w:val="24"/>
        </w:rPr>
      </w:pPr>
      <w:r>
        <w:rPr>
          <w:rFonts w:ascii="Times New Roman" w:eastAsia="宋体" w:hAnsi="Times New Roman" w:cs="Times New Roman" w:hint="eastAsia"/>
          <w:kern w:val="2"/>
          <w:sz w:val="18"/>
          <w:szCs w:val="24"/>
          <w:lang w:val="en-US" w:eastAsia="zh-CN"/>
        </w:rPr>
        <w:t>单位：元</w:t>
      </w:r>
      <w:r>
        <w:rPr>
          <w:rFonts w:cs="Times New Roman"/>
          <w:szCs w:val="24"/>
        </w:rPr>
        <w:t>　　　</w:t>
      </w:r>
    </w:p>
    <w:tbl>
      <w:tblPr>
        <w:tblStyle w:val="TableNormal"/>
        <w:tblW w:w="0" w:type="auto"/>
        <w:tblInd w:w="28" w:type="dxa"/>
        <w:tblLayout w:type="fixed"/>
        <w:tblCellMar>
          <w:left w:w="28" w:type="dxa"/>
          <w:right w:w="28" w:type="dxa"/>
        </w:tblCellMar>
        <w:tblLook w:val="04A0"/>
      </w:tblPr>
      <w:tblGrid>
        <w:gridCol w:w="559"/>
        <w:gridCol w:w="1365"/>
        <w:gridCol w:w="1092"/>
        <w:gridCol w:w="1170"/>
        <w:gridCol w:w="1040"/>
        <w:gridCol w:w="1040"/>
        <w:gridCol w:w="1170"/>
        <w:gridCol w:w="1092"/>
        <w:gridCol w:w="1300"/>
      </w:tblGrid>
      <w:tr>
        <w:tblPrEx>
          <w:tblW w:w="0" w:type="auto"/>
          <w:tblInd w:w="28" w:type="dxa"/>
          <w:tblLayout w:type="fixed"/>
          <w:tblCellMar>
            <w:left w:w="28" w:type="dxa"/>
            <w:right w:w="28" w:type="dxa"/>
          </w:tblCellMar>
          <w:tblLook w:val="04A0"/>
        </w:tblPrEx>
        <w:tc>
          <w:tcPr>
            <w:tcW w:w="559"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序号　　　　</w:t>
            </w:r>
          </w:p>
        </w:tc>
        <w:tc>
          <w:tcPr>
            <w:tcW w:w="136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证券品种　　　　</w:t>
            </w:r>
          </w:p>
        </w:tc>
        <w:tc>
          <w:tcPr>
            <w:tcW w:w="1092"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证券代码　</w:t>
            </w:r>
            <w:r>
              <w:rPr>
                <w:rFonts w:ascii="Courier New" w:eastAsia="Courier New" w:hAnsi="Courier New" w:cs="Courier New" w:hint="eastAsia"/>
                <w:i/>
                <w:noProof/>
                <w:color w:val="FFFFFF"/>
                <w:kern w:val="2"/>
                <w:sz w:val="36"/>
                <w:lang w:val="en-US" w:eastAsia="zh-CN"/>
              </w:rPr>
              <w:t>　　　</w:t>
            </w:r>
          </w:p>
        </w:tc>
        <w:tc>
          <w:tcPr>
            <w:tcW w:w="117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证券简称</w:t>
            </w:r>
            <w:r>
              <w:rPr>
                <w:rFonts w:ascii="Courier New" w:eastAsia="Courier New" w:hAnsi="Courier New" w:cs="Courier New" w:hint="eastAsia"/>
                <w:i/>
                <w:noProof/>
                <w:color w:val="FFFFFF"/>
                <w:kern w:val="2"/>
                <w:sz w:val="36"/>
                <w:lang w:val="en-US" w:eastAsia="zh-CN"/>
              </w:rPr>
              <w:t>　　　　　　</w:t>
            </w:r>
          </w:p>
        </w:tc>
        <w:tc>
          <w:tcPr>
            <w:tcW w:w="104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初始投资金额〔元〕　　　</w:t>
            </w:r>
          </w:p>
        </w:tc>
        <w:tc>
          <w:tcPr>
            <w:tcW w:w="104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期末持有数量〔股〕　</w:t>
            </w:r>
            <w:r>
              <w:rPr>
                <w:rFonts w:ascii="Courier New" w:eastAsia="Courier New" w:hAnsi="Courier New" w:cs="Courier New" w:hint="eastAsia"/>
                <w:i/>
                <w:noProof/>
                <w:color w:val="FFFFFF"/>
                <w:kern w:val="2"/>
                <w:sz w:val="36"/>
                <w:lang w:val="en-US" w:eastAsia="zh-CN"/>
              </w:rPr>
              <w:t>　　　</w:t>
            </w:r>
          </w:p>
        </w:tc>
        <w:tc>
          <w:tcPr>
            <w:tcW w:w="117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期末账面值　　　</w:t>
            </w:r>
          </w:p>
        </w:tc>
        <w:tc>
          <w:tcPr>
            <w:tcW w:w="1092"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占期末证券总投资比例</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w:t>
            </w:r>
            <w:r>
              <w:rPr>
                <w:rFonts w:ascii="Times New Roman" w:eastAsia="宋体" w:hAnsi="Times New Roman" w:cs="Times New Roman" w:hint="default"/>
                <w:noProof/>
                <w:kern w:val="2"/>
                <w:sz w:val="18"/>
                <w:szCs w:val="24"/>
                <w:lang w:val="en-US" w:eastAsia="zh-CN"/>
              </w:rPr>
              <w:t>%</w:t>
            </w:r>
            <w:r>
              <w:rPr>
                <w:rFonts w:ascii="Times New Roman" w:eastAsia="宋体" w:hAnsi="Times New Roman" w:cs="Times New Roman" w:hint="eastAsia"/>
                <w:noProof/>
                <w:kern w:val="2"/>
                <w:sz w:val="18"/>
                <w:szCs w:val="24"/>
                <w:lang w:val="en-US" w:eastAsia="zh-CN"/>
              </w:rPr>
              <w:t>〕　　</w:t>
            </w:r>
          </w:p>
        </w:tc>
        <w:tc>
          <w:tcPr>
            <w:tcW w:w="130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报告期损益　　　　</w:t>
            </w:r>
          </w:p>
        </w:tc>
      </w:tr>
      <w:tr>
        <w:tblPrEx>
          <w:tblW w:w="0" w:type="auto"/>
          <w:tblInd w:w="28" w:type="dxa"/>
          <w:tblLayout w:type="fixed"/>
          <w:tblCellMar>
            <w:left w:w="28" w:type="dxa"/>
            <w:right w:w="28" w:type="dxa"/>
          </w:tblCellMar>
          <w:tblLook w:val="04A0"/>
        </w:tblPrEx>
        <w:tc>
          <w:tcPr>
            <w:tcW w:w="559"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center"/>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　　　　</w:t>
            </w:r>
          </w:p>
        </w:tc>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股票</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092"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601000　　　</w:t>
            </w:r>
          </w:p>
        </w:tc>
        <w:tc>
          <w:tcPr>
            <w:tcW w:w="117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唐山港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8,200.00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1,000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17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8,200.00　　</w:t>
            </w:r>
          </w:p>
        </w:tc>
        <w:tc>
          <w:tcPr>
            <w:tcW w:w="1092"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53.28%　　</w:t>
            </w:r>
            <w:r>
              <w:rPr>
                <w:rFonts w:ascii="Courier New" w:eastAsia="Courier New" w:hAnsi="Courier New" w:cs="Courier New" w:hint="eastAsia"/>
                <w:i/>
                <w:noProof/>
                <w:color w:val="FFFFFF"/>
                <w:kern w:val="2"/>
                <w:sz w:val="36"/>
                <w:lang w:val="en-US" w:eastAsia="zh-CN"/>
              </w:rPr>
              <w:t>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　　　</w:t>
            </w:r>
          </w:p>
        </w:tc>
      </w:tr>
      <w:tr>
        <w:tblPrEx>
          <w:tblW w:w="0" w:type="auto"/>
          <w:tblInd w:w="28" w:type="dxa"/>
          <w:tblLayout w:type="fixed"/>
          <w:tblCellMar>
            <w:left w:w="28" w:type="dxa"/>
            <w:right w:w="28" w:type="dxa"/>
          </w:tblCellMar>
          <w:tblLook w:val="04A0"/>
        </w:tblPrEx>
        <w:tc>
          <w:tcPr>
            <w:tcW w:w="559"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center"/>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2</w:t>
            </w:r>
            <w:r>
              <w:rPr>
                <w:rFonts w:ascii="Courier New" w:eastAsia="Courier New" w:hAnsi="Courier New" w:cs="Courier New" w:hint="eastAsia"/>
                <w:i/>
                <w:noProof/>
                <w:color w:val="FFFFFF"/>
                <w:kern w:val="2"/>
                <w:sz w:val="36"/>
                <w:lang w:val="en-US" w:eastAsia="zh-CN"/>
              </w:rPr>
              <w:t>　　　　　　</w:t>
            </w:r>
          </w:p>
        </w:tc>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股票　</w:t>
            </w:r>
            <w:r>
              <w:rPr>
                <w:rFonts w:ascii="Courier New" w:eastAsia="Courier New" w:hAnsi="Courier New" w:cs="Courier New" w:hint="eastAsia"/>
                <w:i/>
                <w:noProof/>
                <w:color w:val="FFFFFF"/>
                <w:kern w:val="2"/>
                <w:sz w:val="36"/>
                <w:lang w:val="en-US" w:eastAsia="zh-CN"/>
              </w:rPr>
              <w:t>　　　</w:t>
            </w:r>
          </w:p>
        </w:tc>
        <w:tc>
          <w:tcPr>
            <w:tcW w:w="1092"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300094</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17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国联水产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7,190.00　　</w:t>
            </w:r>
            <w:r>
              <w:rPr>
                <w:rFonts w:ascii="Courier New" w:eastAsia="Courier New" w:hAnsi="Courier New" w:cs="Courier New" w:hint="eastAsia"/>
                <w:i/>
                <w:noProof/>
                <w:color w:val="FFFFFF"/>
                <w:kern w:val="2"/>
                <w:sz w:val="36"/>
                <w:lang w:val="en-US" w:eastAsia="zh-CN"/>
              </w:rPr>
              <w:t>　　　</w:t>
            </w:r>
          </w:p>
        </w:tc>
        <w:tc>
          <w:tcPr>
            <w:tcW w:w="104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500　　</w:t>
            </w:r>
            <w:r>
              <w:rPr>
                <w:rFonts w:ascii="Courier New" w:eastAsia="Courier New" w:hAnsi="Courier New" w:cs="Courier New" w:hint="eastAsia"/>
                <w:i/>
                <w:noProof/>
                <w:color w:val="FFFFFF"/>
                <w:kern w:val="2"/>
                <w:sz w:val="36"/>
                <w:lang w:val="en-US" w:eastAsia="zh-CN"/>
              </w:rPr>
              <w:t>　　　</w:t>
            </w:r>
          </w:p>
        </w:tc>
        <w:tc>
          <w:tcPr>
            <w:tcW w:w="117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7,190.00　　</w:t>
            </w:r>
          </w:p>
        </w:tc>
        <w:tc>
          <w:tcPr>
            <w:tcW w:w="1092"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46.72%　　　</w:t>
            </w:r>
          </w:p>
        </w:tc>
        <w:tc>
          <w:tcPr>
            <w:tcW w:w="1300"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4186" w:type="dxa"/>
            <w:gridSpan w:val="4"/>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期末持有的其他证券投资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center"/>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　　　</w:t>
            </w:r>
          </w:p>
        </w:tc>
      </w:tr>
      <w:tr>
        <w:tblPrEx>
          <w:tblW w:w="0" w:type="auto"/>
          <w:tblInd w:w="28" w:type="dxa"/>
          <w:tblLayout w:type="fixed"/>
          <w:tblCellMar>
            <w:left w:w="28" w:type="dxa"/>
            <w:right w:w="28" w:type="dxa"/>
          </w:tblCellMar>
          <w:tblLook w:val="04A0"/>
        </w:tblPrEx>
        <w:tc>
          <w:tcPr>
            <w:tcW w:w="4186" w:type="dxa"/>
            <w:gridSpan w:val="4"/>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报告期已出售证券投资损益</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center"/>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center"/>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w:t>
            </w:r>
            <w:r>
              <w:rPr>
                <w:rFonts w:ascii="Courier New" w:eastAsia="Courier New" w:hAnsi="Courier New" w:cs="Courier New" w:hint="eastAsia"/>
                <w:i/>
                <w:noProof/>
                <w:color w:val="FFFFFF"/>
                <w:kern w:val="2"/>
                <w:sz w:val="36"/>
                <w:lang w:val="en-US" w:eastAsia="zh-CN"/>
              </w:rPr>
              <w: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center"/>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center"/>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114,734.65　　　　</w:t>
            </w:r>
          </w:p>
        </w:tc>
      </w:tr>
      <w:tr>
        <w:tblPrEx>
          <w:tblW w:w="0" w:type="auto"/>
          <w:tblInd w:w="28" w:type="dxa"/>
          <w:tblLayout w:type="fixed"/>
          <w:tblCellMar>
            <w:left w:w="28" w:type="dxa"/>
            <w:right w:w="28" w:type="dxa"/>
          </w:tblCellMar>
          <w:tblLook w:val="04A0"/>
        </w:tblPrEx>
        <w:tc>
          <w:tcPr>
            <w:tcW w:w="4186" w:type="dxa"/>
            <w:gridSpan w:val="4"/>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合计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15,390.00　</w:t>
            </w:r>
            <w:r>
              <w:rPr>
                <w:rFonts w:ascii="Courier New" w:eastAsia="Courier New" w:hAnsi="Courier New" w:cs="Courier New" w:hint="eastAsia"/>
                <w:i/>
                <w:noProof/>
                <w:color w:val="FFFFFF"/>
                <w:kern w:val="2"/>
                <w:sz w:val="36"/>
                <w:lang w:val="en-US" w:eastAsia="zh-CN"/>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center"/>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15,390.00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100%</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default"/>
                <w:noProof/>
                <w:kern w:val="2"/>
                <w:sz w:val="18"/>
                <w:szCs w:val="24"/>
                <w:lang w:val="en-US" w:eastAsia="zh-CN"/>
              </w:rPr>
              <w:t>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114,734.65　　</w:t>
            </w:r>
            <w:r>
              <w:rPr>
                <w:rFonts w:ascii="Courier New" w:eastAsia="Courier New" w:hAnsi="Courier New" w:cs="Courier New" w:hint="eastAsia"/>
                <w:i/>
                <w:noProof/>
                <w:color w:val="FFFFFF"/>
                <w:kern w:val="2"/>
                <w:sz w:val="36"/>
                <w:lang w:val="en-US" w:eastAsia="zh-CN"/>
              </w:rPr>
              <w:t>　　　</w:t>
            </w:r>
          </w:p>
        </w:tc>
      </w:tr>
    </w:tbl>
    <w:p w:rsidR="00E2627B">
      <w:pPr>
        <w:bidi w:val="0"/>
        <w:jc w:val="left"/>
        <w:rPr>
          <w:rFonts w:cs="Times New Roman"/>
          <w:szCs w:val="24"/>
        </w:rPr>
      </w:pPr>
      <w:r>
        <w:rPr>
          <w:rFonts w:ascii="Times New Roman" w:eastAsia="宋体" w:hAnsi="Times New Roman" w:cs="Times New Roman" w:hint="eastAsia"/>
          <w:kern w:val="2"/>
          <w:sz w:val="18"/>
          <w:szCs w:val="24"/>
          <w:lang w:val="en-US" w:eastAsia="zh-CN"/>
        </w:rPr>
        <w:t>证券投资情况说明</w:t>
      </w:r>
      <w:r>
        <w:rPr>
          <w:rFonts w:ascii="Courier New" w:eastAsia="Courier New" w:hAnsi="Courier New" w:cs="Courier New"/>
          <w:i/>
          <w:color w:val="FFFFFF"/>
          <w:sz w:val="36"/>
        </w:rPr>
        <w:t>　　　　　　</w:t>
      </w:r>
    </w:p>
    <w:tbl>
      <w:tblPr>
        <w:tblStyle w:val="TableNormal"/>
        <w:tblW w:w="0" w:type="auto"/>
        <w:tblInd w:w="28" w:type="dxa"/>
        <w:tblLayout w:type="fixed"/>
        <w:tblCellMar>
          <w:left w:w="28" w:type="dxa"/>
          <w:right w:w="28" w:type="dxa"/>
        </w:tblCellMar>
        <w:tblLook w:val="04A0"/>
      </w:tblPr>
      <w:tblGrid>
        <w:gridCol w:w="9828"/>
      </w:tblGrid>
      <w:tr>
        <w:tblPrEx>
          <w:tblW w:w="0" w:type="auto"/>
          <w:tblInd w:w="28" w:type="dxa"/>
          <w:tblLayout w:type="fixed"/>
          <w:tblCellMar>
            <w:left w:w="28" w:type="dxa"/>
            <w:right w:w="28" w:type="dxa"/>
          </w:tblCellMar>
          <w:tblLook w:val="04A0"/>
        </w:tblPrEx>
        <w:tc>
          <w:tcPr>
            <w:tcW w:w="982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无　　</w:t>
            </w:r>
          </w:p>
        </w:tc>
      </w:tr>
    </w:tbl>
    <w:p>
      <w:pPr>
        <w:sectPr>
          <w:type w:val="nextPage"/>
          <w:pgSz w:w="11906" w:h="16838"/>
          <w:pgMar w:top="1440" w:right="1134" w:bottom="1440" w:left="1134" w:header="708" w:footer="708" w:gutter="0"/>
          <w:pgNumType w:start="7"/>
          <w:cols w:space="708"/>
          <w:titlePg w:val="0"/>
        </w:sectPr>
      </w:pPr>
    </w:p>
    <w:p w:rsidR="00E2627B">
      <w:pPr>
        <w:pStyle w:val="Section"/>
        <w:bidi w:val="0"/>
        <w:jc w:val="both"/>
        <w:outlineLvl w:val="3"/>
        <w:rPr>
          <w:rFonts w:cs="Times New Roman"/>
          <w:szCs w:val="24"/>
        </w:rPr>
      </w:pPr>
      <w:r>
        <w:rPr>
          <w:rFonts w:ascii="Times New Roman" w:eastAsia="宋体" w:hAnsi="Times New Roman" w:cs="Times New Roman" w:hint="default"/>
          <w:b/>
          <w:kern w:val="28"/>
          <w:sz w:val="21"/>
          <w:szCs w:val="24"/>
          <w:lang w:val="en-US" w:eastAsia="zh-CN"/>
        </w:rPr>
        <w:t xml:space="preserve">6.5.2 </w:t>
      </w:r>
      <w:r>
        <w:rPr>
          <w:rFonts w:ascii="Times New Roman" w:eastAsia="宋体" w:hAnsi="Times New Roman" w:cs="Times New Roman" w:hint="eastAsia"/>
          <w:b/>
          <w:kern w:val="28"/>
          <w:sz w:val="21"/>
          <w:szCs w:val="24"/>
          <w:lang w:val="en-US" w:eastAsia="zh-CN"/>
        </w:rPr>
        <w:t>持有其他上市公司股权情况</w:t>
      </w:r>
      <w:r>
        <w:rPr>
          <w:rFonts w:cs="Times New Roman"/>
          <w:szCs w:val="24"/>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r>
        <w:rPr>
          <w:rFonts w:ascii="Courier New" w:eastAsia="Courier New" w:hAnsi="Courier New" w:cs="Courier New"/>
          <w:i/>
          <w:color w:val="FFFFFF"/>
          <w:sz w:val="36"/>
        </w:rPr>
        <w:t>　　　</w:t>
      </w:r>
    </w:p>
    <w:p w:rsidR="00E2627B">
      <w:pPr>
        <w:pStyle w:val="Section"/>
        <w:bidi w:val="0"/>
        <w:jc w:val="both"/>
        <w:outlineLvl w:val="3"/>
        <w:rPr>
          <w:rFonts w:cs="Times New Roman"/>
          <w:szCs w:val="24"/>
        </w:rPr>
      </w:pPr>
      <w:r>
        <w:rPr>
          <w:rFonts w:ascii="Times New Roman" w:eastAsia="宋体" w:hAnsi="Times New Roman" w:cs="Times New Roman" w:hint="default"/>
          <w:b/>
          <w:kern w:val="28"/>
          <w:sz w:val="21"/>
          <w:szCs w:val="24"/>
          <w:lang w:val="en-US" w:eastAsia="zh-CN"/>
        </w:rPr>
        <w:t xml:space="preserve">6.5.3 </w:t>
      </w:r>
      <w:r>
        <w:rPr>
          <w:rFonts w:ascii="Times New Roman" w:eastAsia="宋体" w:hAnsi="Times New Roman" w:cs="Times New Roman" w:hint="eastAsia"/>
          <w:b/>
          <w:kern w:val="28"/>
          <w:sz w:val="21"/>
          <w:szCs w:val="24"/>
          <w:lang w:val="en-US" w:eastAsia="zh-CN"/>
        </w:rPr>
        <w:t>大股东及其附属企业非经营性资金占用及清偿情况表</w:t>
      </w:r>
      <w:r>
        <w:rPr>
          <w:rFonts w:cs="Times New Roman"/>
          <w:szCs w:val="24"/>
        </w:rPr>
        <w:t>　　</w:t>
      </w:r>
      <w:r>
        <w:rPr>
          <w:rFonts w:ascii="Courier New" w:eastAsia="Courier New" w:hAnsi="Courier New" w:cs="Courier New"/>
          <w:i/>
          <w:color w:val="FFFFFF"/>
          <w:sz w:val="36"/>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p>
    <w:p w:rsidR="00E2627B">
      <w:pPr>
        <w:pStyle w:val="Section"/>
        <w:bidi w:val="0"/>
        <w:jc w:val="both"/>
        <w:outlineLvl w:val="3"/>
        <w:rPr>
          <w:rFonts w:cs="Times New Roman"/>
          <w:szCs w:val="24"/>
        </w:rPr>
      </w:pPr>
      <w:r>
        <w:rPr>
          <w:rFonts w:ascii="Times New Roman" w:eastAsia="宋体" w:hAnsi="Times New Roman" w:cs="Times New Roman" w:hint="default"/>
          <w:b/>
          <w:kern w:val="28"/>
          <w:sz w:val="21"/>
          <w:szCs w:val="24"/>
          <w:lang w:val="en-US" w:eastAsia="zh-CN"/>
        </w:rPr>
        <w:t xml:space="preserve">6.5.4 </w:t>
      </w:r>
      <w:r>
        <w:rPr>
          <w:rFonts w:ascii="Times New Roman" w:eastAsia="宋体" w:hAnsi="Times New Roman" w:cs="Times New Roman" w:hint="eastAsia"/>
          <w:b/>
          <w:kern w:val="28"/>
          <w:sz w:val="21"/>
          <w:szCs w:val="24"/>
          <w:lang w:val="en-US" w:eastAsia="zh-CN"/>
        </w:rPr>
        <w:t>公司、股东及实际控制人承诺事项履行情况</w:t>
      </w:r>
      <w:r>
        <w:rPr>
          <w:rFonts w:cs="Times New Roman"/>
          <w:szCs w:val="24"/>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r>
        <w:rPr>
          <w:rFonts w:ascii="Courier New" w:eastAsia="Courier New" w:hAnsi="Courier New" w:cs="Courier New"/>
          <w:i/>
          <w:color w:val="FFFFFF"/>
          <w:sz w:val="36"/>
        </w:rPr>
        <w:t>　　　</w:t>
      </w:r>
    </w:p>
    <w:p w:rsidR="00E2627B">
      <w:pPr>
        <w:pStyle w:val="Section"/>
        <w:bidi w:val="0"/>
        <w:jc w:val="both"/>
        <w:outlineLvl w:val="3"/>
        <w:rPr>
          <w:rFonts w:cs="Times New Roman"/>
          <w:szCs w:val="24"/>
        </w:rPr>
      </w:pPr>
      <w:r>
        <w:rPr>
          <w:rFonts w:ascii="Times New Roman" w:eastAsia="宋体" w:hAnsi="Times New Roman" w:cs="Times New Roman" w:hint="default"/>
          <w:b/>
          <w:kern w:val="28"/>
          <w:sz w:val="21"/>
          <w:szCs w:val="24"/>
          <w:lang w:val="en-US" w:eastAsia="zh-CN"/>
        </w:rPr>
        <w:t xml:space="preserve">6.5.5 </w:t>
      </w:r>
      <w:r>
        <w:rPr>
          <w:rFonts w:ascii="Times New Roman" w:eastAsia="宋体" w:hAnsi="Times New Roman" w:cs="Times New Roman" w:hint="eastAsia"/>
          <w:b/>
          <w:kern w:val="28"/>
          <w:sz w:val="21"/>
          <w:szCs w:val="24"/>
          <w:lang w:val="en-US" w:eastAsia="zh-CN"/>
        </w:rPr>
        <w:t>董事会本次利润分配或资本公积金转增股本预案</w:t>
      </w:r>
      <w:r>
        <w:rPr>
          <w:rFonts w:ascii="Courier New" w:eastAsia="Courier New" w:hAnsi="Courier New" w:cs="Courier New"/>
          <w:i/>
          <w:color w:val="FFFFFF"/>
          <w:sz w:val="36"/>
        </w:rPr>
        <w:t>　　　</w:t>
      </w:r>
      <w:r>
        <w:rPr>
          <w:rFonts w:cs="Times New Roman"/>
          <w:szCs w:val="24"/>
        </w:rPr>
        <w:t>　　</w:t>
      </w:r>
    </w:p>
    <w:p w:rsidR="00E2627B">
      <w:pPr>
        <w:bidi w:val="0"/>
        <w:jc w:val="both"/>
        <w:rPr>
          <w:rFonts w:cs="Times New Roman"/>
          <w:szCs w:val="24"/>
        </w:rPr>
      </w:pP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适用</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w:t>
      </w:r>
      <w:r>
        <w:rPr>
          <w:rFonts w:ascii="Times New Roman" w:eastAsia="宋体" w:hAnsi="Times New Roman" w:cs="Times New Roman" w:hint="default"/>
          <w:kern w:val="2"/>
          <w:sz w:val="18"/>
          <w:szCs w:val="24"/>
          <w:lang w:val="en-US" w:eastAsia="zh-CN"/>
        </w:rPr>
        <w:t xml:space="preserve"> </w:t>
      </w:r>
      <w:r>
        <w:rPr>
          <w:rFonts w:ascii="Times New Roman" w:eastAsia="宋体" w:hAnsi="Times New Roman" w:cs="Times New Roman" w:hint="eastAsia"/>
          <w:kern w:val="2"/>
          <w:sz w:val="18"/>
          <w:szCs w:val="24"/>
          <w:lang w:val="en-US" w:eastAsia="zh-CN"/>
        </w:rPr>
        <w:t>不适用</w:t>
      </w:r>
      <w:r>
        <w:rPr>
          <w:rFonts w:cs="Times New Roman"/>
          <w:szCs w:val="24"/>
        </w:rPr>
        <w:t>　　</w:t>
      </w:r>
    </w:p>
    <w:p w:rsidR="00E2627B">
      <w:pPr>
        <w:pStyle w:val="Section"/>
        <w:bidi w:val="0"/>
        <w:jc w:val="both"/>
        <w:outlineLvl w:val="3"/>
        <w:rPr>
          <w:rFonts w:cs="Times New Roman"/>
          <w:szCs w:val="24"/>
        </w:rPr>
      </w:pPr>
      <w:r>
        <w:rPr>
          <w:rFonts w:ascii="Times New Roman" w:eastAsia="宋体" w:hAnsi="Times New Roman" w:cs="Times New Roman" w:hint="default"/>
          <w:b/>
          <w:kern w:val="28"/>
          <w:sz w:val="21"/>
          <w:szCs w:val="24"/>
          <w:lang w:val="en-US" w:eastAsia="zh-CN"/>
        </w:rPr>
        <w:t xml:space="preserve">6.5.6 </w:t>
      </w:r>
      <w:r>
        <w:rPr>
          <w:rFonts w:ascii="Times New Roman" w:eastAsia="宋体" w:hAnsi="Times New Roman" w:cs="Times New Roman" w:hint="eastAsia"/>
          <w:b/>
          <w:kern w:val="28"/>
          <w:sz w:val="21"/>
          <w:szCs w:val="24"/>
          <w:lang w:val="en-US" w:eastAsia="zh-CN"/>
        </w:rPr>
        <w:t>其他综合收益细目</w:t>
      </w:r>
      <w:r>
        <w:rPr>
          <w:rFonts w:ascii="Courier New" w:eastAsia="Courier New" w:hAnsi="Courier New" w:cs="Courier New"/>
          <w:i/>
          <w:color w:val="FFFFFF"/>
          <w:sz w:val="36"/>
        </w:rPr>
        <w:t>　　　</w:t>
      </w:r>
      <w:r>
        <w:rPr>
          <w:rFonts w:cs="Times New Roman"/>
          <w:szCs w:val="24"/>
        </w:rPr>
        <w:t>　</w:t>
      </w:r>
    </w:p>
    <w:p w:rsidR="00E2627B">
      <w:pPr>
        <w:bidi w:val="0"/>
        <w:jc w:val="right"/>
        <w:rPr>
          <w:rFonts w:cs="Times New Roman"/>
          <w:szCs w:val="24"/>
        </w:rPr>
      </w:pPr>
      <w:r>
        <w:rPr>
          <w:rFonts w:ascii="Times New Roman" w:eastAsia="宋体" w:hAnsi="Times New Roman" w:cs="Times New Roman" w:hint="eastAsia"/>
          <w:kern w:val="2"/>
          <w:sz w:val="18"/>
          <w:szCs w:val="24"/>
          <w:lang w:val="en-US" w:eastAsia="zh-CN"/>
        </w:rPr>
        <w:t>单位：元</w:t>
      </w:r>
      <w:r>
        <w:rPr>
          <w:rFonts w:cs="Times New Roman"/>
          <w:szCs w:val="24"/>
        </w:rPr>
        <w:t>　　　</w:t>
      </w:r>
    </w:p>
    <w:tbl>
      <w:tblPr>
        <w:tblStyle w:val="TableNormal"/>
        <w:tblW w:w="0" w:type="auto"/>
        <w:tblInd w:w="28" w:type="dxa"/>
        <w:tblLayout w:type="fixed"/>
        <w:tblCellMar>
          <w:left w:w="28" w:type="dxa"/>
          <w:right w:w="28" w:type="dxa"/>
        </w:tblCellMar>
        <w:tblLook w:val="04A0"/>
      </w:tblPr>
      <w:tblGrid>
        <w:gridCol w:w="4368"/>
        <w:gridCol w:w="2730"/>
        <w:gridCol w:w="2730"/>
      </w:tblGrid>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工程</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本期发生额　</w:t>
            </w:r>
            <w:r>
              <w:rPr>
                <w:rFonts w:ascii="Courier New" w:eastAsia="Courier New" w:hAnsi="Courier New" w:cs="Courier New" w:hint="eastAsia"/>
                <w:i/>
                <w:noProof/>
                <w:color w:val="FFFFFF"/>
                <w:kern w:val="2"/>
                <w:sz w:val="36"/>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上年同期发生额</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1</w:t>
            </w:r>
            <w:r>
              <w:rPr>
                <w:rFonts w:ascii="Times New Roman" w:eastAsia="宋体" w:hAnsi="Times New Roman" w:cs="Times New Roman" w:hint="eastAsia"/>
                <w:noProof/>
                <w:kern w:val="2"/>
                <w:sz w:val="18"/>
                <w:szCs w:val="24"/>
                <w:lang w:val="en-US" w:eastAsia="zh-CN"/>
              </w:rPr>
              <w:t>．可供出售金融资产产生的利得〔损失〕金额　　</w:t>
            </w:r>
            <w:r>
              <w:rPr>
                <w:rFonts w:ascii="Courier New" w:eastAsia="Courier New" w:hAnsi="Courier New" w:cs="Courier New" w:hint="eastAsia"/>
                <w:i/>
                <w:noProof/>
                <w:color w:val="FFFFFF"/>
                <w:kern w:val="2"/>
                <w:sz w:val="36"/>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减：可供出售金融资产产生的所得税影响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前期计入其他综合收益当期转入损益的净额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小计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w:t>
            </w:r>
            <w:r>
              <w:rPr>
                <w:rFonts w:ascii="Times New Roman" w:eastAsia="宋体" w:hAnsi="Times New Roman" w:cs="Times New Roman" w:hint="eastAsia"/>
                <w:noProof/>
                <w:kern w:val="2"/>
                <w:sz w:val="18"/>
                <w:szCs w:val="24"/>
                <w:lang w:val="en-US" w:eastAsia="zh-CN"/>
              </w:rPr>
              <w:t>．按照权益法核算的在被投资单位其他综合收益中所享有的份额</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减：按照权益法核算的在被投资单位其他综合收益中所享有的份额产生的所得税影响</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前期计入其他综合收益当期转入损益的净额</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小计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3</w:t>
            </w:r>
            <w:r>
              <w:rPr>
                <w:rFonts w:ascii="Times New Roman" w:eastAsia="宋体" w:hAnsi="Times New Roman" w:cs="Times New Roman" w:hint="eastAsia"/>
                <w:noProof/>
                <w:kern w:val="2"/>
                <w:sz w:val="18"/>
                <w:szCs w:val="24"/>
                <w:lang w:val="en-US" w:eastAsia="zh-CN"/>
              </w:rPr>
              <w:t>．现金流量套期工具产生的利得〔或损失〕金额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减：现金流量套期工具产生的所得税影响　</w:t>
            </w:r>
            <w:r>
              <w:rPr>
                <w:rFonts w:ascii="Courier New" w:eastAsia="Courier New" w:hAnsi="Courier New" w:cs="Courier New" w:hint="eastAsia"/>
                <w:i/>
                <w:noProof/>
                <w:color w:val="FFFFFF"/>
                <w:kern w:val="2"/>
                <w:sz w:val="36"/>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前期计入其他综合收益当期转入损益的净额</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转为被套期工程初始确认金额的调整额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小计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4</w:t>
            </w:r>
            <w:r>
              <w:rPr>
                <w:rFonts w:ascii="Times New Roman" w:eastAsia="宋体" w:hAnsi="Times New Roman" w:cs="Times New Roman" w:hint="eastAsia"/>
                <w:noProof/>
                <w:kern w:val="2"/>
                <w:sz w:val="18"/>
                <w:szCs w:val="24"/>
                <w:lang w:val="en-US" w:eastAsia="zh-CN"/>
              </w:rPr>
              <w:t>．外币财务报表折算差额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减：处置境外经营当期转入损益的净额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小计</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5</w:t>
            </w:r>
            <w:r>
              <w:rPr>
                <w:rFonts w:ascii="Times New Roman" w:eastAsia="宋体" w:hAnsi="Times New Roman" w:cs="Times New Roman" w:hint="eastAsia"/>
                <w:noProof/>
                <w:kern w:val="2"/>
                <w:sz w:val="18"/>
                <w:szCs w:val="24"/>
                <w:lang w:val="en-US" w:eastAsia="zh-CN"/>
              </w:rPr>
              <w:t>．其他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减：由其他计入其他综合收益产生的所得税影响　</w:t>
            </w:r>
            <w:r>
              <w:rPr>
                <w:rFonts w:ascii="Courier New" w:eastAsia="Courier New" w:hAnsi="Courier New" w:cs="Courier New" w:hint="eastAsia"/>
                <w:i/>
                <w:noProof/>
                <w:color w:val="FFFFFF"/>
                <w:kern w:val="2"/>
                <w:sz w:val="36"/>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前期其他计入其他综合收益当期转入损益的净额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小计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436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合计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　　　</w:t>
            </w:r>
          </w:p>
        </w:tc>
        <w:tc>
          <w:tcPr>
            <w:tcW w:w="2730" w:type="dxa"/>
            <w:tcBorders>
              <w:top w:val="single" w:sz="4" w:space="0" w:color="auto"/>
              <w:left w:val="single" w:sz="4" w:space="0" w:color="auto"/>
              <w:bottom w:val="single" w:sz="4" w:space="0" w:color="auto"/>
              <w:right w:val="single" w:sz="4" w:space="0" w:color="auto"/>
            </w:tcBorders>
            <w:shd w:val="clear" w:color="auto" w:fill="auto"/>
            <w:vAlign w:val="center"/>
          </w:tcPr>
          <w:p w:rsidR="00E2627B">
            <w:pPr>
              <w:widowControl w:val="0"/>
              <w:autoSpaceDE/>
              <w:autoSpaceDN/>
              <w:bidi w:val="0"/>
              <w:adjustRightInd/>
              <w:spacing w:before="40" w:after="40"/>
              <w:ind w:left="0" w:right="0"/>
              <w:jc w:val="right"/>
              <w:textAlignment w:val="auto"/>
              <w:rPr>
                <w:rFonts w:cs="Times New Roman" w:hint="default"/>
                <w:noProof/>
                <w:szCs w:val="24"/>
              </w:rPr>
            </w:pPr>
            <w:r>
              <w:rPr>
                <w:rFonts w:ascii="Times New Roman" w:eastAsia="宋体" w:hAnsi="Times New Roman" w:cs="Times New Roman" w:hint="default"/>
                <w:noProof/>
                <w:kern w:val="2"/>
                <w:sz w:val="18"/>
                <w:szCs w:val="24"/>
                <w:lang w:val="en-US" w:eastAsia="zh-CN"/>
              </w:rPr>
              <w:t>0.00　</w:t>
            </w:r>
            <w:r>
              <w:rPr>
                <w:rFonts w:ascii="Courier New" w:eastAsia="Courier New" w:hAnsi="Courier New" w:cs="Courier New" w:hint="eastAsia"/>
                <w:i/>
                <w:noProof/>
                <w:color w:val="FFFFFF"/>
                <w:kern w:val="2"/>
                <w:sz w:val="36"/>
                <w:lang w:val="en-US" w:eastAsia="zh-CN"/>
              </w:rPr>
              <w:t>　　　</w:t>
            </w:r>
          </w:p>
        </w:tc>
      </w:tr>
    </w:tbl>
    <w:p>
      <w:pPr>
        <w:sectPr>
          <w:type w:val="nextPage"/>
          <w:pgSz w:w="11906" w:h="16838"/>
          <w:pgMar w:top="1440" w:right="1134" w:bottom="1440" w:left="1134" w:header="708" w:footer="708" w:gutter="0"/>
          <w:pgNumType w:start="8"/>
          <w:cols w:space="708"/>
          <w:titlePg w:val="0"/>
        </w:sectPr>
      </w:pPr>
    </w:p>
    <w:p w:rsidR="00E2627B">
      <w:pPr>
        <w:pStyle w:val="Section"/>
        <w:bidi w:val="0"/>
        <w:jc w:val="both"/>
        <w:outlineLvl w:val="2"/>
        <w:rPr>
          <w:rFonts w:cs="Times New Roman"/>
          <w:szCs w:val="24"/>
        </w:rPr>
      </w:pPr>
      <w:r>
        <w:rPr>
          <w:rFonts w:ascii="Times New Roman" w:eastAsia="宋体" w:hAnsi="Times New Roman" w:cs="Times New Roman" w:hint="default"/>
          <w:b/>
          <w:kern w:val="28"/>
          <w:sz w:val="21"/>
          <w:szCs w:val="24"/>
          <w:lang w:val="en-US" w:eastAsia="zh-CN"/>
        </w:rPr>
        <w:t xml:space="preserve">6.6 </w:t>
      </w:r>
      <w:r>
        <w:rPr>
          <w:rFonts w:ascii="Times New Roman" w:eastAsia="宋体" w:hAnsi="Times New Roman" w:cs="Times New Roman" w:hint="eastAsia"/>
          <w:b/>
          <w:kern w:val="28"/>
          <w:sz w:val="21"/>
          <w:szCs w:val="24"/>
          <w:lang w:val="en-US" w:eastAsia="zh-CN"/>
        </w:rPr>
        <w:t>报告期接待调研、沟通、采访等活动情况表</w:t>
      </w:r>
      <w:r>
        <w:rPr>
          <w:rFonts w:cs="Times New Roman"/>
          <w:szCs w:val="24"/>
        </w:rPr>
        <w:t>　　　</w:t>
      </w:r>
    </w:p>
    <w:tbl>
      <w:tblPr>
        <w:tblStyle w:val="TableNormal"/>
        <w:tblW w:w="0" w:type="auto"/>
        <w:tblInd w:w="28" w:type="dxa"/>
        <w:tblLayout w:type="fixed"/>
        <w:tblCellMar>
          <w:left w:w="28" w:type="dxa"/>
          <w:right w:w="28" w:type="dxa"/>
        </w:tblCellMar>
        <w:tblLook w:val="04A0"/>
      </w:tblPr>
      <w:tblGrid>
        <w:gridCol w:w="1365"/>
        <w:gridCol w:w="1911"/>
        <w:gridCol w:w="1911"/>
        <w:gridCol w:w="1638"/>
        <w:gridCol w:w="3003"/>
      </w:tblGrid>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接待时间　　</w:t>
            </w:r>
          </w:p>
        </w:tc>
        <w:tc>
          <w:tcPr>
            <w:tcW w:w="1911"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接待地点　　</w:t>
            </w:r>
          </w:p>
        </w:tc>
        <w:tc>
          <w:tcPr>
            <w:tcW w:w="1911"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接待方式　</w:t>
            </w:r>
            <w:r>
              <w:rPr>
                <w:rFonts w:ascii="Courier New" w:eastAsia="Courier New" w:hAnsi="Courier New" w:cs="Courier New" w:hint="eastAsia"/>
                <w:i/>
                <w:noProof/>
                <w:color w:val="FFFFFF"/>
                <w:kern w:val="2"/>
                <w:sz w:val="36"/>
                <w:lang w:val="en-US" w:eastAsia="zh-CN"/>
              </w:rPr>
              <w:t>　　　</w:t>
            </w:r>
          </w:p>
        </w:tc>
        <w:tc>
          <w:tcPr>
            <w:tcW w:w="1638"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接待对象　　　</w:t>
            </w:r>
          </w:p>
        </w:tc>
        <w:tc>
          <w:tcPr>
            <w:tcW w:w="3003" w:type="dxa"/>
            <w:tcBorders>
              <w:top w:val="single" w:sz="4" w:space="0" w:color="auto"/>
              <w:left w:val="single" w:sz="4" w:space="0" w:color="auto"/>
              <w:bottom w:val="single" w:sz="4" w:space="0" w:color="auto"/>
              <w:right w:val="single" w:sz="4" w:space="0" w:color="auto"/>
            </w:tcBorders>
            <w:shd w:val="clear" w:color="auto" w:fill="DCDCDC"/>
            <w:vAlign w:val="center"/>
          </w:tcPr>
          <w:p w:rsidR="00E2627B">
            <w:pPr>
              <w:widowControl w:val="0"/>
              <w:autoSpaceDE/>
              <w:autoSpaceDN/>
              <w:bidi w:val="0"/>
              <w:adjustRightInd/>
              <w:spacing w:before="40" w:after="40"/>
              <w:ind w:left="0" w:right="0"/>
              <w:jc w:val="center"/>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谈论的主要内容及提供的资料</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04</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14</w:t>
            </w:r>
            <w:r>
              <w:rPr>
                <w:rFonts w:ascii="Times New Roman" w:eastAsia="宋体" w:hAnsi="Times New Roman" w:cs="Times New Roman" w:hint="eastAsia"/>
                <w:noProof/>
                <w:kern w:val="2"/>
                <w:sz w:val="18"/>
                <w:szCs w:val="24"/>
                <w:lang w:val="en-US" w:eastAsia="zh-CN"/>
              </w:rPr>
              <w:t>日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招商证券</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王晓丹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04</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14</w:t>
            </w:r>
            <w:r>
              <w:rPr>
                <w:rFonts w:ascii="Times New Roman" w:eastAsia="宋体" w:hAnsi="Times New Roman" w:cs="Times New Roman" w:hint="eastAsia"/>
                <w:noProof/>
                <w:kern w:val="2"/>
                <w:sz w:val="18"/>
                <w:szCs w:val="24"/>
                <w:lang w:val="en-US" w:eastAsia="zh-CN"/>
              </w:rPr>
              <w:t>日</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　</w:t>
            </w:r>
            <w:r>
              <w:rPr>
                <w:rFonts w:ascii="Courier New" w:eastAsia="Courier New" w:hAnsi="Courier New" w:cs="Courier New" w:hint="eastAsia"/>
                <w:i/>
                <w:noProof/>
                <w:color w:val="FFFFFF"/>
                <w:kern w:val="2"/>
                <w:sz w:val="36"/>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中银国际证券有限责任公司</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乐宇坤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04</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23</w:t>
            </w:r>
            <w:r>
              <w:rPr>
                <w:rFonts w:ascii="Times New Roman" w:eastAsia="宋体" w:hAnsi="Times New Roman" w:cs="Times New Roman" w:hint="eastAsia"/>
                <w:noProof/>
                <w:kern w:val="2"/>
                <w:sz w:val="18"/>
                <w:szCs w:val="24"/>
                <w:lang w:val="en-US" w:eastAsia="zh-CN"/>
              </w:rPr>
              <w:t>日　　</w:t>
            </w:r>
            <w:r>
              <w:rPr>
                <w:rFonts w:ascii="Courier New" w:eastAsia="Courier New" w:hAnsi="Courier New" w:cs="Courier New" w:hint="eastAsia"/>
                <w:i/>
                <w:noProof/>
                <w:color w:val="FFFFFF"/>
                <w:kern w:val="2"/>
                <w:sz w:val="36"/>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富国基金管理</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罗林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04</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23</w:t>
            </w:r>
            <w:r>
              <w:rPr>
                <w:rFonts w:ascii="Times New Roman" w:eastAsia="宋体" w:hAnsi="Times New Roman" w:cs="Times New Roman" w:hint="eastAsia"/>
                <w:noProof/>
                <w:kern w:val="2"/>
                <w:sz w:val="18"/>
                <w:szCs w:val="24"/>
                <w:lang w:val="en-US" w:eastAsia="zh-CN"/>
              </w:rPr>
              <w:t>日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　</w:t>
            </w:r>
            <w:r>
              <w:rPr>
                <w:rFonts w:ascii="Courier New" w:eastAsia="Courier New" w:hAnsi="Courier New" w:cs="Courier New" w:hint="eastAsia"/>
                <w:i/>
                <w:noProof/>
                <w:color w:val="FFFFFF"/>
                <w:kern w:val="2"/>
                <w:sz w:val="36"/>
                <w:lang w:val="en-US" w:eastAsia="zh-CN"/>
              </w:rPr>
              <w:t>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东方证券股份</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张镭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04</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23</w:t>
            </w:r>
            <w:r>
              <w:rPr>
                <w:rFonts w:ascii="Times New Roman" w:eastAsia="宋体" w:hAnsi="Times New Roman" w:cs="Times New Roman" w:hint="eastAsia"/>
                <w:noProof/>
                <w:kern w:val="2"/>
                <w:sz w:val="18"/>
                <w:szCs w:val="24"/>
                <w:lang w:val="en-US" w:eastAsia="zh-CN"/>
              </w:rPr>
              <w:t>日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w:t>
            </w:r>
            <w:r>
              <w:rPr>
                <w:rFonts w:ascii="Courier New" w:eastAsia="Courier New" w:hAnsi="Courier New" w:cs="Courier New" w:hint="eastAsia"/>
                <w:i/>
                <w:noProof/>
                <w:color w:val="FFFFFF"/>
                <w:kern w:val="2"/>
                <w:sz w:val="36"/>
                <w:lang w:val="en-US" w:eastAsia="zh-CN"/>
              </w:rPr>
              <w:t>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国海富兰克林基金管理</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何景风　</w:t>
            </w:r>
            <w:r>
              <w:rPr>
                <w:rFonts w:ascii="Courier New" w:eastAsia="Courier New" w:hAnsi="Courier New" w:cs="Courier New" w:hint="eastAsia"/>
                <w:i/>
                <w:noProof/>
                <w:color w:val="FFFFFF"/>
                <w:kern w:val="2"/>
                <w:sz w:val="36"/>
                <w:lang w:val="en-US" w:eastAsia="zh-CN"/>
              </w:rPr>
              <w:t>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04</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26</w:t>
            </w:r>
            <w:r>
              <w:rPr>
                <w:rFonts w:ascii="Times New Roman" w:eastAsia="宋体" w:hAnsi="Times New Roman" w:cs="Times New Roman" w:hint="eastAsia"/>
                <w:noProof/>
                <w:kern w:val="2"/>
                <w:sz w:val="18"/>
                <w:szCs w:val="24"/>
                <w:lang w:val="en-US" w:eastAsia="zh-CN"/>
              </w:rPr>
              <w:t>日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w:t>
            </w:r>
            <w:r>
              <w:rPr>
                <w:rFonts w:ascii="Courier New" w:eastAsia="Courier New" w:hAnsi="Courier New" w:cs="Courier New" w:hint="eastAsia"/>
                <w:i/>
                <w:noProof/>
                <w:color w:val="FFFFFF"/>
                <w:kern w:val="2"/>
                <w:sz w:val="36"/>
                <w:lang w:val="en-US" w:eastAsia="zh-CN"/>
              </w:rPr>
              <w:t>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深圳市金石投资管理</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刘国祥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05</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19</w:t>
            </w:r>
            <w:r>
              <w:rPr>
                <w:rFonts w:ascii="Times New Roman" w:eastAsia="宋体" w:hAnsi="Times New Roman" w:cs="Times New Roman" w:hint="eastAsia"/>
                <w:noProof/>
                <w:kern w:val="2"/>
                <w:sz w:val="18"/>
                <w:szCs w:val="24"/>
                <w:lang w:val="en-US" w:eastAsia="zh-CN"/>
              </w:rPr>
              <w:t>日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国联安基金管理</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施卫平</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05</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21</w:t>
            </w:r>
            <w:r>
              <w:rPr>
                <w:rFonts w:ascii="Times New Roman" w:eastAsia="宋体" w:hAnsi="Times New Roman" w:cs="Times New Roman" w:hint="eastAsia"/>
                <w:noProof/>
                <w:kern w:val="2"/>
                <w:sz w:val="18"/>
                <w:szCs w:val="24"/>
                <w:lang w:val="en-US" w:eastAsia="zh-CN"/>
              </w:rPr>
              <w:t>日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长江证券</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王磊</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葛军　</w:t>
            </w:r>
            <w:r>
              <w:rPr>
                <w:rFonts w:ascii="Courier New" w:eastAsia="Courier New" w:hAnsi="Courier New" w:cs="Courier New" w:hint="eastAsia"/>
                <w:i/>
                <w:noProof/>
                <w:color w:val="FFFFFF"/>
                <w:kern w:val="2"/>
                <w:sz w:val="36"/>
                <w:lang w:val="en-US" w:eastAsia="zh-CN"/>
              </w:rPr>
              <w:t>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05</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21</w:t>
            </w:r>
            <w:r>
              <w:rPr>
                <w:rFonts w:ascii="Times New Roman" w:eastAsia="宋体" w:hAnsi="Times New Roman" w:cs="Times New Roman" w:hint="eastAsia"/>
                <w:noProof/>
                <w:kern w:val="2"/>
                <w:sz w:val="18"/>
                <w:szCs w:val="24"/>
                <w:lang w:val="en-US" w:eastAsia="zh-CN"/>
              </w:rPr>
              <w:t>日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w:t>
            </w:r>
            <w:r>
              <w:rPr>
                <w:rFonts w:ascii="Courier New" w:eastAsia="Courier New" w:hAnsi="Courier New" w:cs="Courier New" w:hint="eastAsia"/>
                <w:i/>
                <w:noProof/>
                <w:color w:val="FFFFFF"/>
                <w:kern w:val="2"/>
                <w:sz w:val="36"/>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w:t>
            </w:r>
            <w:r>
              <w:rPr>
                <w:rFonts w:ascii="Courier New" w:eastAsia="Courier New" w:hAnsi="Courier New" w:cs="Courier New" w:hint="eastAsia"/>
                <w:i/>
                <w:noProof/>
                <w:color w:val="FFFFFF"/>
                <w:kern w:val="2"/>
                <w:sz w:val="36"/>
                <w:lang w:val="en-US" w:eastAsia="zh-CN"/>
              </w:rPr>
              <w:t>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华富基金管理</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韩玮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05</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21</w:t>
            </w:r>
            <w:r>
              <w:rPr>
                <w:rFonts w:ascii="Times New Roman" w:eastAsia="宋体" w:hAnsi="Times New Roman" w:cs="Times New Roman" w:hint="eastAsia"/>
                <w:noProof/>
                <w:kern w:val="2"/>
                <w:sz w:val="18"/>
                <w:szCs w:val="24"/>
                <w:lang w:val="en-US" w:eastAsia="zh-CN"/>
              </w:rPr>
              <w:t>日</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　</w:t>
            </w:r>
            <w:r>
              <w:rPr>
                <w:rFonts w:ascii="Courier New" w:eastAsia="Courier New" w:hAnsi="Courier New" w:cs="Courier New" w:hint="eastAsia"/>
                <w:i/>
                <w:noProof/>
                <w:color w:val="FFFFFF"/>
                <w:kern w:val="2"/>
                <w:sz w:val="36"/>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　</w:t>
            </w:r>
            <w:r>
              <w:rPr>
                <w:rFonts w:ascii="Courier New" w:eastAsia="Courier New" w:hAnsi="Courier New" w:cs="Courier New" w:hint="eastAsia"/>
                <w:i/>
                <w:noProof/>
                <w:color w:val="FFFFFF"/>
                <w:kern w:val="2"/>
                <w:sz w:val="36"/>
                <w:lang w:val="en-US" w:eastAsia="zh-CN"/>
              </w:rPr>
              <w:t>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海富通基金管理</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牟善同</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05</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21</w:t>
            </w:r>
            <w:r>
              <w:rPr>
                <w:rFonts w:ascii="Times New Roman" w:eastAsia="宋体" w:hAnsi="Times New Roman" w:cs="Times New Roman" w:hint="eastAsia"/>
                <w:noProof/>
                <w:kern w:val="2"/>
                <w:sz w:val="18"/>
                <w:szCs w:val="24"/>
                <w:lang w:val="en-US" w:eastAsia="zh-CN"/>
              </w:rPr>
              <w:t>日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金鹰基金管理</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尹哲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05</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21</w:t>
            </w:r>
            <w:r>
              <w:rPr>
                <w:rFonts w:ascii="Times New Roman" w:eastAsia="宋体" w:hAnsi="Times New Roman" w:cs="Times New Roman" w:hint="eastAsia"/>
                <w:noProof/>
                <w:kern w:val="2"/>
                <w:sz w:val="18"/>
                <w:szCs w:val="24"/>
                <w:lang w:val="en-US" w:eastAsia="zh-CN"/>
              </w:rPr>
              <w:t>日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　</w:t>
            </w:r>
            <w:r>
              <w:rPr>
                <w:rFonts w:ascii="Courier New" w:eastAsia="Courier New" w:hAnsi="Courier New" w:cs="Courier New" w:hint="eastAsia"/>
                <w:i/>
                <w:noProof/>
                <w:color w:val="FFFFFF"/>
                <w:kern w:val="2"/>
                <w:sz w:val="36"/>
                <w:lang w:val="en-US" w:eastAsia="zh-CN"/>
              </w:rPr>
              <w:t>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鹏华基金管理</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刘苏</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05</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21</w:t>
            </w:r>
            <w:r>
              <w:rPr>
                <w:rFonts w:ascii="Times New Roman" w:eastAsia="宋体" w:hAnsi="Times New Roman" w:cs="Times New Roman" w:hint="eastAsia"/>
                <w:noProof/>
                <w:kern w:val="2"/>
                <w:sz w:val="18"/>
                <w:szCs w:val="24"/>
                <w:lang w:val="en-US" w:eastAsia="zh-CN"/>
              </w:rPr>
              <w:t>日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国泰基金</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孙朝晖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05</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21</w:t>
            </w:r>
            <w:r>
              <w:rPr>
                <w:rFonts w:ascii="Times New Roman" w:eastAsia="宋体" w:hAnsi="Times New Roman" w:cs="Times New Roman" w:hint="eastAsia"/>
                <w:noProof/>
                <w:kern w:val="2"/>
                <w:sz w:val="18"/>
                <w:szCs w:val="24"/>
                <w:lang w:val="en-US" w:eastAsia="zh-CN"/>
              </w:rPr>
              <w:t>日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w:t>
            </w:r>
            <w:r>
              <w:rPr>
                <w:rFonts w:ascii="Courier New" w:eastAsia="Courier New" w:hAnsi="Courier New" w:cs="Courier New" w:hint="eastAsia"/>
                <w:i/>
                <w:noProof/>
                <w:color w:val="FFFFFF"/>
                <w:kern w:val="2"/>
                <w:sz w:val="36"/>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泰康资产管理</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吴鹏飞　　</w:t>
            </w:r>
            <w:r>
              <w:rPr>
                <w:rFonts w:ascii="Courier New" w:eastAsia="Courier New" w:hAnsi="Courier New" w:cs="Courier New" w:hint="eastAsia"/>
                <w:i/>
                <w:noProof/>
                <w:color w:val="FFFFFF"/>
                <w:kern w:val="2"/>
                <w:sz w:val="36"/>
                <w:lang w:val="en-US" w:eastAsia="zh-CN"/>
              </w:rPr>
              <w:t>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05</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21</w:t>
            </w:r>
            <w:r>
              <w:rPr>
                <w:rFonts w:ascii="Times New Roman" w:eastAsia="宋体" w:hAnsi="Times New Roman" w:cs="Times New Roman" w:hint="eastAsia"/>
                <w:noProof/>
                <w:kern w:val="2"/>
                <w:sz w:val="18"/>
                <w:szCs w:val="24"/>
                <w:lang w:val="en-US" w:eastAsia="zh-CN"/>
              </w:rPr>
              <w:t>日　</w:t>
            </w:r>
            <w:r>
              <w:rPr>
                <w:rFonts w:ascii="Courier New" w:eastAsia="Courier New" w:hAnsi="Courier New" w:cs="Courier New" w:hint="eastAsia"/>
                <w:i/>
                <w:noProof/>
                <w:color w:val="FFFFFF"/>
                <w:kern w:val="2"/>
                <w:sz w:val="36"/>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　</w:t>
            </w:r>
            <w:r>
              <w:rPr>
                <w:rFonts w:ascii="Courier New" w:eastAsia="Courier New" w:hAnsi="Courier New" w:cs="Courier New" w:hint="eastAsia"/>
                <w:i/>
                <w:noProof/>
                <w:color w:val="FFFFFF"/>
                <w:kern w:val="2"/>
                <w:sz w:val="36"/>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w:t>
            </w:r>
            <w:r>
              <w:rPr>
                <w:rFonts w:ascii="Courier New" w:eastAsia="Courier New" w:hAnsi="Courier New" w:cs="Courier New" w:hint="eastAsia"/>
                <w:i/>
                <w:noProof/>
                <w:color w:val="FFFFFF"/>
                <w:kern w:val="2"/>
                <w:sz w:val="36"/>
                <w:lang w:val="en-US" w:eastAsia="zh-CN"/>
              </w:rPr>
              <w:t>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中信证券股份</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唐川</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林振民</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　　</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05</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25</w:t>
            </w:r>
            <w:r>
              <w:rPr>
                <w:rFonts w:ascii="Times New Roman" w:eastAsia="宋体" w:hAnsi="Times New Roman" w:cs="Times New Roman" w:hint="eastAsia"/>
                <w:noProof/>
                <w:kern w:val="2"/>
                <w:sz w:val="18"/>
                <w:szCs w:val="24"/>
                <w:lang w:val="en-US" w:eastAsia="zh-CN"/>
              </w:rPr>
              <w:t>日</w:t>
            </w:r>
            <w:r>
              <w:rPr>
                <w:rFonts w:ascii="Courier New" w:eastAsia="Courier New" w:hAnsi="Courier New" w:cs="Courier New" w:hint="eastAsia"/>
                <w:i/>
                <w:noProof/>
                <w:color w:val="FFFFFF"/>
                <w:kern w:val="2"/>
                <w:sz w:val="36"/>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东方证券股份</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张镭</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梁爽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05</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25</w:t>
            </w:r>
            <w:r>
              <w:rPr>
                <w:rFonts w:ascii="Times New Roman" w:eastAsia="宋体" w:hAnsi="Times New Roman" w:cs="Times New Roman" w:hint="eastAsia"/>
                <w:noProof/>
                <w:kern w:val="2"/>
                <w:sz w:val="18"/>
                <w:szCs w:val="24"/>
                <w:lang w:val="en-US" w:eastAsia="zh-CN"/>
              </w:rPr>
              <w:t>日　　</w:t>
            </w:r>
            <w:r>
              <w:rPr>
                <w:rFonts w:ascii="Courier New" w:eastAsia="Courier New" w:hAnsi="Courier New" w:cs="Courier New" w:hint="eastAsia"/>
                <w:i/>
                <w:noProof/>
                <w:color w:val="FFFFFF"/>
                <w:kern w:val="2"/>
                <w:sz w:val="36"/>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　　</w:t>
            </w:r>
            <w:r>
              <w:rPr>
                <w:rFonts w:ascii="Courier New" w:eastAsia="Courier New" w:hAnsi="Courier New" w:cs="Courier New" w:hint="eastAsia"/>
                <w:i/>
                <w:noProof/>
                <w:color w:val="FFFFFF"/>
                <w:kern w:val="2"/>
                <w:sz w:val="36"/>
                <w:lang w:val="en-US" w:eastAsia="zh-CN"/>
              </w:rPr>
              <w:t>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南方基金管理</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吴国清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05</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25</w:t>
            </w:r>
            <w:r>
              <w:rPr>
                <w:rFonts w:ascii="Times New Roman" w:eastAsia="宋体" w:hAnsi="Times New Roman" w:cs="Times New Roman" w:hint="eastAsia"/>
                <w:noProof/>
                <w:kern w:val="2"/>
                <w:sz w:val="18"/>
                <w:szCs w:val="24"/>
                <w:lang w:val="en-US" w:eastAsia="zh-CN"/>
              </w:rPr>
              <w:t>日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东吴基金管理</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张能进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06</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22</w:t>
            </w:r>
            <w:r>
              <w:rPr>
                <w:rFonts w:ascii="Times New Roman" w:eastAsia="宋体" w:hAnsi="Times New Roman" w:cs="Times New Roman" w:hint="eastAsia"/>
                <w:noProof/>
                <w:kern w:val="2"/>
                <w:sz w:val="18"/>
                <w:szCs w:val="24"/>
                <w:lang w:val="en-US" w:eastAsia="zh-CN"/>
              </w:rPr>
              <w:t>日</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中国国际金融〔香港〕</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蔡宏宇</w:t>
            </w:r>
            <w:r>
              <w:rPr>
                <w:rFonts w:ascii="Courier New" w:eastAsia="Courier New" w:hAnsi="Courier New" w:cs="Courier New" w:hint="eastAsia"/>
                <w:i/>
                <w:noProof/>
                <w:color w:val="FFFFFF"/>
                <w:kern w:val="2"/>
                <w:sz w:val="36"/>
                <w:lang w:val="en-US" w:eastAsia="zh-CN"/>
              </w:rPr>
              <w:t>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06</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22</w:t>
            </w:r>
            <w:r>
              <w:rPr>
                <w:rFonts w:ascii="Times New Roman" w:eastAsia="宋体" w:hAnsi="Times New Roman" w:cs="Times New Roman" w:hint="eastAsia"/>
                <w:noProof/>
                <w:kern w:val="2"/>
                <w:sz w:val="18"/>
                <w:szCs w:val="24"/>
                <w:lang w:val="en-US" w:eastAsia="zh-CN"/>
              </w:rPr>
              <w:t>日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新华资产管理股份</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吕连忠　　</w:t>
            </w:r>
            <w:r>
              <w:rPr>
                <w:rFonts w:ascii="Courier New" w:eastAsia="Courier New" w:hAnsi="Courier New" w:cs="Courier New" w:hint="eastAsia"/>
                <w:i/>
                <w:noProof/>
                <w:color w:val="FFFFFF"/>
                <w:kern w:val="2"/>
                <w:sz w:val="36"/>
                <w:lang w:val="en-US" w:eastAsia="zh-CN"/>
              </w:rPr>
              <w:t>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06</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22</w:t>
            </w:r>
            <w:r>
              <w:rPr>
                <w:rFonts w:ascii="Times New Roman" w:eastAsia="宋体" w:hAnsi="Times New Roman" w:cs="Times New Roman" w:hint="eastAsia"/>
                <w:noProof/>
                <w:kern w:val="2"/>
                <w:sz w:val="18"/>
                <w:szCs w:val="24"/>
                <w:lang w:val="en-US" w:eastAsia="zh-CN"/>
              </w:rPr>
              <w:t>日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　</w:t>
            </w:r>
            <w:r>
              <w:rPr>
                <w:rFonts w:ascii="Courier New" w:eastAsia="Courier New" w:hAnsi="Courier New" w:cs="Courier New" w:hint="eastAsia"/>
                <w:i/>
                <w:noProof/>
                <w:color w:val="FFFFFF"/>
                <w:kern w:val="2"/>
                <w:sz w:val="36"/>
                <w:lang w:val="en-US" w:eastAsia="zh-CN"/>
              </w:rPr>
              <w:t>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华夏基金管理</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杜兵</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王冠苏</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w:t>
            </w:r>
            <w:r>
              <w:rPr>
                <w:rFonts w:ascii="Courier New" w:eastAsia="Courier New" w:hAnsi="Courier New" w:cs="Courier New" w:hint="eastAsia"/>
                <w:i/>
                <w:noProof/>
                <w:color w:val="FFFFFF"/>
                <w:kern w:val="2"/>
                <w:sz w:val="36"/>
                <w:lang w:val="en-US" w:eastAsia="zh-CN"/>
              </w:rPr>
              <w:t>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06</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22</w:t>
            </w:r>
            <w:r>
              <w:rPr>
                <w:rFonts w:ascii="Times New Roman" w:eastAsia="宋体" w:hAnsi="Times New Roman" w:cs="Times New Roman" w:hint="eastAsia"/>
                <w:noProof/>
                <w:kern w:val="2"/>
                <w:sz w:val="18"/>
                <w:szCs w:val="24"/>
                <w:lang w:val="en-US" w:eastAsia="zh-CN"/>
              </w:rPr>
              <w:t>日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纽银梅隆西部基金管理</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罗彦</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r>
      <w:tr>
        <w:tblPrEx>
          <w:tblW w:w="0" w:type="auto"/>
          <w:tblInd w:w="28" w:type="dxa"/>
          <w:tblLayout w:type="fixed"/>
          <w:tblCellMar>
            <w:left w:w="28" w:type="dxa"/>
            <w:right w:w="28" w:type="dxa"/>
          </w:tblCellMar>
          <w:tblLook w:val="04A0"/>
        </w:tblPrEx>
        <w:tc>
          <w:tcPr>
            <w:tcW w:w="1365"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default"/>
                <w:noProof/>
                <w:kern w:val="2"/>
                <w:sz w:val="18"/>
                <w:szCs w:val="24"/>
                <w:lang w:val="en-US" w:eastAsia="zh-CN"/>
              </w:rPr>
              <w:t>2021</w:t>
            </w:r>
            <w:r>
              <w:rPr>
                <w:rFonts w:ascii="Times New Roman" w:eastAsia="宋体" w:hAnsi="Times New Roman" w:cs="Times New Roman" w:hint="eastAsia"/>
                <w:noProof/>
                <w:kern w:val="2"/>
                <w:sz w:val="18"/>
                <w:szCs w:val="24"/>
                <w:lang w:val="en-US" w:eastAsia="zh-CN"/>
              </w:rPr>
              <w:t>年</w:t>
            </w:r>
            <w:r>
              <w:rPr>
                <w:rFonts w:ascii="Times New Roman" w:eastAsia="宋体" w:hAnsi="Times New Roman" w:cs="Times New Roman" w:hint="default"/>
                <w:noProof/>
                <w:kern w:val="2"/>
                <w:sz w:val="18"/>
                <w:szCs w:val="24"/>
                <w:lang w:val="en-US" w:eastAsia="zh-CN"/>
              </w:rPr>
              <w:t>06</w:t>
            </w:r>
            <w:r>
              <w:rPr>
                <w:rFonts w:ascii="Times New Roman" w:eastAsia="宋体" w:hAnsi="Times New Roman" w:cs="Times New Roman" w:hint="eastAsia"/>
                <w:noProof/>
                <w:kern w:val="2"/>
                <w:sz w:val="18"/>
                <w:szCs w:val="24"/>
                <w:lang w:val="en-US" w:eastAsia="zh-CN"/>
              </w:rPr>
              <w:t>月</w:t>
            </w:r>
            <w:r>
              <w:rPr>
                <w:rFonts w:ascii="Times New Roman" w:eastAsia="宋体" w:hAnsi="Times New Roman" w:cs="Times New Roman" w:hint="default"/>
                <w:noProof/>
                <w:kern w:val="2"/>
                <w:sz w:val="18"/>
                <w:szCs w:val="24"/>
                <w:lang w:val="en-US" w:eastAsia="zh-CN"/>
              </w:rPr>
              <w:t>22</w:t>
            </w:r>
            <w:r>
              <w:rPr>
                <w:rFonts w:ascii="Times New Roman" w:eastAsia="宋体" w:hAnsi="Times New Roman" w:cs="Times New Roman" w:hint="eastAsia"/>
                <w:noProof/>
                <w:kern w:val="2"/>
                <w:sz w:val="18"/>
                <w:szCs w:val="24"/>
                <w:lang w:val="en-US" w:eastAsia="zh-CN"/>
              </w:rPr>
              <w:t>日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证券部</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911"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both"/>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实地调研</w:t>
            </w:r>
            <w:r>
              <w:rPr>
                <w:rFonts w:ascii="Courier New" w:eastAsia="Courier New" w:hAnsi="Courier New" w:cs="Courier New" w:hint="eastAsia"/>
                <w:i/>
                <w:noProof/>
                <w:color w:val="FFFFFF"/>
                <w:kern w:val="2"/>
                <w:sz w:val="36"/>
                <w:lang w:val="en-US" w:eastAsia="zh-CN"/>
              </w:rPr>
              <w:t>　　　</w:t>
            </w:r>
            <w:r>
              <w:rPr>
                <w:rFonts w:ascii="Times New Roman" w:eastAsia="宋体" w:hAnsi="Times New Roman" w:cs="Times New Roman" w:hint="eastAsia"/>
                <w:noProof/>
                <w:kern w:val="2"/>
                <w:sz w:val="18"/>
                <w:szCs w:val="24"/>
                <w:lang w:val="en-US" w:eastAsia="zh-CN"/>
              </w:rPr>
              <w:t>　</w:t>
            </w:r>
          </w:p>
        </w:tc>
        <w:tc>
          <w:tcPr>
            <w:tcW w:w="1638"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泰达宏利基金管理</w:t>
            </w:r>
            <w:r>
              <w:rPr>
                <w:rFonts w:ascii="Times New Roman" w:eastAsia="宋体" w:hAnsi="Times New Roman" w:cs="Times New Roman" w:hint="default"/>
                <w:noProof/>
                <w:kern w:val="2"/>
                <w:sz w:val="18"/>
                <w:szCs w:val="24"/>
                <w:lang w:val="en-US" w:eastAsia="zh-CN"/>
              </w:rPr>
              <w:t xml:space="preserve"> </w:t>
            </w:r>
            <w:r>
              <w:rPr>
                <w:rFonts w:ascii="Times New Roman" w:eastAsia="宋体" w:hAnsi="Times New Roman" w:cs="Times New Roman" w:hint="eastAsia"/>
                <w:noProof/>
                <w:kern w:val="2"/>
                <w:sz w:val="18"/>
                <w:szCs w:val="24"/>
                <w:lang w:val="en-US" w:eastAsia="zh-CN"/>
              </w:rPr>
              <w:t>吴云峰　　　</w:t>
            </w:r>
          </w:p>
        </w:tc>
        <w:tc>
          <w:tcPr>
            <w:tcW w:w="3003" w:type="dxa"/>
            <w:tcBorders>
              <w:top w:val="single" w:sz="4" w:space="0" w:color="auto"/>
              <w:left w:val="single" w:sz="4" w:space="0" w:color="auto"/>
              <w:bottom w:val="single" w:sz="4" w:space="0" w:color="auto"/>
              <w:right w:val="single" w:sz="4" w:space="0" w:color="auto"/>
            </w:tcBorders>
            <w:vAlign w:val="center"/>
          </w:tcPr>
          <w:p w:rsidR="00E2627B">
            <w:pPr>
              <w:widowControl w:val="0"/>
              <w:autoSpaceDE/>
              <w:autoSpaceDN/>
              <w:bidi w:val="0"/>
              <w:adjustRightInd/>
              <w:spacing w:before="40" w:after="40"/>
              <w:ind w:left="0" w:right="0"/>
              <w:jc w:val="left"/>
              <w:textAlignment w:val="auto"/>
              <w:rPr>
                <w:rFonts w:cs="Times New Roman"/>
                <w:noProof/>
                <w:szCs w:val="24"/>
              </w:rPr>
            </w:pPr>
            <w:r>
              <w:rPr>
                <w:rFonts w:ascii="Times New Roman" w:eastAsia="宋体" w:hAnsi="Times New Roman" w:cs="Times New Roman" w:hint="eastAsia"/>
                <w:noProof/>
                <w:kern w:val="2"/>
                <w:sz w:val="18"/>
                <w:szCs w:val="24"/>
                <w:lang w:val="en-US" w:eastAsia="zh-CN"/>
              </w:rPr>
              <w:t>公司根本面产业开展等；未提供资料　　</w:t>
            </w:r>
          </w:p>
        </w:tc>
      </w:tr>
    </w:tbl>
    <w:p>
      <w:r>
        <w:br/>
      </w:r>
      <w:r>
        <w:br/>
      </w:r>
    </w:p>
    <w:p>
      <w:pPr>
        <w:widowControl/>
        <w:autoSpaceDE/>
        <w:autoSpaceDN/>
        <w:adjustRightInd/>
        <w:spacing w:before="0" w:after="0"/>
        <w:ind w:left="0" w:right="0"/>
        <w:jc w:val="left"/>
        <w:textAlignment w:val="auto"/>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https://d.book118.com/575041034113011114</w:t>
        </w:r>
      </w:hyperlink>
    </w:p>
    <w:p/>
    <w:sectPr>
      <w:type w:val="nextPage"/>
      <w:pgSz w:w="11906" w:h="16838"/>
      <w:pgMar w:top="1440" w:right="1134" w:bottom="1440" w:left="1134" w:header="708" w:footer="708" w:gutter="0"/>
      <w:pgNumType w:start="9"/>
      <w:cols w:space="708"/>
      <w:titlePg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00000000" w:usb1="00000000" w:usb2="00000000" w:usb3="00000000" w:csb0="00000001" w:csb1="00000000"/>
  </w:font>
  <w:font w:name="Arial">
    <w:panose1 w:val="020B0604020202020204"/>
    <w:charset w:val="00"/>
    <w:family w:val="swiss"/>
    <w:pitch w:val="variable"/>
    <w:sig w:usb0="00000000" w:usb1="00000000" w:usb2="00000000" w:usb3="00000000" w:csb0="00000001" w:csb1="00000000"/>
  </w:font>
  <w:font w:name="Courier New">
    <w:panose1 w:val="02070309020205020404"/>
    <w:charset w:val="00"/>
    <w:family w:val="modern"/>
    <w:pitch w:val="fixed"/>
    <w:sig w:usb0="00000000" w:usb1="00000000" w:usb2="00000000" w:usb3="00000000" w:csb0="00000001" w:csb1="00000000"/>
  </w:font>
  <w:font w:name="Symbol">
    <w:panose1 w:val="05050102010706020507"/>
    <w:charset w:val="02"/>
    <w:family w:val="roman"/>
    <w:pitch w:val="variable"/>
    <w:sig w:usb0="00000000" w:usb1="00000000" w:usb2="00000000" w:usb3="00000000" w:csb0="80000000" w:csb1="00000000"/>
  </w:font>
  <w:font w:name="Helvetica">
    <w:panose1 w:val="020B0604020202020204"/>
    <w:charset w:val="00"/>
    <w:family w:val="swiss"/>
    <w:pitch w:val="variable"/>
    <w:sig w:usb0="00000000" w:usb1="00000000" w:usb2="00000000" w:usb3="00000000" w:csb0="00000001" w:csb1="00000000"/>
  </w:font>
  <w:font w:name="Courier">
    <w:panose1 w:val="02070409020205020404"/>
    <w:charset w:val="00"/>
    <w:family w:val="modern"/>
    <w:pitch w:val="fixed"/>
    <w:sig w:usb0="00000000" w:usb1="00000000" w:usb2="00000000" w:usb3="00000000" w:csb0="00000001" w:csb1="00000000"/>
  </w:font>
  <w:font w:name="Tms Rmn">
    <w:panose1 w:val="02020603040505020304"/>
    <w:charset w:val="00"/>
    <w:family w:val="roman"/>
    <w:pitch w:val="variable"/>
    <w:sig w:usb0="00000000" w:usb1="00000000" w:usb2="00000000" w:usb3="00000000" w:csb0="00000001" w:csb1="00000000"/>
  </w:font>
  <w:font w:name="Helv">
    <w:panose1 w:val="020B0604020202030204"/>
    <w:charset w:val="00"/>
    <w:family w:val="swiss"/>
    <w:pitch w:val="variable"/>
    <w:sig w:usb0="00000000" w:usb1="00000000" w:usb2="00000000" w:usb3="00000000" w:csb0="00000001" w:csb1="00000000"/>
  </w:font>
  <w:font w:name="New York">
    <w:panose1 w:val="02040503060506020304"/>
    <w:charset w:val="00"/>
    <w:family w:val="roman"/>
    <w:pitch w:val="variable"/>
    <w:sig w:usb0="00000000" w:usb1="00000000" w:usb2="00000000" w:usb3="00000000" w:csb0="00000001" w:csb1="00000000"/>
  </w:font>
  <w:font w:name="System">
    <w:panose1 w:val="00000000000000000000"/>
    <w:charset w:val="86"/>
    <w:family w:val="auto"/>
    <w:pitch w:val="default"/>
    <w:sig w:usb0="00000000" w:usb1="00000000" w:usb2="00000000" w:usb3="00000000" w:csb0="00040000" w:csb1="00000000"/>
  </w:font>
  <w:font w:name="Wingdings">
    <w:panose1 w:val="05000000000000000000"/>
    <w:charset w:val="02"/>
    <w:family w:val="auto"/>
    <w:pitch w:val="variable"/>
    <w:sig w:usb0="00000000" w:usb1="00000000" w:usb2="00000000" w:usb3="00000000" w:csb0="80000000" w:csb1="00000000"/>
  </w:font>
  <w:font w:name="MS Mincho">
    <w:altName w:val="俵俽 柧挬"/>
    <w:panose1 w:val="02020609040205080304"/>
    <w:charset w:val="80"/>
    <w:family w:val="roman"/>
    <w:pitch w:val="fixed"/>
    <w:sig w:usb0="00000000" w:usb1="00000000" w:usb2="00000000" w:usb3="00000000" w:csb0="00020000" w:csb1="00000000"/>
  </w:font>
  <w:font w:name="Batang">
    <w:altName w:val="官帕"/>
    <w:panose1 w:val="02030600000101010101"/>
    <w:charset w:val="81"/>
    <w:family w:val="auto"/>
    <w:pitch w:val="fixed"/>
    <w:sig w:usb0="00000000" w:usb1="00000000" w:usb2="00000000" w:usb3="00000000" w:csb0="00080000" w:csb1="00000000"/>
  </w:font>
  <w:font w:name="宋体">
    <w:altName w:val="SimSun"/>
    <w:panose1 w:val="02010600030101010101"/>
    <w:charset w:val="86"/>
    <w:family w:val="auto"/>
    <w:pitch w:val="variable"/>
    <w:sig w:usb0="00000000" w:usb1="00000000" w:usb2="00000000" w:usb3="00000000" w:csb0="00040000" w:csb1="00000000"/>
  </w:font>
  <w:font w:name="PMingLiU">
    <w:altName w:val="穝灿砰"/>
    <w:panose1 w:val="02020300000000000000"/>
    <w:charset w:val="88"/>
    <w:family w:val="auto"/>
    <w:pitch w:val="variable"/>
    <w:sig w:usb0="00000000" w:usb1="00000000" w:usb2="00000000" w:usb3="00000000" w:csb0="00100000" w:csb1="00000000"/>
  </w:font>
  <w:font w:name="MS Gothic">
    <w:altName w:val="俵俽 僑僔僢僋"/>
    <w:panose1 w:val="020B0609070205080204"/>
    <w:charset w:val="80"/>
    <w:family w:val="modern"/>
    <w:pitch w:val="fixed"/>
    <w:sig w:usb0="00000000" w:usb1="00000000" w:usb2="00000000" w:usb3="00000000" w:csb0="00020000" w:csb1="00000000"/>
  </w:font>
  <w:font w:name="Dotum">
    <w:altName w:val="蹈框"/>
    <w:panose1 w:val="020B0600000101010101"/>
    <w:charset w:val="81"/>
    <w:family w:val="modern"/>
    <w:pitch w:val="fixed"/>
    <w:sig w:usb0="00000000" w:usb1="00000000" w:usb2="00000000" w:usb3="00000000" w:csb0="00080000" w:csb1="00000000"/>
  </w:font>
  <w:font w:name="黑体">
    <w:altName w:val="SimHei"/>
    <w:panose1 w:val="02010600030101010101"/>
    <w:charset w:val="86"/>
    <w:family w:val="modern"/>
    <w:pitch w:val="fixed"/>
    <w:sig w:usb0="00000000" w:usb1="00000000" w:usb2="00000000" w:usb3="00000000" w:csb0="00040000" w:csb1="00000000"/>
  </w:font>
  <w:font w:name="MingLiU">
    <w:altName w:val="灿砰"/>
    <w:panose1 w:val="02020309000000000000"/>
    <w:charset w:val="88"/>
    <w:family w:val="modern"/>
    <w:pitch w:val="fixed"/>
    <w:sig w:usb0="00000000" w:usb1="00000000" w:usb2="00000000" w:usb3="00000000" w:csb0="00100000" w:csb1="00000000"/>
  </w:font>
  <w:font w:name="Mincho">
    <w:altName w:val="柧挬"/>
    <w:panose1 w:val="02020609040305080305"/>
    <w:charset w:val="80"/>
    <w:family w:val="roman"/>
    <w:pitch w:val="fixed"/>
    <w:sig w:usb0="00000000" w:usb1="00000000" w:usb2="00000000" w:usb3="00000000" w:csb0="00020000" w:csb1="00000000"/>
  </w:font>
  <w:font w:name="Gulim">
    <w:altName w:val="奔覆"/>
    <w:panose1 w:val="020B0600000101010101"/>
    <w:charset w:val="81"/>
    <w:family w:val="roman"/>
    <w:pitch w:val="fixed"/>
    <w:sig w:usb0="00000000" w:usb1="00000000" w:usb2="00000000" w:usb3="00000000" w:csb0="00080000" w:csb1="00000000"/>
  </w:font>
  <w:font w:name="Century">
    <w:panose1 w:val="02040603050705020303"/>
    <w:charset w:val="00"/>
    <w:family w:val="roman"/>
    <w:pitch w:val="variable"/>
    <w:sig w:usb0="00000000" w:usb1="00000000" w:usb2="00000000" w:usb3="00000000" w:csb0="00000001" w:csb1="00000000"/>
  </w:font>
  <w:font w:name="Angsana New">
    <w:panose1 w:val="02020603050405020304"/>
    <w:charset w:val="DE"/>
    <w:family w:val="roman"/>
    <w:pitch w:val="variable"/>
    <w:sig w:usb0="00000000" w:usb1="00000000" w:usb2="00000000" w:usb3="00000000" w:csb0="00010000" w:csb1="00000000"/>
  </w:font>
  <w:font w:name="Cordia New">
    <w:panose1 w:val="020B0304020202020204"/>
    <w:charset w:val="DE"/>
    <w:family w:val="roman"/>
    <w:pitch w:val="variable"/>
    <w:sig w:usb0="00000000" w:usb1="00000000" w:usb2="00000000" w:usb3="00000000" w:csb0="00010000" w:csb1="00000000"/>
  </w:font>
  <w:font w:name="Mangal">
    <w:panose1 w:val="00000400000000000000"/>
    <w:charset w:val="01"/>
    <w:family w:val="roman"/>
    <w:pitch w:val="variable"/>
    <w:sig w:usb0="00000000" w:usb1="00000000" w:usb2="00000000" w:usb3="00000000" w:csb0="00000000" w:csb1="00000000"/>
  </w:font>
  <w:font w:name="Latha">
    <w:panose1 w:val="02000400000000000000"/>
    <w:charset w:val="01"/>
    <w:family w:val="roman"/>
    <w:pitch w:val="variable"/>
    <w:sig w:usb0="00000000" w:usb1="00000000" w:usb2="00000000" w:usb3="00000000" w:csb0="00000000" w:csb1="00000000"/>
  </w:font>
  <w:font w:name="Sylfaen">
    <w:panose1 w:val="010A0502050306030303"/>
    <w:charset w:val="00"/>
    <w:family w:val="roman"/>
    <w:pitch w:val="variable"/>
    <w:sig w:usb0="00000000" w:usb1="00000000" w:usb2="00000000" w:usb3="00000000" w:csb0="00000001" w:csb1="00000000"/>
  </w:font>
  <w:font w:name="Vrinda">
    <w:panose1 w:val="01010600010101010101"/>
    <w:charset w:val="01"/>
    <w:family w:val="roman"/>
    <w:pitch w:val="variable"/>
    <w:sig w:usb0="00000000" w:usb1="00000000" w:usb2="00000000" w:usb3="00000000" w:csb0="00000000" w:csb1="00000000"/>
  </w:font>
  <w:font w:name="Raavi">
    <w:panose1 w:val="02000500000000000000"/>
    <w:charset w:val="01"/>
    <w:family w:val="roman"/>
    <w:pitch w:val="variable"/>
    <w:sig w:usb0="00000000" w:usb1="00000000" w:usb2="00000000" w:usb3="00000000" w:csb0="00000000" w:csb1="00000000"/>
  </w:font>
  <w:font w:name="Shruti">
    <w:panose1 w:val="02000500000000000000"/>
    <w:charset w:val="01"/>
    <w:family w:val="roman"/>
    <w:pitch w:val="variable"/>
    <w:sig w:usb0="00000000" w:usb1="00000000" w:usb2="00000000" w:usb3="00000000" w:csb0="00000000" w:csb1="00000000"/>
  </w:font>
  <w:font w:name="Sendnya">
    <w:panose1 w:val="00000400000000000000"/>
    <w:charset w:val="01"/>
    <w:family w:val="roman"/>
    <w:pitch w:val="variable"/>
    <w:sig w:usb0="00000000" w:usb1="00000000" w:usb2="00000000" w:usb3="00000000" w:csb0="00000000" w:csb1="00000000"/>
  </w:font>
  <w:font w:name="Gautami">
    <w:panose1 w:val="02000500000000000000"/>
    <w:charset w:val="01"/>
    <w:family w:val="roman"/>
    <w:pitch w:val="variable"/>
    <w:sig w:usb0="00000000" w:usb1="00000000" w:usb2="00000000" w:usb3="00000000" w:csb0="00000000" w:csb1="00000000"/>
  </w:font>
  <w:font w:name="Tunga">
    <w:panose1 w:val="00000400000000000000"/>
    <w:charset w:val="01"/>
    <w:family w:val="roman"/>
    <w:pitch w:val="variable"/>
    <w:sig w:usb0="00000000" w:usb1="00000000" w:usb2="00000000" w:usb3="00000000" w:csb0="00000000" w:csb1="00000000"/>
  </w:font>
  <w:font w:name="Estrangelo Edessa">
    <w:panose1 w:val="00000000000000000000"/>
    <w:charset w:val="01"/>
    <w:family w:val="roman"/>
    <w:pitch w:val="variable"/>
    <w:sig w:usb0="00000000" w:usb1="00000000" w:usb2="00000000" w:usb3="00000000" w:csb0="00000000" w:csb1="00000000"/>
  </w:font>
  <w:font w:name="Kartika">
    <w:panose1 w:val="02020503030404060203"/>
    <w:charset w:val="01"/>
    <w:family w:val="roman"/>
    <w:pitch w:val="variable"/>
    <w:sig w:usb0="00000000" w:usb1="00000000" w:usb2="00000000" w:usb3="00000000" w:csb0="00000000" w:csb1="00000000"/>
  </w:font>
  <w:font w:name="Arial Unicode MS">
    <w:panose1 w:val="020B0604020202020204"/>
    <w:charset w:val="00"/>
    <w:family w:val="roman"/>
    <w:pitch w:val="variable"/>
    <w:sig w:usb0="00000000" w:usb1="00000000" w:usb2="00000000" w:usb3="00000000" w:csb0="00000001" w:csb1="00000000"/>
  </w:font>
  <w:font w:name="@宋体">
    <w:panose1 w:val="02010600030101010101"/>
    <w:charset w:val="86"/>
    <w:family w:val="auto"/>
    <w:pitch w:val="variable"/>
    <w:sig w:usb0="00000000" w:usb1="00000000" w:usb2="00000000" w:usb3="00000000" w:csb0="00040000" w:csb1="00000000"/>
  </w:font>
  <w:font w:name="Times New Roman CE">
    <w:panose1 w:val="00000000000000000000"/>
    <w:charset w:val="EE"/>
    <w:family w:val="roman"/>
    <w:pitch w:val="variable"/>
    <w:sig w:usb0="00000000" w:usb1="00000000" w:usb2="00000000" w:usb3="00000000" w:csb0="00000002" w:csb1="00000000"/>
  </w:font>
  <w:font w:name="Times New Roman Cyr">
    <w:panose1 w:val="00000000000000000000"/>
    <w:charset w:val="CC"/>
    <w:family w:val="roman"/>
    <w:pitch w:val="variable"/>
    <w:sig w:usb0="00000000" w:usb1="00000000" w:usb2="00000000" w:usb3="00000000" w:csb0="00000004" w:csb1="00000000"/>
  </w:font>
  <w:font w:name="Times New Roman Greek">
    <w:panose1 w:val="00000000000000000000"/>
    <w:charset w:val="A1"/>
    <w:family w:val="roman"/>
    <w:pitch w:val="variable"/>
    <w:sig w:usb0="00000000" w:usb1="00000000" w:usb2="00000000" w:usb3="00000000" w:csb0="00000008" w:csb1="00000000"/>
  </w:font>
  <w:font w:name="Times New Roman Tur">
    <w:panose1 w:val="00000000000000000000"/>
    <w:charset w:val="A2"/>
    <w:family w:val="roman"/>
    <w:pitch w:val="variable"/>
    <w:sig w:usb0="00000000" w:usb1="00000000" w:usb2="00000000" w:usb3="00000000" w:csb0="00000010" w:csb1="00000000"/>
  </w:font>
  <w:font w:name="Times New Roman (Hebrew)">
    <w:panose1 w:val="00000000000000000000"/>
    <w:charset w:val="B1"/>
    <w:family w:val="roman"/>
    <w:pitch w:val="variable"/>
    <w:sig w:usb0="00000000" w:usb1="00000000" w:usb2="00000000" w:usb3="00000000" w:csb0="00000020" w:csb1="00000000"/>
  </w:font>
  <w:font w:name="Times New Roman (Arabic)">
    <w:panose1 w:val="00000000000000000000"/>
    <w:charset w:val="B2"/>
    <w:family w:val="roman"/>
    <w:pitch w:val="variable"/>
    <w:sig w:usb0="00000000" w:usb1="00000000" w:usb2="00000000" w:usb3="00000000" w:csb0="00000040" w:csb1="00000000"/>
  </w:font>
  <w:font w:name="Times New Roman Baltic">
    <w:panose1 w:val="00000000000000000000"/>
    <w:charset w:val="BA"/>
    <w:family w:val="roman"/>
    <w:pitch w:val="variable"/>
    <w:sig w:usb0="00000000" w:usb1="00000000" w:usb2="00000000" w:usb3="00000000" w:csb0="00000080" w:csb1="00000000"/>
  </w:font>
  <w:font w:name="Times New Roman (Vietnamese)">
    <w:panose1 w:val="00000000000000000000"/>
    <w:charset w:val="A3"/>
    <w:family w:val="roman"/>
    <w:pitch w:val="variable"/>
    <w:sig w:usb0="00000000" w:usb1="00000000" w:usb2="00000000" w:usb3="00000000" w:csb0="00000100" w:csb1="00000000"/>
  </w:font>
  <w:font w:name="Arial CE">
    <w:panose1 w:val="00000000000000000000"/>
    <w:charset w:val="EE"/>
    <w:family w:val="swiss"/>
    <w:pitch w:val="variable"/>
    <w:sig w:usb0="00000000" w:usb1="00000000" w:usb2="00000000" w:usb3="00000000" w:csb0="00000002" w:csb1="00000000"/>
  </w:font>
  <w:font w:name="Arial Cyr">
    <w:panose1 w:val="00000000000000000000"/>
    <w:charset w:val="CC"/>
    <w:family w:val="swiss"/>
    <w:pitch w:val="variable"/>
    <w:sig w:usb0="00000000" w:usb1="00000000" w:usb2="00000000" w:usb3="00000000" w:csb0="00000004" w:csb1="00000000"/>
  </w:font>
  <w:font w:name="Arial Greek">
    <w:panose1 w:val="00000000000000000000"/>
    <w:charset w:val="A1"/>
    <w:family w:val="swiss"/>
    <w:pitch w:val="variable"/>
    <w:sig w:usb0="00000000" w:usb1="00000000" w:usb2="00000000" w:usb3="00000000" w:csb0="00000008" w:csb1="00000000"/>
  </w:font>
  <w:font w:name="Arial Tur">
    <w:panose1 w:val="00000000000000000000"/>
    <w:charset w:val="A2"/>
    <w:family w:val="swiss"/>
    <w:pitch w:val="variable"/>
    <w:sig w:usb0="00000000" w:usb1="00000000" w:usb2="00000000" w:usb3="00000000" w:csb0="00000010" w:csb1="00000000"/>
  </w:font>
  <w:font w:name="Arial (Hebrew)">
    <w:panose1 w:val="00000000000000000000"/>
    <w:charset w:val="B1"/>
    <w:family w:val="swiss"/>
    <w:pitch w:val="variable"/>
    <w:sig w:usb0="00000000" w:usb1="00000000" w:usb2="00000000" w:usb3="00000000" w:csb0="00000020" w:csb1="00000000"/>
  </w:font>
  <w:font w:name="Arial (Arabic)">
    <w:panose1 w:val="00000000000000000000"/>
    <w:charset w:val="B2"/>
    <w:family w:val="swiss"/>
    <w:pitch w:val="variable"/>
    <w:sig w:usb0="00000000" w:usb1="00000000" w:usb2="00000000" w:usb3="00000000" w:csb0="00000040" w:csb1="00000000"/>
  </w:font>
  <w:font w:name="Arial Baltic">
    <w:panose1 w:val="00000000000000000000"/>
    <w:charset w:val="BA"/>
    <w:family w:val="swiss"/>
    <w:pitch w:val="variable"/>
    <w:sig w:usb0="00000000" w:usb1="00000000" w:usb2="00000000" w:usb3="00000000" w:csb0="00000080" w:csb1="00000000"/>
  </w:font>
  <w:font w:name="Arial (Vietnamese)">
    <w:panose1 w:val="00000000000000000000"/>
    <w:charset w:val="A3"/>
    <w:family w:val="swiss"/>
    <w:pitch w:val="variable"/>
    <w:sig w:usb0="00000000" w:usb1="00000000" w:usb2="00000000" w:usb3="00000000" w:csb0="00000100" w:csb1="00000000"/>
  </w:font>
  <w:font w:name="SimSun Western">
    <w:altName w:val="SimSun"/>
    <w:panose1 w:val="00000000000000000000"/>
    <w:charset w:val="00"/>
    <w:family w:val="auto"/>
    <w:pitch w:val="variable"/>
    <w:sig w:usb0="00000000" w:usb1="00000000" w:usb2="00000000" w:usb3="00000000" w:csb0="00000001" w:csb1="00000000"/>
  </w:font>
  <w:font w:name="Sylfaen Cyr">
    <w:panose1 w:val="00000000000000000000"/>
    <w:charset w:val="CC"/>
    <w:family w:val="roman"/>
    <w:pitch w:val="variable"/>
    <w:sig w:usb0="00000000" w:usb1="00000000" w:usb2="00000000" w:usb3="00000000" w:csb0="00000004" w:csb1="00000000"/>
  </w:font>
  <w:font w:name="Sylfaen Greek">
    <w:panose1 w:val="00000000000000000000"/>
    <w:charset w:val="A1"/>
    <w:family w:val="roman"/>
    <w:pitch w:val="variable"/>
    <w:sig w:usb0="00000000" w:usb1="00000000" w:usb2="00000000" w:usb3="00000000" w:csb0="00000008" w:csb1="00000000"/>
  </w:font>
  <w:font w:name="@宋体 Western">
    <w:panose1 w:val="00000000000000000000"/>
    <w:charset w:val="00"/>
    <w:family w:val="auto"/>
    <w:pitch w:val="variable"/>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oNotHyphenateCap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0E2627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pPr>
      <w:widowControl w:val="0"/>
      <w:autoSpaceDE/>
      <w:autoSpaceDN/>
      <w:adjustRightInd/>
      <w:spacing w:before="40" w:after="40"/>
      <w:ind w:left="0" w:right="0"/>
      <w:jc w:val="both"/>
      <w:textAlignment w:val="auto"/>
    </w:pPr>
    <w:rPr>
      <w:rFonts w:ascii="Times New Roman" w:eastAsia="宋体" w:hAnsi="Times New Roman" w:hint="eastAsia"/>
      <w:kern w:val="2"/>
      <w:sz w:val="18"/>
      <w:lang w:val="en-US" w:eastAsia="zh-CN"/>
    </w:rPr>
  </w:style>
  <w:style w:type="character" w:default="1" w:styleId="DefaultParagraphFont">
    <w:name w:val="Default Paragraph Font"/>
    <w:uiPriority w:val="99"/>
    <w:semiHidden/>
  </w:style>
  <w:style w:type="table" w:default="1" w:styleId="TableNormal">
    <w:name w:val="Normal Table"/>
    <w:uiPriority w:val="99"/>
    <w:semiHidden/>
    <w:tblPr/>
  </w:style>
  <w:style w:type="paragraph" w:styleId="Title">
    <w:name w:val="Title"/>
    <w:basedOn w:val="Normal"/>
    <w:next w:val="Normal"/>
    <w:uiPriority w:val="99"/>
    <w:pPr>
      <w:keepNext/>
      <w:keepLines/>
      <w:spacing w:before="340" w:after="330" w:line="578" w:lineRule="auto"/>
      <w:jc w:val="center"/>
    </w:pPr>
    <w:rPr>
      <w:b/>
      <w:kern w:val="32"/>
      <w:sz w:val="32"/>
    </w:rPr>
  </w:style>
  <w:style w:type="paragraph" w:customStyle="1" w:styleId="Chapter">
    <w:name w:val="Chapter"/>
    <w:next w:val="Normal"/>
    <w:uiPriority w:val="99"/>
    <w:pPr>
      <w:keepNext/>
      <w:keepLines/>
      <w:widowControl w:val="0"/>
      <w:autoSpaceDE/>
      <w:autoSpaceDN/>
      <w:adjustRightInd/>
      <w:spacing w:before="300" w:after="300" w:line="241" w:lineRule="auto"/>
      <w:ind w:left="0" w:right="0"/>
      <w:jc w:val="both"/>
      <w:textAlignment w:val="auto"/>
    </w:pPr>
    <w:rPr>
      <w:rFonts w:ascii="Times New Roman" w:eastAsia="宋体" w:hAnsi="Times New Roman" w:hint="eastAsia"/>
      <w:b/>
      <w:kern w:val="28"/>
      <w:sz w:val="24"/>
      <w:lang w:val="en-US" w:eastAsia="zh-CN"/>
    </w:rPr>
  </w:style>
  <w:style w:type="paragraph" w:customStyle="1" w:styleId="Section">
    <w:name w:val="Section"/>
    <w:next w:val="Normal"/>
    <w:uiPriority w:val="99"/>
    <w:pPr>
      <w:keepNext/>
      <w:keepLines/>
      <w:widowControl w:val="0"/>
      <w:autoSpaceDE/>
      <w:autoSpaceDN/>
      <w:adjustRightInd/>
      <w:spacing w:before="300" w:after="300" w:line="241" w:lineRule="auto"/>
      <w:ind w:left="0" w:right="0"/>
      <w:jc w:val="both"/>
      <w:textAlignment w:val="auto"/>
    </w:pPr>
    <w:rPr>
      <w:rFonts w:ascii="Times New Roman" w:eastAsia="宋体" w:hAnsi="Times New Roman" w:hint="eastAsia"/>
      <w:b/>
      <w:kern w:val="28"/>
      <w:sz w:val="21"/>
      <w:lang w:val="en-US" w:eastAsia="zh-CN"/>
    </w:rPr>
  </w:style>
  <w:style w:type="paragraph" w:customStyle="1" w:styleId="Header">
    <w:name w:val="Header"/>
    <w:basedOn w:val="Normal"/>
    <w:uiPriority w:val="99"/>
    <w:pPr>
      <w:pBdr>
        <w:bottom w:val="single" w:sz="6" w:space="1" w:color="auto"/>
      </w:pBdr>
      <w:tabs>
        <w:tab w:val="center" w:pos="4153"/>
        <w:tab w:val="right" w:pos="8306"/>
      </w:tabs>
      <w:snapToGrid w:val="0"/>
      <w:spacing w:before="0" w:after="0"/>
      <w:jc w:val="right"/>
    </w:pPr>
  </w:style>
  <w:style w:type="paragraph" w:customStyle="1" w:styleId="Footer">
    <w:name w:val="Footer"/>
    <w:basedOn w:val="Normal"/>
    <w:uiPriority w:val="99"/>
    <w:pPr>
      <w:tabs>
        <w:tab w:val="center" w:pos="4153"/>
        <w:tab w:val="right" w:pos="8306"/>
      </w:tabs>
      <w:snapToGrid w:val="0"/>
      <w:spacing w:before="0" w:after="0"/>
      <w:jc w:val="right"/>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7504103411301111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1</TotalTime>
  <Pages>11</Pages>
  <Words>3240</Words>
  <Characters>18471</Characters>
  <Application>Microsoft Office Word</Application>
  <DocSecurity>0</DocSecurity>
  <Lines>0</Lines>
  <Paragraphs>0</Paragraphs>
  <ScaleCrop>false</ScaleCrop>
  <Company/>
  <LinksUpToDate>false</LinksUpToDate>
  <CharactersWithSpaces>21668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党丽萍</cp:lastModifiedBy>
  <cp:revision>2</cp:revision>
  <dcterms:created xsi:type="dcterms:W3CDTF">2010-08-16T08:32:00Z</dcterms:created>
  <dcterms:modified xsi:type="dcterms:W3CDTF">2010-08-16T08:33:00Z</dcterms:modified>
</cp:coreProperties>
</file>