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26"/>
        </w:rPr>
      </w:pPr>
    </w:p>
    <w:p>
      <w:pPr>
        <w:spacing w:before="0" w:line="1127" w:lineRule="exact"/>
        <w:ind w:left="247" w:right="381" w:firstLine="0"/>
        <w:jc w:val="center"/>
        <w:rPr>
          <w:rFonts w:ascii="黑体" w:eastAsia="黑体" w:hint="eastAsia"/>
          <w:sz w:val="90"/>
        </w:rPr>
      </w:pPr>
      <w:r>
        <w:rPr>
          <w:rFonts w:ascii="黑体" w:eastAsia="黑体" w:hint="eastAsia"/>
          <w:sz w:val="90"/>
        </w:rPr>
        <w:t>海盐三浦化工</w:t>
      </w:r>
    </w:p>
    <w:p>
      <w:pPr>
        <w:pStyle w:val="BodyText"/>
        <w:spacing w:before="5"/>
        <w:rPr>
          <w:rFonts w:ascii="黑体"/>
          <w:sz w:val="67"/>
        </w:rPr>
      </w:pPr>
    </w:p>
    <w:p>
      <w:pPr>
        <w:spacing w:before="0" w:line="369" w:lineRule="auto"/>
        <w:ind w:left="1256" w:right="1409" w:firstLine="1329"/>
        <w:jc w:val="left"/>
        <w:rPr>
          <w:rFonts w:ascii="黑体" w:eastAsia="黑体" w:hint="eastAsia"/>
          <w:sz w:val="65"/>
        </w:rPr>
      </w:pPr>
      <w:r>
        <w:rPr>
          <w:rFonts w:ascii="黑体" w:eastAsia="黑体" w:hint="eastAsia"/>
          <w:spacing w:val="-8"/>
          <w:sz w:val="65"/>
        </w:rPr>
        <w:t xml:space="preserve">年产 </w:t>
      </w:r>
      <w:r>
        <w:rPr>
          <w:sz w:val="65"/>
        </w:rPr>
        <w:t>2</w:t>
      </w:r>
      <w:r>
        <w:rPr>
          <w:spacing w:val="-11"/>
          <w:sz w:val="65"/>
        </w:rPr>
        <w:t xml:space="preserve"> </w:t>
      </w:r>
      <w:r>
        <w:rPr>
          <w:rFonts w:ascii="黑体" w:eastAsia="黑体" w:hint="eastAsia"/>
          <w:spacing w:val="9"/>
          <w:sz w:val="65"/>
        </w:rPr>
        <w:t>万吨三氯乙烯、</w:t>
      </w:r>
      <w:r>
        <w:rPr>
          <w:sz w:val="65"/>
        </w:rPr>
        <w:t>4</w:t>
      </w:r>
      <w:r>
        <w:rPr>
          <w:spacing w:val="-9"/>
          <w:sz w:val="65"/>
        </w:rPr>
        <w:t xml:space="preserve"> </w:t>
      </w:r>
      <w:r>
        <w:rPr>
          <w:rFonts w:ascii="黑体" w:eastAsia="黑体" w:hint="eastAsia"/>
          <w:sz w:val="65"/>
        </w:rPr>
        <w:t>万吨四氯乙</w:t>
      </w:r>
      <w:r>
        <w:rPr>
          <w:rFonts w:ascii="黑体" w:eastAsia="黑体" w:hint="eastAsia"/>
          <w:spacing w:val="-34"/>
          <w:sz w:val="65"/>
        </w:rPr>
        <w:t>烯、</w:t>
      </w:r>
      <w:r>
        <w:rPr>
          <w:sz w:val="65"/>
        </w:rPr>
        <w:t>1</w:t>
      </w:r>
      <w:r>
        <w:rPr>
          <w:spacing w:val="-108"/>
          <w:sz w:val="65"/>
        </w:rPr>
        <w:t xml:space="preserve"> </w:t>
      </w:r>
      <w:r>
        <w:rPr>
          <w:rFonts w:ascii="黑体" w:eastAsia="黑体" w:hint="eastAsia"/>
          <w:sz w:val="65"/>
        </w:rPr>
        <w:t>万吨五氟乙烷、</w:t>
      </w:r>
      <w:r>
        <w:rPr>
          <w:sz w:val="65"/>
        </w:rPr>
        <w:t>1</w:t>
      </w:r>
      <w:r>
        <w:rPr>
          <w:spacing w:val="-108"/>
          <w:sz w:val="65"/>
        </w:rPr>
        <w:t xml:space="preserve"> </w:t>
      </w:r>
      <w:r>
        <w:rPr>
          <w:rFonts w:ascii="黑体" w:eastAsia="黑体" w:hint="eastAsia"/>
          <w:sz w:val="65"/>
        </w:rPr>
        <w:t>万吨四氯丙烯工程</w:t>
      </w:r>
    </w:p>
    <w:p>
      <w:pPr>
        <w:pStyle w:val="BodyText"/>
        <w:spacing w:before="10"/>
        <w:rPr>
          <w:rFonts w:ascii="黑体"/>
          <w:sz w:val="76"/>
        </w:rPr>
      </w:pPr>
    </w:p>
    <w:p>
      <w:pPr>
        <w:pStyle w:val="Title"/>
      </w:pPr>
      <w:r>
        <w:rPr>
          <w:spacing w:val="156"/>
        </w:rPr>
        <w:t>环境影响报告书</w:t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6"/>
        <w:rPr>
          <w:rFonts w:ascii="黑体"/>
          <w:sz w:val="12"/>
        </w:rPr>
      </w:pPr>
      <w:r>
        <w:pict>
          <v:shape id="_x0000_s1025" style="width:445pt;height:0.1pt;margin-top:10.94pt;margin-left:223pt;mso-position-horizontal-relative:page;mso-wrap-distance-left:0;mso-wrap-distance-right:0;position:absolute;z-index:-251657216" coordorigin="4460,219" coordsize="8900,0" path="m4460,219l13360,219e" filled="f" stroked="t" strokecolor="black" strokeweight="2pt">
            <v:stroke dashstyle="solid"/>
            <v:path arrowok="t"/>
            <w10:wrap type="topAndBottom"/>
          </v:shape>
        </w:pict>
      </w:r>
    </w:p>
    <w:p>
      <w:pPr>
        <w:spacing w:before="0"/>
        <w:ind w:left="247" w:right="277" w:firstLine="0"/>
        <w:jc w:val="center"/>
        <w:rPr>
          <w:sz w:val="47"/>
        </w:rPr>
      </w:pPr>
      <w:r>
        <w:rPr>
          <w:sz w:val="47"/>
        </w:rPr>
        <w:t>(简 要 本)</w:t>
      </w: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spacing w:before="10"/>
        <w:rPr>
          <w:sz w:val="41"/>
        </w:rPr>
      </w:pPr>
    </w:p>
    <w:p>
      <w:pPr>
        <w:spacing w:before="0"/>
        <w:ind w:left="247" w:right="511" w:firstLine="0"/>
        <w:jc w:val="center"/>
        <w:rPr>
          <w:rFonts w:ascii="黑体" w:eastAsia="黑体" w:hint="eastAsia"/>
          <w:sz w:val="47"/>
        </w:rPr>
      </w:pPr>
      <w:r>
        <w:rPr>
          <w:rFonts w:ascii="黑体" w:eastAsia="黑体" w:hint="eastAsia"/>
          <w:sz w:val="47"/>
        </w:rPr>
        <w:t>嘉兴市环境科学争论全部限公司</w:t>
      </w:r>
    </w:p>
    <w:p>
      <w:pPr>
        <w:spacing w:before="273"/>
        <w:ind w:left="2383" w:right="0" w:firstLine="0"/>
        <w:jc w:val="left"/>
        <w:rPr>
          <w:rFonts w:ascii="幼圆"/>
          <w:b/>
          <w:sz w:val="29"/>
        </w:rPr>
      </w:pPr>
      <w:r>
        <w:rPr>
          <w:rFonts w:ascii="幼圆"/>
          <w:b/>
          <w:sz w:val="29"/>
        </w:rPr>
        <w:t>JiaXing</w:t>
      </w:r>
      <w:r>
        <w:rPr>
          <w:rFonts w:ascii="幼圆"/>
          <w:b/>
          <w:spacing w:val="-10"/>
          <w:sz w:val="29"/>
        </w:rPr>
        <w:t xml:space="preserve"> </w:t>
      </w:r>
      <w:r>
        <w:rPr>
          <w:rFonts w:ascii="幼圆"/>
          <w:b/>
          <w:sz w:val="29"/>
        </w:rPr>
        <w:t>Institute</w:t>
      </w:r>
      <w:r>
        <w:rPr>
          <w:rFonts w:ascii="幼圆"/>
          <w:b/>
          <w:spacing w:val="-9"/>
          <w:sz w:val="29"/>
        </w:rPr>
        <w:t xml:space="preserve"> </w:t>
      </w:r>
      <w:r>
        <w:rPr>
          <w:rFonts w:ascii="幼圆"/>
          <w:b/>
          <w:sz w:val="29"/>
        </w:rPr>
        <w:t>of</w:t>
      </w:r>
      <w:r>
        <w:rPr>
          <w:rFonts w:ascii="幼圆"/>
          <w:b/>
          <w:spacing w:val="-10"/>
          <w:sz w:val="29"/>
        </w:rPr>
        <w:t xml:space="preserve"> </w:t>
      </w:r>
      <w:r>
        <w:rPr>
          <w:rFonts w:ascii="幼圆"/>
          <w:b/>
          <w:sz w:val="29"/>
        </w:rPr>
        <w:t>Environmental</w:t>
      </w:r>
      <w:r>
        <w:rPr>
          <w:rFonts w:ascii="幼圆"/>
          <w:b/>
          <w:spacing w:val="-9"/>
          <w:sz w:val="29"/>
        </w:rPr>
        <w:t xml:space="preserve"> </w:t>
      </w:r>
      <w:r>
        <w:rPr>
          <w:rFonts w:ascii="幼圆"/>
          <w:b/>
          <w:sz w:val="29"/>
        </w:rPr>
        <w:t>Sciences</w:t>
      </w:r>
      <w:r>
        <w:rPr>
          <w:rFonts w:ascii="幼圆"/>
          <w:b/>
          <w:spacing w:val="-10"/>
          <w:sz w:val="29"/>
        </w:rPr>
        <w:t xml:space="preserve"> </w:t>
      </w:r>
      <w:r>
        <w:rPr>
          <w:rFonts w:ascii="幼圆"/>
          <w:b/>
          <w:sz w:val="29"/>
        </w:rPr>
        <w:t>Co.,Ltd</w:t>
      </w:r>
    </w:p>
    <w:p>
      <w:pPr>
        <w:spacing w:before="137" w:line="295" w:lineRule="auto"/>
        <w:ind w:left="5107" w:right="5171" w:firstLine="0"/>
        <w:jc w:val="center"/>
        <w:rPr>
          <w:rFonts w:ascii="黑体" w:eastAsia="黑体" w:hint="eastAsia"/>
          <w:sz w:val="43"/>
        </w:rPr>
      </w:pPr>
      <w:r>
        <w:pict>
          <v:line id="_x0000_s1026" style="mso-position-horizontal-relative:page;position:absolute;z-index:251658240" from="194pt,7.1pt" to="722pt,7.1pt" stroked="t" strokecolor="black" strokeweight="2pt">
            <v:stroke dashstyle="solid"/>
          </v:line>
        </w:pict>
      </w:r>
      <w:r>
        <w:rPr>
          <w:rFonts w:ascii="黑体" w:eastAsia="黑体" w:hint="eastAsia"/>
          <w:spacing w:val="-6"/>
          <w:w w:val="95"/>
          <w:sz w:val="43"/>
        </w:rPr>
        <w:t xml:space="preserve">国环评证乙字第 </w:t>
      </w:r>
      <w:r>
        <w:rPr>
          <w:w w:val="95"/>
          <w:sz w:val="43"/>
        </w:rPr>
        <w:t>2023</w:t>
      </w:r>
      <w:r>
        <w:rPr>
          <w:spacing w:val="-3"/>
          <w:w w:val="95"/>
          <w:sz w:val="43"/>
        </w:rPr>
        <w:t xml:space="preserve"> </w:t>
      </w:r>
      <w:r>
        <w:rPr>
          <w:rFonts w:ascii="黑体" w:eastAsia="黑体" w:hint="eastAsia"/>
          <w:w w:val="95"/>
          <w:sz w:val="43"/>
        </w:rPr>
        <w:t>号二</w:t>
      </w:r>
      <w:r>
        <w:rPr>
          <w:rFonts w:ascii="幼圆" w:eastAsia="幼圆" w:hint="eastAsia"/>
          <w:b/>
          <w:spacing w:val="-79"/>
          <w:w w:val="95"/>
          <w:sz w:val="43"/>
        </w:rPr>
        <w:t xml:space="preserve">Ｏ </w:t>
      </w:r>
      <w:r>
        <w:rPr>
          <w:rFonts w:ascii="黑体" w:eastAsia="黑体" w:hint="eastAsia"/>
          <w:w w:val="95"/>
          <w:sz w:val="43"/>
        </w:rPr>
        <w:t>一一年七月</w:t>
      </w:r>
    </w:p>
    <w:p>
      <w:pPr>
        <w:spacing w:after="0" w:line="295" w:lineRule="auto"/>
        <w:jc w:val="center"/>
        <w:rPr>
          <w:rFonts w:ascii="黑体" w:eastAsia="黑体" w:hint="eastAsia"/>
          <w:sz w:val="43"/>
        </w:rPr>
        <w:sectPr>
          <w:type w:val="continuous"/>
          <w:pgSz w:w="17870" w:h="25270"/>
          <w:pgMar w:top="2440" w:right="1540" w:bottom="280" w:left="1560" w:header="708" w:footer="708"/>
          <w:cols w:space="708"/>
        </w:sectPr>
      </w:pPr>
    </w:p>
    <w:p>
      <w:pPr>
        <w:pStyle w:val="BodyText"/>
        <w:spacing w:line="46" w:lineRule="exact"/>
        <w:ind w:left="1200"/>
        <w:rPr>
          <w:rFonts w:ascii="黑体"/>
          <w:sz w:val="4"/>
        </w:rPr>
      </w:pPr>
      <w:r>
        <w:rPr>
          <w:rFonts w:ascii="黑体"/>
          <w:position w:val="0"/>
          <w:sz w:val="4"/>
        </w:rPr>
        <w:drawing>
          <wp:inline distT="0" distB="0" distL="0" distR="0">
            <wp:extent cx="7847543" cy="29432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47543" cy="29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1"/>
        <w:rPr>
          <w:rFonts w:ascii="黑体"/>
          <w:sz w:val="22"/>
        </w:rPr>
      </w:pPr>
    </w:p>
    <w:p>
      <w:pPr>
        <w:spacing w:before="29"/>
        <w:ind w:left="247" w:right="284" w:firstLine="0"/>
        <w:jc w:val="center"/>
        <w:rPr>
          <w:rFonts w:ascii="黑体" w:eastAsia="黑体" w:hint="eastAsia"/>
          <w:b/>
          <w:sz w:val="50"/>
        </w:rPr>
      </w:pPr>
      <w:r>
        <w:rPr>
          <w:rFonts w:ascii="黑体" w:eastAsia="黑体" w:hint="eastAsia"/>
          <w:b/>
          <w:spacing w:val="78"/>
          <w:sz w:val="50"/>
        </w:rPr>
        <w:t>目 录</w:t>
      </w:r>
    </w:p>
    <w:sdt>
      <w:sdtPr>
        <w:id w:val="412425737"/>
        <w:docPartObj>
          <w:docPartGallery w:val="Table of Contents"/>
          <w:docPartUnique/>
        </w:docPartObj>
      </w:sdtPr>
      <w:sdtContent>
        <w:p>
          <w:pPr>
            <w:pStyle w:val="TOC1"/>
            <w:numPr>
              <w:ilvl w:val="0"/>
              <w:numId w:val="4"/>
            </w:numPr>
            <w:tabs>
              <w:tab w:val="left" w:pos="1504"/>
              <w:tab w:val="right" w:leader="dot" w:pos="12237"/>
            </w:tabs>
            <w:spacing w:before="308" w:after="0" w:line="240" w:lineRule="auto"/>
            <w:ind w:left="1503" w:right="0" w:hanging="248"/>
            <w:jc w:val="left"/>
            <w:rPr>
              <w:rFonts w:ascii="Times New Roman" w:eastAsia="Times New Roman"/>
              <w:i/>
              <w:sz w:val="31"/>
            </w:rPr>
          </w:pPr>
          <w:r>
            <w:fldChar w:fldCharType="begin"/>
          </w:r>
          <w:r>
            <w:instrText xml:space="preserve">  \l “_TOC_250022“ </w:instrText>
          </w:r>
          <w:r>
            <w:fldChar w:fldCharType="separate"/>
          </w:r>
          <w:r>
            <w:rPr>
              <w:position w:val="1"/>
            </w:rPr>
            <w:t>工程概况</w:t>
          </w:r>
          <w:r>
            <w:rPr>
              <w:rFonts w:ascii="Times New Roman" w:eastAsia="Times New Roman"/>
              <w:position w:val="1"/>
            </w:rPr>
            <w:tab/>
          </w:r>
          <w:r>
            <w:rPr>
              <w:rFonts w:ascii="Times New Roman" w:eastAsia="Times New Roman"/>
              <w:i/>
              <w:sz w:val="31"/>
            </w:rPr>
            <w:t>1</w:t>
          </w:r>
          <w:r>
            <w:fldChar w:fldCharType="end"/>
          </w:r>
        </w:p>
        <w:p>
          <w:pPr>
            <w:pStyle w:val="TOC1"/>
            <w:numPr>
              <w:ilvl w:val="0"/>
              <w:numId w:val="4"/>
            </w:numPr>
            <w:tabs>
              <w:tab w:val="left" w:pos="1504"/>
              <w:tab w:val="right" w:leader="dot" w:pos="12420"/>
            </w:tabs>
            <w:spacing w:before="186" w:after="0" w:line="240" w:lineRule="auto"/>
            <w:ind w:left="1503" w:right="0" w:hanging="248"/>
            <w:jc w:val="left"/>
            <w:rPr>
              <w:rFonts w:ascii="Times New Roman" w:eastAsia="Times New Roman"/>
              <w:i/>
              <w:sz w:val="31"/>
            </w:rPr>
          </w:pPr>
          <w:r>
            <w:fldChar w:fldCharType="begin"/>
          </w:r>
          <w:r>
            <w:instrText xml:space="preserve">  \l “_TOC_250021“ </w:instrText>
          </w:r>
          <w:r>
            <w:fldChar w:fldCharType="separate"/>
          </w:r>
          <w:r>
            <w:rPr>
              <w:position w:val="1"/>
            </w:rPr>
            <w:t>工程及污染源强分</w:t>
          </w:r>
          <w:r>
            <w:rPr>
              <w:spacing w:val="-104"/>
              <w:position w:val="1"/>
            </w:rPr>
            <w:t>析</w:t>
          </w:r>
          <w:r>
            <w:rPr>
              <w:rFonts w:ascii="Times New Roman" w:eastAsia="Times New Roman"/>
              <w:spacing w:val="-104"/>
              <w:position w:val="1"/>
            </w:rPr>
            <w:tab/>
          </w:r>
          <w:r>
            <w:rPr>
              <w:rFonts w:ascii="Times New Roman" w:eastAsia="Times New Roman"/>
              <w:i/>
              <w:sz w:val="31"/>
            </w:rPr>
            <w:t>2</w:t>
          </w:r>
          <w:r>
            <w:fldChar w:fldCharType="end"/>
          </w:r>
        </w:p>
        <w:p>
          <w:pPr>
            <w:pStyle w:val="TOC3"/>
            <w:numPr>
              <w:ilvl w:val="1"/>
              <w:numId w:val="4"/>
            </w:numPr>
            <w:tabs>
              <w:tab w:val="left" w:pos="2067"/>
              <w:tab w:val="right" w:leader="dot" w:pos="12407"/>
            </w:tabs>
            <w:spacing w:before="192" w:after="0" w:line="240" w:lineRule="auto"/>
            <w:ind w:left="2067" w:right="0" w:hanging="496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“_TOC_250020“ </w:instrText>
          </w:r>
          <w:r>
            <w:fldChar w:fldCharType="separate"/>
          </w:r>
          <w:r>
            <w:t>工程工程概况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2</w:t>
          </w:r>
          <w:r>
            <w:fldChar w:fldCharType="end"/>
          </w:r>
        </w:p>
        <w:p>
          <w:pPr>
            <w:pStyle w:val="TOC3"/>
            <w:numPr>
              <w:ilvl w:val="1"/>
              <w:numId w:val="4"/>
            </w:numPr>
            <w:tabs>
              <w:tab w:val="left" w:pos="2067"/>
              <w:tab w:val="right" w:leader="dot" w:pos="12465"/>
            </w:tabs>
            <w:spacing w:before="188" w:after="0" w:line="240" w:lineRule="auto"/>
            <w:ind w:left="2067" w:right="0" w:hanging="496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“_TOC_250019“ </w:instrText>
          </w:r>
          <w:r>
            <w:fldChar w:fldCharType="separate"/>
          </w:r>
          <w:r>
            <w:t>建工程工程分析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5</w:t>
          </w:r>
          <w:r>
            <w:fldChar w:fldCharType="end"/>
          </w:r>
        </w:p>
        <w:p>
          <w:pPr>
            <w:pStyle w:val="TOC1"/>
            <w:numPr>
              <w:ilvl w:val="0"/>
              <w:numId w:val="4"/>
            </w:numPr>
            <w:tabs>
              <w:tab w:val="left" w:pos="1504"/>
              <w:tab w:val="right" w:leader="dot" w:pos="12521"/>
            </w:tabs>
            <w:spacing w:before="159" w:after="0" w:line="240" w:lineRule="auto"/>
            <w:ind w:left="1503" w:right="0" w:hanging="248"/>
            <w:jc w:val="left"/>
            <w:rPr>
              <w:rFonts w:ascii="Times New Roman" w:eastAsia="Times New Roman"/>
              <w:i/>
              <w:sz w:val="31"/>
            </w:rPr>
          </w:pPr>
          <w:r>
            <w:fldChar w:fldCharType="begin"/>
          </w:r>
          <w:r>
            <w:instrText xml:space="preserve">  \l “_TOC_250018“ </w:instrText>
          </w:r>
          <w:r>
            <w:fldChar w:fldCharType="separate"/>
          </w:r>
          <w:r>
            <w:rPr>
              <w:position w:val="1"/>
            </w:rPr>
            <w:t>选址周边环境及保护目标</w:t>
          </w:r>
          <w:r>
            <w:rPr>
              <w:rFonts w:ascii="Times New Roman" w:eastAsia="Times New Roman"/>
              <w:position w:val="1"/>
            </w:rPr>
            <w:tab/>
          </w:r>
          <w:r>
            <w:rPr>
              <w:rFonts w:ascii="Times New Roman" w:eastAsia="Times New Roman"/>
              <w:i/>
              <w:sz w:val="31"/>
            </w:rPr>
            <w:t>7</w:t>
          </w:r>
          <w:r>
            <w:fldChar w:fldCharType="end"/>
          </w:r>
        </w:p>
        <w:p>
          <w:pPr>
            <w:pStyle w:val="TOC3"/>
            <w:numPr>
              <w:ilvl w:val="1"/>
              <w:numId w:val="4"/>
            </w:numPr>
            <w:tabs>
              <w:tab w:val="left" w:pos="2067"/>
              <w:tab w:val="right" w:leader="dot" w:pos="12465"/>
            </w:tabs>
            <w:spacing w:before="192" w:after="0" w:line="240" w:lineRule="auto"/>
            <w:ind w:left="2067" w:right="0" w:hanging="496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“_TOC_250017“ </w:instrText>
          </w:r>
          <w:r>
            <w:fldChar w:fldCharType="separate"/>
          </w:r>
          <w:r>
            <w:t>工程选址四周环境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7</w:t>
          </w:r>
          <w:r>
            <w:fldChar w:fldCharType="end"/>
          </w:r>
        </w:p>
        <w:p>
          <w:pPr>
            <w:pStyle w:val="TOC3"/>
            <w:numPr>
              <w:ilvl w:val="1"/>
              <w:numId w:val="4"/>
            </w:numPr>
            <w:tabs>
              <w:tab w:val="left" w:pos="2112"/>
              <w:tab w:val="right" w:leader="dot" w:pos="12476"/>
            </w:tabs>
            <w:spacing w:before="189" w:after="0" w:line="240" w:lineRule="auto"/>
            <w:ind w:left="2112" w:right="0" w:hanging="541"/>
            <w:jc w:val="left"/>
            <w:rPr>
              <w:rFonts w:ascii="Arial" w:eastAsia="Arial"/>
            </w:rPr>
          </w:pPr>
          <w:r>
            <w:fldChar w:fldCharType="begin"/>
          </w:r>
          <w:r>
            <w:instrText xml:space="preserve">  \l “_TOC_250016“ </w:instrText>
          </w:r>
          <w:r>
            <w:fldChar w:fldCharType="separate"/>
          </w:r>
          <w:r>
            <w:t>周边环境质量现状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7</w:t>
          </w:r>
          <w:r>
            <w:fldChar w:fldCharType="end"/>
          </w:r>
        </w:p>
        <w:p>
          <w:pPr>
            <w:pStyle w:val="TOC3"/>
            <w:numPr>
              <w:ilvl w:val="1"/>
              <w:numId w:val="4"/>
            </w:numPr>
            <w:tabs>
              <w:tab w:val="left" w:pos="2112"/>
              <w:tab w:val="right" w:leader="dot" w:pos="12374"/>
            </w:tabs>
            <w:spacing w:before="211" w:after="0" w:line="240" w:lineRule="auto"/>
            <w:ind w:left="2112" w:right="0" w:hanging="541"/>
            <w:jc w:val="left"/>
            <w:rPr>
              <w:rFonts w:ascii="Arial" w:eastAsia="Arial"/>
            </w:rPr>
          </w:pPr>
          <w:r>
            <w:fldChar w:fldCharType="begin"/>
          </w:r>
          <w:r>
            <w:instrText xml:space="preserve">  \l “_TOC_250015“ </w:instrText>
          </w:r>
          <w:r>
            <w:fldChar w:fldCharType="separate"/>
          </w:r>
          <w:r>
            <w:t>环境保护目标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8</w:t>
          </w:r>
          <w:r>
            <w:fldChar w:fldCharType="end"/>
          </w:r>
        </w:p>
        <w:p>
          <w:pPr>
            <w:pStyle w:val="TOC1"/>
            <w:numPr>
              <w:ilvl w:val="0"/>
              <w:numId w:val="4"/>
            </w:numPr>
            <w:tabs>
              <w:tab w:val="left" w:pos="1504"/>
              <w:tab w:val="right" w:leader="dot" w:pos="12419"/>
            </w:tabs>
            <w:spacing w:before="159" w:after="0" w:line="240" w:lineRule="auto"/>
            <w:ind w:left="1503" w:right="0" w:hanging="248"/>
            <w:jc w:val="left"/>
            <w:rPr>
              <w:rFonts w:ascii="Times New Roman" w:eastAsia="Times New Roman"/>
              <w:i/>
              <w:sz w:val="31"/>
            </w:rPr>
          </w:pPr>
          <w:r>
            <w:fldChar w:fldCharType="begin"/>
          </w:r>
          <w:r>
            <w:instrText xml:space="preserve">  \l “_TOC_250014“ </w:instrText>
          </w:r>
          <w:r>
            <w:fldChar w:fldCharType="separate"/>
          </w:r>
          <w:r>
            <w:rPr>
              <w:position w:val="1"/>
            </w:rPr>
            <w:t>环境影响推想结论</w:t>
          </w:r>
          <w:r>
            <w:rPr>
              <w:rFonts w:ascii="Times New Roman" w:eastAsia="Times New Roman"/>
              <w:position w:val="1"/>
            </w:rPr>
            <w:tab/>
          </w:r>
          <w:r>
            <w:rPr>
              <w:rFonts w:ascii="Times New Roman" w:eastAsia="Times New Roman"/>
              <w:i/>
              <w:sz w:val="31"/>
            </w:rPr>
            <w:t>9</w:t>
          </w:r>
          <w:r>
            <w:fldChar w:fldCharType="end"/>
          </w:r>
        </w:p>
        <w:p>
          <w:pPr>
            <w:pStyle w:val="TOC3"/>
            <w:numPr>
              <w:ilvl w:val="1"/>
              <w:numId w:val="4"/>
            </w:numPr>
            <w:tabs>
              <w:tab w:val="left" w:pos="2112"/>
              <w:tab w:val="right" w:leader="dot" w:pos="12374"/>
            </w:tabs>
            <w:spacing w:before="192" w:after="0" w:line="240" w:lineRule="auto"/>
            <w:ind w:left="2112" w:right="0" w:hanging="541"/>
            <w:jc w:val="left"/>
            <w:rPr>
              <w:rFonts w:ascii="Arial" w:eastAsia="Arial"/>
            </w:rPr>
          </w:pPr>
          <w:r>
            <w:fldChar w:fldCharType="begin"/>
          </w:r>
          <w:r>
            <w:instrText xml:space="preserve">  \l “_TOC_250013“ </w:instrText>
          </w:r>
          <w:r>
            <w:fldChar w:fldCharType="separate"/>
          </w:r>
          <w:r>
            <w:t>水环境影响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9</w:t>
          </w:r>
          <w:r>
            <w:fldChar w:fldCharType="end"/>
          </w:r>
        </w:p>
        <w:p>
          <w:pPr>
            <w:pStyle w:val="TOC3"/>
            <w:numPr>
              <w:ilvl w:val="1"/>
              <w:numId w:val="4"/>
            </w:numPr>
            <w:tabs>
              <w:tab w:val="left" w:pos="2112"/>
              <w:tab w:val="right" w:leader="dot" w:pos="12374"/>
            </w:tabs>
            <w:spacing w:before="188" w:after="0" w:line="240" w:lineRule="auto"/>
            <w:ind w:left="2112" w:right="0" w:hanging="541"/>
            <w:jc w:val="left"/>
            <w:rPr>
              <w:rFonts w:ascii="Arial" w:eastAsia="Arial"/>
            </w:rPr>
          </w:pPr>
          <w:r>
            <w:fldChar w:fldCharType="begin"/>
          </w:r>
          <w:r>
            <w:instrText xml:space="preserve">  \l “_TOC_250012“ </w:instrText>
          </w:r>
          <w:r>
            <w:fldChar w:fldCharType="separate"/>
          </w:r>
          <w:r>
            <w:rPr>
              <w:w w:val="105"/>
            </w:rPr>
            <w:t>大气环境影响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10</w:t>
          </w:r>
          <w:r>
            <w:fldChar w:fldCharType="end"/>
          </w:r>
        </w:p>
        <w:p>
          <w:pPr>
            <w:pStyle w:val="TOC3"/>
            <w:numPr>
              <w:ilvl w:val="1"/>
              <w:numId w:val="4"/>
            </w:numPr>
            <w:tabs>
              <w:tab w:val="left" w:pos="2112"/>
              <w:tab w:val="right" w:leader="dot" w:pos="12374"/>
            </w:tabs>
            <w:spacing w:before="189" w:after="0" w:line="240" w:lineRule="auto"/>
            <w:ind w:left="2112" w:right="0" w:hanging="541"/>
            <w:jc w:val="left"/>
            <w:rPr>
              <w:rFonts w:ascii="Arial" w:eastAsia="Arial"/>
            </w:rPr>
          </w:pPr>
          <w:r>
            <w:fldChar w:fldCharType="begin"/>
          </w:r>
          <w:r>
            <w:instrText xml:space="preserve">  \l “_TOC_250011“ </w:instrText>
          </w:r>
          <w:r>
            <w:fldChar w:fldCharType="separate"/>
          </w:r>
          <w:r>
            <w:rPr>
              <w:w w:val="105"/>
            </w:rPr>
            <w:t>声环境影响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10</w:t>
          </w:r>
          <w:r>
            <w:fldChar w:fldCharType="end"/>
          </w:r>
        </w:p>
        <w:p>
          <w:pPr>
            <w:pStyle w:val="TOC3"/>
            <w:numPr>
              <w:ilvl w:val="1"/>
              <w:numId w:val="4"/>
            </w:numPr>
            <w:tabs>
              <w:tab w:val="left" w:pos="2112"/>
              <w:tab w:val="right" w:leader="dot" w:pos="12510"/>
            </w:tabs>
            <w:spacing w:before="188" w:after="0" w:line="240" w:lineRule="auto"/>
            <w:ind w:left="2112" w:right="0" w:hanging="541"/>
            <w:jc w:val="left"/>
            <w:rPr>
              <w:rFonts w:ascii="Arial" w:eastAsia="Arial"/>
            </w:rPr>
          </w:pPr>
          <w:r>
            <w:fldChar w:fldCharType="begin"/>
          </w:r>
          <w:r>
            <w:instrText xml:space="preserve">  \l “_TOC_250010“ </w:instrText>
          </w:r>
          <w:r>
            <w:fldChar w:fldCharType="separate"/>
          </w:r>
          <w:r>
            <w:t>固体废弃物环境影响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10</w:t>
          </w:r>
          <w:r>
            <w:fldChar w:fldCharType="end"/>
          </w:r>
        </w:p>
        <w:p>
          <w:pPr>
            <w:pStyle w:val="TOC3"/>
            <w:numPr>
              <w:ilvl w:val="1"/>
              <w:numId w:val="4"/>
            </w:numPr>
            <w:tabs>
              <w:tab w:val="left" w:pos="2112"/>
              <w:tab w:val="right" w:leader="dot" w:pos="12294"/>
            </w:tabs>
            <w:spacing w:before="188" w:after="0" w:line="240" w:lineRule="auto"/>
            <w:ind w:left="2112" w:right="0" w:hanging="541"/>
            <w:jc w:val="left"/>
            <w:rPr>
              <w:rFonts w:ascii="Arial" w:eastAsia="Arial"/>
            </w:rPr>
          </w:pPr>
          <w:r>
            <w:fldChar w:fldCharType="begin"/>
          </w:r>
          <w:r>
            <w:instrText xml:space="preserve">  \l “_TOC_250009“ </w:instrText>
          </w:r>
          <w:r>
            <w:fldChar w:fldCharType="separate"/>
          </w:r>
          <w:r>
            <w:rPr>
              <w:w w:val="105"/>
            </w:rPr>
            <w:t>环境风险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11</w:t>
          </w:r>
          <w:r>
            <w:fldChar w:fldCharType="end"/>
          </w:r>
        </w:p>
        <w:p>
          <w:pPr>
            <w:pStyle w:val="TOC2"/>
            <w:numPr>
              <w:ilvl w:val="0"/>
              <w:numId w:val="4"/>
            </w:numPr>
            <w:tabs>
              <w:tab w:val="left" w:pos="1504"/>
              <w:tab w:val="right" w:leader="dot" w:pos="12317"/>
            </w:tabs>
            <w:spacing w:before="181" w:after="0" w:line="240" w:lineRule="auto"/>
            <w:ind w:left="1503" w:right="0" w:hanging="248"/>
            <w:jc w:val="left"/>
            <w:rPr>
              <w:rFonts w:ascii="Times New Roman" w:eastAsia="Times New Roman"/>
              <w:sz w:val="31"/>
            </w:rPr>
          </w:pPr>
          <w:r>
            <w:fldChar w:fldCharType="begin"/>
          </w:r>
          <w:r>
            <w:instrText xml:space="preserve">  \l “_TOC_250008“ </w:instrText>
          </w:r>
          <w:r>
            <w:fldChar w:fldCharType="separate"/>
          </w:r>
          <w:r>
            <w:rPr>
              <w:i w:val="0"/>
              <w:position w:val="1"/>
              <w:sz w:val="33"/>
            </w:rPr>
            <w:t>污染治理措施</w:t>
          </w:r>
          <w:r>
            <w:rPr>
              <w:rFonts w:ascii="Times New Roman" w:eastAsia="Times New Roman"/>
              <w:i w:val="0"/>
              <w:position w:val="1"/>
              <w:sz w:val="33"/>
            </w:rPr>
            <w:tab/>
          </w:r>
          <w:r>
            <w:rPr>
              <w:rFonts w:ascii="Times New Roman" w:eastAsia="Times New Roman"/>
              <w:i/>
              <w:sz w:val="31"/>
            </w:rPr>
            <w:t>12</w:t>
          </w:r>
          <w:r>
            <w:fldChar w:fldCharType="end"/>
          </w:r>
        </w:p>
        <w:p>
          <w:pPr>
            <w:pStyle w:val="TOC3"/>
            <w:numPr>
              <w:ilvl w:val="1"/>
              <w:numId w:val="4"/>
            </w:numPr>
            <w:tabs>
              <w:tab w:val="left" w:pos="2112"/>
              <w:tab w:val="right" w:leader="dot" w:pos="12476"/>
            </w:tabs>
            <w:spacing w:before="192" w:after="0" w:line="240" w:lineRule="auto"/>
            <w:ind w:left="2112" w:right="0" w:hanging="541"/>
            <w:jc w:val="left"/>
            <w:rPr>
              <w:rFonts w:ascii="Arial" w:eastAsia="Arial"/>
            </w:rPr>
          </w:pPr>
          <w:r>
            <w:fldChar w:fldCharType="begin"/>
          </w:r>
          <w:r>
            <w:instrText xml:space="preserve">  \l “_TOC_250007“ </w:instrText>
          </w:r>
          <w:r>
            <w:fldChar w:fldCharType="separate"/>
          </w:r>
          <w:r>
            <w:t>污染防治措施清单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12</w:t>
          </w:r>
          <w:r>
            <w:fldChar w:fldCharType="end"/>
          </w:r>
        </w:p>
        <w:p>
          <w:pPr>
            <w:pStyle w:val="TOC3"/>
            <w:numPr>
              <w:ilvl w:val="1"/>
              <w:numId w:val="4"/>
            </w:numPr>
            <w:tabs>
              <w:tab w:val="left" w:pos="2112"/>
              <w:tab w:val="right" w:leader="dot" w:pos="12374"/>
            </w:tabs>
            <w:spacing w:before="189" w:after="0" w:line="240" w:lineRule="auto"/>
            <w:ind w:left="2112" w:right="0" w:hanging="541"/>
            <w:jc w:val="left"/>
            <w:rPr>
              <w:rFonts w:ascii="Arial" w:eastAsia="Arial"/>
            </w:rPr>
          </w:pPr>
          <w:r>
            <w:fldChar w:fldCharType="begin"/>
          </w:r>
          <w:r>
            <w:instrText xml:space="preserve">  \l “_TOC_250006“ </w:instrText>
          </w:r>
          <w:r>
            <w:fldChar w:fldCharType="separate"/>
          </w:r>
          <w:r>
            <w:rPr>
              <w:w w:val="105"/>
            </w:rPr>
            <w:t>环保投资估算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13</w:t>
          </w:r>
          <w:r>
            <w:fldChar w:fldCharType="end"/>
          </w:r>
        </w:p>
        <w:p>
          <w:pPr>
            <w:pStyle w:val="TOC3"/>
            <w:numPr>
              <w:ilvl w:val="1"/>
              <w:numId w:val="4"/>
            </w:numPr>
            <w:tabs>
              <w:tab w:val="left" w:pos="2112"/>
              <w:tab w:val="right" w:leader="dot" w:pos="12556"/>
            </w:tabs>
            <w:spacing w:before="188" w:after="0" w:line="240" w:lineRule="auto"/>
            <w:ind w:left="2112" w:right="0" w:hanging="541"/>
            <w:jc w:val="left"/>
            <w:rPr>
              <w:rFonts w:ascii="Arial" w:eastAsia="Arial"/>
            </w:rPr>
          </w:pPr>
          <w:r>
            <w:fldChar w:fldCharType="begin"/>
          </w:r>
          <w:r>
            <w:instrText xml:space="preserve">  \l “_TOC_250005“ </w:instrText>
          </w:r>
          <w:r>
            <w:fldChar w:fldCharType="separate"/>
          </w:r>
          <w:r>
            <w:t>环保设备运行费用估算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13</w:t>
          </w:r>
          <w:r>
            <w:fldChar w:fldCharType="end"/>
          </w:r>
        </w:p>
        <w:p>
          <w:pPr>
            <w:pStyle w:val="TOC1"/>
            <w:numPr>
              <w:ilvl w:val="0"/>
              <w:numId w:val="4"/>
            </w:numPr>
            <w:tabs>
              <w:tab w:val="left" w:pos="1504"/>
              <w:tab w:val="right" w:leader="dot" w:pos="12420"/>
            </w:tabs>
            <w:spacing w:before="158" w:after="0" w:line="240" w:lineRule="auto"/>
            <w:ind w:left="1503" w:right="0" w:hanging="248"/>
            <w:jc w:val="left"/>
            <w:rPr>
              <w:rFonts w:ascii="Times New Roman" w:eastAsia="Times New Roman"/>
              <w:i/>
              <w:sz w:val="31"/>
            </w:rPr>
          </w:pPr>
          <w:r>
            <w:fldChar w:fldCharType="begin"/>
          </w:r>
          <w:r>
            <w:instrText xml:space="preserve">  \l “_TOC_250004“ </w:instrText>
          </w:r>
          <w:r>
            <w:fldChar w:fldCharType="separate"/>
          </w:r>
          <w:r>
            <w:rPr>
              <w:position w:val="1"/>
            </w:rPr>
            <w:t>总量把握及公众参与</w:t>
          </w:r>
          <w:r>
            <w:rPr>
              <w:rFonts w:ascii="Times New Roman" w:eastAsia="Times New Roman"/>
              <w:spacing w:val="-104"/>
              <w:position w:val="1"/>
            </w:rPr>
            <w:tab/>
          </w:r>
          <w:r>
            <w:rPr>
              <w:rFonts w:ascii="Times New Roman" w:eastAsia="Times New Roman"/>
              <w:i/>
              <w:sz w:val="31"/>
            </w:rPr>
            <w:t>14</w:t>
          </w:r>
          <w:r>
            <w:fldChar w:fldCharType="end"/>
          </w:r>
        </w:p>
        <w:p>
          <w:pPr>
            <w:pStyle w:val="TOC3"/>
            <w:numPr>
              <w:ilvl w:val="1"/>
              <w:numId w:val="4"/>
            </w:numPr>
            <w:tabs>
              <w:tab w:val="left" w:pos="2112"/>
              <w:tab w:val="right" w:leader="dot" w:pos="12374"/>
            </w:tabs>
            <w:spacing w:before="193" w:after="0" w:line="240" w:lineRule="auto"/>
            <w:ind w:left="2112" w:right="0" w:hanging="541"/>
            <w:jc w:val="left"/>
            <w:rPr>
              <w:rFonts w:ascii="Arial" w:eastAsia="Arial"/>
            </w:rPr>
          </w:pPr>
          <w:r>
            <w:fldChar w:fldCharType="begin"/>
          </w:r>
          <w:r>
            <w:instrText xml:space="preserve">  \l “_TOC_250003“ </w:instrText>
          </w:r>
          <w:r>
            <w:fldChar w:fldCharType="separate"/>
          </w:r>
          <w:r>
            <w:rPr>
              <w:w w:val="105"/>
            </w:rPr>
            <w:t>总量把握分析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14</w:t>
          </w:r>
          <w:r>
            <w:fldChar w:fldCharType="end"/>
          </w:r>
        </w:p>
        <w:p>
          <w:pPr>
            <w:pStyle w:val="TOC3"/>
            <w:numPr>
              <w:ilvl w:val="1"/>
              <w:numId w:val="4"/>
            </w:numPr>
            <w:tabs>
              <w:tab w:val="left" w:pos="2180"/>
              <w:tab w:val="right" w:leader="dot" w:pos="12317"/>
            </w:tabs>
            <w:spacing w:before="211" w:after="0" w:line="240" w:lineRule="auto"/>
            <w:ind w:left="2179" w:right="0" w:hanging="609"/>
            <w:jc w:val="left"/>
            <w:rPr>
              <w:rFonts w:ascii="Arial" w:eastAsia="Arial"/>
            </w:rPr>
          </w:pPr>
          <w:r>
            <w:fldChar w:fldCharType="begin"/>
          </w:r>
          <w:r>
            <w:instrText xml:space="preserve">  \l “_TOC_250002“ </w:instrText>
          </w:r>
          <w:r>
            <w:fldChar w:fldCharType="separate"/>
          </w:r>
          <w:r>
            <w:rPr>
              <w:w w:val="105"/>
            </w:rPr>
            <w:t>公众参与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15</w:t>
          </w:r>
          <w:r>
            <w:fldChar w:fldCharType="end"/>
          </w:r>
        </w:p>
        <w:p>
          <w:pPr>
            <w:pStyle w:val="TOC1"/>
            <w:numPr>
              <w:ilvl w:val="0"/>
              <w:numId w:val="4"/>
            </w:numPr>
            <w:tabs>
              <w:tab w:val="left" w:pos="1504"/>
              <w:tab w:val="right" w:leader="dot" w:pos="12420"/>
            </w:tabs>
            <w:spacing w:before="159" w:after="0" w:line="240" w:lineRule="auto"/>
            <w:ind w:left="1503" w:right="0" w:hanging="248"/>
            <w:jc w:val="left"/>
            <w:rPr>
              <w:rFonts w:ascii="Times New Roman" w:eastAsia="Times New Roman"/>
              <w:i/>
              <w:sz w:val="31"/>
            </w:rPr>
          </w:pPr>
          <w:r>
            <w:fldChar w:fldCharType="begin"/>
          </w:r>
          <w:r>
            <w:instrText xml:space="preserve">  \l “_TOC_250001“ </w:instrText>
          </w:r>
          <w:r>
            <w:fldChar w:fldCharType="separate"/>
          </w:r>
          <w:r>
            <w:rPr>
              <w:position w:val="1"/>
            </w:rPr>
            <w:t>审批原则符合性分</w:t>
          </w:r>
          <w:r>
            <w:rPr>
              <w:spacing w:val="-104"/>
              <w:position w:val="1"/>
            </w:rPr>
            <w:t>析</w:t>
          </w:r>
          <w:r>
            <w:rPr>
              <w:rFonts w:ascii="Times New Roman" w:eastAsia="Times New Roman"/>
              <w:spacing w:val="-104"/>
              <w:position w:val="1"/>
            </w:rPr>
            <w:tab/>
          </w:r>
          <w:r>
            <w:rPr>
              <w:rFonts w:ascii="Times New Roman" w:eastAsia="Times New Roman"/>
              <w:i/>
              <w:sz w:val="31"/>
            </w:rPr>
            <w:t>17</w:t>
          </w:r>
          <w:r>
            <w:fldChar w:fldCharType="end"/>
          </w:r>
        </w:p>
        <w:p>
          <w:pPr>
            <w:pStyle w:val="TOC2"/>
            <w:numPr>
              <w:ilvl w:val="0"/>
              <w:numId w:val="4"/>
            </w:numPr>
            <w:tabs>
              <w:tab w:val="left" w:pos="1504"/>
              <w:tab w:val="right" w:leader="dot" w:pos="12272"/>
            </w:tabs>
            <w:spacing w:before="162" w:after="0" w:line="240" w:lineRule="auto"/>
            <w:ind w:left="1503" w:right="0" w:hanging="248"/>
            <w:jc w:val="left"/>
            <w:rPr>
              <w:rFonts w:ascii="Times New Roman" w:eastAsia="Times New Roman"/>
              <w:sz w:val="31"/>
            </w:rPr>
          </w:pPr>
          <w:r>
            <w:fldChar w:fldCharType="begin"/>
          </w:r>
          <w:r>
            <w:instrText xml:space="preserve">  \l “_TOC_250000“ </w:instrText>
          </w:r>
          <w:r>
            <w:fldChar w:fldCharType="separate"/>
          </w:r>
          <w:r>
            <w:rPr>
              <w:i w:val="0"/>
              <w:position w:val="1"/>
              <w:sz w:val="33"/>
            </w:rPr>
            <w:t>环评总结论</w:t>
          </w:r>
          <w:r>
            <w:rPr>
              <w:rFonts w:ascii="Times New Roman" w:eastAsia="Times New Roman"/>
              <w:i w:val="0"/>
              <w:position w:val="1"/>
              <w:sz w:val="33"/>
            </w:rPr>
            <w:tab/>
          </w:r>
          <w:r>
            <w:rPr>
              <w:rFonts w:ascii="Times New Roman" w:eastAsia="Times New Roman"/>
              <w:i/>
              <w:sz w:val="31"/>
            </w:rPr>
            <w:t>19</w:t>
          </w:r>
          <w:r>
            <w:fldChar w:fldCharType="end"/>
          </w:r>
        </w:p>
      </w:sdtContent>
    </w:sdt>
    <w:p>
      <w:pPr>
        <w:pStyle w:val="Heading3"/>
        <w:spacing w:before="375"/>
        <w:ind w:left="1256"/>
      </w:pPr>
      <w:r>
        <w:rPr>
          <w:w w:val="95"/>
        </w:rPr>
        <w:t>附图：</w:t>
      </w:r>
    </w:p>
    <w:p>
      <w:pPr>
        <w:pStyle w:val="BodyText"/>
        <w:spacing w:before="11"/>
        <w:ind w:left="1256"/>
      </w:pPr>
      <w:r>
        <w:rPr>
          <w:rFonts w:ascii="Arial Narrow" w:eastAsia="Arial Narrow"/>
        </w:rPr>
        <w:t>1</w:t>
      </w:r>
      <w:r>
        <w:rPr>
          <w:spacing w:val="-19"/>
        </w:rPr>
        <w:t xml:space="preserve">、附图 </w:t>
      </w:r>
      <w:r>
        <w:rPr>
          <w:rFonts w:ascii="Arial Narrow" w:eastAsia="Arial Narrow"/>
        </w:rPr>
        <w:t>1-</w:t>
      </w:r>
      <w:r>
        <w:t>建设工程地理位置及水环境功能区划图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https://d.book118.com/575043130301011042</w:t>
        </w:r>
      </w:hyperlink>
    </w:p>
    <w:p>
      <w:pPr>
        <w:spacing w:after="0"/>
      </w:pPr>
    </w:p>
    <w:sectPr>
      <w:headerReference w:type="default" r:id="rId6"/>
      <w:footerReference w:type="default" r:id="rId7"/>
      <w:pgSz w:w="17870" w:h="25270"/>
      <w:pgMar w:top="2180" w:right="1540" w:bottom="2420" w:left="1560" w:header="1886" w:footer="2239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0" style="mso-position-horizontal-relative:page;mso-position-vertical-relative:page;position:absolute;z-index:-251658240" from="140pt,1142.45pt" to="763pt,1142.45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22.5pt;height:17.75pt;margin-top:1146.36pt;margin-left:139.8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55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嘉兴市环境科学争论全部限公司</w:t>
                </w:r>
              </w:p>
            </w:txbxContent>
          </v:textbox>
        </v:shape>
      </w:pict>
    </w:r>
    <w:r>
      <w:pict>
        <v:shape id="_x0000_s2052" type="#_x0000_t202" style="width:8.75pt;height:15.5pt;margin-top:1146.86pt;margin-left:745.82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1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623.45pt;height:17.4pt;margin-top:93.28pt;margin-left:139.81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20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pacing w:val="-24"/>
                    <w:sz w:val="27"/>
                  </w:rPr>
                  <w:t xml:space="preserve">年产 </w:t>
                </w:r>
                <w:r>
                  <w:rPr>
                    <w:rFonts w:ascii="Arial Narrow" w:eastAsia="Arial Narrow"/>
                    <w:spacing w:val="-1"/>
                    <w:sz w:val="27"/>
                  </w:rPr>
                  <w:t>2</w:t>
                </w:r>
                <w:r>
                  <w:rPr>
                    <w:rFonts w:ascii="Arial Narrow" w:eastAsia="Arial Narrow"/>
                    <w:spacing w:val="5"/>
                    <w:sz w:val="27"/>
                  </w:rPr>
                  <w:t xml:space="preserve"> </w:t>
                </w:r>
                <w:r>
                  <w:rPr>
                    <w:spacing w:val="-1"/>
                    <w:sz w:val="27"/>
                  </w:rPr>
                  <w:t>万吨三氯乙烯、</w:t>
                </w:r>
                <w:r>
                  <w:rPr>
                    <w:rFonts w:ascii="Arial Narrow" w:eastAsia="Arial Narrow"/>
                    <w:spacing w:val="-1"/>
                    <w:sz w:val="27"/>
                  </w:rPr>
                  <w:t>4</w:t>
                </w:r>
                <w:r>
                  <w:rPr>
                    <w:rFonts w:ascii="Arial Narrow" w:eastAsia="Arial Narrow"/>
                    <w:spacing w:val="6"/>
                    <w:sz w:val="27"/>
                  </w:rPr>
                  <w:t xml:space="preserve"> </w:t>
                </w:r>
                <w:r>
                  <w:rPr>
                    <w:spacing w:val="-1"/>
                    <w:sz w:val="27"/>
                  </w:rPr>
                  <w:t>万吨四氯乙烯、</w:t>
                </w:r>
                <w:r>
                  <w:rPr>
                    <w:rFonts w:ascii="Arial Narrow" w:eastAsia="Arial Narrow"/>
                    <w:sz w:val="27"/>
                  </w:rPr>
                  <w:t>1</w:t>
                </w:r>
                <w:r>
                  <w:rPr>
                    <w:rFonts w:ascii="Arial Narrow" w:eastAsia="Arial Narrow"/>
                    <w:spacing w:val="6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万吨五氟乙烷、</w:t>
                </w:r>
                <w:r>
                  <w:rPr>
                    <w:rFonts w:ascii="Arial Narrow" w:eastAsia="Arial Narrow"/>
                    <w:sz w:val="27"/>
                  </w:rPr>
                  <w:t>1</w:t>
                </w:r>
                <w:r>
                  <w:rPr>
                    <w:rFonts w:ascii="Arial Narrow" w:eastAsia="Arial Narrow"/>
                    <w:spacing w:val="6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万吨四氯丙烯工程环境影响报告书〔简要本〕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F26008"/>
    <w:multiLevelType w:val="hybridMultilevel"/>
    <w:tmpl w:val="00000000"/>
    <w:lvl w:ilvl="0">
      <w:start w:val="1"/>
      <w:numFmt w:val="decimal"/>
      <w:lvlText w:val="%1"/>
      <w:lvlJc w:val="left"/>
      <w:pPr>
        <w:ind w:left="1346" w:hanging="361"/>
        <w:jc w:val="left"/>
      </w:pPr>
      <w:rPr>
        <w:rFonts w:hint="default"/>
        <w:b/>
        <w:bCs/>
        <w:w w:val="99"/>
      </w:rPr>
    </w:lvl>
    <w:lvl w:ilvl="1">
      <w:start w:val="1"/>
      <w:numFmt w:val="decimal"/>
      <w:lvlText w:val="%1.%2"/>
      <w:lvlJc w:val="left"/>
      <w:pPr>
        <w:ind w:left="1683" w:hanging="699"/>
        <w:jc w:val="left"/>
      </w:pPr>
      <w:rPr>
        <w:rFonts w:hint="default"/>
        <w:b/>
        <w:bCs/>
        <w:w w:val="121"/>
      </w:rPr>
    </w:lvl>
    <w:lvl w:ilvl="2">
      <w:start w:val="1"/>
      <w:numFmt w:val="decimal"/>
      <w:lvlText w:val="%1.%2.%3"/>
      <w:lvlJc w:val="left"/>
      <w:pPr>
        <w:ind w:left="1932" w:hanging="699"/>
        <w:jc w:val="left"/>
      </w:pPr>
      <w:rPr>
        <w:rFonts w:ascii="Arial Narrow" w:eastAsia="Arial Narrow" w:hAnsi="Arial Narrow" w:cs="Arial Narrow" w:hint="default"/>
        <w:b/>
        <w:bCs/>
        <w:w w:val="109"/>
        <w:sz w:val="43"/>
        <w:szCs w:val="43"/>
      </w:rPr>
    </w:lvl>
    <w:lvl w:ilvl="3">
      <w:start w:val="0"/>
      <w:numFmt w:val="bullet"/>
      <w:lvlText w:val="•"/>
      <w:lvlJc w:val="left"/>
      <w:pPr>
        <w:ind w:left="1940" w:hanging="6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72" w:hanging="6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04" w:hanging="6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36" w:hanging="6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8" w:hanging="6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00" w:hanging="699"/>
      </w:pPr>
      <w:rPr>
        <w:rFonts w:hint="default"/>
      </w:rPr>
    </w:lvl>
  </w:abstractNum>
  <w:abstractNum w:abstractNumId="1">
    <w:nsid w:val="2E82B9F9"/>
    <w:multiLevelType w:val="hybridMultilevel"/>
    <w:tmpl w:val="00000000"/>
    <w:lvl w:ilvl="0">
      <w:start w:val="6"/>
      <w:numFmt w:val="decimal"/>
      <w:lvlText w:val="%1"/>
      <w:lvlJc w:val="left"/>
      <w:pPr>
        <w:ind w:left="1774" w:hanging="79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774" w:hanging="790"/>
        <w:jc w:val="left"/>
      </w:pPr>
      <w:rPr>
        <w:rFonts w:ascii="Arial Narrow" w:eastAsia="Arial Narrow" w:hAnsi="Arial Narrow" w:cs="Arial Narrow" w:hint="default"/>
        <w:b/>
        <w:bCs/>
        <w:w w:val="121"/>
        <w:sz w:val="43"/>
        <w:szCs w:val="43"/>
      </w:rPr>
    </w:lvl>
    <w:lvl w:ilvl="2">
      <w:start w:val="1"/>
      <w:numFmt w:val="decimal"/>
      <w:lvlText w:val="%1.%2.%3"/>
      <w:lvlJc w:val="left"/>
      <w:pPr>
        <w:ind w:left="2044" w:hanging="1060"/>
        <w:jc w:val="right"/>
      </w:pPr>
      <w:rPr>
        <w:rFonts w:hint="default"/>
        <w:b/>
        <w:bCs/>
        <w:w w:val="109"/>
      </w:rPr>
    </w:lvl>
    <w:lvl w:ilvl="3">
      <w:start w:val="0"/>
      <w:numFmt w:val="bullet"/>
      <w:lvlText w:val="•"/>
      <w:lvlJc w:val="left"/>
      <w:pPr>
        <w:ind w:left="4867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81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95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09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3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37" w:hanging="1060"/>
      </w:pPr>
      <w:rPr>
        <w:rFonts w:hint="default"/>
      </w:rPr>
    </w:lvl>
  </w:abstractNum>
  <w:abstractNum w:abstractNumId="2">
    <w:nsid w:val="582B818E"/>
    <w:multiLevelType w:val="hybridMultilevel"/>
    <w:tmpl w:val="00000000"/>
    <w:lvl w:ilvl="0">
      <w:start w:val="1"/>
      <w:numFmt w:val="decimal"/>
      <w:lvlText w:val="%1"/>
      <w:lvlJc w:val="left"/>
      <w:pPr>
        <w:ind w:left="1503" w:hanging="248"/>
        <w:jc w:val="left"/>
      </w:pPr>
      <w:rPr>
        <w:rFonts w:ascii="Times New Roman" w:eastAsia="Times New Roman" w:hAnsi="Times New Roman" w:cs="Times New Roman" w:hint="default"/>
        <w:b/>
        <w:bCs/>
        <w:i/>
        <w:w w:val="101"/>
        <w:sz w:val="31"/>
        <w:szCs w:val="31"/>
      </w:rPr>
    </w:lvl>
    <w:lvl w:ilvl="1">
      <w:start w:val="1"/>
      <w:numFmt w:val="decimal"/>
      <w:lvlText w:val="%1.%2"/>
      <w:lvlJc w:val="left"/>
      <w:pPr>
        <w:ind w:left="2112" w:hanging="541"/>
        <w:jc w:val="left"/>
      </w:pPr>
      <w:rPr>
        <w:rFonts w:hint="default"/>
        <w:b/>
        <w:bCs/>
        <w:w w:val="101"/>
      </w:rPr>
    </w:lvl>
    <w:lvl w:ilvl="2">
      <w:start w:val="0"/>
      <w:numFmt w:val="bullet"/>
      <w:lvlText w:val="•"/>
      <w:lvlJc w:val="left"/>
      <w:pPr>
        <w:ind w:left="2120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00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8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61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42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2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03" w:hanging="541"/>
      </w:pPr>
      <w:rPr>
        <w:rFonts w:hint="default"/>
      </w:rPr>
    </w:lvl>
  </w:abstractNum>
  <w:abstractNum w:abstractNumId="3">
    <w:nsid w:val="6F5DA18E"/>
    <w:multiLevelType w:val="hybridMultilevel"/>
    <w:tmpl w:val="00000000"/>
    <w:lvl w:ilvl="0">
      <w:start w:val="1"/>
      <w:numFmt w:val="decimal"/>
      <w:lvlText w:val="（%1）"/>
      <w:lvlJc w:val="left"/>
      <w:pPr>
        <w:ind w:left="2608" w:hanging="902"/>
        <w:jc w:val="left"/>
      </w:pPr>
      <w:rPr>
        <w:rFonts w:ascii="宋体" w:eastAsia="宋体" w:hAnsi="宋体" w:cs="宋体" w:hint="default"/>
        <w:spacing w:val="0"/>
        <w:w w:val="90"/>
        <w:sz w:val="34"/>
        <w:szCs w:val="34"/>
      </w:rPr>
    </w:lvl>
    <w:lvl w:ilvl="1">
      <w:start w:val="0"/>
      <w:numFmt w:val="bullet"/>
      <w:lvlText w:val="•"/>
      <w:lvlJc w:val="left"/>
      <w:pPr>
        <w:ind w:left="3816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33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49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6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82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99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15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32" w:hanging="902"/>
      </w:pPr>
      <w:rPr>
        <w:rFonts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159"/>
      <w:ind w:left="1503" w:hanging="248"/>
    </w:pPr>
    <w:rPr>
      <w:rFonts w:ascii="宋体" w:eastAsia="宋体" w:hAnsi="宋体" w:cs="宋体"/>
      <w:b/>
      <w:bCs/>
      <w:sz w:val="33"/>
      <w:szCs w:val="33"/>
    </w:rPr>
  </w:style>
  <w:style w:type="paragraph" w:customStyle="1" w:styleId="TOC2">
    <w:name w:val="TOC 2"/>
    <w:basedOn w:val="Normal"/>
    <w:uiPriority w:val="1"/>
    <w:qFormat/>
    <w:pPr>
      <w:spacing w:before="162"/>
      <w:ind w:left="1503" w:hanging="248"/>
    </w:pPr>
    <w:rPr>
      <w:rFonts w:ascii="宋体" w:eastAsia="宋体" w:hAnsi="宋体" w:cs="宋体"/>
      <w:b/>
      <w:bCs/>
      <w:i/>
    </w:rPr>
  </w:style>
  <w:style w:type="paragraph" w:customStyle="1" w:styleId="TOC3">
    <w:name w:val="TOC 3"/>
    <w:basedOn w:val="Normal"/>
    <w:uiPriority w:val="1"/>
    <w:qFormat/>
    <w:pPr>
      <w:spacing w:before="188"/>
      <w:ind w:left="2112" w:hanging="541"/>
    </w:pPr>
    <w:rPr>
      <w:rFonts w:ascii="宋体" w:eastAsia="宋体" w:hAnsi="宋体" w:cs="宋体"/>
      <w:b/>
      <w:bCs/>
      <w:sz w:val="31"/>
      <w:szCs w:val="31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ind w:left="1346" w:hanging="362"/>
      <w:outlineLvl w:val="1"/>
    </w:pPr>
    <w:rPr>
      <w:rFonts w:ascii="宋体" w:eastAsia="宋体" w:hAnsi="宋体" w:cs="宋体"/>
      <w:b/>
      <w:bCs/>
      <w:sz w:val="47"/>
      <w:szCs w:val="47"/>
    </w:rPr>
  </w:style>
  <w:style w:type="paragraph" w:customStyle="1" w:styleId="Heading2">
    <w:name w:val="Heading 2"/>
    <w:basedOn w:val="Normal"/>
    <w:uiPriority w:val="1"/>
    <w:qFormat/>
    <w:pPr>
      <w:ind w:left="1932" w:hanging="947"/>
      <w:outlineLvl w:val="2"/>
    </w:pPr>
    <w:rPr>
      <w:rFonts w:ascii="宋体" w:eastAsia="宋体" w:hAnsi="宋体" w:cs="宋体"/>
      <w:b/>
      <w:bCs/>
      <w:sz w:val="43"/>
      <w:szCs w:val="43"/>
    </w:rPr>
  </w:style>
  <w:style w:type="paragraph" w:customStyle="1" w:styleId="Heading3">
    <w:name w:val="Heading 3"/>
    <w:basedOn w:val="Normal"/>
    <w:uiPriority w:val="1"/>
    <w:qFormat/>
    <w:pPr>
      <w:spacing w:before="123"/>
      <w:outlineLvl w:val="3"/>
    </w:pPr>
    <w:rPr>
      <w:rFonts w:ascii="宋体" w:eastAsia="宋体" w:hAnsi="宋体" w:cs="宋体"/>
      <w:b/>
      <w:bCs/>
      <w:sz w:val="36"/>
      <w:szCs w:val="36"/>
    </w:rPr>
  </w:style>
  <w:style w:type="paragraph" w:styleId="Title">
    <w:name w:val="Title"/>
    <w:basedOn w:val="Normal"/>
    <w:uiPriority w:val="1"/>
    <w:qFormat/>
    <w:pPr>
      <w:ind w:left="247" w:right="544"/>
      <w:jc w:val="center"/>
    </w:pPr>
    <w:rPr>
      <w:rFonts w:ascii="黑体" w:eastAsia="黑体" w:hAnsi="黑体" w:cs="黑体"/>
      <w:sz w:val="108"/>
      <w:szCs w:val="108"/>
    </w:rPr>
  </w:style>
  <w:style w:type="paragraph" w:styleId="ListParagraph">
    <w:name w:val="List Paragraph"/>
    <w:basedOn w:val="Normal"/>
    <w:uiPriority w:val="1"/>
    <w:qFormat/>
    <w:pPr>
      <w:ind w:left="1932" w:hanging="947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Cambria" w:eastAsia="Cambria" w:hAnsi="Cambria" w:cs="Cambr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d.book118.com/575043130301011042" TargetMode="External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2023-07-31T10:32:14Z</dcterms:created>
  <dcterms:modified xsi:type="dcterms:W3CDTF">2023-07-31T10:32:14Z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2023-01-05T00:00:00Z</vt:filetime>
  </property>
  <property fmtid="{D5CDD505-2E9C-101B-9397-08002B2CF9AE}" pid="3" name="LastSaved">
    <vt:filetime>2023-07-31T00:00:00Z</vt:filetime>
  </property>
</Properties>
</file>