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center"/>
        <w:textAlignment w:val="auto"/>
        <w:rPr>
          <w:rFonts w:ascii="宋体" w:eastAsia="宋体" w:hAnsi="宋体" w:cs="宋体" w:hint="eastAsia"/>
          <w:outline w:val="0"/>
          <w:shadow w:val="0"/>
          <w:emboss w:val="0"/>
          <w:imprint w:val="0"/>
          <w:vanish w:val="0"/>
          <w:w w:val="100"/>
          <w:sz w:val="28"/>
          <w:szCs w:val="28"/>
          <w:u w:val="none"/>
          <w:lang w:eastAsia="zh-CN"/>
        </w:rPr>
      </w:pPr>
      <w:bookmarkStart w:id="0" w:name="_GoBack"/>
      <w:bookmarkEnd w:id="0"/>
      <w:r>
        <w:rPr>
          <w:rFonts w:ascii="宋体" w:eastAsia="宋体" w:hAnsi="宋体" w:cs="宋体" w:hint="eastAsia"/>
          <w:outline w:val="0"/>
          <w:shadow w:val="0"/>
          <w:emboss w:val="0"/>
          <w:imprint w:val="0"/>
          <w:vanish w:val="0"/>
          <w:w w:val="100"/>
          <w:sz w:val="28"/>
          <w:szCs w:val="28"/>
          <w:u w:val="none"/>
          <w:lang w:eastAsia="zh-CN"/>
        </w:rPr>
        <w:t>移动营业员理论考试：业务知识考试资料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1、单选 话务信令中的REL消息是指？（）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A、初始地址消息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B、地址全消息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C、振铃音播放消息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D、话务释放消息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2、多选 无源光网络中的光缆线路设计应统筹考虑</w:t>
      </w:r>
      <w:r>
        <w:rPr>
          <w:rFonts w:ascii="宋体" w:eastAsia="宋体" w:hAnsi="宋体" w:cs="宋体" w:hint="eastAsia"/>
          <w:outline w:val="0"/>
          <w:shadow w:val="0"/>
          <w:emboss w:val="0"/>
          <w:imprint w:val="0"/>
          <w:vanish w:val="0"/>
          <w:w w:val="100"/>
          <w:sz w:val="28"/>
          <w:szCs w:val="28"/>
          <w:u w:val="none"/>
          <w:lang w:eastAsia="zh-CN"/>
        </w:rPr>
        <w:t>（江南博哥）</w:t>
      </w:r>
      <w:r>
        <w:rPr>
          <w:rFonts w:ascii="宋体" w:eastAsia="宋体" w:hAnsi="宋体" w:cs="宋体" w:hint="eastAsia"/>
          <w:outline w:val="0"/>
          <w:shadow w:val="0"/>
          <w:emboss w:val="0"/>
          <w:imprint w:val="0"/>
          <w:vanish w:val="0"/>
          <w:w w:val="100"/>
          <w:sz w:val="28"/>
          <w:szCs w:val="28"/>
          <w:u w:val="none"/>
        </w:rPr>
        <w:t>，网络应具有（）.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A、安全性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B、灵活性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C、与通信业务的发展相适应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D、适度超前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3、多选 IPPBX电源应支持（）.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A、-48V</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B、75V</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C、220V</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D、380V</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4、多选 关于ITN2100的以太环网保护，下列说法正确的是（）.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A、ITN2100支持G.8032以太网环保护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B、PTN设备支持的环网保护协议是G.8132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C、G.8132保护方式分为wrapping和steering</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D、ITN设备PTU-4GE板卡可以和PTN设备一起组环实现业务的保护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5、多选 在光纤系统中传输的三个主要使用的窗口是（）。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A、850nm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B、950nm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C、1310nm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D、1550nm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6、多选 根据业务的开通服务级别分级标准，下面不能享有全程网络专家服务的有（）.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A、AAA级客户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B、AA级客户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C、A级客户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pgSz w:w="11906" w:h="16838"/>
          <w:pgMar w:top="1440" w:right="1080" w:bottom="1440" w:left="1080" w:header="851" w:footer="992" w:gutter="0"/>
          <w:cols w:num="1" w:space="425"/>
          <w:docGrid w:type="lines" w:linePitch="312" w:charSpace="0"/>
        </w:sectPr>
      </w:pPr>
      <w:r>
        <w:rPr>
          <w:rFonts w:ascii="宋体" w:eastAsia="宋体" w:hAnsi="宋体" w:cs="宋体" w:hint="eastAsia"/>
          <w:outline w:val="0"/>
          <w:shadow w:val="0"/>
          <w:emboss w:val="0"/>
          <w:imprint w:val="0"/>
          <w:vanish w:val="0"/>
          <w:w w:val="100"/>
          <w:sz w:val="28"/>
          <w:szCs w:val="28"/>
          <w:u w:val="none"/>
        </w:rPr>
        <w:t>D、普通客户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7、多选 在服务工作中，对客户提出的要求，以下说法正确的是（）.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A.在符合规定.条件允许的情况下，应予满足；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B.对客户的不合理要求，应给予耐心解释并婉言拒绝；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C.对不清楚或没有把握回答.解决的问题，不能当场承诺，要以“客户满意就是我们的工作标准”为前提，做好解释工作，并详细记录，请示上级后尽快将解决方案或处理结果反馈给客户；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D.维护人员可以不理会客户提出的咨询其他业务类的问题。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8、单选 GPON数据类业务的上行波长（）.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A、1310nm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B、1490nm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C、1450nm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D、1550nm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9、单选 MAS一般通过（）方式与企业系统进行集成.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A.数据库同步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B.API连接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C.Web服务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D.以上所有方式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10、单选 GPRS网络采用GRE隧道的（）层封装技术，保证在合法移动终端和企业内部服务器间传送的数据包不被黑客从公网非法截取。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11、多选 数据专线客户全部电脑无法上网，确认传输线路正常。现场检测网络设备无告警，可能的原因是（）.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A、网线故障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B、协议转换器掉死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C、路由器掉死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D、交换机掉死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12、单选 以下为GPRS企业接入信令流程的是（）.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A、终端-BTS-BSC-SGSN-DNS-GGSN-GRE企业端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B、终端-BTS-BSC-SGSN-GGSN-DNS-GRE企业端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C、终端-BTS-BSC-GGNS-DNS-SGSN-GRE企业端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D、终端-BTS-BSC-DNS-SGSN-GGSN-GRE企业端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13、多选 PTN设备中，LMSP可以支持的保护类型有（）.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A.1＋1双端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B.1＋1单端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C.1：1双端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D.1：1单端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14、多选 佳和PBX中DT可以插在以下哪种机框上？（）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A、没有SCC/SCC2的NTX机框上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B、有SCC/SCC2的NTX机框上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C、有GWC板的NTX机框上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D、有NIC板的NTX机框上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15、多选 以下可引起MSP倒换的告警有（）.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A、RLOF</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B、AULOP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C、RLOS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D、MSAIS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16、单选 NTX-G2单框最多支持多少块用户板？（）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A.7</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17、单选 以下哪个是华为PBX设备产品？（）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A、V2060-G</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B、SoftCo9500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C、TPX-800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D、DX1S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18、单选 为了防止网络风暴，应采用那种操作（）.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A、采用生成树协议（STP）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B、划分VLAN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C、黑洞路由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3"/>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D、端口换回</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19、单选 NTX-GWC板卡的BMKG1开关的第1个开关打ON是代表什么意思？（）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A.GWC初始化数据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B.GWC进入修复模式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C.GWC进入BOOTSEL模式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D.GWC进入正常使用模式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20、单选 在业务保障分级要求中，AAA客户语音专线-跨地市、地市内业务中断，修复时长为（）.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A、1小时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B、2小时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C、3小时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D、4小时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21、单选 针对我司客户打不开部分网页这一问题，以下分析、建议错误的是（）。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A、上网助手影响、防火墙影响、该网站故障、设置影响；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B、有时是因为上网助手的拦截功能会造成；防火墙等级设置过高也会造成个别网页无法打开，有些网站屏蔽某些IP网段，若用户获取该网段的IP地址，就无法访问网页了。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C、建议客户关闭上网助手或退防火墙重新访问打不开的网页。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D、可能是该客户电脑硬件问题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22、多选 华环汇聚型产品H9MO-LMXE交叉级别支持（）交叉。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A、VC-12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B、VC-3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C、VC-4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D、VC-5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23、单选 传统TDM-PBX交换机单机框使用时，最多可以使用（）槽位。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D、24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4"/>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24、单选 PBX企业典型故障：某集团客户，客户反映所有分机都无法拨打长途电话和移动手机，导致用户不能正常拨打电话。处理过程：到现场对传输电路进行环回，传输监控告知传输电路恢复，放通到语音专线设备，又出E1告警，证明传输线路正常，问题出在语音专线设备上，观察语音专线设备上的2M板状态，是掉线状态的，对语音专线设备上的2M板进行环回，仍是掉线状态，可以判断是语音专线设备的2M板损坏，重新更换一块2M中继板后故障消除。该故障说明了一个什么问题，以下最合适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A、对于业务全阻类故障，直接更换一块2M中继板是是非常有效的手段。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B、对于业务全阻类故障，对于中继设备的环回测试是非常有效的手段。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C、对于业务全阻类故障，故障处理与传输监控的沟通是非常有效的手段。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D、对于业务全阻类故障，海量拨测是非常有效的手段。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25、多选 请选择误码产生的原因（）。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A.各种噪声源；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B.色散引起的码间干扰；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C.定位抖动产生的误码；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D.SDH设备本身产生的误码；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26、单选 .MG6032的电话接口类型是（）.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A.RJ11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B.RJ21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C.RJ45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D.RJ51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27、单选 在下列网间连接中，（）在网络层实现网络互联。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A.中继器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B.网桥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C.路由器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D.网关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28、单选 接入IMS的广州语音专线客户固话66810010做被叫时，在IMS-UGC跟踪信令，IMS送PBX的号码正确格式为（）.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A、66810010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B、02066810010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C、1979766810010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D、88010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29、单选 下面对电路租用业务的应急故障处理准备错误的是（）.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5"/>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A、准备好客户资料，包括客户地址、客户各分点联系人信息、集团客户经理信息等等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B、检查工具仪表是否齐全，工具仪表包应包含上门准备要求的所有常用工具和仪表，其中以2M测试仪、光功率计、太网测试仪、调度尾纤、做PCM电缆头工具包为必备仪器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C、A级及以上集团客户业务中断故障要求进行短信通报，移动方网服人员专人跟进处理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D、查询客户专线所占使用的光缆信息，准备好备用路由的信息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30、多选 天波传统TDM-PBX交换机模拟用户呼叫模式有（）.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A、普通呼叫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B、热线呼叫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C、VPN模式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D、广播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31、单选 光功率计能测量信号的以下参数（）。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A、总光功率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B、波长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C、单个通道光功率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D、色散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32、单选 下面关于电路租用业务组网原理说法错误的是（）.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A、对于点对多点的客户，可以通过我公司的传输网络，将客户各个分部的传输汇聚到客户的总部，并通过协议转换器将E1信号转换为以太信号接入客户的交换机等设备，将客户的总部与各个分部间组成一个局域网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B、对于带宽要求不高的客户，也可以直接利用我公司的传输E1线路，通过接入侧的协议转换器，将E1信号转换为以太信号，从而将客户的各点链接起来，组成局域网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C、对于带宽要求较高的客户，可以直接从传输设备输出以太网接口到客户侧，甚至直接提供甚至直接提供155M、622M、2.5G、10G等链路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D、不能直接从我们公司的网络出E1线路到客户侧，必须使用我司设备的纯E1接入方案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33、多选 SoftCo9500的数字中继接口板（DTU）具有以下哪些指示灯？（）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A、运行指示灯（RUN）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B、告警指示灯（ALARM）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C、信号丢失指示灯（LOS）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D、远端告警指示（RFA.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6"/>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34、多选 SDH+光电转换器技术组网方式主要应用在：传输资源不足时（光端机在基站），光纤拉远通过光电转换器接入客户端设备；光电转换器可提供的接口有（）为不同的集团客户群体提供本地、跨省跨市的电路出租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A、E1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B、V.35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C、RJ45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D、GE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35、单选 光端机的光口LOS哪项不是主要原因（）.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A、光缆故障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B、本端光模块坏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C、接受到的光信号和光模块速率等级不同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D、时钟系统信号丢失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36、多选 下例有关VLAN接口的描述，正确的是（）.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A.每一个VLAN我们可以认为是不同的网段，不同网段之间的访问需要经过网关――即VLAN接口，也称为VLAN网关。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B.VLAN接口是一个虚接口，没有实际的端口概念。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C.VLAN接口具有所有物理接口所具有的特性，比如有MAC地址，可配置最大传输单元和传输的以太网帧类型。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D.VLAN接口的MAC地址在配置IP接口过程中由交换机自动配置。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37、多选 某客户使用我司的数据专线，现客户投诉该专线无法使用。请问以下向客户收集信息，正确的是（）.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A.该数据专线承载的业务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B.是否所有终端都无法使用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C.是否该专线承载的所有业务无法使用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D.该数据专线的传输是否正常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38、多选 综合客户端故障分析，下面哪些是涉及光端机设备的故障原因（）.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A.传输线路损坏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B.光端机或板卡损坏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C.光端机或端口掉死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D.互联设备端口模式不匹配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39、多选 以下哪些属于距离矢量路由协议。（）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A、OSPF</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B、IS-IS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7"/>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C、BGP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D、RIP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40、单选 STM-1可等效话路数为（）。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A、1920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B、1890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C、1950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D、1860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41、单选 高科V2060是什么？（）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A、数据交换机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B、路由器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C、语音集线器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D、语音交换机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42、单选 移动综合VPMN业务是指面向企业，允许一个企业内的GSM手机、（）固定电话（PBX）等统一编号，组成一个集团的综合虚拟专用网。（）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A、小灵通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B、网通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C、铁通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D、电信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43、多选 PDHE1、E2、 E3、E4分别放进下面SDH容器对应正确的是（）.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A、E1→C1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B、E2→C2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C、E3→C3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D、E4→C4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44、单选 一台路由器，同时运行着OSPF，RIP，IS-IS和静态路由协议，哪一个路由协议优先权最高（）.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A、OSPF</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B、RIP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C、IS-IS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D、静态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45、多选 选择所有我国使用的PDH速率等级（）.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A、2Mb/s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B、8Mb/s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8"/>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C、34Mb/s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D、140Mb/s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46、单选 LINK（GPON链路指示灯）长亮表示（）.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A.PON端口链路状态正常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B.设备认证成功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C.光纤没有插好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D.没有建立以太网连接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47、单选 AAA级学校校讯通故障响应时间为（）.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A、小于30分钟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B、小于20分钟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C、小于40分钟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D、小于50分钟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48、单选 某酒店用品有限公司客户反映部分电脑不能上网，经查发现一个MAC地址产生多个IP地址，是什么现象？（）.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A、ARP欺骗的典型现象，检查ARP表后，在客户交换机上SHUTDOWN端口后，找出中毒主机进行杀毒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B、该酒店网络中有安装虚拟机软件，虚拟出的IP地址，删除虚拟机软件后可恢复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C、肯定为该酒店电脑系统故障，拔出网线，重装系统即可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D、蠕虫病毒的典型现象，检查计算机注册表后，找出中毒主机进行杀毒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49、多选 双GGSN、双传输、双路由器GPRS接入有以下优点（）.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A、可实现GGSN、传输、路由器的双备份，属于完善的双路由冗余备份方案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B、支持移动终端地址静态分配方式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C、组网简单，客户投入不大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D、实现多设备、多路由冗余备份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50、单选 查询IPPBX用户分机的号码时，只需用话机输入（）可自报本机号码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A、*114#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B、114#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C、12580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D、114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9"/>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51、多选 两台运行BGP的路由器之间，邻居建立时间为46小时，那么最近24小时内，这两台设备之间一定没有交互过的报文是（）.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A.Open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B.KeepAlive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C.Update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D.Notification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52、单选 网络质量指标互联网专线与APN专线，从客户端PING至少1000个IP包，丢失的IP包与所有IP包的比值，多少为标准？（）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53、多选 对于故障定位的一般原则，下列总结正确的是（）。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A.先外部，后传输，就是说在定位故障时，应先排除外部的可能因素，如光纤断，交换故障或电源问题等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B.先单站，后单板，就是说在定位故障时，首先，要尽可能准确地定位出是哪个站的问题。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C.从告警信号流中可以看出，线路板的故障常常会引起支路板的异常告警，因此在故障定位时，应按先线路，后支路的顺序，排除故障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D.先高级，后低级的意思就是说，我们在分析告警时，应首先分析高级别的告警，如危急告警、主要告警；然后再分析低级别的告警，如次要告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54、多选 一般话音单通的原因有？（）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A.协商RTP端口出问题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B.某方RTP端口不正常关闭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C.协商打包周期不一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D.私网NAT穿透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55、单选 LOF告警表示为（）.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A.信号丢失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B.帧定位丢失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C.信号告警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D.同步丢失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56、多选 语音专线中，常常遇到“中继”概念，以下解释正确的是（）.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A、一般指数字中继，利用数字信道传输数据信号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B、主要作用是向用户提供永久性和半永久性连接的数字数据传输信道，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0"/>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C、既可用于计算机之间的通信，也可用于传送数字化传真，数字话音，数字图像信号或其它数字化信号。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D、数字中继又分为PRI（30B+D、2B+D.、E1、T1、ISDN。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57、单选 DTU板是什么？（）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A.数字中继板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B.模拟中继板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C.语音导航版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D.主控板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58、多选 SDH线路上的紧急告警包括（）.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A、R-LOS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B、R-LOF</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C、T-ALOS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D、PS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59、多选 任何程控交换机系统，都是由硬件和软件两大部分组成，其硬件可以分成（）。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A、话路部分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B、控制部分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C、用户部分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D、信号部分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60、单选 接地电阻宜小于（）。如接地电阻大于此数值，且基础土壤电阻率大于700Ω•m时，应在基座的环形接地体的四角敷设10～20m的辐射形水平接地体。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A、5欧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B、8欧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C、10欧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D、12欧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61、单选 以下哪项不属于IP承载网的定义（）.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A、能同时承载语音、视频、数据企业互联的那个多种业务的核心承载平台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B、起点高，为运营商高品质业务、高增值性性业务提供网络平台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C、以提升运营商的企业竞争力和盈利能力为主要目的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D、为运营商创建唯一数据专网，承载所有IP累数据业务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62、多选 下列关于iTN2100-8FX板卡说法正确的是（）.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1"/>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A、支持板内保护（LAG方式）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B、支持跨盘保护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C、支持802.3ah，802.1ag和Y.1731等OAM协议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D、支持二层SLA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63、单选 关于环形复用段，下列说法错误的是（）。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A、155/622/2500+产品，严禁将同一个光口映射进多个复用段逻辑系统，否则会导致复用段倒换失败；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B、10GV2产品支持将同一个光口映射进多个复用段保护组，最大支持2组的复用段保护共享；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C、155/622/2500+产品环形复用段节点参数需要设置最大节点号，10GV2产品不需要设置；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D、155/622/2500+产品支持复用段备用通道检测功能，由于10GV2产品不支持该功能，所以155/622/2500+产品和10GV2组环形复用段时，建议关闭备用通道检测功能。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64、单选 光缆缆芯结构一般分为层绞式、骨架式、束管式和带状式四种。最常用的是（）。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A、层绞式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B、骨架式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C、束管式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D、带状式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65、单选 当采用一级分光方式，光分路器设在驻地网时，光分路器可安装（）.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A、室内或室外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B、一级光交接箱内、二级光交接箱或光分纤箱内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C、小区中心机房或室外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D、光交接箱或分纤箱内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66、单选 包过滤防火墙通过（）来确定数据包是否能通过。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A.路由表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B.ARP表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C.NAT表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D.过滤规则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67、多选 客户端设备接地以下做法哪些是正确的？（）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A.设备机架应做保护接地，保护接地应从接地汇集排上引入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2"/>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B.配线架应从接地汇集排引入保护接地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C.机房内所有通信设备可通过安装加固螺栓等与建筑钢筋进行固定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D.接地线截面积和地阻符合设计要求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68、单选 V2060有2个2M路由表、4个模拟中继路由表，请问某用户所有电话从2M呼出，最大可使用的路由表数量是？（）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69、单选 MO短信指的是（）.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A.手机上行到短信网关的短信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B.短信网关下行到手机的短信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C.普通的点对点短信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D.以上皆非</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70、单选 在下列网间连接中，（）在数据链路层实现网络互联。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A、中继器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B、网桥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C、路由器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D、网关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71、单选 每块CKS板占用多少个槽位（）.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72、单选 在现网移动综合VPMN业务中，PBX的呼转参数设置规范要求：B为PBX铁通固话，在固话B呼转到某电话C时，当A拨打B的时候，要求在C看到的主叫显示为。（）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A、A号码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B、B号码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C、C号码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D、D号码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73、多选 关于tunnel的OAM参数设置，说法正确的有？（）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3"/>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A、每条tunnel均需使能OAM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B、报文类型为FFD、周期为10ms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C、检测方式为人工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D、需配置反向tunnel</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74、单选 售中售后人员向客户提供的资料不得超出合同范围，若客户要求则由（）统一提供。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A.业务部门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B.工程中心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C.网服中心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D.网维中心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75、单选 当BAM服务器瘫痪时，短时间内下列说法正确的是（）。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A、所有PBX用户无法拨打电话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B、各工作站不能正常工作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C、影响话单生成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D、引起其他单板无法正常工作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76、单选 对于客户不符合安全规范的装机等要求，应提醒客户，若客户不采纳，则应（），并与客户明确免责条款，由客户签名确认。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A、联系客户经理协调解决，并直接拒绝客户要求。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B、直接指出客户的错误之处，并拒绝客户要求。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C、在验收报告中明确说明。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D、以上全不对。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77、单选 下列产品中，通过主控ID拨码方式，不可以擦除主机软件和数据库的是（）。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A、Metro1000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B、155/622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C、2500+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D、10GV2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78、单选 下列单板中不支持相邻级联业务的是（）。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A、SL64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B、SL16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C、GE02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D、SV4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14"/>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79、单选 传统TDM-PBX业务需求开通综合VPMN网，一般情况下为配合综合集群网的数据配置，通常数字中继的中继模式设置为（）模式.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A、DDID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B、VPN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C、双向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D、汇接中继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80、单选 家客业务开通做线槽布线时要特别注意点，应采用线扣固定线缆以防止线缆在槽内移动，垂直敷设时其线缆固定间距不要大于（）.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A.2米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B.2.5米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C.3米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D.3.5米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81、单选 网管发现网元失连最快可以达到多长时间（）.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B、5分钟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C、10分钟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D、1小时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82、单选 一般说来，MAS的网卡LAN1接外网，LAN2接内网。考虑到安全问题，我们需要对MAS实施端口禁闭策略：我们可以对LAN1上所有端口全禁闭，而对于LAN2，我们需要开放（）端口，其他端口可以禁闭（假设该MAS没有用到二次开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A、80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B、443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C、1521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D、10086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83、单选 2M误码仪上哪个指示灯表示设备输出信号有误码（）。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A、BitError</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B、NOSync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C、NOSignal</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D、AIS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84、多选 关于iTN2100-8FX+远端设备网管的“零配置”功能，下列说法正确的是（）.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A、iTN2100能够通过扩展OAM自动发现iTN125并上报网管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B、网管上可通过扩展OAM为iTN125配置IP地址</w:t>
      </w:r>
      <w:r>
        <w:rPr>
          <w:rFonts w:ascii="宋体" w:eastAsia="宋体" w:hAnsi="宋体" w:cs="宋体"/>
          <w:outline w:val="0"/>
          <w:shadow w:val="0"/>
          <w:emboss w:val="0"/>
          <w:imprint w:val="0"/>
          <w:vanish w:val="0"/>
          <w:w w:val="100"/>
          <w:sz w:val="28"/>
          <w:szCs w:val="28"/>
          <w:u w:val="none"/>
        </w:rPr>
        <w:br/>
      </w:r>
      <w:r>
        <w:rPr>
          <w:rFonts w:ascii="宋体" w:eastAsia="宋体" w:hAnsi="宋体" w:cs="宋体"/>
          <w:outline w:val="0"/>
          <w:shadow w:val="0"/>
          <w:emboss w:val="0"/>
          <w:imprint w:val="0"/>
          <w:vanish w:val="0"/>
          <w:w w:val="100"/>
          <w:sz w:val="28"/>
          <w:szCs w:val="28"/>
          <w:u w:val="none"/>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https://d.book118.com/575044343102011110</w:t>
        </w:r>
      </w:hyperlink>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p>
    <w:sectPr>
      <w:type w:val="nextPage"/>
      <w:pgSz w:w="11906" w:h="16838"/>
      <w:pgMar w:top="1440" w:right="1080" w:bottom="1440" w:left="108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18D5"/>
    <w:rsid w:val="002B1D86"/>
    <w:rsid w:val="007A18D5"/>
    <w:rsid w:val="16044258"/>
    <w:rsid w:val="1C941001"/>
    <w:rsid w:val="24715887"/>
  </w:rsids>
  <w:docVars>
    <w:docVar w:name="commondata" w:val="eyJoZGlkIjoiMzIxODdiYzkyZWJiMzc1YmY5NThiYjgyMjcxMWRjMm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uiPriority="0" w:unhideWhenUsed="0" w:qFormat="1"/>
    <w:lsdException w:name="footer" w:semiHidden="0" w:uiPriority="0" w:unhideWhenUsed="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iPriority="0" w:unhideWhenUsed="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semiHidden="0" w:uiPriority="0" w:unhideWhenUsed="0" w:qFormat="1"/>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paragraph" w:styleId="Heading1">
    <w:name w:val="heading 1"/>
    <w:basedOn w:val="Normal"/>
    <w:next w:val="Normal"/>
    <w:link w:val="1"/>
    <w:autoRedefine/>
    <w:qFormat/>
    <w:pPr>
      <w:widowControl/>
      <w:spacing w:beforeAutospacing="1" w:afterAutospacing="1"/>
      <w:jc w:val="left"/>
      <w:outlineLvl w:val="0"/>
    </w:pPr>
    <w:rPr>
      <w:rFonts w:ascii="宋体" w:eastAsia="宋体" w:hAnsi="宋体" w:cs="Times New Roman" w:hint="eastAsia"/>
      <w:b/>
      <w:bCs/>
      <w:kern w:val="44"/>
      <w:sz w:val="48"/>
      <w:szCs w:val="48"/>
    </w:rPr>
  </w:style>
  <w:style w:type="paragraph" w:styleId="Heading2">
    <w:name w:val="heading 2"/>
    <w:basedOn w:val="Normal"/>
    <w:next w:val="Normal"/>
    <w:link w:val="2"/>
    <w:autoRedefine/>
    <w:semiHidden/>
    <w:unhideWhenUsed/>
    <w:qFormat/>
    <w:pPr>
      <w:widowControl/>
      <w:spacing w:beforeAutospacing="1" w:afterAutospacing="1"/>
      <w:jc w:val="left"/>
      <w:outlineLvl w:val="1"/>
    </w:pPr>
    <w:rPr>
      <w:rFonts w:ascii="宋体" w:eastAsia="宋体" w:hAnsi="宋体" w:cs="Times New Roman" w:hint="eastAsia"/>
      <w:b/>
      <w:bCs/>
      <w:kern w:val="0"/>
      <w:sz w:val="36"/>
      <w:szCs w:val="36"/>
    </w:rPr>
  </w:style>
  <w:style w:type="paragraph" w:styleId="Heading3">
    <w:name w:val="heading 3"/>
    <w:basedOn w:val="Normal"/>
    <w:next w:val="Normal"/>
    <w:link w:val="3"/>
    <w:autoRedefine/>
    <w:semiHidden/>
    <w:unhideWhenUsed/>
    <w:qFormat/>
    <w:pPr>
      <w:widowControl/>
      <w:spacing w:beforeAutospacing="1" w:afterAutospacing="1"/>
      <w:jc w:val="left"/>
      <w:outlineLvl w:val="2"/>
    </w:pPr>
    <w:rPr>
      <w:rFonts w:ascii="宋体" w:eastAsia="宋体" w:hAnsi="宋体" w:cs="Times New Roman" w:hint="eastAsia"/>
      <w:b/>
      <w:bCs/>
      <w:kern w:val="0"/>
      <w:sz w:val="27"/>
      <w:szCs w:val="27"/>
    </w:rPr>
  </w:style>
  <w:style w:type="paragraph" w:styleId="Heading4">
    <w:name w:val="heading 4"/>
    <w:basedOn w:val="Normal"/>
    <w:next w:val="Normal"/>
    <w:link w:val="4"/>
    <w:autoRedefine/>
    <w:semiHidden/>
    <w:unhideWhenUsed/>
    <w:qFormat/>
    <w:pPr>
      <w:widowControl/>
      <w:spacing w:beforeAutospacing="1" w:afterAutospacing="1"/>
      <w:jc w:val="left"/>
      <w:outlineLvl w:val="3"/>
    </w:pPr>
    <w:rPr>
      <w:rFonts w:ascii="宋体" w:eastAsia="宋体" w:hAnsi="宋体" w:cs="Times New Roman" w:hint="eastAsia"/>
      <w:b/>
      <w:bCs/>
      <w:kern w:val="0"/>
      <w:sz w:val="24"/>
      <w:szCs w:val="24"/>
    </w:rPr>
  </w:style>
  <w:style w:type="paragraph" w:styleId="Heading5">
    <w:name w:val="heading 5"/>
    <w:basedOn w:val="Normal"/>
    <w:next w:val="Normal"/>
    <w:link w:val="5"/>
    <w:semiHidden/>
    <w:unhideWhenUsed/>
    <w:qFormat/>
    <w:pPr>
      <w:widowControl/>
      <w:spacing w:beforeAutospacing="1" w:afterAutospacing="1"/>
      <w:jc w:val="left"/>
      <w:outlineLvl w:val="4"/>
    </w:pPr>
    <w:rPr>
      <w:rFonts w:ascii="宋体" w:eastAsia="宋体" w:hAnsi="宋体" w:cs="Times New Roman" w:hint="eastAsia"/>
      <w:b/>
      <w:bCs/>
      <w:kern w:val="0"/>
      <w:sz w:val="20"/>
      <w:szCs w:val="20"/>
    </w:rPr>
  </w:style>
  <w:style w:type="paragraph" w:styleId="Heading6">
    <w:name w:val="heading 6"/>
    <w:basedOn w:val="Normal"/>
    <w:next w:val="Normal"/>
    <w:link w:val="6"/>
    <w:autoRedefine/>
    <w:semiHidden/>
    <w:unhideWhenUsed/>
    <w:qFormat/>
    <w:pPr>
      <w:widowControl/>
      <w:spacing w:beforeAutospacing="1" w:afterAutospacing="1"/>
      <w:jc w:val="left"/>
      <w:outlineLvl w:val="5"/>
    </w:pPr>
    <w:rPr>
      <w:rFonts w:ascii="宋体" w:eastAsia="宋体" w:hAnsi="宋体" w:cs="Times New Roman" w:hint="eastAsia"/>
      <w:b/>
      <w:bCs/>
      <w:kern w:val="0"/>
      <w:sz w:val="15"/>
      <w:szCs w:val="15"/>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link w:val="a0"/>
    <w:autoRedefine/>
    <w:qFormat/>
    <w:pPr>
      <w:widowControl/>
      <w:tabs>
        <w:tab w:val="center" w:pos="4153"/>
        <w:tab w:val="right" w:pos="8306"/>
      </w:tabs>
      <w:snapToGrid w:val="0"/>
      <w:jc w:val="left"/>
    </w:pPr>
    <w:rPr>
      <w:rFonts w:asciiTheme="minorEastAsia" w:hAnsiTheme="minorEastAsia" w:cs="Times New Roman"/>
      <w:kern w:val="0"/>
      <w:sz w:val="18"/>
      <w:szCs w:val="18"/>
    </w:rPr>
  </w:style>
  <w:style w:type="paragraph" w:styleId="Header">
    <w:name w:val="header"/>
    <w:basedOn w:val="Normal"/>
    <w:link w:val="a"/>
    <w:autoRedefine/>
    <w:qFormat/>
    <w:pPr>
      <w:widowControl/>
      <w:tabs>
        <w:tab w:val="center" w:pos="4153"/>
        <w:tab w:val="right" w:pos="8306"/>
      </w:tabs>
      <w:snapToGrid w:val="0"/>
      <w:jc w:val="center"/>
    </w:pPr>
    <w:rPr>
      <w:rFonts w:asciiTheme="minorEastAsia" w:hAnsiTheme="minorEastAsia" w:cs="Times New Roman"/>
      <w:kern w:val="0"/>
      <w:sz w:val="18"/>
      <w:szCs w:val="18"/>
    </w:rPr>
  </w:style>
  <w:style w:type="paragraph" w:styleId="HTMLPreformatted">
    <w:name w:val="HTML Preformatted"/>
    <w:basedOn w:val="Normal"/>
    <w:link w:val="HTML"/>
    <w:autoRedefine/>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paragraph" w:styleId="NormalWeb">
    <w:name w:val="Normal (Web)"/>
    <w:basedOn w:val="Normal"/>
    <w:autoRedefine/>
    <w:qFormat/>
    <w:pPr>
      <w:widowControl/>
      <w:spacing w:beforeAutospacing="1" w:afterAutospacing="1"/>
      <w:jc w:val="left"/>
    </w:pPr>
    <w:rPr>
      <w:rFonts w:asciiTheme="minorEastAsia" w:hAnsiTheme="minorEastAsia" w:cs="Times New Roman"/>
      <w:kern w:val="0"/>
      <w:sz w:val="24"/>
      <w:szCs w:val="24"/>
    </w:rPr>
  </w:style>
  <w:style w:type="character" w:styleId="Hyperlink">
    <w:name w:val="Hyperlink"/>
    <w:basedOn w:val="DefaultParagraphFont"/>
    <w:autoRedefine/>
    <w:qFormat/>
    <w:rPr>
      <w:color w:val="0000FF"/>
      <w:u w:val="single"/>
    </w:rPr>
  </w:style>
  <w:style w:type="character" w:customStyle="1" w:styleId="1">
    <w:name w:val="标题 1 字符"/>
    <w:basedOn w:val="DefaultParagraphFont"/>
    <w:link w:val="Heading1"/>
    <w:rPr>
      <w:rFonts w:ascii="宋体" w:eastAsia="宋体" w:hAnsi="宋体" w:cs="Times New Roman"/>
      <w:b/>
      <w:bCs/>
      <w:kern w:val="44"/>
      <w:sz w:val="48"/>
      <w:szCs w:val="48"/>
    </w:rPr>
  </w:style>
  <w:style w:type="character" w:customStyle="1" w:styleId="2">
    <w:name w:val="标题 2 字符"/>
    <w:basedOn w:val="DefaultParagraphFont"/>
    <w:link w:val="Heading2"/>
    <w:autoRedefine/>
    <w:semiHidden/>
    <w:qFormat/>
    <w:rPr>
      <w:rFonts w:ascii="宋体" w:eastAsia="宋体" w:hAnsi="宋体" w:cs="Times New Roman"/>
      <w:b/>
      <w:bCs/>
      <w:kern w:val="0"/>
      <w:sz w:val="36"/>
      <w:szCs w:val="36"/>
    </w:rPr>
  </w:style>
  <w:style w:type="character" w:customStyle="1" w:styleId="3">
    <w:name w:val="标题 3 字符"/>
    <w:basedOn w:val="DefaultParagraphFont"/>
    <w:link w:val="Heading3"/>
    <w:semiHidden/>
    <w:rPr>
      <w:rFonts w:ascii="宋体" w:eastAsia="宋体" w:hAnsi="宋体" w:cs="Times New Roman"/>
      <w:b/>
      <w:bCs/>
      <w:kern w:val="0"/>
      <w:sz w:val="27"/>
      <w:szCs w:val="27"/>
    </w:rPr>
  </w:style>
  <w:style w:type="character" w:customStyle="1" w:styleId="4">
    <w:name w:val="标题 4 字符"/>
    <w:basedOn w:val="DefaultParagraphFont"/>
    <w:link w:val="Heading4"/>
    <w:semiHidden/>
    <w:rPr>
      <w:rFonts w:ascii="宋体" w:eastAsia="宋体" w:hAnsi="宋体" w:cs="Times New Roman"/>
      <w:b/>
      <w:bCs/>
      <w:kern w:val="0"/>
      <w:sz w:val="24"/>
      <w:szCs w:val="24"/>
    </w:rPr>
  </w:style>
  <w:style w:type="character" w:customStyle="1" w:styleId="5">
    <w:name w:val="标题 5 字符"/>
    <w:basedOn w:val="DefaultParagraphFont"/>
    <w:link w:val="Heading5"/>
    <w:autoRedefine/>
    <w:semiHidden/>
    <w:qFormat/>
    <w:rPr>
      <w:rFonts w:ascii="宋体" w:eastAsia="宋体" w:hAnsi="宋体" w:cs="Times New Roman"/>
      <w:b/>
      <w:bCs/>
      <w:kern w:val="0"/>
      <w:sz w:val="20"/>
      <w:szCs w:val="20"/>
    </w:rPr>
  </w:style>
  <w:style w:type="character" w:customStyle="1" w:styleId="6">
    <w:name w:val="标题 6 字符"/>
    <w:basedOn w:val="DefaultParagraphFont"/>
    <w:link w:val="Heading6"/>
    <w:autoRedefine/>
    <w:semiHidden/>
    <w:rPr>
      <w:rFonts w:ascii="宋体" w:eastAsia="宋体" w:hAnsi="宋体" w:cs="Times New Roman"/>
      <w:b/>
      <w:bCs/>
      <w:kern w:val="0"/>
      <w:sz w:val="15"/>
      <w:szCs w:val="15"/>
    </w:rPr>
  </w:style>
  <w:style w:type="character" w:customStyle="1" w:styleId="HTML">
    <w:name w:val="HTML 预设格式 字符"/>
    <w:basedOn w:val="DefaultParagraphFont"/>
    <w:link w:val="HTMLPreformatted"/>
    <w:autoRedefine/>
    <w:qFormat/>
    <w:rPr>
      <w:rFonts w:ascii="宋体" w:eastAsia="宋体" w:hAnsi="宋体" w:cs="Times New Roman"/>
      <w:kern w:val="0"/>
      <w:sz w:val="24"/>
      <w:szCs w:val="24"/>
    </w:rPr>
  </w:style>
  <w:style w:type="character" w:customStyle="1" w:styleId="a">
    <w:name w:val="页眉 字符"/>
    <w:basedOn w:val="DefaultParagraphFont"/>
    <w:link w:val="Header"/>
    <w:autoRedefine/>
    <w:qFormat/>
    <w:rPr>
      <w:rFonts w:asciiTheme="minorEastAsia" w:hAnsiTheme="minorEastAsia" w:cs="Times New Roman"/>
      <w:kern w:val="0"/>
      <w:sz w:val="18"/>
      <w:szCs w:val="18"/>
    </w:rPr>
  </w:style>
  <w:style w:type="character" w:customStyle="1" w:styleId="a0">
    <w:name w:val="页脚 字符"/>
    <w:basedOn w:val="DefaultParagraphFont"/>
    <w:link w:val="Footer"/>
    <w:autoRedefine/>
    <w:qFormat/>
    <w:rPr>
      <w:rFonts w:asciiTheme="minorEastAsia" w:hAnsiTheme="minorEastAsia"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575044343102011110"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3105</Words>
  <Characters>17700</Characters>
  <Application>Microsoft Office Word</Application>
  <DocSecurity>0</DocSecurity>
  <Lines>147</Lines>
  <Paragraphs>41</Paragraphs>
  <ScaleCrop>false</ScaleCrop>
  <Company/>
  <LinksUpToDate>false</LinksUpToDate>
  <CharactersWithSpaces>20764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江南博哥</cp:lastModifiedBy>
  <cp:revision>1</cp:revision>
  <dcterms:created xsi:type="dcterms:W3CDTF">2024-02-05T17:24:00Z</dcterms:created>
  <dcterms:modified xsi:type="dcterms:W3CDTF">2024-02-17T03:36:30Z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0050E89AF9D94F9881EF131B98D637CB_13</vt:lpwstr>
  </property>
  <property fmtid="{D5CDD505-2E9C-101B-9397-08002B2CF9AE}" pid="3" name="KSOProductBuildVer">
    <vt:lpwstr>2052-12.1.0.16250</vt:lpwstr>
  </property>
</Properties>
</file>