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40B1" w:rsidRPr="00E42818" w:rsidP="001C40B1">
      <w:pPr>
        <w:spacing w:before="936" w:beforeLines="300" w:after="624" w:afterLines="200" w:line="360" w:lineRule="auto"/>
        <w:jc w:val="center"/>
        <w:rPr>
          <w:rFonts w:ascii="Times New Roman" w:eastAsia="华文中宋" w:hAnsi="Times New Roman"/>
          <w:b/>
          <w:sz w:val="44"/>
          <w:szCs w:val="36"/>
        </w:rPr>
      </w:pPr>
      <w:r w:rsidRPr="00E42818">
        <w:rPr>
          <w:rFonts w:ascii="Times New Roman" w:eastAsia="华文中宋" w:hAnsi="Times New Roman"/>
          <w:b/>
          <w:sz w:val="44"/>
          <w:szCs w:val="36"/>
        </w:rPr>
        <w:t>摘</w:t>
      </w:r>
      <w:r w:rsidRPr="00E42818">
        <w:rPr>
          <w:rFonts w:ascii="Times New Roman" w:eastAsia="华文中宋" w:hAnsi="Times New Roman"/>
          <w:b/>
          <w:sz w:val="44"/>
          <w:szCs w:val="36"/>
        </w:rPr>
        <w:t xml:space="preserve">  </w:t>
      </w:r>
      <w:r w:rsidRPr="00E42818">
        <w:rPr>
          <w:rFonts w:ascii="Times New Roman" w:eastAsia="华文中宋" w:hAnsi="Times New Roman"/>
          <w:b/>
          <w:sz w:val="44"/>
          <w:szCs w:val="36"/>
        </w:rPr>
        <w:t>要</w:t>
      </w:r>
    </w:p>
    <w:p w:rsidR="001C40B1" w:rsidRPr="00A17F8B" w:rsidP="001C40B1">
      <w:pPr>
        <w:snapToGrid w:val="0"/>
        <w:spacing w:line="360" w:lineRule="auto"/>
        <w:ind w:firstLine="420" w:firstLineChars="200"/>
        <w:rPr>
          <w:rFonts w:eastAsiaTheme="minorEastAsia"/>
          <w:b/>
          <w:sz w:val="24"/>
        </w:rPr>
      </w:pP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2018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年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3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月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26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日，中国原</m:t>
        </m:r>
      </m:oMath>
      <w:r w:rsidRPr="00E42818">
        <w:rPr>
          <w:rFonts w:ascii="Times New Roman" w:hAnsi="Times New Roman" w:eastAsiaTheme="minorEastAsia"/>
          <w:b/>
          <w:sz w:val="24"/>
        </w:rPr>
        <w:t>油期货</w:t>
      </w:r>
      <w:r>
        <w:rPr>
          <w:rFonts w:ascii="Times New Roman" w:hAnsi="Times New Roman" w:eastAsiaTheme="minorEastAsia"/>
          <w:b/>
          <w:sz w:val="24"/>
        </w:rPr>
        <w:t>正式挂牌交易，</w:t>
      </w:r>
      <w:r>
        <w:rPr>
          <w:rFonts w:ascii="Times New Roman" w:hAnsi="Times New Roman" w:eastAsiaTheme="minorEastAsia" w:hint="eastAsia"/>
          <w:b/>
          <w:sz w:val="24"/>
        </w:rPr>
        <w:t>开辟</w:t>
      </w:r>
      <w:r w:rsidRPr="00E42818">
        <w:rPr>
          <w:rFonts w:ascii="Times New Roman" w:hAnsi="Times New Roman" w:eastAsiaTheme="minorEastAsia"/>
          <w:b/>
          <w:sz w:val="24"/>
        </w:rPr>
        <w:t>了我国本土的原油期货市场。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为探究这一新兴市场的运行状况，本文主要利用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Johansen</m:t>
        </m:r>
      </m:oMath>
      <w:r w:rsidRPr="00A17F8B">
        <w:rPr>
          <w:rFonts w:ascii="Times New Roman" w:hAnsi="Times New Roman" w:eastAsiaTheme="minorEastAsia"/>
          <w:b/>
          <w:sz w:val="24"/>
        </w:rPr>
        <w:t>协整检验</w:t>
      </w:r>
      <w:r w:rsidRPr="00A17F8B">
        <w:rPr>
          <w:rFonts w:ascii="Times New Roman" w:hAnsi="Times New Roman" w:eastAsiaTheme="minorEastAsia" w:hint="eastAsia"/>
          <w:b/>
          <w:sz w:val="24"/>
        </w:rPr>
        <w:t>、格兰杰</w:t>
      </w:r>
      <m:oMath>
        <m:r>
          <m:rPr>
            <m:nor/>
          </m:rPr>
          <w:rPr>
            <w:rFonts w:ascii="Cambria Math" w:hAnsi="Cambria Math" w:eastAsiaTheme="minorEastAsia"/>
            <w:b/>
            <w:sz w:val="24"/>
          </w:rPr>
          <m:t>因果检验</m:t>
        </m:r>
      </m:oMath>
      <w:r w:rsidRPr="00A17F8B">
        <w:rPr>
          <w:rFonts w:ascii="Times New Roman" w:hAnsi="Times New Roman" w:eastAsiaTheme="minorEastAsia"/>
          <w:b/>
          <w:sz w:val="24"/>
        </w:rPr>
        <w:t>对</w:t>
      </w:r>
      <w:r w:rsidRPr="00A17F8B">
        <w:rPr>
          <w:rFonts w:ascii="Times New Roman" w:hAnsi="Times New Roman" w:eastAsiaTheme="minorEastAsia" w:hint="eastAsia"/>
          <w:b/>
          <w:sz w:val="24"/>
        </w:rPr>
        <w:t>中国</w:t>
      </w:r>
      <w:r w:rsidRPr="00A17F8B">
        <w:rPr>
          <w:rFonts w:ascii="Times New Roman" w:hAnsi="Times New Roman" w:eastAsiaTheme="minorEastAsia"/>
          <w:b/>
          <w:sz w:val="24"/>
        </w:rPr>
        <w:t>原油</w:t>
      </w:r>
      <w:bookmarkStart w:id="0" w:name="_GoBack"/>
      <w:bookmarkEnd w:id="0"/>
      <w:r w:rsidRPr="00A17F8B">
        <w:rPr>
          <w:rFonts w:ascii="Times New Roman" w:hAnsi="Times New Roman" w:eastAsiaTheme="minorEastAsia"/>
          <w:b/>
          <w:sz w:val="24"/>
        </w:rPr>
        <w:t>期货的</w:t>
      </w:r>
      <m:oMath>
        <m:r>
          <m:rPr>
            <m:nor/>
          </m:rPr>
          <w:rPr>
            <w:rFonts w:ascii="Cambria Math" w:hAnsi="Cambria Math" w:eastAsiaTheme="minorEastAsia"/>
            <w:b/>
            <w:sz w:val="24"/>
          </w:rPr>
          <m:t>价格发现功能</m:t>
        </m:r>
      </m:oMath>
      <w:r w:rsidRPr="00A17F8B">
        <w:rPr>
          <w:rFonts w:ascii="Times New Roman" w:hAnsi="Times New Roman" w:eastAsiaTheme="minorEastAsia"/>
          <w:b/>
          <w:sz w:val="24"/>
        </w:rPr>
        <w:t>进行</w:t>
      </w:r>
      <w:r w:rsidRPr="00A17F8B">
        <w:rPr>
          <w:rFonts w:ascii="Times New Roman" w:hAnsi="Times New Roman" w:eastAsiaTheme="minorEastAsia" w:hint="eastAsia"/>
          <w:b/>
          <w:sz w:val="24"/>
        </w:rPr>
        <w:t>研究</w:t>
      </w:r>
      <w:r w:rsidRPr="00A17F8B">
        <w:rPr>
          <w:rFonts w:ascii="Times New Roman" w:hAnsi="Times New Roman" w:eastAsiaTheme="minorEastAsia"/>
          <w:b/>
          <w:sz w:val="24"/>
        </w:rPr>
        <w:t>。</w:t>
      </w:r>
      <w:r w:rsidRPr="00A17F8B">
        <w:rPr>
          <w:rFonts w:eastAsiaTheme="minorEastAsia" w:hint="eastAsia"/>
          <w:b/>
          <w:sz w:val="24"/>
        </w:rPr>
        <w:t>通过对</w:t>
      </w:r>
      <w:r w:rsidRPr="00A17F8B">
        <w:rPr>
          <w:rFonts w:ascii="Times New Roman" w:hAnsi="Times New Roman" w:eastAsiaTheme="minorEastAsia" w:hint="eastAsia"/>
          <w:b/>
          <w:sz w:val="24"/>
        </w:rPr>
        <w:t>中国</w:t>
      </w:r>
      <w:r w:rsidRPr="00A17F8B">
        <w:rPr>
          <w:rFonts w:ascii="Times New Roman" w:hAnsi="Times New Roman" w:eastAsiaTheme="minorEastAsia"/>
          <w:b/>
          <w:sz w:val="24"/>
        </w:rPr>
        <w:t>原油期货、</w:t>
      </w:r>
      <w:r w:rsidRPr="00A17F8B">
        <w:rPr>
          <w:rFonts w:ascii="Times New Roman" w:hAnsi="Times New Roman" w:eastAsiaTheme="minorEastAsia"/>
          <w:b/>
          <w:sz w:val="24"/>
        </w:rPr>
        <w:t>IPE</w:t>
      </w:r>
      <m:oMath>
        <m:r>
          <m:rPr>
            <m:sty m:val="b"/>
          </m:rPr>
          <w:rPr>
            <w:rFonts w:ascii="Cambria Math" w:hAnsi="Cambria Math" w:eastAsiaTheme="minorEastAsia"/>
            <w:sz w:val="24"/>
          </w:rPr>
          <m:t>布伦特原油期货</m:t>
        </m:r>
        <m:r>
          <m:rPr>
            <m:sty m:val="b"/>
          </m:rPr>
          <w:rPr>
            <w:rFonts w:ascii="Cambria Math" w:hAnsi="Cambria Math" w:eastAsiaTheme="minorEastAsia" w:hint="eastAsia"/>
            <w:sz w:val="24"/>
          </w:rPr>
          <m:t>、</m:t>
        </m:r>
        <m:r>
          <m:rPr>
            <m:sty m:val="b"/>
          </m:rPr>
          <w:rPr>
            <w:rFonts w:ascii="Cambria Math" w:hAnsi="Cambria Math" w:eastAsiaTheme="minorEastAsia"/>
            <w:sz w:val="24"/>
          </w:rPr>
          <m:t>WTI</m:t>
        </m:r>
        <m:r>
          <m:rPr>
            <m:sty m:val="b"/>
          </m:rPr>
          <w:rPr>
            <w:rFonts w:ascii="Cambria Math" w:hAnsi="Cambria Math" w:eastAsiaTheme="minorEastAsia"/>
            <w:sz w:val="24"/>
          </w:rPr>
          <m:t>原油期货和中国大庆原油现货</m:t>
        </m:r>
        <m:r>
          <m:rPr>
            <m:sty m:val="b"/>
          </m:rPr>
          <w:rPr>
            <w:rFonts w:ascii="Cambria Math" w:hAnsi="Cambria Math" w:eastAsiaTheme="minorEastAsia" w:hint="eastAsia"/>
            <w:sz w:val="24"/>
          </w:rPr>
          <m:t>的收盘价进行检验</m:t>
        </m:r>
      </m:oMath>
      <w:r w:rsidRPr="00A17F8B">
        <w:rPr>
          <w:rFonts w:eastAsiaTheme="minorEastAsia" w:hint="eastAsia"/>
          <w:b/>
          <w:sz w:val="24"/>
        </w:rPr>
        <w:t>，可发现</w:t>
      </w:r>
      <w:r w:rsidRPr="00A17F8B">
        <w:rPr>
          <w:rFonts w:ascii="Times New Roman" w:hAnsi="Times New Roman" w:eastAsiaTheme="minorEastAsia"/>
          <w:b/>
          <w:sz w:val="24"/>
        </w:rPr>
        <w:t>：</w:t>
      </w:r>
      <w:r w:rsidRPr="00A17F8B">
        <w:rPr>
          <w:rFonts w:ascii="Times New Roman" w:hAnsi="Times New Roman" w:eastAsiaTheme="minorEastAsia" w:hint="eastAsia"/>
          <w:b/>
          <w:sz w:val="24"/>
        </w:rPr>
        <w:t>现阶段</w:t>
      </w:r>
      <w:r w:rsidRPr="00A17F8B">
        <w:rPr>
          <w:rFonts w:eastAsiaTheme="minorEastAsia" w:hint="eastAsia"/>
          <w:b/>
          <w:sz w:val="24"/>
        </w:rPr>
        <w:t>，</w:t>
      </w:r>
      <w:r w:rsidRPr="00A17F8B">
        <w:rPr>
          <w:rFonts w:ascii="Times New Roman" w:hAnsi="Times New Roman" w:eastAsiaTheme="minorEastAsia" w:hint="eastAsia"/>
          <w:b/>
          <w:sz w:val="24"/>
        </w:rPr>
        <w:t>中国</w:t>
      </w:r>
      <w:r w:rsidRPr="00A17F8B">
        <w:rPr>
          <w:rFonts w:ascii="Times New Roman" w:hAnsi="Times New Roman" w:eastAsiaTheme="minorEastAsia"/>
          <w:b/>
          <w:sz w:val="24"/>
        </w:rPr>
        <w:t>原油期货</w:t>
      </w:r>
      <w:r w:rsidRPr="00A17F8B">
        <w:rPr>
          <w:rFonts w:eastAsiaTheme="minorEastAsia"/>
          <w:b/>
          <w:sz w:val="24"/>
        </w:rPr>
        <w:t>和两大国际原油期货</w:t>
      </w:r>
      <w:r w:rsidRPr="00A17F8B">
        <w:rPr>
          <w:rFonts w:ascii="Times New Roman" w:hAnsi="Times New Roman" w:eastAsiaTheme="minorEastAsia"/>
          <w:b/>
          <w:sz w:val="24"/>
        </w:rPr>
        <w:t>及大庆原油现货价格</w:t>
      </w:r>
      <w:r w:rsidRPr="00A17F8B">
        <w:rPr>
          <w:rFonts w:ascii="Times New Roman" w:hAnsi="Times New Roman" w:eastAsiaTheme="minorEastAsia" w:hint="eastAsia"/>
          <w:b/>
          <w:sz w:val="24"/>
        </w:rPr>
        <w:t>之间</w:t>
      </w:r>
      <w:r w:rsidRPr="00A17F8B">
        <w:rPr>
          <w:rFonts w:eastAsiaTheme="minorEastAsia" w:hint="eastAsia"/>
          <w:b/>
          <w:sz w:val="24"/>
        </w:rPr>
        <w:t>高度相关，且</w:t>
      </w:r>
      <m:oMath>
        <m:r>
          <m:rPr>
            <m:nor/>
          </m:rPr>
          <w:rPr>
            <w:rFonts w:ascii="Cambria Math" w:hAnsi="Cambria Math" w:eastAsiaTheme="minorEastAsia"/>
            <w:b/>
            <w:sz w:val="24"/>
          </w:rPr>
          <m:t>存在协整关系</m:t>
        </m:r>
      </m:oMath>
      <w:r w:rsidRPr="00A17F8B">
        <w:rPr>
          <w:rFonts w:eastAsiaTheme="minorEastAsia" w:hint="eastAsia"/>
          <w:b/>
          <w:sz w:val="24"/>
        </w:rPr>
        <w:t>。但是，</w:t>
      </w:r>
      <w:r w:rsidRPr="00A17F8B">
        <w:rPr>
          <w:rFonts w:ascii="Times New Roman" w:hAnsi="Times New Roman" w:eastAsiaTheme="minorEastAsia"/>
          <w:b/>
          <w:sz w:val="24"/>
        </w:rPr>
        <w:t>目前中国原油期货还不能对大庆原油现货</w:t>
      </w:r>
      <w:r w:rsidRPr="00A17F8B">
        <w:rPr>
          <w:rFonts w:ascii="Times New Roman" w:hAnsi="Times New Roman" w:eastAsiaTheme="minorEastAsia" w:hint="eastAsia"/>
          <w:b/>
          <w:sz w:val="24"/>
        </w:rPr>
        <w:t>和</w:t>
      </w:r>
      <w:r w:rsidRPr="00A17F8B">
        <w:rPr>
          <w:rFonts w:ascii="Times New Roman" w:hAnsi="Times New Roman" w:eastAsiaTheme="minorEastAsia"/>
          <w:b/>
          <w:sz w:val="24"/>
        </w:rPr>
        <w:t>两大国际原油期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货产生引导作用，而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WTI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、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IPE</m:t>
        </m:r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布伦特原油期货价格对</m:t>
        </m:r>
      </m:oMath>
      <w:r w:rsidRPr="00A17F8B">
        <w:rPr>
          <w:rFonts w:eastAsiaTheme="minorEastAsia" w:hint="eastAsia"/>
          <w:b/>
          <w:sz w:val="24"/>
        </w:rPr>
        <w:t>大庆原油现货具备引导作用</w:t>
      </w:r>
      <w:r w:rsidRPr="00A17F8B">
        <w:rPr>
          <w:rFonts w:ascii="Times New Roman" w:hAnsi="Times New Roman" w:eastAsiaTheme="minorEastAsia" w:hint="eastAsia"/>
          <w:b/>
          <w:sz w:val="24"/>
        </w:rPr>
        <w:t>。</w:t>
      </w:r>
      <w:r w:rsidRPr="00A17F8B">
        <w:rPr>
          <w:rFonts w:eastAsiaTheme="minorEastAsia" w:hint="eastAsia"/>
          <w:b/>
          <w:sz w:val="24"/>
        </w:rPr>
        <w:t>综合来看，</w:t>
      </w:r>
      <w:r w:rsidRPr="00A17F8B">
        <w:rPr>
          <w:rFonts w:ascii="Times New Roman" w:hAnsi="Times New Roman" w:eastAsiaTheme="minorEastAsia"/>
          <w:b/>
          <w:sz w:val="24"/>
        </w:rPr>
        <w:t>中国原油期货</w:t>
      </w:r>
      <m:oMath>
        <m:r>
          <m:rPr>
            <m:nor/>
          </m:rPr>
          <w:rPr>
            <w:rFonts w:ascii="Cambria Math" w:hAnsi="Cambria Math" w:eastAsiaTheme="minorEastAsia"/>
            <w:b/>
            <w:sz w:val="24"/>
          </w:rPr>
          <m:t>对国内原油现货的价格发现功能较弱</m:t>
        </m:r>
      </m:oMath>
      <w:r w:rsidRPr="00A17F8B">
        <w:rPr>
          <w:rFonts w:ascii="Times New Roman" w:hAnsi="Times New Roman" w:eastAsiaTheme="minorEastAsia"/>
          <w:b/>
          <w:sz w:val="24"/>
        </w:rPr>
        <w:t>，上海原油期货市场的有效性</w:t>
      </w:r>
      <w:r w:rsidRPr="00A17F8B">
        <w:rPr>
          <w:rFonts w:eastAsiaTheme="minorEastAsia" w:hint="eastAsia"/>
          <w:b/>
          <w:sz w:val="24"/>
        </w:rPr>
        <w:t>相对</w:t>
      </w:r>
      <w:r w:rsidRPr="00A17F8B">
        <w:rPr>
          <w:rFonts w:ascii="Times New Roman" w:hAnsi="Times New Roman" w:eastAsiaTheme="minorEastAsia"/>
          <w:b/>
          <w:sz w:val="24"/>
        </w:rPr>
        <w:t>较低。最后本文对</w:t>
      </w:r>
      <w:r w:rsidRPr="00A17F8B">
        <w:rPr>
          <w:rFonts w:eastAsiaTheme="minorEastAsia" w:hint="eastAsia"/>
          <w:b/>
          <w:sz w:val="24"/>
        </w:rPr>
        <w:t>这种状况进行探讨并给出建议。</w:t>
      </w:r>
    </w:p>
    <w:p w:rsidR="001C40B1" w:rsidRPr="00E42818" w:rsidP="001C40B1">
      <w:pPr>
        <w:snapToGrid w:val="0"/>
        <w:spacing w:line="360" w:lineRule="auto"/>
        <w:rPr>
          <w:rFonts w:ascii="Times New Roman" w:hAnsi="Times New Roman" w:eastAsiaTheme="minorEastAsia"/>
          <w:b/>
          <w:sz w:val="24"/>
        </w:rPr>
      </w:pPr>
      <w:r w:rsidRPr="00E42818">
        <w:rPr>
          <w:rFonts w:ascii="Times New Roman" w:hAnsi="Times New Roman" w:eastAsiaTheme="minorEastAsia"/>
          <w:b/>
          <w:sz w:val="24"/>
        </w:rPr>
        <w:t>关键词：中国原油期货；价格发现；</w:t>
      </w:r>
      <w:r w:rsidRPr="00E42818">
        <w:rPr>
          <w:rFonts w:ascii="Times New Roman" w:hAnsi="Times New Roman" w:eastAsiaTheme="minorEastAsia"/>
          <w:b/>
          <w:sz w:val="24"/>
        </w:rPr>
        <w:t>Johansen</w:t>
      </w:r>
      <w:r w:rsidRPr="00E42818">
        <w:rPr>
          <w:rFonts w:ascii="Times New Roman" w:hAnsi="Times New Roman" w:eastAsiaTheme="minorEastAsia"/>
          <w:b/>
          <w:sz w:val="24"/>
        </w:rPr>
        <w:t>协整检验</w:t>
      </w: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F7EE7" w:rsidP="001C40B1">
      <w:pPr>
        <w:widowControl/>
        <w:jc w:val="left"/>
        <w:rPr>
          <w:rFonts w:ascii="Times New Roman" w:eastAsia="仿宋_GB2312" w:hAnsi="Times New Roman"/>
        </w:rPr>
        <w:sectPr w:rsidSect="001C40B1">
          <w:footerReference w:type="default" r:id="rId4"/>
          <w:pgSz w:w="11906" w:h="16838"/>
          <w:pgMar w:top="1701" w:right="1701" w:bottom="1701" w:left="1701" w:header="851" w:footer="992" w:gutter="0"/>
          <w:cols w:space="425"/>
          <w:docGrid w:type="lines" w:linePitch="312"/>
        </w:sectPr>
      </w:pPr>
    </w:p>
    <w:p w:rsidR="001C40B1" w:rsidRPr="00E42818" w:rsidP="001C40B1">
      <w:pPr>
        <w:widowControl/>
        <w:jc w:val="left"/>
        <w:rPr>
          <w:rFonts w:ascii="Times New Roman" w:eastAsia="仿宋_GB2312" w:hAnsi="Times New Roman"/>
        </w:rPr>
      </w:pPr>
    </w:p>
    <w:p w:rsidR="001C40B1" w:rsidRPr="00E42818" w:rsidP="001C40B1">
      <w:pPr>
        <w:spacing w:before="936" w:beforeLines="300" w:after="624" w:afterLines="200" w:line="360" w:lineRule="auto"/>
        <w:jc w:val="center"/>
        <w:rPr>
          <w:rFonts w:ascii="Times New Roman" w:eastAsia="华文中宋" w:hAnsi="Times New Roman"/>
          <w:b/>
          <w:sz w:val="44"/>
          <w:szCs w:val="36"/>
        </w:rPr>
      </w:pPr>
      <w:r w:rsidRPr="00E42818">
        <w:rPr>
          <w:rFonts w:ascii="Times New Roman" w:eastAsia="华文中宋" w:hAnsi="Times New Roman"/>
          <w:b/>
          <w:sz w:val="44"/>
          <w:szCs w:val="36"/>
        </w:rPr>
        <w:t>Abstract</w:t>
      </w:r>
    </w:p>
    <w:p w:rsidR="001C40B1" w:rsidRPr="00E42818" w:rsidP="001C40B1">
      <w:pPr>
        <w:widowControl/>
        <w:snapToGrid w:val="0"/>
        <w:spacing w:line="360" w:lineRule="auto"/>
        <w:ind w:firstLine="480" w:firstLineChars="200"/>
        <w:jc w:val="left"/>
        <w:rPr>
          <w:rFonts w:ascii="Times New Roman" w:hAnsi="Times New Roman" w:eastAsiaTheme="minorEastAsia"/>
          <w:b/>
          <w:sz w:val="24"/>
        </w:rPr>
      </w:pPr>
      <w:r w:rsidRPr="000D65C4">
        <w:rPr>
          <w:rFonts w:ascii="Times New Roman" w:hAnsi="Times New Roman" w:eastAsiaTheme="minorEastAsia"/>
          <w:b/>
          <w:sz w:val="24"/>
        </w:rPr>
        <w:t xml:space="preserve">On March 26, 2018, China's crude oil futures were formally </w:t>
      </w:r>
      <w:r>
        <w:rPr>
          <w:rFonts w:ascii="Times New Roman" w:hAnsi="Times New Roman" w:eastAsiaTheme="minorEastAsia" w:hint="eastAsia"/>
          <w:b/>
          <w:sz w:val="24"/>
        </w:rPr>
        <w:t>issu</w:t>
      </w:r>
      <w:r w:rsidRPr="00E42818">
        <w:rPr>
          <w:rFonts w:ascii="Times New Roman" w:hAnsi="Times New Roman" w:eastAsiaTheme="minorEastAsia"/>
          <w:b/>
          <w:sz w:val="24"/>
        </w:rPr>
        <w:t>ed</w:t>
      </w:r>
      <w:r w:rsidRPr="000D65C4">
        <w:rPr>
          <w:rFonts w:ascii="Times New Roman" w:hAnsi="Times New Roman" w:eastAsiaTheme="minorEastAsia"/>
          <w:b/>
          <w:sz w:val="24"/>
        </w:rPr>
        <w:t xml:space="preserve">, opening up China's domestic crude oil futures market. In order to explore the operation of this emerging market, this paper mainly uses the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Johansen cointegration test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and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 xml:space="preserve"> Granger causality test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to investigate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the price discovery function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of Chinese crude oil futures. By examining the closing prices of China Crude Oil Futures, IPE Brent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Crude Oil Futures, WTI Crude Oil Futures and China Daqing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Crude Oil Spot, we can find that </w:t>
      </w:r>
      <w:r w:rsidRPr="000D65C4">
        <w:rPr>
          <w:rFonts w:ascii="Times New Roman" w:hAnsi="Times New Roman" w:eastAsiaTheme="minorEastAsia" w:hint="eastAsia"/>
          <w:b/>
          <w:sz w:val="24"/>
        </w:rPr>
        <w:t>a</w:t>
      </w:r>
      <w:r w:rsidRPr="000D65C4">
        <w:rPr>
          <w:rFonts w:ascii="Times New Roman" w:hAnsi="Times New Roman" w:eastAsiaTheme="minorEastAsia"/>
          <w:b/>
          <w:sz w:val="24"/>
        </w:rPr>
        <w:t>t this stage,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 xml:space="preserve"> China's crude oil futures are highly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correlated with the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two international crude oil futures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and the spot price of </w:t>
      </w:r>
      <m:oMath>
        <m:r>
          <m:rPr>
            <m:sty m:val="b"/>
          </m:rPr>
          <w:rPr>
            <w:rFonts w:ascii="Cambria Math" w:hAnsi="Cambria Math" w:eastAsiaTheme="minorEastAsia"/>
            <w:sz w:val="24"/>
          </w:rPr>
          <m:t>Daqing crude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oil, and there is a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co-integration relationship.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However, at present, China crude oil futures cannot guide Daqing crude oil spot and the two major international crude oil futures, while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 xml:space="preserve"> WTI and IPE Brent crude oil futures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prices have a guiding role in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Daqing crude oil spot</m:t>
        </m:r>
      </m:oMath>
      <w:r w:rsidRPr="000D65C4">
        <w:rPr>
          <w:rFonts w:ascii="Times New Roman" w:hAnsi="Times New Roman" w:eastAsiaTheme="minorEastAsia"/>
          <w:b/>
          <w:sz w:val="24"/>
        </w:rPr>
        <w:t>. Taken together, Chinese crude oil futures have a weaker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 xml:space="preserve"> price discovery function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for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domestic crude oil spot prices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, and the </w:t>
      </w:r>
      <m:oMath>
        <m:r>
          <m:rPr>
            <m:nor/>
          </m:rPr>
          <w:rPr>
            <w:rFonts w:ascii="Times New Roman" w:hAnsi="Times New Roman" w:eastAsiaTheme="minorEastAsia"/>
            <w:b/>
            <w:sz w:val="24"/>
          </w:rPr>
          <m:t>Shanghai crude oil futures</m:t>
        </m:r>
      </m:oMath>
      <w:r w:rsidRPr="000D65C4">
        <w:rPr>
          <w:rFonts w:ascii="Times New Roman" w:hAnsi="Times New Roman" w:eastAsiaTheme="minorEastAsia"/>
          <w:b/>
          <w:sz w:val="24"/>
        </w:rPr>
        <w:t xml:space="preserve"> market is relatively ineffective. Finally, this article discusses this situation and gives </w:t>
      </w:r>
      <w:r w:rsidRPr="000D65C4">
        <w:rPr>
          <w:rFonts w:ascii="Times New Roman" w:hAnsi="Times New Roman" w:eastAsiaTheme="minorEastAsia" w:hint="eastAsia"/>
          <w:b/>
          <w:sz w:val="24"/>
        </w:rPr>
        <w:t>some</w:t>
      </w:r>
      <w:r w:rsidRPr="000D65C4">
        <w:rPr>
          <w:rFonts w:ascii="Times New Roman" w:hAnsi="Times New Roman" w:eastAsiaTheme="minorEastAsia"/>
          <w:b/>
          <w:sz w:val="24"/>
        </w:rPr>
        <w:t xml:space="preserve"> </w:t>
      </w:r>
      <w:r w:rsidRPr="000D65C4">
        <w:rPr>
          <w:rFonts w:ascii="Times New Roman" w:hAnsi="Times New Roman" w:eastAsiaTheme="minorEastAsia" w:hint="eastAsia"/>
          <w:b/>
          <w:sz w:val="24"/>
        </w:rPr>
        <w:t>possible</w:t>
      </w:r>
      <w:r w:rsidRPr="000D65C4">
        <w:rPr>
          <w:rFonts w:ascii="Times New Roman" w:hAnsi="Times New Roman" w:eastAsiaTheme="minorEastAsia"/>
          <w:b/>
          <w:sz w:val="24"/>
        </w:rPr>
        <w:t xml:space="preserve"> suggestions.</w:t>
      </w:r>
    </w:p>
    <w:p w:rsidR="001C40B1" w:rsidRPr="00E42818" w:rsidP="001C40B1">
      <w:pPr>
        <w:widowControl/>
        <w:snapToGrid w:val="0"/>
        <w:spacing w:line="360" w:lineRule="auto"/>
        <w:jc w:val="left"/>
        <w:rPr>
          <w:rFonts w:ascii="Times New Roman" w:hAnsi="Times New Roman" w:eastAsiaTheme="minorEastAsia"/>
          <w:b/>
          <w:sz w:val="24"/>
        </w:rPr>
      </w:pPr>
      <w:r w:rsidRPr="00E42818">
        <w:rPr>
          <w:rFonts w:ascii="Times New Roman" w:hAnsi="Times New Roman" w:eastAsiaTheme="minorEastAsia"/>
          <w:b/>
          <w:sz w:val="24"/>
        </w:rPr>
        <w:t>Keywords: China crude oil futures; price discovery; Johansen cointegration test</w:t>
      </w:r>
    </w:p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/>
    <w:p w:rsidR="001C40B1" w:rsidP="001C40B1"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https://d.book118.com/576113201232010044</w:t>
        </w:r>
      </w:hyperlink>
    </w:p>
    <w:p w:rsidR="001C40B1" w:rsidP="001C40B1"/>
    <w:sectPr w:rsidSect="001F7EE7">
      <w:footerReference w:type="default" r:id="rId6"/>
      <w:pgSz w:w="11906" w:h="16838"/>
      <w:pgMar w:top="1701" w:right="1701" w:bottom="1701" w:left="1701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078197629"/>
      <w:docPartObj>
        <w:docPartGallery w:val="Page Numbers (Bottom of Page)"/>
        <w:docPartUnique/>
      </w:docPartObj>
    </w:sdtPr>
    <w:sdtContent>
      <w:p w:rsidR="001F7EE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02A77" w:rsidR="00A02A77">
          <w:rPr>
            <w:noProof/>
            <w:lang w:val="zh-CN"/>
          </w:rPr>
          <w:t>1</w:t>
        </w:r>
        <w:r>
          <w:fldChar w:fldCharType="end"/>
        </w:r>
      </w:p>
    </w:sdtContent>
  </w:sdt>
  <w:p w:rsidR="001F7E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883711813"/>
      <w:docPartObj>
        <w:docPartGallery w:val="Page Numbers (Bottom of Page)"/>
        <w:docPartUnique/>
      </w:docPartObj>
    </w:sdtPr>
    <w:sdtContent>
      <w:p w:rsidR="00146F2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46F2B">
          <w:rPr>
            <w:noProof/>
            <w:lang w:val="zh-CN"/>
          </w:rPr>
          <w:t>1</w:t>
        </w:r>
        <w:r>
          <w:fldChar w:fldCharType="end"/>
        </w:r>
      </w:p>
    </w:sdtContent>
  </w:sdt>
  <w:p w:rsidR="001F7EE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092504E"/>
    <w:multiLevelType w:val="hybridMultilevel"/>
    <w:tmpl w:val="FF18D83E"/>
    <w:lvl w:ilvl="0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0B1"/>
    <w:rsid w:val="00050454"/>
    <w:rsid w:val="000D65C4"/>
    <w:rsid w:val="00146F2B"/>
    <w:rsid w:val="001740F7"/>
    <w:rsid w:val="00190AE6"/>
    <w:rsid w:val="001C40B1"/>
    <w:rsid w:val="001D7081"/>
    <w:rsid w:val="001F7EE7"/>
    <w:rsid w:val="0029778F"/>
    <w:rsid w:val="002B4AFA"/>
    <w:rsid w:val="004F4D8C"/>
    <w:rsid w:val="00801F5F"/>
    <w:rsid w:val="00A02A77"/>
    <w:rsid w:val="00A1439C"/>
    <w:rsid w:val="00A17F8B"/>
    <w:rsid w:val="00C67D91"/>
    <w:rsid w:val="00D30D1F"/>
    <w:rsid w:val="00E135B7"/>
    <w:rsid w:val="00E428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44946F"/>
  <w15:chartTrackingRefBased/>
  <w15:docId w15:val="{FE6E90B3-F213-4FBA-AD3D-103C51E3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0B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Heading1">
    <w:name w:val="heading 1"/>
    <w:basedOn w:val="Normal"/>
    <w:next w:val="Normal"/>
    <w:link w:val="1"/>
    <w:qFormat/>
    <w:rsid w:val="001C40B1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40B1"/>
    <w:pPr>
      <w:keepNext/>
      <w:keepLines/>
      <w:spacing w:before="260" w:after="260" w:line="415" w:lineRule="auto"/>
      <w:jc w:val="left"/>
      <w:outlineLvl w:val="1"/>
    </w:pPr>
    <w:rPr>
      <w:rFonts w:ascii="Times New Roman" w:hAnsi="Times New Roman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1C40B1"/>
    <w:pPr>
      <w:keepNext/>
      <w:keepLines/>
      <w:spacing w:before="260" w:after="260" w:line="415" w:lineRule="auto"/>
      <w:jc w:val="left"/>
      <w:outlineLvl w:val="2"/>
    </w:pPr>
    <w:rPr>
      <w:rFonts w:ascii="Times New Roman" w:hAnsi="Times New Roman" w:cstheme="minorBidi"/>
      <w:b/>
      <w:bCs/>
      <w:sz w:val="30"/>
      <w:szCs w:val="32"/>
    </w:rPr>
  </w:style>
  <w:style w:type="paragraph" w:styleId="Heading4">
    <w:name w:val="heading 4"/>
    <w:basedOn w:val="Normal"/>
    <w:next w:val="Normal"/>
    <w:link w:val="4"/>
    <w:uiPriority w:val="9"/>
    <w:unhideWhenUsed/>
    <w:qFormat/>
    <w:rsid w:val="001C40B1"/>
    <w:pPr>
      <w:keepNext/>
      <w:keepLines/>
      <w:spacing w:before="280" w:after="290" w:line="377" w:lineRule="auto"/>
      <w:jc w:val="left"/>
      <w:outlineLvl w:val="3"/>
    </w:pPr>
    <w:rPr>
      <w:rFonts w:ascii="Times New Roman" w:hAnsi="Times New Roman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rsid w:val="001C40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40B1"/>
    <w:rPr>
      <w:rFonts w:cstheme="majorBidi"/>
      <w:b/>
      <w:bCs/>
      <w:kern w:val="2"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1C40B1"/>
    <w:rPr>
      <w:rFonts w:cstheme="minorBidi"/>
      <w:b/>
      <w:bCs/>
      <w:kern w:val="2"/>
      <w:sz w:val="30"/>
      <w:szCs w:val="32"/>
    </w:rPr>
  </w:style>
  <w:style w:type="character" w:customStyle="1" w:styleId="4">
    <w:name w:val="标题 4 字符"/>
    <w:basedOn w:val="DefaultParagraphFont"/>
    <w:link w:val="Heading4"/>
    <w:uiPriority w:val="9"/>
    <w:rsid w:val="001C40B1"/>
    <w:rPr>
      <w:rFonts w:cstheme="majorBidi"/>
      <w:b/>
      <w:bCs/>
      <w:kern w:val="2"/>
      <w:sz w:val="28"/>
      <w:szCs w:val="28"/>
    </w:rPr>
  </w:style>
  <w:style w:type="paragraph" w:styleId="Footer">
    <w:name w:val="footer"/>
    <w:basedOn w:val="Normal"/>
    <w:link w:val="a"/>
    <w:uiPriority w:val="99"/>
    <w:rsid w:val="001C4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">
    <w:name w:val="页脚 字符"/>
    <w:basedOn w:val="DefaultParagraphFont"/>
    <w:link w:val="Footer"/>
    <w:uiPriority w:val="99"/>
    <w:qFormat/>
    <w:rsid w:val="001C40B1"/>
    <w:rPr>
      <w:rFonts w:ascii="Calibri" w:hAnsi="Calibri"/>
      <w:kern w:val="2"/>
      <w:sz w:val="18"/>
      <w:szCs w:val="18"/>
    </w:rPr>
  </w:style>
  <w:style w:type="character" w:customStyle="1" w:styleId="a0">
    <w:name w:val="批注框文本 字符"/>
    <w:basedOn w:val="DefaultParagraphFont"/>
    <w:link w:val="BalloonText"/>
    <w:semiHidden/>
    <w:rsid w:val="001C40B1"/>
    <w:rPr>
      <w:rFonts w:ascii="Calibri" w:hAnsi="Calibri"/>
      <w:kern w:val="2"/>
      <w:sz w:val="18"/>
      <w:szCs w:val="18"/>
    </w:rPr>
  </w:style>
  <w:style w:type="paragraph" w:styleId="BalloonText">
    <w:name w:val="Balloon Text"/>
    <w:basedOn w:val="Normal"/>
    <w:link w:val="a0"/>
    <w:semiHidden/>
    <w:unhideWhenUsed/>
    <w:rsid w:val="001C40B1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1C40B1"/>
    <w:pPr>
      <w:ind w:firstLine="420" w:firstLineChars="200"/>
    </w:pPr>
  </w:style>
  <w:style w:type="paragraph" w:styleId="Header">
    <w:name w:val="header"/>
    <w:basedOn w:val="Normal"/>
    <w:link w:val="a1"/>
    <w:unhideWhenUsed/>
    <w:rsid w:val="001C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rsid w:val="001C40B1"/>
    <w:rPr>
      <w:rFonts w:ascii="Calibri" w:hAnsi="Calibri"/>
      <w:kern w:val="2"/>
      <w:sz w:val="18"/>
      <w:szCs w:val="18"/>
    </w:rPr>
  </w:style>
  <w:style w:type="paragraph" w:styleId="CommentText">
    <w:name w:val="annotation text"/>
    <w:basedOn w:val="Normal"/>
    <w:link w:val="a2"/>
    <w:unhideWhenUsed/>
    <w:qFormat/>
    <w:rsid w:val="001C40B1"/>
    <w:pPr>
      <w:jc w:val="left"/>
    </w:pPr>
  </w:style>
  <w:style w:type="character" w:customStyle="1" w:styleId="a2">
    <w:name w:val="批注文字 字符"/>
    <w:basedOn w:val="DefaultParagraphFont"/>
    <w:link w:val="CommentText"/>
    <w:rsid w:val="001C40B1"/>
    <w:rPr>
      <w:rFonts w:ascii="Calibri" w:hAnsi="Calibri"/>
      <w:kern w:val="2"/>
      <w:sz w:val="21"/>
      <w:szCs w:val="22"/>
    </w:rPr>
  </w:style>
  <w:style w:type="paragraph" w:customStyle="1" w:styleId="10">
    <w:name w:val="列出段落1"/>
    <w:basedOn w:val="Normal"/>
    <w:uiPriority w:val="34"/>
    <w:qFormat/>
    <w:rsid w:val="001C40B1"/>
    <w:pPr>
      <w:ind w:firstLine="420" w:firstLineChars="200"/>
    </w:pPr>
  </w:style>
  <w:style w:type="character" w:customStyle="1" w:styleId="a3">
    <w:name w:val="批注主题 字符"/>
    <w:basedOn w:val="a2"/>
    <w:link w:val="CommentSubject"/>
    <w:semiHidden/>
    <w:rsid w:val="001C40B1"/>
    <w:rPr>
      <w:rFonts w:ascii="Calibri" w:hAnsi="Calibri"/>
      <w:b/>
      <w:bCs/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a3"/>
    <w:semiHidden/>
    <w:unhideWhenUsed/>
    <w:rsid w:val="001C40B1"/>
    <w:rPr>
      <w:rFonts w:ascii="Times New Roman" w:hAnsi="Times New Roman"/>
      <w:b/>
      <w:bCs/>
      <w:szCs w:val="24"/>
    </w:rPr>
  </w:style>
  <w:style w:type="paragraph" w:styleId="Date">
    <w:name w:val="Date"/>
    <w:basedOn w:val="Normal"/>
    <w:next w:val="Normal"/>
    <w:link w:val="a4"/>
    <w:rsid w:val="001C40B1"/>
    <w:pPr>
      <w:ind w:left="100" w:leftChars="2500"/>
    </w:pPr>
    <w:rPr>
      <w:rFonts w:ascii="Times New Roman" w:hAnsi="Times New Roman"/>
      <w:szCs w:val="24"/>
    </w:rPr>
  </w:style>
  <w:style w:type="character" w:customStyle="1" w:styleId="a4">
    <w:name w:val="日期 字符"/>
    <w:basedOn w:val="DefaultParagraphFont"/>
    <w:link w:val="Date"/>
    <w:rsid w:val="001C40B1"/>
    <w:rPr>
      <w:kern w:val="2"/>
      <w:sz w:val="21"/>
      <w:szCs w:val="24"/>
    </w:rPr>
  </w:style>
  <w:style w:type="table" w:styleId="TableGrid">
    <w:name w:val="Table Grid"/>
    <w:basedOn w:val="TableNormal"/>
    <w:rsid w:val="001C40B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1C40B1"/>
    <w:pPr>
      <w:widowControl/>
      <w:spacing w:before="240" w:after="0" w:line="259" w:lineRule="auto"/>
      <w:ind w:firstLine="200" w:firstLineChars="20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1C40B1"/>
    <w:pPr>
      <w:spacing w:line="480" w:lineRule="exact"/>
      <w:ind w:left="420" w:firstLine="200" w:leftChars="200" w:firstLineChars="200"/>
      <w:jc w:val="left"/>
    </w:pPr>
    <w:rPr>
      <w:rFonts w:ascii="Times New Roman" w:hAnsi="Times New Roman" w:cstheme="minorBidi"/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1C40B1"/>
    <w:pPr>
      <w:spacing w:line="480" w:lineRule="exact"/>
      <w:ind w:left="840" w:firstLine="200" w:leftChars="400" w:firstLineChars="200"/>
      <w:jc w:val="left"/>
    </w:pPr>
    <w:rPr>
      <w:rFonts w:ascii="Times New Roman" w:hAnsi="Times New Roman" w:cstheme="minorBidi"/>
      <w:sz w:val="24"/>
    </w:rPr>
  </w:style>
  <w:style w:type="character" w:styleId="Hyperlink">
    <w:name w:val="Hyperlink"/>
    <w:basedOn w:val="DefaultParagraphFont"/>
    <w:uiPriority w:val="99"/>
    <w:unhideWhenUsed/>
    <w:rsid w:val="001C40B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C4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1C40B1"/>
    <w:pPr>
      <w:tabs>
        <w:tab w:val="right" w:leader="dot" w:pos="8296"/>
      </w:tabs>
    </w:pPr>
    <w:rPr>
      <w:rFonts w:asciiTheme="majorEastAsia" w:eastAsiaTheme="majorEastAsia" w:hAnsiTheme="majorEastAsia"/>
      <w:b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7611320123201004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2751</Words>
  <Characters>15687</Characters>
  <Application>Microsoft Office Word</Application>
  <DocSecurity>0</DocSecurity>
  <Lines>130</Lines>
  <Paragraphs>36</Paragraphs>
  <ScaleCrop>false</ScaleCrop>
  <Company>Microsoft</Company>
  <LinksUpToDate>false</LinksUpToDate>
  <CharactersWithSpaces>18402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Jiawang_Dong</dc:creator>
  <cp:lastModifiedBy>Jiawang_Dong</cp:lastModifiedBy>
  <cp:revision>4</cp:revision>
  <dcterms:created xsi:type="dcterms:W3CDTF">2020-03-29T23:30:00Z</dcterms:created>
  <dcterms:modified xsi:type="dcterms:W3CDTF">2020-03-30T00:04:00Z</dcterms:modified>
</cp:coreProperties>
</file>