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39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3143277</wp:posOffset>
            </wp:positionH>
            <wp:positionV relativeFrom="page">
              <wp:posOffset>7537456</wp:posOffset>
            </wp:positionV>
            <wp:extent cx="1009623" cy="35555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9623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1352326</wp:posOffset>
            </wp:positionH>
            <wp:positionV relativeFrom="page">
              <wp:posOffset>9626355</wp:posOffset>
            </wp:positionV>
            <wp:extent cx="2692773" cy="31134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2773" cy="311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8" w:line="251" w:lineRule="auto"/>
        <w:ind w:left="4019" w:right="2559" w:hanging="1409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36"/>
          <w:sz w:val="30"/>
          <w:szCs w:val="30"/>
        </w:rPr>
        <w:t>非铁磁金属电导率样(标)块</w:t>
      </w:r>
      <w:r>
        <w:rPr>
          <w:rFonts w:ascii="SimHei" w:eastAsia="SimHei" w:hAnsi="SimHei" w:cs="SimHei"/>
          <w:spacing w:val="1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28"/>
          <w:sz w:val="28"/>
          <w:szCs w:val="28"/>
        </w:rPr>
        <w:t>校准规范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74" w:line="223" w:lineRule="auto"/>
        <w:ind w:left="4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z w:val="23"/>
          <w:szCs w:val="23"/>
        </w:rPr>
        <w:t>1</w:t>
      </w:r>
      <w:r>
        <w:rPr>
          <w:rFonts w:ascii="SimHei" w:eastAsia="SimHei" w:hAnsi="SimHei" w:cs="SimHei"/>
          <w:spacing w:val="8"/>
          <w:sz w:val="23"/>
          <w:szCs w:val="23"/>
        </w:rPr>
        <w:t xml:space="preserve">  </w:t>
      </w:r>
      <w:r>
        <w:rPr>
          <w:rFonts w:ascii="SimHei" w:eastAsia="SimHei" w:hAnsi="SimHei" w:cs="SimHei"/>
          <w:sz w:val="23"/>
          <w:szCs w:val="23"/>
        </w:rPr>
        <w:t>范围</w:t>
      </w:r>
    </w:p>
    <w:p>
      <w:pPr>
        <w:pStyle w:val="BodyText"/>
        <w:spacing w:before="298" w:line="216" w:lineRule="auto"/>
        <w:ind w:right="19"/>
        <w:jc w:val="right"/>
      </w:pPr>
      <w:r>
        <w:rPr>
          <w:spacing w:val="34"/>
        </w:rPr>
        <w:t>本规范适用于校准非铁磁金属(合金)电导率样(标)块(</w:t>
      </w:r>
      <w:r>
        <w:rPr>
          <w:spacing w:val="33"/>
        </w:rPr>
        <w:t>以下简称样块),校准</w:t>
      </w:r>
    </w:p>
    <w:p>
      <w:pPr>
        <w:pStyle w:val="BodyText"/>
        <w:spacing w:before="104" w:line="219" w:lineRule="auto"/>
        <w:ind w:left="39"/>
      </w:pPr>
      <w:r>
        <w:rPr>
          <w:spacing w:val="9"/>
        </w:rPr>
        <w:t xml:space="preserve">的电导率范围为0.5% </w:t>
      </w:r>
      <w:r>
        <w:t>IACS</w:t>
      </w:r>
      <w:r>
        <w:rPr>
          <w:spacing w:val="9"/>
        </w:rPr>
        <w:t>～101%</w:t>
      </w:r>
      <w:r>
        <w:t>IACS</w:t>
      </w:r>
      <w:r>
        <w:rPr>
          <w:spacing w:val="9"/>
        </w:rPr>
        <w:t xml:space="preserve">    或者0.3 </w:t>
      </w:r>
      <w:r>
        <w:t>MS</w:t>
      </w:r>
      <w:r>
        <w:rPr>
          <w:spacing w:val="9"/>
        </w:rPr>
        <w:t>/m～58.6</w:t>
      </w:r>
      <w:r>
        <w:rPr>
          <w:spacing w:val="21"/>
        </w:rPr>
        <w:t xml:space="preserve">    </w:t>
      </w:r>
      <w:r>
        <w:t>MS</w:t>
      </w:r>
      <w:r>
        <w:rPr>
          <w:spacing w:val="9"/>
        </w:rPr>
        <w:t>/m。</w:t>
      </w:r>
    </w:p>
    <w:p>
      <w:pPr>
        <w:spacing w:before="275" w:line="222" w:lineRule="auto"/>
        <w:ind w:left="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6"/>
          <w:sz w:val="23"/>
          <w:szCs w:val="23"/>
        </w:rPr>
        <w:t>2</w:t>
      </w:r>
      <w:r>
        <w:rPr>
          <w:rFonts w:ascii="SimHei" w:eastAsia="SimHei" w:hAnsi="SimHei" w:cs="SimHei"/>
          <w:spacing w:val="6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6"/>
          <w:sz w:val="23"/>
          <w:szCs w:val="23"/>
        </w:rPr>
        <w:t>引用文件</w:t>
      </w:r>
    </w:p>
    <w:p>
      <w:pPr>
        <w:pStyle w:val="BodyText"/>
        <w:spacing w:before="273" w:line="219" w:lineRule="auto"/>
        <w:ind w:left="530"/>
      </w:pPr>
      <w:r>
        <w:rPr>
          <w:spacing w:val="7"/>
        </w:rPr>
        <w:t>本规范引用了下列文件：</w:t>
      </w:r>
    </w:p>
    <w:p>
      <w:pPr>
        <w:pStyle w:val="BodyText"/>
        <w:spacing w:before="96" w:line="422" w:lineRule="exact"/>
        <w:ind w:right="17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position w:val="14"/>
        </w:rPr>
        <w:t xml:space="preserve">ASTM   E    1004-09        </w:t>
      </w:r>
      <w:r>
        <w:rPr>
          <w:spacing w:val="-3"/>
          <w:position w:val="14"/>
        </w:rPr>
        <w:t>涡 流 法 测 定</w:t>
      </w:r>
      <w:r>
        <w:rPr>
          <w:spacing w:val="-20"/>
          <w:position w:val="14"/>
        </w:rPr>
        <w:t xml:space="preserve"> </w:t>
      </w:r>
      <w:r>
        <w:rPr>
          <w:spacing w:val="-3"/>
          <w:position w:val="14"/>
        </w:rPr>
        <w:t>材</w:t>
      </w:r>
      <w:r>
        <w:rPr>
          <w:spacing w:val="-20"/>
          <w:position w:val="14"/>
        </w:rPr>
        <w:t xml:space="preserve"> </w:t>
      </w:r>
      <w:r>
        <w:rPr>
          <w:spacing w:val="-3"/>
          <w:position w:val="14"/>
        </w:rPr>
        <w:t>料 电</w:t>
      </w:r>
      <w:r>
        <w:rPr>
          <w:spacing w:val="-4"/>
          <w:position w:val="14"/>
        </w:rPr>
        <w:t xml:space="preserve"> 导</w:t>
      </w:r>
      <w:r>
        <w:rPr>
          <w:spacing w:val="-18"/>
          <w:position w:val="14"/>
        </w:rPr>
        <w:t xml:space="preserve"> </w:t>
      </w:r>
      <w:r>
        <w:rPr>
          <w:spacing w:val="-4"/>
          <w:position w:val="14"/>
        </w:rPr>
        <w:t>率</w:t>
      </w:r>
      <w:r>
        <w:rPr>
          <w:spacing w:val="44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4"/>
        </w:rPr>
        <w:t>[Standard     Test     Method     for</w:t>
      </w:r>
    </w:p>
    <w:p>
      <w:pPr>
        <w:spacing w:before="1" w:line="191" w:lineRule="auto"/>
        <w:ind w:left="1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Determining     Electrical     Conductivity     Using     the     Electromagneti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c(Eddy-Current)Method]</w:t>
      </w:r>
    </w:p>
    <w:p>
      <w:pPr>
        <w:pStyle w:val="BodyText"/>
        <w:spacing w:before="133" w:line="250" w:lineRule="auto"/>
        <w:ind w:left="29" w:right="22" w:firstLine="500"/>
        <w:rPr>
          <w:rFonts w:ascii="Times New Roman" w:eastAsia="Times New Roman" w:hAnsi="Times New Roman" w:cs="Times New Roman"/>
        </w:rPr>
      </w:pPr>
      <w:r>
        <w:t>ASTM</w:t>
      </w:r>
      <w:r>
        <w:rPr>
          <w:spacing w:val="6"/>
        </w:rPr>
        <w:t xml:space="preserve">   </w:t>
      </w:r>
      <w:r>
        <w:t>B</w:t>
      </w:r>
      <w:r>
        <w:rPr>
          <w:spacing w:val="6"/>
        </w:rPr>
        <w:t>193-02(</w:t>
      </w:r>
      <w:r>
        <w:t>Reapproved</w:t>
      </w:r>
      <w:r>
        <w:rPr>
          <w:spacing w:val="6"/>
        </w:rPr>
        <w:t xml:space="preserve">   2008)   导电材料电阻率测量方法 (</w:t>
      </w:r>
      <w:r>
        <w:t>Standard</w:t>
      </w:r>
      <w:r>
        <w:rPr>
          <w:spacing w:val="87"/>
        </w:rPr>
        <w:t xml:space="preserve"> </w:t>
      </w:r>
      <w:r>
        <w:t xml:space="preserve">Test </w:t>
      </w:r>
      <w:r>
        <w:rPr>
          <w:rFonts w:ascii="Times New Roman" w:eastAsia="Times New Roman" w:hAnsi="Times New Roman" w:cs="Times New Roman"/>
        </w:rPr>
        <w:t>Method   for   Resistivity   of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Electrical   Con</w:t>
      </w:r>
      <w:r>
        <w:rPr>
          <w:rFonts w:ascii="Times New Roman" w:eastAsia="Times New Roman" w:hAnsi="Times New Roman" w:cs="Times New Roman"/>
          <w:spacing w:val="-1"/>
        </w:rPr>
        <w:t>ductor   Materials)</w:t>
      </w:r>
    </w:p>
    <w:p>
      <w:pPr>
        <w:pStyle w:val="BodyText"/>
        <w:spacing w:before="161" w:line="293" w:lineRule="auto"/>
        <w:ind w:left="9" w:right="32" w:firstLine="49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</w:t>
      </w:r>
      <w:r>
        <w:rPr>
          <w:rFonts w:ascii="Times New Roman" w:eastAsia="Times New Roman" w:hAnsi="Times New Roman" w:cs="Times New Roman"/>
          <w:spacing w:val="23"/>
        </w:rPr>
        <w:t xml:space="preserve">  </w:t>
      </w:r>
      <w:r>
        <w:rPr>
          <w:rFonts w:ascii="Times New Roman" w:eastAsia="Times New Roman" w:hAnsi="Times New Roman" w:cs="Times New Roman"/>
          <w:spacing w:val="15"/>
        </w:rPr>
        <w:t xml:space="preserve">2004-7   </w:t>
      </w:r>
      <w:r>
        <w:rPr>
          <w:spacing w:val="15"/>
        </w:rPr>
        <w:t>航空航天系列测试方法之铝及铝合金产品  第7部分：铝</w:t>
      </w:r>
      <w:r>
        <w:rPr>
          <w:spacing w:val="14"/>
        </w:rPr>
        <w:t>及铝合金电</w:t>
      </w:r>
      <w:r>
        <w:rPr>
          <w:spacing w:val="1"/>
        </w:rPr>
        <w:t xml:space="preserve"> </w:t>
      </w:r>
      <w:r>
        <w:t>导率测量设备校准用标准样块 (Aerospace series test method for aluminum and al</w:t>
      </w:r>
      <w:r>
        <w:rPr>
          <w:spacing w:val="-1"/>
        </w:rPr>
        <w:t>umi-</w:t>
      </w:r>
      <w:r>
        <w:t xml:space="preserve"> </w:t>
      </w:r>
      <w:r>
        <w:rPr>
          <w:rFonts w:ascii="Times New Roman" w:eastAsia="Times New Roman" w:hAnsi="Times New Roman" w:cs="Times New Roman"/>
        </w:rPr>
        <w:t>num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alloy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products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rFonts w:ascii="Times New Roman" w:eastAsia="Times New Roman" w:hAnsi="Times New Roman" w:cs="Times New Roman"/>
        </w:rPr>
        <w:t>Part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7:Reference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blocks</w:t>
      </w:r>
      <w:r>
        <w:rPr>
          <w:rFonts w:ascii="Times New Roman" w:eastAsia="Times New Roman" w:hAnsi="Times New Roman" w:cs="Times New Roman"/>
          <w:spacing w:val="28"/>
        </w:rPr>
        <w:t xml:space="preserve"> 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calibration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of  measuring   equipment </w:t>
      </w:r>
      <w:r>
        <w:rPr>
          <w:rFonts w:ascii="Times New Roman" w:eastAsia="Times New Roman" w:hAnsi="Times New Roman" w:cs="Times New Roman"/>
        </w:rPr>
        <w:t>used</w:t>
      </w:r>
      <w:r>
        <w:rPr>
          <w:rFonts w:ascii="Times New Roman" w:eastAsia="Times New Roman" w:hAnsi="Times New Roman" w:cs="Times New Roman"/>
          <w:spacing w:val="21"/>
        </w:rPr>
        <w:t xml:space="preserve"> 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rFonts w:ascii="Times New Roman" w:eastAsia="Times New Roman" w:hAnsi="Times New Roman" w:cs="Times New Roman"/>
        </w:rPr>
        <w:t>determination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rFonts w:ascii="Times New Roman" w:eastAsia="Times New Roman" w:hAnsi="Times New Roman" w:cs="Times New Roman"/>
        </w:rPr>
        <w:t>of  electrical   conductivity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of  wrought   a</w:t>
      </w:r>
      <w:r>
        <w:rPr>
          <w:rFonts w:ascii="Times New Roman" w:eastAsia="Times New Roman" w:hAnsi="Times New Roman" w:cs="Times New Roman"/>
          <w:spacing w:val="-1"/>
        </w:rPr>
        <w:t>luminum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>and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 xml:space="preserve">aluminum </w:t>
      </w:r>
      <w:r>
        <w:rPr>
          <w:rFonts w:ascii="Times New Roman" w:eastAsia="Times New Roman" w:hAnsi="Times New Roman" w:cs="Times New Roman"/>
          <w:spacing w:val="-2"/>
        </w:rPr>
        <w:t>alloys)</w:t>
      </w:r>
    </w:p>
    <w:p>
      <w:pPr>
        <w:pStyle w:val="BodyText"/>
        <w:spacing w:before="148" w:line="390" w:lineRule="exact"/>
        <w:ind w:right="37"/>
        <w:jc w:val="right"/>
      </w:pPr>
      <w:r>
        <w:rPr>
          <w:spacing w:val="18"/>
          <w:position w:val="11"/>
        </w:rPr>
        <w:t>凡是注日期的引用文件，仅注日期的版本适用于本规范；凡是不注日期的引用文</w:t>
      </w:r>
    </w:p>
    <w:p>
      <w:pPr>
        <w:pStyle w:val="BodyText"/>
        <w:spacing w:before="1" w:line="218" w:lineRule="auto"/>
        <w:ind w:left="29"/>
      </w:pPr>
      <w:r>
        <w:rPr>
          <w:spacing w:val="19"/>
        </w:rPr>
        <w:t>件，其最新版本(包括所有的修改单)适用于本规范。</w:t>
      </w:r>
    </w:p>
    <w:p>
      <w:pPr>
        <w:spacing w:before="269" w:line="222" w:lineRule="auto"/>
        <w:ind w:left="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7"/>
          <w:sz w:val="23"/>
          <w:szCs w:val="23"/>
        </w:rPr>
        <w:t>3</w:t>
      </w:r>
      <w:r>
        <w:rPr>
          <w:rFonts w:ascii="SimHei" w:eastAsia="SimHei" w:hAnsi="SimHei" w:cs="SimHei"/>
          <w:spacing w:val="11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7"/>
          <w:sz w:val="23"/>
          <w:szCs w:val="23"/>
        </w:rPr>
        <w:t>术语和计量单位</w:t>
      </w:r>
    </w:p>
    <w:p>
      <w:pPr>
        <w:pStyle w:val="BodyText"/>
        <w:spacing w:before="268" w:line="212" w:lineRule="auto"/>
        <w:ind w:left="9"/>
        <w:rPr>
          <w:rFonts w:ascii="Arial" w:eastAsia="Arial" w:hAnsi="Arial" w:cs="Arial"/>
        </w:rPr>
      </w:pPr>
      <w:r>
        <w:rPr>
          <w:spacing w:val="3"/>
        </w:rPr>
        <w:t>3.1</w:t>
      </w:r>
      <w:r>
        <w:rPr>
          <w:spacing w:val="37"/>
        </w:rPr>
        <w:t xml:space="preserve">  </w:t>
      </w:r>
      <w:r>
        <w:rPr>
          <w:spacing w:val="3"/>
        </w:rPr>
        <w:t xml:space="preserve">国际退火铜标准 </w:t>
      </w:r>
      <w:r>
        <w:rPr>
          <w:rFonts w:ascii="Arial" w:eastAsia="Arial" w:hAnsi="Arial" w:cs="Arial"/>
          <w:spacing w:val="3"/>
        </w:rPr>
        <w:t>(</w:t>
      </w:r>
      <w:r>
        <w:rPr>
          <w:rFonts w:ascii="Arial" w:eastAsia="Arial" w:hAnsi="Arial" w:cs="Arial"/>
        </w:rPr>
        <w:t>IACS</w:t>
      </w:r>
      <w:r>
        <w:rPr>
          <w:rFonts w:ascii="Arial" w:eastAsia="Arial" w:hAnsi="Arial" w:cs="Arial"/>
          <w:spacing w:val="3"/>
        </w:rPr>
        <w:t>)</w:t>
      </w:r>
    </w:p>
    <w:p>
      <w:pPr>
        <w:pStyle w:val="BodyText"/>
        <w:spacing w:before="127" w:line="261" w:lineRule="auto"/>
        <w:ind w:left="39" w:right="81" w:firstLine="459"/>
      </w:pPr>
      <w:r>
        <w:rPr>
          <w:spacing w:val="10"/>
        </w:rPr>
        <w:t>在温度为20</w:t>
      </w:r>
      <w:r>
        <w:rPr>
          <w:spacing w:val="64"/>
        </w:rPr>
        <w:t xml:space="preserve"> </w:t>
      </w:r>
      <w:r>
        <w:rPr>
          <w:spacing w:val="10"/>
        </w:rPr>
        <w:t>℃时，当均匀横截面</w:t>
      </w:r>
      <w:r>
        <w:rPr>
          <w:rFonts w:ascii="Times New Roman" w:eastAsia="Times New Roman" w:hAnsi="Times New Roman" w:cs="Times New Roman"/>
          <w:spacing w:val="10"/>
        </w:rPr>
        <w:t>S</w:t>
      </w:r>
      <w:r>
        <w:rPr>
          <w:rFonts w:ascii="Times New Roman" w:eastAsia="Times New Roman" w:hAnsi="Times New Roman" w:cs="Times New Roman"/>
          <w:spacing w:val="21"/>
        </w:rPr>
        <w:t xml:space="preserve">  </w:t>
      </w:r>
      <w:r>
        <w:rPr>
          <w:spacing w:val="10"/>
        </w:rPr>
        <w:t>为 1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0"/>
        </w:rPr>
        <w:t xml:space="preserve">²,    </w:t>
      </w:r>
      <w:r>
        <w:rPr>
          <w:spacing w:val="10"/>
        </w:rPr>
        <w:t>长度为1</w:t>
      </w:r>
      <w:r>
        <w:rPr>
          <w:rFonts w:ascii="Times New Roman" w:eastAsia="Times New Roman" w:hAnsi="Times New Roman" w:cs="Times New Roman"/>
          <w:spacing w:val="10"/>
        </w:rPr>
        <w:t>m</w:t>
      </w:r>
      <w:r>
        <w:rPr>
          <w:rFonts w:ascii="Times New Roman" w:eastAsia="Times New Roman" w:hAnsi="Times New Roman" w:cs="Times New Roman"/>
          <w:spacing w:val="35"/>
          <w:w w:val="101"/>
        </w:rPr>
        <w:t xml:space="preserve"> </w:t>
      </w:r>
      <w:r>
        <w:rPr>
          <w:spacing w:val="10"/>
        </w:rPr>
        <w:t>的铜线具有的电阻</w:t>
      </w:r>
      <w:r>
        <w:rPr>
          <w:rFonts w:ascii="Times New Roman" w:eastAsia="Times New Roman" w:hAnsi="Times New Roman" w:cs="Times New Roman"/>
          <w:spacing w:val="10"/>
        </w:rPr>
        <w:t>R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10"/>
        </w:rPr>
        <w:t>为</w:t>
      </w:r>
      <w:r>
        <w:t xml:space="preserve"> </w:t>
      </w:r>
      <w:r>
        <w:rPr>
          <w:spacing w:val="22"/>
        </w:rPr>
        <w:t xml:space="preserve">(1/58)Ω时，规定为100% </w:t>
      </w:r>
      <w:r>
        <w:t>IACS</w:t>
      </w:r>
      <w:r>
        <w:rPr>
          <w:spacing w:val="22"/>
        </w:rPr>
        <w:t>,</w:t>
      </w:r>
      <w:r>
        <w:rPr>
          <w:spacing w:val="94"/>
        </w:rPr>
        <w:t xml:space="preserve"> </w:t>
      </w:r>
      <w:r>
        <w:rPr>
          <w:spacing w:val="22"/>
        </w:rPr>
        <w:t>计算公式如式(1):</w:t>
      </w:r>
    </w:p>
    <w:p>
      <w:pPr>
        <w:pStyle w:val="BodyText"/>
        <w:spacing w:before="257" w:line="222" w:lineRule="auto"/>
        <w:ind w:left="8850"/>
      </w:pPr>
      <w:r>
        <w:rPr>
          <w:spacing w:val="-11"/>
        </w:rPr>
        <w:t>(1)</w:t>
      </w:r>
    </w:p>
    <w:p>
      <w:pPr>
        <w:pStyle w:val="BodyText"/>
        <w:spacing w:before="271" w:line="220" w:lineRule="auto"/>
        <w:ind w:left="509"/>
      </w:pPr>
      <w:r>
        <w:rPr>
          <w:spacing w:val="-4"/>
        </w:rPr>
        <w:t>式中：</w:t>
      </w:r>
    </w:p>
    <w:p>
      <w:pPr>
        <w:pStyle w:val="BodyText"/>
        <w:spacing w:before="80" w:line="212" w:lineRule="auto"/>
        <w:ind w:left="499"/>
        <w:rPr>
          <w:rFonts w:ascii="Times New Roman" w:eastAsia="Times New Roman" w:hAnsi="Times New Roman" w:cs="Times New Roman"/>
        </w:rPr>
      </w:pPr>
      <w:r>
        <w:rPr>
          <w:spacing w:val="-13"/>
        </w:rPr>
        <w:t>σ——电导率，</w:t>
      </w:r>
      <w:r>
        <w:rPr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>S/m;</w:t>
      </w:r>
    </w:p>
    <w:p>
      <w:pPr>
        <w:pStyle w:val="BodyText"/>
        <w:spacing w:before="105" w:line="212" w:lineRule="auto"/>
        <w:ind w:left="47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 xml:space="preserve">p——  </w:t>
      </w:r>
      <w:r>
        <w:rPr>
          <w:spacing w:val="-9"/>
        </w:rPr>
        <w:t>电阻率，Ω ·</w:t>
      </w:r>
      <w:r>
        <w:rPr>
          <w:rFonts w:ascii="Times New Roman" w:eastAsia="Times New Roman" w:hAnsi="Times New Roman" w:cs="Times New Roman"/>
          <w:spacing w:val="-9"/>
        </w:rPr>
        <w:t>m;</w:t>
      </w:r>
    </w:p>
    <w:p>
      <w:pPr>
        <w:pStyle w:val="BodyText"/>
        <w:spacing w:before="117" w:line="386" w:lineRule="exact"/>
        <w:ind w:left="509"/>
        <w:rPr>
          <w:rFonts w:ascii="Times New Roman" w:eastAsia="Times New Roman" w:hAnsi="Times New Roman" w:cs="Times New Roman"/>
        </w:rPr>
        <w:sectPr>
          <w:headerReference w:type="default" r:id="rId6"/>
          <w:footerReference w:type="default" r:id="rId7"/>
          <w:pgSz w:w="11900" w:h="16840"/>
          <w:pgMar w:top="1569" w:right="1539" w:bottom="962" w:left="1120" w:header="1300" w:footer="803" w:gutter="0"/>
          <w:cols w:space="708"/>
        </w:sectPr>
      </w:pPr>
      <w:r>
        <w:rPr>
          <w:rFonts w:ascii="Times New Roman" w:eastAsia="Times New Roman" w:hAnsi="Times New Roman" w:cs="Times New Roman"/>
          <w:spacing w:val="-3"/>
          <w:position w:val="12"/>
        </w:rPr>
        <w:t>S——</w:t>
      </w:r>
      <w:r>
        <w:rPr>
          <w:rFonts w:ascii="Times New Roman" w:eastAsia="Times New Roman" w:hAnsi="Times New Roman" w:cs="Times New Roman"/>
          <w:spacing w:val="30"/>
          <w:position w:val="12"/>
        </w:rPr>
        <w:t xml:space="preserve"> </w:t>
      </w:r>
      <w:r>
        <w:rPr>
          <w:spacing w:val="-3"/>
          <w:position w:val="12"/>
        </w:rPr>
        <w:t>铜线横截面，</w:t>
      </w:r>
      <w:r>
        <w:rPr>
          <w:spacing w:val="-55"/>
          <w:position w:val="12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2"/>
        </w:rPr>
        <w:t>mm²;</w:t>
      </w:r>
    </w:p>
    <w:p>
      <w:pPr>
        <w:pStyle w:val="BodyText"/>
        <w:spacing w:before="1" w:line="220" w:lineRule="auto"/>
        <w:ind w:left="499"/>
      </w:pPr>
      <w:r>
        <w:rPr>
          <w:spacing w:val="-1"/>
        </w:rPr>
        <w:t>R—— 电阻，Ω.</w:t>
      </w:r>
    </w:p>
    <w:p>
      <w:pPr>
        <w:spacing w:before="94" w:line="560" w:lineRule="exact"/>
        <w:ind w:firstLine="489"/>
      </w:pPr>
      <w:r>
        <w:rPr>
          <w:position w:val="-11"/>
        </w:rPr>
        <w:drawing>
          <wp:inline distT="0" distB="0" distL="0" distR="0">
            <wp:extent cx="5187990" cy="35555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7990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8" w:line="222" w:lineRule="auto"/>
        <w:ind w:left="50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z w:val="23"/>
          <w:szCs w:val="23"/>
        </w:rPr>
        <w:t>则</w:t>
      </w:r>
    </w:p>
    <w:p>
      <w:pPr>
        <w:spacing w:line="222" w:lineRule="auto"/>
        <w:rPr>
          <w:rFonts w:ascii="SimHei" w:eastAsia="SimHei" w:hAnsi="SimHei" w:cs="SimHei"/>
          <w:sz w:val="23"/>
          <w:szCs w:val="23"/>
        </w:rPr>
        <w:sectPr>
          <w:headerReference w:type="default" r:id="rId9"/>
          <w:footerReference w:type="default" r:id="rId10"/>
          <w:type w:val="nextPage"/>
          <w:pgSz w:w="11900" w:h="16840"/>
          <w:pgMar w:top="1569" w:right="1539" w:bottom="962" w:left="1120" w:header="1300" w:footer="803" w:gutter="0"/>
          <w:pgNumType w:start="2"/>
          <w:cols w:space="708"/>
          <w:titlePg w:val="0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71" w:line="221" w:lineRule="auto"/>
        <w:ind w:left="4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10"/>
          <w:sz w:val="22"/>
          <w:szCs w:val="22"/>
        </w:rPr>
        <w:t>4</w:t>
      </w:r>
      <w:r>
        <w:rPr>
          <w:rFonts w:ascii="SimHei" w:eastAsia="SimHei" w:hAnsi="SimHei" w:cs="SimHei"/>
          <w:spacing w:val="11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22"/>
          <w:szCs w:val="22"/>
        </w:rPr>
        <w:t>概述</w:t>
      </w:r>
    </w:p>
    <w:p>
      <w:pPr>
        <w:pStyle w:val="BodyText"/>
        <w:spacing w:before="260" w:line="284" w:lineRule="auto"/>
        <w:ind w:left="39" w:right="30" w:firstLine="48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22"/>
          <w:sz w:val="22"/>
          <w:szCs w:val="22"/>
        </w:rPr>
        <w:t>电导率样块，广泛应用于航空航天、冶金、机械及电子等工业部门，选用</w:t>
      </w:r>
      <w:r>
        <w:rPr>
          <w:spacing w:val="21"/>
          <w:sz w:val="22"/>
          <w:szCs w:val="22"/>
        </w:rPr>
        <w:t>非铁磁金</w:t>
      </w:r>
      <w:r>
        <w:rPr>
          <w:sz w:val="22"/>
          <w:szCs w:val="22"/>
        </w:rPr>
        <w:t xml:space="preserve"> </w:t>
      </w:r>
      <w:r>
        <w:rPr>
          <w:spacing w:val="21"/>
          <w:sz w:val="22"/>
          <w:szCs w:val="22"/>
        </w:rPr>
        <w:t>属材料，例如铜、铝、钛以及它们与其他非铁磁材料的合金，主要用于校准低级样块及</w:t>
      </w:r>
      <w:r>
        <w:rPr>
          <w:spacing w:val="12"/>
          <w:sz w:val="22"/>
          <w:szCs w:val="22"/>
        </w:rPr>
        <w:t xml:space="preserve"> </w:t>
      </w:r>
      <w:r>
        <w:rPr>
          <w:spacing w:val="30"/>
          <w:sz w:val="22"/>
          <w:szCs w:val="22"/>
        </w:rPr>
        <w:t>校准涡流电导率设备。样块</w:t>
      </w:r>
      <w:r>
        <w:rPr>
          <w:spacing w:val="-64"/>
          <w:sz w:val="22"/>
          <w:szCs w:val="22"/>
        </w:rPr>
        <w:t xml:space="preserve"> </w:t>
      </w:r>
      <w:r>
        <w:rPr>
          <w:spacing w:val="30"/>
          <w:sz w:val="22"/>
          <w:szCs w:val="22"/>
        </w:rPr>
        <w:t>一般为圆形与方形，如图1,几何尺</w:t>
      </w:r>
      <w:r>
        <w:rPr>
          <w:spacing w:val="29"/>
          <w:sz w:val="22"/>
          <w:szCs w:val="22"/>
        </w:rPr>
        <w:t xml:space="preserve">寸应不小于30 </w:t>
      </w:r>
      <w:r>
        <w:rPr>
          <w:rFonts w:ascii="Times New Roman" w:eastAsia="Times New Roman" w:hAnsi="Times New Roman" w:cs="Times New Roman"/>
          <w:sz w:val="22"/>
          <w:szCs w:val="22"/>
        </w:rPr>
        <w:t>mm</w:t>
      </w:r>
      <w:r>
        <w:rPr>
          <w:rFonts w:ascii="Times New Roman" w:eastAsia="Times New Roman" w:hAnsi="Times New Roman" w:cs="Times New Roman"/>
          <w:spacing w:val="29"/>
          <w:sz w:val="22"/>
          <w:szCs w:val="22"/>
        </w:rPr>
        <w:t>×</w:t>
      </w:r>
    </w:p>
    <w:p>
      <w:pPr>
        <w:pStyle w:val="BodyText"/>
        <w:spacing w:before="111" w:line="212" w:lineRule="auto"/>
        <w:ind w:left="39"/>
        <w:rPr>
          <w:sz w:val="22"/>
          <w:szCs w:val="22"/>
        </w:rPr>
      </w:pPr>
      <w:r>
        <w:rPr>
          <w:spacing w:val="16"/>
          <w:sz w:val="22"/>
          <w:szCs w:val="22"/>
        </w:rPr>
        <w:t>30</w:t>
      </w:r>
      <w:r>
        <w:rPr>
          <w:spacing w:val="49"/>
          <w:sz w:val="22"/>
          <w:szCs w:val="22"/>
        </w:rPr>
        <w:t xml:space="preserve">  </w:t>
      </w:r>
      <w:r>
        <w:rPr>
          <w:sz w:val="22"/>
          <w:szCs w:val="22"/>
        </w:rPr>
        <w:t>mm</w:t>
      </w:r>
      <w:r>
        <w:rPr>
          <w:spacing w:val="-50"/>
          <w:sz w:val="22"/>
          <w:szCs w:val="22"/>
        </w:rPr>
        <w:t xml:space="preserve"> </w:t>
      </w:r>
      <w:r>
        <w:rPr>
          <w:spacing w:val="16"/>
          <w:sz w:val="22"/>
          <w:szCs w:val="22"/>
        </w:rPr>
        <w:t xml:space="preserve">或φ30 </w:t>
      </w:r>
      <w:r>
        <w:rPr>
          <w:rFonts w:ascii="Times New Roman" w:eastAsia="Times New Roman" w:hAnsi="Times New Roman" w:cs="Times New Roman"/>
          <w:sz w:val="22"/>
          <w:szCs w:val="22"/>
        </w:rPr>
        <w:t>mm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</w:t>
      </w:r>
      <w:r>
        <w:rPr>
          <w:spacing w:val="16"/>
          <w:sz w:val="22"/>
          <w:szCs w:val="22"/>
        </w:rPr>
        <w:t>厚度不小于5</w:t>
      </w:r>
      <w:r>
        <w:rPr>
          <w:spacing w:val="-6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>mm</w:t>
      </w:r>
      <w:r>
        <w:rPr>
          <w:spacing w:val="16"/>
          <w:sz w:val="22"/>
          <w:szCs w:val="22"/>
        </w:rPr>
        <w:t>。</w:t>
      </w:r>
    </w:p>
    <w:p>
      <w:pPr>
        <w:spacing w:before="222" w:line="2230" w:lineRule="exact"/>
        <w:ind w:firstLine="929"/>
      </w:pPr>
      <w:r>
        <w:rPr>
          <w:position w:val="-44"/>
        </w:rPr>
        <w:drawing>
          <wp:inline distT="0" distB="0" distL="0" distR="0">
            <wp:extent cx="4686237" cy="141612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6237" cy="1416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9" w:line="219" w:lineRule="auto"/>
        <w:ind w:left="3089"/>
        <w:rPr>
          <w:sz w:val="22"/>
          <w:szCs w:val="22"/>
        </w:rPr>
      </w:pPr>
      <w:r>
        <w:rPr>
          <w:spacing w:val="-11"/>
          <w:sz w:val="22"/>
          <w:szCs w:val="22"/>
        </w:rPr>
        <w:t>图 1  非铁磁金属电导率样块形状</w:t>
      </w:r>
    </w:p>
    <w:p>
      <w:pPr>
        <w:pStyle w:val="BodyText"/>
        <w:spacing w:before="99" w:line="219" w:lineRule="auto"/>
        <w:ind w:left="529"/>
        <w:rPr>
          <w:sz w:val="22"/>
          <w:szCs w:val="22"/>
        </w:rPr>
      </w:pPr>
      <w:r>
        <w:rPr>
          <w:color w:val="F24800"/>
          <w:spacing w:val="18"/>
          <w:sz w:val="22"/>
          <w:szCs w:val="22"/>
        </w:rPr>
        <w:t>电导率样块通常分为基准样块、二级样块及工作样块。</w:t>
      </w:r>
    </w:p>
    <w:p>
      <w:pPr>
        <w:pStyle w:val="BodyText"/>
        <w:spacing w:before="58" w:line="411" w:lineRule="exact"/>
        <w:ind w:right="6"/>
        <w:jc w:val="right"/>
        <w:rPr>
          <w:sz w:val="22"/>
          <w:szCs w:val="22"/>
        </w:rPr>
      </w:pPr>
      <w:r>
        <w:rPr>
          <w:spacing w:val="23"/>
          <w:position w:val="14"/>
          <w:sz w:val="22"/>
          <w:szCs w:val="22"/>
        </w:rPr>
        <w:t>基准样块是由国家</w:t>
      </w:r>
      <w:r>
        <w:rPr>
          <w:color w:val="E74500"/>
          <w:spacing w:val="23"/>
          <w:position w:val="14"/>
          <w:sz w:val="22"/>
          <w:szCs w:val="22"/>
        </w:rPr>
        <w:t>标准实验室或经过认</w:t>
      </w:r>
      <w:r>
        <w:rPr>
          <w:spacing w:val="23"/>
          <w:position w:val="14"/>
          <w:sz w:val="22"/>
          <w:szCs w:val="22"/>
        </w:rPr>
        <w:t>证的</w:t>
      </w:r>
      <w:r>
        <w:rPr>
          <w:color w:val="E74500"/>
          <w:spacing w:val="23"/>
          <w:position w:val="14"/>
          <w:sz w:val="22"/>
          <w:szCs w:val="22"/>
        </w:rPr>
        <w:t>实</w:t>
      </w:r>
      <w:r>
        <w:rPr>
          <w:color w:val="E74500"/>
          <w:spacing w:val="22"/>
          <w:position w:val="14"/>
          <w:sz w:val="22"/>
          <w:szCs w:val="22"/>
        </w:rPr>
        <w:t>验室保存，溯源</w:t>
      </w:r>
      <w:r>
        <w:rPr>
          <w:spacing w:val="22"/>
          <w:position w:val="14"/>
          <w:sz w:val="22"/>
          <w:szCs w:val="22"/>
        </w:rPr>
        <w:t>至电学基本量，用于</w:t>
      </w:r>
    </w:p>
    <w:p>
      <w:pPr>
        <w:pStyle w:val="BodyText"/>
        <w:spacing w:line="219" w:lineRule="auto"/>
        <w:ind w:left="39"/>
        <w:rPr>
          <w:sz w:val="22"/>
          <w:szCs w:val="22"/>
        </w:rPr>
      </w:pPr>
      <w:r>
        <w:rPr>
          <w:spacing w:val="15"/>
          <w:sz w:val="22"/>
          <w:szCs w:val="22"/>
        </w:rPr>
        <w:t>相应的二级样块校准。</w:t>
      </w:r>
    </w:p>
    <w:p>
      <w:pPr>
        <w:pStyle w:val="BodyText"/>
        <w:spacing w:before="89" w:line="391" w:lineRule="exact"/>
        <w:ind w:right="28"/>
        <w:jc w:val="right"/>
        <w:rPr>
          <w:sz w:val="22"/>
          <w:szCs w:val="22"/>
        </w:rPr>
      </w:pPr>
      <w:r>
        <w:rPr>
          <w:spacing w:val="7"/>
          <w:position w:val="12"/>
          <w:sz w:val="22"/>
          <w:szCs w:val="22"/>
        </w:rPr>
        <w:t>二级样块是由国家</w:t>
      </w:r>
      <w:r>
        <w:rPr>
          <w:color w:val="EE4700"/>
          <w:spacing w:val="7"/>
          <w:position w:val="12"/>
          <w:sz w:val="22"/>
          <w:szCs w:val="22"/>
        </w:rPr>
        <w:t>实</w:t>
      </w:r>
      <w:r>
        <w:rPr>
          <w:color w:val="EE4700"/>
          <w:spacing w:val="-37"/>
          <w:position w:val="12"/>
          <w:sz w:val="22"/>
          <w:szCs w:val="22"/>
        </w:rPr>
        <w:t xml:space="preserve"> </w:t>
      </w:r>
      <w:r>
        <w:rPr>
          <w:color w:val="EE4700"/>
          <w:spacing w:val="7"/>
          <w:position w:val="12"/>
          <w:sz w:val="22"/>
          <w:szCs w:val="22"/>
        </w:rPr>
        <w:t>验</w:t>
      </w:r>
      <w:r>
        <w:rPr>
          <w:color w:val="EE4700"/>
          <w:spacing w:val="-33"/>
          <w:position w:val="12"/>
          <w:sz w:val="22"/>
          <w:szCs w:val="22"/>
        </w:rPr>
        <w:t xml:space="preserve"> </w:t>
      </w:r>
      <w:r>
        <w:rPr>
          <w:color w:val="EE4700"/>
          <w:spacing w:val="7"/>
          <w:position w:val="12"/>
          <w:sz w:val="22"/>
          <w:szCs w:val="22"/>
        </w:rPr>
        <w:t>室</w:t>
      </w:r>
      <w:r>
        <w:rPr>
          <w:color w:val="EE4700"/>
          <w:spacing w:val="-34"/>
          <w:position w:val="12"/>
          <w:sz w:val="22"/>
          <w:szCs w:val="22"/>
        </w:rPr>
        <w:t xml:space="preserve"> </w:t>
      </w:r>
      <w:r>
        <w:rPr>
          <w:color w:val="EE4700"/>
          <w:spacing w:val="7"/>
          <w:position w:val="12"/>
          <w:sz w:val="22"/>
          <w:szCs w:val="22"/>
        </w:rPr>
        <w:t>或</w:t>
      </w:r>
      <w:r>
        <w:rPr>
          <w:spacing w:val="7"/>
          <w:position w:val="12"/>
          <w:sz w:val="22"/>
          <w:szCs w:val="22"/>
        </w:rPr>
        <w:t>经过</w:t>
      </w:r>
      <w:r>
        <w:rPr>
          <w:color w:val="EE4700"/>
          <w:spacing w:val="7"/>
          <w:position w:val="12"/>
          <w:sz w:val="22"/>
          <w:szCs w:val="22"/>
        </w:rPr>
        <w:t>认</w:t>
      </w:r>
      <w:r>
        <w:rPr>
          <w:color w:val="EE4700"/>
          <w:spacing w:val="-34"/>
          <w:position w:val="12"/>
          <w:sz w:val="22"/>
          <w:szCs w:val="22"/>
        </w:rPr>
        <w:t xml:space="preserve"> </w:t>
      </w:r>
      <w:r>
        <w:rPr>
          <w:color w:val="EE4700"/>
          <w:spacing w:val="7"/>
          <w:position w:val="12"/>
          <w:sz w:val="22"/>
          <w:szCs w:val="22"/>
        </w:rPr>
        <w:t>证</w:t>
      </w:r>
      <w:r>
        <w:rPr>
          <w:spacing w:val="7"/>
          <w:position w:val="12"/>
          <w:sz w:val="22"/>
          <w:szCs w:val="22"/>
        </w:rPr>
        <w:t>的</w:t>
      </w:r>
      <w:r>
        <w:rPr>
          <w:spacing w:val="-33"/>
          <w:position w:val="12"/>
          <w:sz w:val="22"/>
          <w:szCs w:val="22"/>
        </w:rPr>
        <w:t xml:space="preserve"> </w:t>
      </w:r>
      <w:r>
        <w:rPr>
          <w:spacing w:val="7"/>
          <w:position w:val="12"/>
          <w:sz w:val="22"/>
          <w:szCs w:val="22"/>
        </w:rPr>
        <w:t>实</w:t>
      </w:r>
      <w:r>
        <w:rPr>
          <w:spacing w:val="-39"/>
          <w:position w:val="12"/>
          <w:sz w:val="22"/>
          <w:szCs w:val="22"/>
        </w:rPr>
        <w:t xml:space="preserve"> </w:t>
      </w:r>
      <w:r>
        <w:rPr>
          <w:spacing w:val="7"/>
          <w:position w:val="12"/>
          <w:sz w:val="22"/>
          <w:szCs w:val="22"/>
        </w:rPr>
        <w:t>验</w:t>
      </w:r>
      <w:r>
        <w:rPr>
          <w:color w:val="EE4700"/>
          <w:spacing w:val="7"/>
          <w:position w:val="12"/>
          <w:sz w:val="22"/>
          <w:szCs w:val="22"/>
        </w:rPr>
        <w:t>室</w:t>
      </w:r>
      <w:r>
        <w:rPr>
          <w:color w:val="EE4700"/>
          <w:spacing w:val="-18"/>
          <w:position w:val="12"/>
          <w:sz w:val="22"/>
          <w:szCs w:val="22"/>
        </w:rPr>
        <w:t xml:space="preserve"> </w:t>
      </w:r>
      <w:r>
        <w:rPr>
          <w:spacing w:val="7"/>
          <w:position w:val="12"/>
          <w:sz w:val="22"/>
          <w:szCs w:val="22"/>
        </w:rPr>
        <w:t>根据基</w:t>
      </w:r>
      <w:r>
        <w:rPr>
          <w:color w:val="EE4700"/>
          <w:spacing w:val="7"/>
          <w:position w:val="12"/>
          <w:sz w:val="22"/>
          <w:szCs w:val="22"/>
        </w:rPr>
        <w:t>准样块</w:t>
      </w:r>
      <w:r>
        <w:rPr>
          <w:spacing w:val="7"/>
          <w:position w:val="12"/>
          <w:sz w:val="22"/>
          <w:szCs w:val="22"/>
        </w:rPr>
        <w:t>校准过的，用</w:t>
      </w:r>
      <w:r>
        <w:rPr>
          <w:spacing w:val="6"/>
          <w:position w:val="12"/>
          <w:sz w:val="22"/>
          <w:szCs w:val="22"/>
        </w:rPr>
        <w:t>于工作样</w:t>
      </w:r>
    </w:p>
    <w:p>
      <w:pPr>
        <w:pStyle w:val="BodyText"/>
        <w:spacing w:line="220" w:lineRule="auto"/>
        <w:ind w:left="39"/>
        <w:rPr>
          <w:sz w:val="22"/>
          <w:szCs w:val="22"/>
        </w:rPr>
      </w:pPr>
      <w:r>
        <w:rPr>
          <w:spacing w:val="7"/>
          <w:sz w:val="22"/>
          <w:szCs w:val="22"/>
        </w:rPr>
        <w:t>块的校准。</w:t>
      </w:r>
    </w:p>
    <w:p>
      <w:pPr>
        <w:pStyle w:val="BodyText"/>
        <w:spacing w:before="47" w:line="599" w:lineRule="exact"/>
        <w:ind w:left="529"/>
        <w:rPr>
          <w:sz w:val="22"/>
          <w:szCs w:val="22"/>
        </w:rPr>
      </w:pPr>
      <w:r>
        <w:rPr>
          <w:spacing w:val="21"/>
          <w:position w:val="29"/>
          <w:sz w:val="22"/>
          <w:szCs w:val="22"/>
        </w:rPr>
        <w:t>工作样块是经校准过的涡流电导率设备校准</w:t>
      </w:r>
      <w:r>
        <w:rPr>
          <w:spacing w:val="20"/>
          <w:position w:val="29"/>
          <w:sz w:val="22"/>
          <w:szCs w:val="22"/>
        </w:rPr>
        <w:t>的，用于日常电导率仪的测量。</w:t>
      </w:r>
    </w:p>
    <w:p>
      <w:pPr>
        <w:spacing w:before="1" w:line="221" w:lineRule="auto"/>
        <w:ind w:left="3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7"/>
          <w:sz w:val="22"/>
          <w:szCs w:val="22"/>
        </w:rPr>
        <w:t>5</w:t>
      </w:r>
      <w:r>
        <w:rPr>
          <w:rFonts w:ascii="SimHei" w:eastAsia="SimHei" w:hAnsi="SimHei" w:cs="SimHei"/>
          <w:spacing w:val="23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7"/>
          <w:sz w:val="22"/>
          <w:szCs w:val="22"/>
        </w:rPr>
        <w:t>计量特性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529"/>
        <w:rPr>
          <w:sz w:val="22"/>
          <w:szCs w:val="22"/>
        </w:rPr>
      </w:pPr>
      <w:r>
        <w:rPr>
          <w:spacing w:val="2"/>
          <w:sz w:val="22"/>
          <w:szCs w:val="22"/>
        </w:rPr>
        <w:t>非铁磁金属电导率</w:t>
      </w:r>
      <w:r>
        <w:rPr>
          <w:color w:val="EF4700"/>
          <w:spacing w:val="2"/>
          <w:sz w:val="22"/>
          <w:szCs w:val="22"/>
        </w:rPr>
        <w:t>样</w:t>
      </w:r>
      <w:r>
        <w:rPr>
          <w:color w:val="EF4700"/>
          <w:spacing w:val="105"/>
          <w:sz w:val="22"/>
          <w:szCs w:val="22"/>
        </w:rPr>
        <w:t xml:space="preserve"> </w:t>
      </w:r>
      <w:r>
        <w:rPr>
          <w:color w:val="EF4700"/>
          <w:spacing w:val="2"/>
          <w:sz w:val="22"/>
          <w:szCs w:val="22"/>
        </w:rPr>
        <w:t>(</w:t>
      </w:r>
      <w:r>
        <w:rPr>
          <w:spacing w:val="2"/>
          <w:sz w:val="22"/>
          <w:szCs w:val="22"/>
        </w:rPr>
        <w:t>标</w:t>
      </w:r>
      <w:r>
        <w:rPr>
          <w:color w:val="EF4700"/>
          <w:spacing w:val="2"/>
          <w:sz w:val="22"/>
          <w:szCs w:val="22"/>
        </w:rPr>
        <w:t>)  块</w:t>
      </w:r>
      <w:r>
        <w:rPr>
          <w:spacing w:val="2"/>
          <w:sz w:val="22"/>
          <w:szCs w:val="22"/>
        </w:rPr>
        <w:t>电</w:t>
      </w:r>
      <w:r>
        <w:rPr>
          <w:spacing w:val="-65"/>
          <w:sz w:val="22"/>
          <w:szCs w:val="22"/>
        </w:rPr>
        <w:t xml:space="preserve"> </w:t>
      </w:r>
      <w:r>
        <w:rPr>
          <w:color w:val="EF4700"/>
          <w:spacing w:val="2"/>
          <w:sz w:val="22"/>
          <w:szCs w:val="22"/>
        </w:rPr>
        <w:t>导 率</w:t>
      </w:r>
      <w:r>
        <w:rPr>
          <w:spacing w:val="2"/>
          <w:sz w:val="22"/>
          <w:szCs w:val="22"/>
        </w:rPr>
        <w:t>计量特性见表</w:t>
      </w:r>
      <w:r>
        <w:rPr>
          <w:color w:val="EF4700"/>
          <w:spacing w:val="2"/>
          <w:sz w:val="22"/>
          <w:szCs w:val="22"/>
        </w:rPr>
        <w:t>1</w:t>
      </w:r>
      <w:r>
        <w:rPr>
          <w:color w:val="EF4700"/>
          <w:spacing w:val="-46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。</w:t>
      </w:r>
    </w:p>
    <w:p>
      <w:pPr>
        <w:spacing w:before="65" w:line="222" w:lineRule="auto"/>
        <w:ind w:left="236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表</w:t>
      </w:r>
      <w:r>
        <w:rPr>
          <w:rFonts w:ascii="SimHei" w:eastAsia="SimHei" w:hAnsi="SimHei" w:cs="SimHei"/>
          <w:spacing w:val="-1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6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非铁磁金属电导率样(标)块电导率计量特性</w:t>
      </w:r>
    </w:p>
    <w:tbl>
      <w:tblPr>
        <w:tblStyle w:val="TableNormal0"/>
        <w:tblW w:w="920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22"/>
        <w:gridCol w:w="3776"/>
        <w:gridCol w:w="2902"/>
      </w:tblGrid>
      <w:tr>
        <w:tblPrEx>
          <w:tblW w:w="920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3"/>
        </w:trPr>
        <w:tc>
          <w:tcPr>
            <w:tcW w:w="2522" w:type="dxa"/>
            <w:vAlign w:val="top"/>
          </w:tcPr>
          <w:p>
            <w:pPr>
              <w:pStyle w:val="TableText"/>
              <w:spacing w:before="94" w:line="219" w:lineRule="auto"/>
              <w:ind w:left="774"/>
            </w:pPr>
            <w:r>
              <w:rPr>
                <w:spacing w:val="3"/>
              </w:rPr>
              <w:t>样块等级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95" w:line="220" w:lineRule="auto"/>
              <w:ind w:left="1402"/>
            </w:pPr>
            <w:r>
              <w:rPr>
                <w:spacing w:val="5"/>
              </w:rPr>
              <w:t>标称范围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94" w:line="219" w:lineRule="auto"/>
              <w:ind w:left="606"/>
            </w:pPr>
            <w:r>
              <w:rPr>
                <w:spacing w:val="2"/>
              </w:rPr>
              <w:t>标称值不确定度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9"/>
        </w:trPr>
        <w:tc>
          <w:tcPr>
            <w:tcW w:w="2522" w:type="dxa"/>
            <w:vAlign w:val="top"/>
          </w:tcPr>
          <w:p>
            <w:pPr>
              <w:pStyle w:val="TableText"/>
              <w:spacing w:before="92" w:line="219" w:lineRule="auto"/>
              <w:ind w:left="774"/>
            </w:pPr>
            <w:r>
              <w:rPr>
                <w:spacing w:val="-2"/>
              </w:rPr>
              <w:t>基准样块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95" w:line="222" w:lineRule="auto"/>
              <w:ind w:left="682"/>
            </w:pPr>
            <w:r>
              <w:rPr>
                <w:spacing w:val="-3"/>
              </w:rPr>
              <w:t>(0.5%IACS～101%IACS)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3" w:line="183" w:lineRule="auto"/>
              <w:ind w:left="1146"/>
            </w:pPr>
            <w:r>
              <w:rPr>
                <w:spacing w:val="-3"/>
              </w:rPr>
              <w:t>0.05%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19"/>
        </w:trPr>
        <w:tc>
          <w:tcPr>
            <w:tcW w:w="252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774"/>
            </w:pPr>
            <w:r>
              <w:rPr>
                <w:spacing w:val="2"/>
              </w:rPr>
              <w:t>二级样块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93" w:line="220" w:lineRule="auto"/>
              <w:ind w:left="1162"/>
            </w:pPr>
            <w:r>
              <w:rPr>
                <w:spacing w:val="2"/>
              </w:rPr>
              <w:t>大于100%</w:t>
            </w:r>
            <w:r>
              <w:t>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2" w:line="185" w:lineRule="auto"/>
              <w:ind w:left="906"/>
            </w:pPr>
            <w:r>
              <w:rPr>
                <w:spacing w:val="-2"/>
              </w:rPr>
              <w:t>0.50%IACS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19"/>
        </w:trPr>
        <w:tc>
          <w:tcPr>
            <w:tcW w:w="25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53" w:line="185" w:lineRule="auto"/>
              <w:ind w:left="862"/>
            </w:pPr>
            <w:r>
              <w:rPr>
                <w:spacing w:val="-1"/>
              </w:rPr>
              <w:t>35%IACS～100%IACS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3" w:line="185" w:lineRule="auto"/>
              <w:ind w:left="906"/>
            </w:pPr>
            <w:r>
              <w:rPr>
                <w:spacing w:val="-2"/>
              </w:rPr>
              <w:t>0.35%IACS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9"/>
        </w:trPr>
        <w:tc>
          <w:tcPr>
            <w:tcW w:w="25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54" w:line="185" w:lineRule="auto"/>
              <w:ind w:left="983"/>
            </w:pPr>
            <w:r>
              <w:rPr>
                <w:spacing w:val="-2"/>
              </w:rPr>
              <w:t>1%IACS～35%IACS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5" w:line="184" w:lineRule="auto"/>
              <w:ind w:left="1206"/>
            </w:pPr>
            <w:r>
              <w:rPr>
                <w:spacing w:val="-7"/>
              </w:rPr>
              <w:t>1.0%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19"/>
        </w:trPr>
        <w:tc>
          <w:tcPr>
            <w:tcW w:w="25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99" w:line="221" w:lineRule="auto"/>
              <w:ind w:left="1283"/>
            </w:pPr>
            <w:r>
              <w:rPr>
                <w:spacing w:val="3"/>
              </w:rPr>
              <w:t>小于1%</w:t>
            </w:r>
            <w:r>
              <w:t>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7" w:line="183" w:lineRule="auto"/>
              <w:ind w:left="1206"/>
            </w:pPr>
            <w:r>
              <w:rPr>
                <w:spacing w:val="-4"/>
              </w:rPr>
              <w:t>2.0%</w:t>
            </w:r>
          </w:p>
        </w:tc>
      </w:tr>
    </w:tbl>
    <w:p>
      <w:pPr>
        <w:sectPr>
          <w:headerReference w:type="default" r:id="rId12"/>
          <w:footerReference w:type="default" r:id="rId13"/>
          <w:pgSz w:w="11900" w:h="16840"/>
          <w:pgMar w:top="1549" w:right="1279" w:bottom="1012" w:left="1350" w:header="1231" w:footer="853" w:gutter="0"/>
          <w:pgNumType w:start="3"/>
          <w:cols w:space="708"/>
        </w:sectPr>
      </w:pPr>
    </w:p>
    <w:tbl>
      <w:tblPr>
        <w:tblStyle w:val="TableNormal1"/>
        <w:tblW w:w="920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22"/>
        <w:gridCol w:w="3776"/>
        <w:gridCol w:w="2902"/>
      </w:tblGrid>
      <w:tr>
        <w:tblPrEx>
          <w:tblW w:w="920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2522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9" w:lineRule="auto"/>
              <w:ind w:left="774"/>
            </w:pPr>
            <w:r>
              <w:rPr>
                <w:spacing w:val="2"/>
              </w:rPr>
              <w:t>工作样块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97" w:line="220" w:lineRule="auto"/>
              <w:ind w:left="1162"/>
            </w:pPr>
            <w:r>
              <w:rPr>
                <w:spacing w:val="2"/>
              </w:rPr>
              <w:t>大于100%</w:t>
            </w:r>
            <w:r>
              <w:t>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6" w:line="185" w:lineRule="auto"/>
              <w:ind w:left="906"/>
            </w:pPr>
            <w:r>
              <w:rPr>
                <w:spacing w:val="-4"/>
              </w:rPr>
              <w:t>1.00%IACS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9"/>
        </w:trPr>
        <w:tc>
          <w:tcPr>
            <w:tcW w:w="25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57" w:line="185" w:lineRule="auto"/>
              <w:ind w:left="862"/>
            </w:pPr>
            <w:r>
              <w:rPr>
                <w:spacing w:val="-1"/>
              </w:rPr>
              <w:t>35%IACS～100%IACS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57" w:line="185" w:lineRule="auto"/>
              <w:ind w:left="906"/>
            </w:pPr>
            <w:r>
              <w:rPr>
                <w:spacing w:val="-2"/>
              </w:rPr>
              <w:t>0.70%IACS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19"/>
        </w:trPr>
        <w:tc>
          <w:tcPr>
            <w:tcW w:w="25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58" w:line="185" w:lineRule="auto"/>
              <w:ind w:left="983"/>
            </w:pPr>
            <w:r>
              <w:rPr>
                <w:spacing w:val="-2"/>
              </w:rPr>
              <w:t>1%IACS～35%IACS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60" w:line="183" w:lineRule="auto"/>
              <w:ind w:left="1206"/>
            </w:pPr>
            <w:r>
              <w:rPr>
                <w:spacing w:val="-4"/>
              </w:rPr>
              <w:t>2.0%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24"/>
        </w:trPr>
        <w:tc>
          <w:tcPr>
            <w:tcW w:w="25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03" w:line="221" w:lineRule="auto"/>
              <w:ind w:left="1283"/>
            </w:pPr>
            <w:r>
              <w:rPr>
                <w:spacing w:val="3"/>
              </w:rPr>
              <w:t>小于1%</w:t>
            </w:r>
            <w:r>
              <w:t>IACS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61" w:line="183" w:lineRule="auto"/>
              <w:ind w:left="1206"/>
            </w:pPr>
            <w:r>
              <w:rPr>
                <w:spacing w:val="-3"/>
              </w:rPr>
              <w:t>4.0%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"/>
          <w:footerReference w:type="default" r:id="rId15"/>
          <w:type w:val="nextPage"/>
          <w:pgSz w:w="11900" w:h="16840"/>
          <w:pgMar w:top="1549" w:right="1279" w:bottom="1012" w:left="1350" w:header="1231" w:footer="853" w:gutter="0"/>
          <w:pgNumType w:start="4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3"/>
          <w:sz w:val="23"/>
          <w:szCs w:val="23"/>
        </w:rPr>
        <w:t>6</w:t>
      </w:r>
      <w:r>
        <w:rPr>
          <w:rFonts w:ascii="SimHei" w:eastAsia="SimHei" w:hAnsi="SimHei" w:cs="SimHei"/>
          <w:spacing w:val="3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3"/>
          <w:szCs w:val="23"/>
        </w:rPr>
        <w:t>校准条件</w:t>
      </w:r>
    </w:p>
    <w:p>
      <w:pPr>
        <w:pStyle w:val="BodyText"/>
        <w:spacing w:before="277" w:line="219" w:lineRule="auto"/>
        <w:rPr>
          <w:sz w:val="25"/>
          <w:szCs w:val="25"/>
        </w:rPr>
      </w:pPr>
      <w:r>
        <w:rPr>
          <w:spacing w:val="-3"/>
          <w:sz w:val="25"/>
          <w:szCs w:val="25"/>
        </w:rPr>
        <w:t>6.1</w:t>
      </w:r>
      <w:r>
        <w:rPr>
          <w:spacing w:val="8"/>
          <w:sz w:val="25"/>
          <w:szCs w:val="25"/>
        </w:rPr>
        <w:t xml:space="preserve">  </w:t>
      </w:r>
      <w:r>
        <w:rPr>
          <w:spacing w:val="-3"/>
          <w:sz w:val="25"/>
          <w:szCs w:val="25"/>
        </w:rPr>
        <w:t>环境条件</w:t>
      </w:r>
    </w:p>
    <w:p>
      <w:pPr>
        <w:pStyle w:val="BodyText"/>
        <w:spacing w:before="64" w:line="382" w:lineRule="exact"/>
        <w:ind w:left="48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3"/>
          <w:position w:val="9"/>
          <w:sz w:val="25"/>
          <w:szCs w:val="25"/>
        </w:rPr>
        <w:t xml:space="preserve">a)  </w:t>
      </w:r>
      <w:r>
        <w:rPr>
          <w:spacing w:val="3"/>
          <w:position w:val="9"/>
          <w:sz w:val="25"/>
          <w:szCs w:val="25"/>
        </w:rPr>
        <w:t>环境温度：</w:t>
      </w:r>
      <w:r>
        <w:rPr>
          <w:rFonts w:ascii="Times New Roman" w:eastAsia="Times New Roman" w:hAnsi="Times New Roman" w:cs="Times New Roman"/>
          <w:spacing w:val="3"/>
          <w:position w:val="9"/>
          <w:sz w:val="25"/>
          <w:szCs w:val="25"/>
        </w:rPr>
        <w:t>18℃</w:t>
      </w:r>
      <w:r>
        <w:rPr>
          <w:spacing w:val="3"/>
          <w:position w:val="9"/>
          <w:sz w:val="25"/>
          <w:szCs w:val="25"/>
        </w:rPr>
        <w:t>~</w:t>
      </w:r>
      <w:r>
        <w:rPr>
          <w:rFonts w:ascii="Times New Roman" w:eastAsia="Times New Roman" w:hAnsi="Times New Roman" w:cs="Times New Roman"/>
          <w:spacing w:val="3"/>
          <w:position w:val="9"/>
          <w:sz w:val="25"/>
          <w:szCs w:val="25"/>
        </w:rPr>
        <w:t>22</w:t>
      </w:r>
      <w:r>
        <w:rPr>
          <w:rFonts w:ascii="Times New Roman" w:eastAsia="Times New Roman" w:hAnsi="Times New Roman" w:cs="Times New Roman"/>
          <w:spacing w:val="14"/>
          <w:position w:val="9"/>
          <w:sz w:val="25"/>
          <w:szCs w:val="25"/>
        </w:rPr>
        <w:t xml:space="preserve">  </w:t>
      </w:r>
      <w:r>
        <w:rPr>
          <w:rFonts w:ascii="Times New Roman" w:eastAsia="Times New Roman" w:hAnsi="Times New Roman" w:cs="Times New Roman"/>
          <w:spacing w:val="3"/>
          <w:position w:val="9"/>
          <w:sz w:val="25"/>
          <w:szCs w:val="25"/>
        </w:rPr>
        <w:t>℃;</w:t>
      </w:r>
    </w:p>
    <w:p>
      <w:pPr>
        <w:pStyle w:val="BodyText"/>
        <w:spacing w:line="212" w:lineRule="auto"/>
        <w:ind w:left="48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3"/>
          <w:sz w:val="25"/>
          <w:szCs w:val="25"/>
        </w:rPr>
        <w:t>b) 相对湿度：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30%</w:t>
      </w:r>
      <w:r>
        <w:rPr>
          <w:spacing w:val="-3"/>
          <w:sz w:val="25"/>
          <w:szCs w:val="25"/>
        </w:rPr>
        <w:t>～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75%;</w:t>
      </w:r>
    </w:p>
    <w:p>
      <w:pPr>
        <w:pStyle w:val="BodyText"/>
        <w:spacing w:before="102" w:line="212" w:lineRule="auto"/>
        <w:ind w:left="489"/>
      </w:pPr>
      <w:r>
        <w:rPr>
          <w:rFonts w:ascii="Times New Roman" w:eastAsia="Times New Roman" w:hAnsi="Times New Roman" w:cs="Times New Roman"/>
          <w:spacing w:val="9"/>
        </w:rPr>
        <w:t>c)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 </w:t>
      </w:r>
      <w:r>
        <w:rPr>
          <w:spacing w:val="9"/>
        </w:rPr>
        <w:t>校准系统周围无明显电磁场干扰。</w:t>
      </w:r>
    </w:p>
    <w:p>
      <w:pPr>
        <w:pStyle w:val="BodyText"/>
        <w:spacing w:before="142" w:line="220" w:lineRule="auto"/>
      </w:pPr>
      <w:r>
        <w:rPr>
          <w:spacing w:val="8"/>
        </w:rPr>
        <w:t>6.2</w:t>
      </w:r>
      <w:r>
        <w:rPr>
          <w:spacing w:val="34"/>
        </w:rPr>
        <w:t xml:space="preserve">  </w:t>
      </w:r>
      <w:r>
        <w:rPr>
          <w:spacing w:val="8"/>
        </w:rPr>
        <w:t>测量标准及其他设备</w:t>
      </w:r>
    </w:p>
    <w:p>
      <w:pPr>
        <w:pStyle w:val="BodyText"/>
        <w:spacing w:before="106" w:line="219" w:lineRule="auto"/>
      </w:pPr>
      <w:r>
        <w:rPr>
          <w:spacing w:val="4"/>
        </w:rPr>
        <w:t>6.2.1</w:t>
      </w:r>
      <w:r>
        <w:rPr>
          <w:spacing w:val="13"/>
        </w:rPr>
        <w:t xml:space="preserve">  </w:t>
      </w:r>
      <w:r>
        <w:rPr>
          <w:spacing w:val="4"/>
        </w:rPr>
        <w:t>标准样块</w:t>
      </w:r>
    </w:p>
    <w:p>
      <w:pPr>
        <w:pStyle w:val="BodyText"/>
        <w:spacing w:before="69" w:line="260" w:lineRule="auto"/>
        <w:ind w:left="489" w:right="64"/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a)</w:t>
      </w:r>
      <w:r>
        <w:rPr>
          <w:rFonts w:ascii="Times New Roman" w:eastAsia="Times New Roman" w:hAnsi="Times New Roman" w:cs="Times New Roman"/>
          <w:spacing w:val="21"/>
          <w:sz w:val="25"/>
          <w:szCs w:val="25"/>
        </w:rPr>
        <w:t xml:space="preserve">  </w:t>
      </w:r>
      <w:r>
        <w:rPr>
          <w:spacing w:val="-1"/>
          <w:sz w:val="25"/>
          <w:szCs w:val="25"/>
        </w:rPr>
        <w:t>低端曲线拟合时，电导率值小于或等于24%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IACS </w:t>
      </w:r>
      <w:r>
        <w:rPr>
          <w:spacing w:val="-1"/>
          <w:sz w:val="25"/>
          <w:szCs w:val="25"/>
        </w:rPr>
        <w:t>的低值标准样块不少于5块；</w:t>
      </w:r>
      <w:r>
        <w:rPr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18"/>
        </w:rPr>
        <w:t>b)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spacing w:val="18"/>
        </w:rPr>
        <w:t>高端曲线拟合时，电导率值大于或等于24%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57"/>
        </w:rPr>
        <w:t xml:space="preserve"> </w:t>
      </w:r>
      <w:r>
        <w:rPr>
          <w:spacing w:val="18"/>
        </w:rPr>
        <w:t>的</w:t>
      </w:r>
      <w:r>
        <w:rPr>
          <w:spacing w:val="17"/>
        </w:rPr>
        <w:t>高值标准样块不少于9块。</w:t>
      </w:r>
    </w:p>
    <w:p>
      <w:pPr>
        <w:pStyle w:val="BodyText"/>
        <w:spacing w:before="122" w:line="219" w:lineRule="auto"/>
      </w:pPr>
      <w:r>
        <w:rPr>
          <w:spacing w:val="2"/>
        </w:rPr>
        <w:t>6.2.2</w:t>
      </w:r>
      <w:r>
        <w:rPr>
          <w:spacing w:val="14"/>
        </w:rPr>
        <w:t xml:space="preserve">  </w:t>
      </w:r>
      <w:r>
        <w:rPr>
          <w:spacing w:val="2"/>
        </w:rPr>
        <w:t>油槽</w:t>
      </w:r>
    </w:p>
    <w:p>
      <w:pPr>
        <w:pStyle w:val="BodyText"/>
        <w:spacing w:before="113" w:line="354" w:lineRule="exact"/>
        <w:ind w:left="489"/>
      </w:pPr>
      <w:r>
        <w:rPr>
          <w:spacing w:val="9"/>
          <w:position w:val="9"/>
        </w:rPr>
        <w:t>油槽控温精度20</w:t>
      </w:r>
      <w:r>
        <w:rPr>
          <w:spacing w:val="64"/>
          <w:position w:val="9"/>
        </w:rPr>
        <w:t xml:space="preserve"> </w:t>
      </w:r>
      <w:r>
        <w:rPr>
          <w:spacing w:val="9"/>
          <w:position w:val="9"/>
        </w:rPr>
        <w:t>℃±0.05</w:t>
      </w:r>
      <w:r>
        <w:rPr>
          <w:spacing w:val="54"/>
          <w:position w:val="9"/>
        </w:rPr>
        <w:t xml:space="preserve"> </w:t>
      </w:r>
      <w:r>
        <w:rPr>
          <w:spacing w:val="9"/>
          <w:position w:val="9"/>
        </w:rPr>
        <w:t>℃,工作介质为性能稳定的绝缘油。</w:t>
      </w:r>
    </w:p>
    <w:p>
      <w:pPr>
        <w:pStyle w:val="BodyText"/>
        <w:spacing w:line="219" w:lineRule="auto"/>
      </w:pPr>
      <w:r>
        <w:rPr>
          <w:spacing w:val="4"/>
        </w:rPr>
        <w:t>6.2.3</w:t>
      </w:r>
      <w:r>
        <w:rPr>
          <w:spacing w:val="13"/>
        </w:rPr>
        <w:t xml:space="preserve">  </w:t>
      </w:r>
      <w:r>
        <w:rPr>
          <w:spacing w:val="4"/>
        </w:rPr>
        <w:t>阻抗电桥</w:t>
      </w:r>
    </w:p>
    <w:p>
      <w:pPr>
        <w:pStyle w:val="BodyText"/>
        <w:spacing w:before="111" w:line="212" w:lineRule="auto"/>
        <w:ind w:left="4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8"/>
        </w:rPr>
        <w:t xml:space="preserve">a)   </w:t>
      </w:r>
      <w:r>
        <w:rPr>
          <w:spacing w:val="8"/>
        </w:rPr>
        <w:t xml:space="preserve">电阻测量范围：1Ω~1 </w:t>
      </w:r>
      <w:r>
        <w:rPr>
          <w:rFonts w:ascii="Times New Roman" w:eastAsia="Times New Roman" w:hAnsi="Times New Roman" w:cs="Times New Roman"/>
          <w:spacing w:val="8"/>
        </w:rPr>
        <w:t xml:space="preserve">k2,    </w:t>
      </w:r>
      <w:r>
        <w:rPr>
          <w:spacing w:val="8"/>
        </w:rPr>
        <w:t>频率范</w:t>
      </w:r>
      <w:r>
        <w:rPr>
          <w:spacing w:val="7"/>
        </w:rPr>
        <w:t xml:space="preserve">围：10 </w:t>
      </w:r>
      <w:r>
        <w:rPr>
          <w:rFonts w:ascii="Times New Roman" w:eastAsia="Times New Roman" w:hAnsi="Times New Roman" w:cs="Times New Roman"/>
        </w:rPr>
        <w:t>kHz</w:t>
      </w:r>
      <w:r>
        <w:rPr>
          <w:spacing w:val="7"/>
        </w:rPr>
        <w:t>～</w:t>
      </w:r>
      <w:r>
        <w:rPr>
          <w:rFonts w:ascii="Times New Roman" w:eastAsia="Times New Roman" w:hAnsi="Times New Roman" w:cs="Times New Roman"/>
          <w:spacing w:val="7"/>
        </w:rPr>
        <w:t xml:space="preserve">500   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7"/>
        </w:rPr>
        <w:t>;</w:t>
      </w:r>
    </w:p>
    <w:p>
      <w:pPr>
        <w:pStyle w:val="BodyText"/>
        <w:spacing w:before="122" w:line="370" w:lineRule="exact"/>
        <w:ind w:left="489"/>
      </w:pPr>
      <w:r>
        <w:rPr>
          <w:spacing w:val="16"/>
          <w:position w:val="10"/>
        </w:rPr>
        <w:t>b)</w:t>
      </w:r>
      <w:r>
        <w:rPr>
          <w:spacing w:val="58"/>
          <w:position w:val="10"/>
        </w:rPr>
        <w:t xml:space="preserve"> </w:t>
      </w:r>
      <w:r>
        <w:rPr>
          <w:spacing w:val="16"/>
          <w:position w:val="10"/>
        </w:rPr>
        <w:t>电桥不确定度优于0.05%。</w:t>
      </w:r>
    </w:p>
    <w:p>
      <w:pPr>
        <w:pStyle w:val="BodyText"/>
        <w:spacing w:line="219" w:lineRule="auto"/>
      </w:pPr>
      <w:r>
        <w:rPr>
          <w:spacing w:val="3"/>
        </w:rPr>
        <w:t>6.2.4</w:t>
      </w:r>
      <w:r>
        <w:rPr>
          <w:spacing w:val="30"/>
        </w:rPr>
        <w:t xml:space="preserve">  </w:t>
      </w:r>
      <w:r>
        <w:rPr>
          <w:spacing w:val="3"/>
        </w:rPr>
        <w:t>测量探头</w:t>
      </w:r>
    </w:p>
    <w:p>
      <w:pPr>
        <w:pStyle w:val="BodyText"/>
        <w:spacing w:before="80" w:line="212" w:lineRule="auto"/>
        <w:ind w:left="48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3"/>
          <w:sz w:val="25"/>
          <w:szCs w:val="25"/>
        </w:rPr>
        <w:t>a)</w:t>
      </w:r>
      <w:r>
        <w:rPr>
          <w:rFonts w:ascii="Times New Roman" w:eastAsia="Times New Roman" w:hAnsi="Times New Roman" w:cs="Times New Roman"/>
          <w:spacing w:val="26"/>
          <w:sz w:val="25"/>
          <w:szCs w:val="25"/>
        </w:rPr>
        <w:t xml:space="preserve">  </w:t>
      </w:r>
      <w:r>
        <w:rPr>
          <w:spacing w:val="-13"/>
          <w:sz w:val="25"/>
          <w:szCs w:val="25"/>
        </w:rPr>
        <w:t xml:space="preserve">线圈平均直径≤φ6 </w:t>
      </w:r>
      <w:r>
        <w:rPr>
          <w:rFonts w:ascii="Times New Roman" w:eastAsia="Times New Roman" w:hAnsi="Times New Roman" w:cs="Times New Roman"/>
          <w:spacing w:val="-13"/>
          <w:sz w:val="25"/>
          <w:szCs w:val="25"/>
        </w:rPr>
        <w:t>mm;</w:t>
      </w:r>
    </w:p>
    <w:p>
      <w:pPr>
        <w:pStyle w:val="BodyText"/>
        <w:spacing w:before="114" w:line="212" w:lineRule="auto"/>
        <w:ind w:left="489"/>
      </w:pPr>
      <w:r>
        <w:rPr>
          <w:rFonts w:ascii="Times New Roman" w:eastAsia="Times New Roman" w:hAnsi="Times New Roman" w:cs="Times New Roman"/>
          <w:spacing w:val="29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spacing w:val="29"/>
        </w:rPr>
        <w:t>频率为1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spacing w:val="29"/>
        </w:rPr>
        <w:t>时，在空气(油中)的电感量约为2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mH</w:t>
      </w:r>
      <w:r>
        <w:rPr>
          <w:rFonts w:ascii="Times New Roman" w:eastAsia="Times New Roman" w:hAnsi="Times New Roman" w:cs="Times New Roman"/>
          <w:spacing w:val="29"/>
        </w:rPr>
        <w:t>,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29"/>
        </w:rPr>
        <w:t>电阻范围为</w:t>
      </w:r>
      <w:r>
        <w:rPr>
          <w:spacing w:val="28"/>
        </w:rPr>
        <w:t>20</w:t>
      </w:r>
      <w:r>
        <w:rPr>
          <w:spacing w:val="88"/>
        </w:rPr>
        <w:t xml:space="preserve"> </w:t>
      </w:r>
      <w:r>
        <w:rPr>
          <w:spacing w:val="28"/>
        </w:rPr>
        <w:t>Ω~</w:t>
      </w:r>
    </w:p>
    <w:p>
      <w:pPr>
        <w:pStyle w:val="BodyText"/>
        <w:spacing w:before="158" w:line="186" w:lineRule="auto"/>
      </w:pPr>
      <w:r>
        <w:rPr>
          <w:spacing w:val="-19"/>
        </w:rPr>
        <w:t>25</w:t>
      </w:r>
      <w:r>
        <w:rPr>
          <w:spacing w:val="44"/>
        </w:rPr>
        <w:t xml:space="preserve"> </w:t>
      </w:r>
      <w:r>
        <w:rPr>
          <w:spacing w:val="-19"/>
        </w:rPr>
        <w:t>Ω.</w:t>
      </w:r>
    </w:p>
    <w:p>
      <w:pPr>
        <w:pStyle w:val="BodyText"/>
        <w:spacing w:before="132" w:line="219" w:lineRule="auto"/>
      </w:pPr>
      <w:r>
        <w:rPr>
          <w:spacing w:val="3"/>
        </w:rPr>
        <w:t>6.2.5</w:t>
      </w:r>
      <w:r>
        <w:rPr>
          <w:spacing w:val="30"/>
        </w:rPr>
        <w:t xml:space="preserve">  </w:t>
      </w:r>
      <w:r>
        <w:rPr>
          <w:spacing w:val="3"/>
        </w:rPr>
        <w:t>涡流电导率仪</w:t>
      </w:r>
    </w:p>
    <w:p>
      <w:pPr>
        <w:pStyle w:val="BodyText"/>
        <w:spacing w:before="60" w:line="212" w:lineRule="auto"/>
        <w:ind w:left="48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13"/>
          <w:sz w:val="25"/>
          <w:szCs w:val="25"/>
        </w:rPr>
        <w:t xml:space="preserve">a)  </w:t>
      </w:r>
      <w:r>
        <w:rPr>
          <w:spacing w:val="13"/>
          <w:sz w:val="25"/>
          <w:szCs w:val="25"/>
        </w:rPr>
        <w:t>测量不确定度小于0.5%,分辨率优于0.01%</w:t>
      </w:r>
      <w:r>
        <w:rPr>
          <w:rFonts w:ascii="Times New Roman" w:eastAsia="Times New Roman" w:hAnsi="Times New Roman" w:cs="Times New Roman"/>
          <w:sz w:val="25"/>
          <w:szCs w:val="25"/>
        </w:rPr>
        <w:t>IACS</w:t>
      </w:r>
      <w:r>
        <w:rPr>
          <w:rFonts w:ascii="Times New Roman" w:eastAsia="Times New Roman" w:hAnsi="Times New Roman" w:cs="Times New Roman"/>
          <w:spacing w:val="13"/>
          <w:sz w:val="25"/>
          <w:szCs w:val="25"/>
        </w:rPr>
        <w:t>;</w:t>
      </w:r>
    </w:p>
    <w:p>
      <w:pPr>
        <w:pStyle w:val="BodyText"/>
        <w:spacing w:before="103" w:line="263" w:lineRule="auto"/>
        <w:ind w:right="144" w:firstLine="489"/>
      </w:pPr>
      <w:r>
        <w:rPr>
          <w:rFonts w:ascii="Times New Roman" w:eastAsia="Times New Roman" w:hAnsi="Times New Roman" w:cs="Times New Roman"/>
          <w:spacing w:val="9"/>
          <w:sz w:val="25"/>
          <w:szCs w:val="25"/>
        </w:rPr>
        <w:t xml:space="preserve">b)  </w:t>
      </w:r>
      <w:r>
        <w:rPr>
          <w:spacing w:val="9"/>
          <w:sz w:val="25"/>
          <w:szCs w:val="25"/>
        </w:rPr>
        <w:t>重复性优于±0.3%</w:t>
      </w:r>
      <w:r>
        <w:rPr>
          <w:rFonts w:ascii="Times New Roman" w:eastAsia="Times New Roman" w:hAnsi="Times New Roman" w:cs="Times New Roman"/>
          <w:sz w:val="25"/>
          <w:szCs w:val="25"/>
        </w:rPr>
        <w:t>IACS</w:t>
      </w:r>
      <w:r>
        <w:rPr>
          <w:rFonts w:ascii="Times New Roman" w:eastAsia="Times New Roman" w:hAnsi="Times New Roman" w:cs="Times New Roman"/>
          <w:spacing w:val="9"/>
          <w:sz w:val="25"/>
          <w:szCs w:val="25"/>
        </w:rPr>
        <w:t xml:space="preserve"> </w:t>
      </w:r>
      <w:r>
        <w:rPr>
          <w:spacing w:val="9"/>
          <w:sz w:val="25"/>
          <w:szCs w:val="25"/>
        </w:rPr>
        <w:t>或者±0.17</w:t>
      </w:r>
      <w:r>
        <w:rPr>
          <w:spacing w:val="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MS</w:t>
      </w:r>
      <w:r>
        <w:rPr>
          <w:rFonts w:ascii="Times New Roman" w:eastAsia="Times New Roman" w:hAnsi="Times New Roman" w:cs="Times New Roman"/>
          <w:spacing w:val="8"/>
          <w:sz w:val="25"/>
          <w:szCs w:val="25"/>
        </w:rPr>
        <w:t xml:space="preserve">/m,30      </w:t>
      </w:r>
      <w:r>
        <w:rPr>
          <w:rFonts w:ascii="Times New Roman" w:eastAsia="Times New Roman" w:hAnsi="Times New Roman" w:cs="Times New Roman"/>
          <w:sz w:val="25"/>
          <w:szCs w:val="25"/>
        </w:rPr>
        <w:t>min</w:t>
      </w:r>
      <w:r>
        <w:rPr>
          <w:spacing w:val="8"/>
          <w:sz w:val="25"/>
          <w:szCs w:val="25"/>
        </w:rPr>
        <w:t>内稳定性优于±0.3%</w:t>
      </w:r>
      <w:r>
        <w:rPr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spacing w:val="3"/>
        </w:rPr>
        <w:t xml:space="preserve">或者±0.17 </w:t>
      </w:r>
      <w:r>
        <w:rPr>
          <w:rFonts w:ascii="Times New Roman" w:eastAsia="Times New Roman" w:hAnsi="Times New Roman" w:cs="Times New Roman"/>
        </w:rPr>
        <w:t>MS</w:t>
      </w:r>
      <w:r>
        <w:rPr>
          <w:rFonts w:ascii="Times New Roman" w:eastAsia="Times New Roman" w:hAnsi="Times New Roman" w:cs="Times New Roman"/>
          <w:spacing w:val="3"/>
        </w:rPr>
        <w:t>/m</w:t>
      </w:r>
      <w:r>
        <w:rPr>
          <w:spacing w:val="3"/>
        </w:rPr>
        <w:t>。</w:t>
      </w:r>
    </w:p>
    <w:p>
      <w:pPr>
        <w:spacing w:before="278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5"/>
          <w:sz w:val="23"/>
          <w:szCs w:val="23"/>
        </w:rPr>
        <w:t>7</w:t>
      </w:r>
      <w:r>
        <w:rPr>
          <w:rFonts w:ascii="SimHei" w:eastAsia="SimHei" w:hAnsi="SimHei" w:cs="SimHei"/>
          <w:spacing w:val="27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3"/>
          <w:szCs w:val="23"/>
        </w:rPr>
        <w:t>校准项目和校准方法</w:t>
      </w:r>
    </w:p>
    <w:p>
      <w:pPr>
        <w:pStyle w:val="BodyText"/>
        <w:spacing w:before="290" w:line="219" w:lineRule="auto"/>
      </w:pPr>
      <w:r>
        <w:rPr>
          <w:spacing w:val="2"/>
        </w:rPr>
        <w:t>7.1</w:t>
      </w:r>
      <w:r>
        <w:rPr>
          <w:spacing w:val="34"/>
        </w:rPr>
        <w:t xml:space="preserve">  </w:t>
      </w:r>
      <w:r>
        <w:rPr>
          <w:spacing w:val="2"/>
        </w:rPr>
        <w:t>校准前检查</w:t>
      </w:r>
    </w:p>
    <w:p>
      <w:pPr>
        <w:pStyle w:val="BodyText"/>
        <w:spacing w:before="117" w:line="219" w:lineRule="auto"/>
        <w:rPr>
          <w:sz w:val="25"/>
          <w:szCs w:val="25"/>
        </w:rPr>
      </w:pPr>
      <w:r>
        <w:rPr>
          <w:spacing w:val="-9"/>
          <w:sz w:val="25"/>
          <w:szCs w:val="25"/>
        </w:rPr>
        <w:t>7.1.1  样块外观完好，无机械损伤，测量平面清洁，无划痕，无非导电膜层及氧化层。</w:t>
      </w:r>
    </w:p>
    <w:p>
      <w:pPr>
        <w:pStyle w:val="BodyText"/>
        <w:spacing w:before="85" w:line="219" w:lineRule="auto"/>
        <w:rPr>
          <w:sz w:val="25"/>
          <w:szCs w:val="25"/>
        </w:rPr>
      </w:pPr>
      <w:r>
        <w:rPr>
          <w:spacing w:val="-8"/>
          <w:sz w:val="25"/>
          <w:szCs w:val="25"/>
        </w:rPr>
        <w:t>7.1.2</w:t>
      </w:r>
      <w:r>
        <w:rPr>
          <w:spacing w:val="117"/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样块具有清晰标记，如型号、编号、制造厂及电导率标称值等。</w:t>
      </w:r>
    </w:p>
    <w:p>
      <w:pPr>
        <w:pStyle w:val="BodyText"/>
        <w:spacing w:before="63" w:line="220" w:lineRule="auto"/>
      </w:pPr>
      <w:r>
        <w:rPr>
          <w:spacing w:val="6"/>
        </w:rPr>
        <w:t>7.2</w:t>
      </w:r>
      <w:r>
        <w:rPr>
          <w:spacing w:val="15"/>
        </w:rPr>
        <w:t xml:space="preserve">  </w:t>
      </w:r>
      <w:r>
        <w:rPr>
          <w:spacing w:val="6"/>
        </w:rPr>
        <w:t>校准原理</w:t>
      </w:r>
    </w:p>
    <w:p>
      <w:pPr>
        <w:pStyle w:val="BodyText"/>
        <w:spacing w:before="124" w:line="219" w:lineRule="auto"/>
      </w:pPr>
      <w:r>
        <w:rPr>
          <w:spacing w:val="2"/>
        </w:rPr>
        <w:t>7.2.1</w:t>
      </w:r>
      <w:r>
        <w:rPr>
          <w:spacing w:val="36"/>
        </w:rPr>
        <w:t xml:space="preserve">  </w:t>
      </w:r>
      <w:r>
        <w:rPr>
          <w:spacing w:val="2"/>
        </w:rPr>
        <w:t>曲线拟合法</w:t>
      </w:r>
    </w:p>
    <w:p>
      <w:pPr>
        <w:pStyle w:val="BodyText"/>
        <w:spacing w:before="107" w:line="262" w:lineRule="auto"/>
        <w:ind w:right="156" w:firstLine="489"/>
        <w:sectPr>
          <w:headerReference w:type="default" r:id="rId16"/>
          <w:footerReference w:type="default" r:id="rId17"/>
          <w:pgSz w:w="11900" w:h="16840"/>
          <w:pgMar w:top="1620" w:right="1499" w:bottom="872" w:left="1090" w:header="1289" w:footer="713" w:gutter="0"/>
          <w:pgNumType w:start="5"/>
          <w:cols w:space="708"/>
        </w:sectPr>
      </w:pPr>
      <w:r>
        <w:rPr>
          <w:spacing w:val="11"/>
        </w:rPr>
        <w:t>样块形状与测量频率确定后，放置样块上的探头测</w:t>
      </w:r>
      <w:r>
        <w:rPr>
          <w:spacing w:val="10"/>
        </w:rPr>
        <w:t>得的阻抗与样块电导率相关，因</w:t>
      </w:r>
      <w:r>
        <w:t xml:space="preserve"> </w:t>
      </w:r>
      <w:r>
        <w:rPr>
          <w:spacing w:val="9"/>
        </w:rPr>
        <w:t>此可通过测得的阻抗与样块的电导率进行曲</w:t>
      </w:r>
      <w:r>
        <w:rPr>
          <w:spacing w:val="8"/>
        </w:rPr>
        <w:t>线拟合。</w:t>
      </w:r>
    </w:p>
    <w:p>
      <w:pPr>
        <w:pStyle w:val="BodyText"/>
        <w:spacing w:before="129" w:line="277" w:lineRule="auto"/>
        <w:ind w:right="160" w:firstLine="489"/>
      </w:pPr>
      <w:r>
        <w:rPr>
          <w:spacing w:val="16"/>
        </w:rPr>
        <w:t>测量原理：探头线圈由阻抗电桥提供频率为60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</w:rPr>
        <w:t>kHz</w:t>
      </w:r>
      <w:r>
        <w:rPr>
          <w:spacing w:val="16"/>
        </w:rPr>
        <w:t>～</w:t>
      </w:r>
      <w:r>
        <w:rPr>
          <w:rFonts w:ascii="Times New Roman" w:eastAsia="Times New Roman" w:hAnsi="Times New Roman" w:cs="Times New Roman"/>
          <w:spacing w:val="16"/>
        </w:rPr>
        <w:t xml:space="preserve">500    </w:t>
      </w:r>
      <w:r>
        <w:rPr>
          <w:rFonts w:ascii="Times New Roman" w:eastAsia="Times New Roman" w:hAnsi="Times New Roman" w:cs="Times New Roman"/>
        </w:rPr>
        <w:t>kHz</w:t>
      </w:r>
      <w:r>
        <w:rPr>
          <w:spacing w:val="16"/>
        </w:rPr>
        <w:t>的</w:t>
      </w:r>
      <w:r>
        <w:rPr>
          <w:spacing w:val="15"/>
        </w:rPr>
        <w:t>激励源，通过线</w:t>
      </w:r>
      <w:r>
        <w:t xml:space="preserve"> </w:t>
      </w:r>
      <w:r>
        <w:rPr>
          <w:spacing w:val="11"/>
        </w:rPr>
        <w:t>圈产生高频交变磁场并作用于样块上，在样块内产生感应涡流</w:t>
      </w:r>
      <w:r>
        <w:rPr>
          <w:spacing w:val="10"/>
        </w:rPr>
        <w:t>且正比于频率与电导率的</w:t>
      </w:r>
      <w:r>
        <w:t xml:space="preserve"> </w:t>
      </w:r>
      <w:r>
        <w:rPr>
          <w:spacing w:val="20"/>
        </w:rPr>
        <w:t>乘积，涡流所产生磁场又作用于探头线圈，改变其阻抗(电阻),探</w:t>
      </w:r>
      <w:r>
        <w:rPr>
          <w:spacing w:val="19"/>
        </w:rPr>
        <w:t>头线圈阻抗变化与</w:t>
      </w:r>
      <w:r>
        <w:t xml:space="preserve"> </w:t>
      </w:r>
      <w:r>
        <w:rPr>
          <w:spacing w:val="16"/>
        </w:rPr>
        <w:t>样块电导率有关，测量结果依据最小二乘法由式(2</w:t>
      </w:r>
      <w:r>
        <w:rPr>
          <w:spacing w:val="15"/>
        </w:rPr>
        <w:t>)得到：</w:t>
      </w:r>
    </w:p>
    <w:p>
      <w:pPr>
        <w:pStyle w:val="BodyText"/>
        <w:spacing w:before="71" w:line="232" w:lineRule="auto"/>
        <w:ind w:left="2319"/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lno=A₀+A₁</w:t>
      </w:r>
      <w:r>
        <w:rPr>
          <w:spacing w:val="-1"/>
          <w:sz w:val="25"/>
          <w:szCs w:val="25"/>
        </w:rPr>
        <w:t>△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R+A₂(</w:t>
      </w:r>
      <w:r>
        <w:rPr>
          <w:spacing w:val="-1"/>
          <w:sz w:val="25"/>
          <w:szCs w:val="25"/>
        </w:rPr>
        <w:t>△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R)²+A₃(</w:t>
      </w:r>
      <w:r>
        <w:rPr>
          <w:spacing w:val="-1"/>
          <w:sz w:val="25"/>
          <w:szCs w:val="25"/>
        </w:rPr>
        <w:t>△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R)³                                              </w:t>
      </w:r>
      <w:r>
        <w:rPr>
          <w:spacing w:val="-1"/>
          <w:position w:val="-5"/>
        </w:rPr>
        <w:t>(2)</w:t>
      </w:r>
    </w:p>
    <w:p>
      <w:pPr>
        <w:spacing w:line="232" w:lineRule="auto"/>
        <w:sectPr>
          <w:headerReference w:type="default" r:id="rId18"/>
          <w:footerReference w:type="default" r:id="rId19"/>
          <w:type w:val="nextPage"/>
          <w:pgSz w:w="11900" w:h="16840"/>
          <w:pgMar w:top="1620" w:right="1499" w:bottom="872" w:left="1090" w:header="1289" w:footer="713" w:gutter="0"/>
          <w:pgNumType w:start="6"/>
          <w:cols w:space="708"/>
          <w:titlePg w:val="0"/>
        </w:sectPr>
      </w:pPr>
    </w:p>
    <w:p>
      <w:pPr>
        <w:pStyle w:val="BodyText"/>
        <w:spacing w:before="250" w:line="220" w:lineRule="auto"/>
        <w:ind w:left="519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2844795</wp:posOffset>
            </wp:positionH>
            <wp:positionV relativeFrom="page">
              <wp:posOffset>5714980</wp:posOffset>
            </wp:positionV>
            <wp:extent cx="1904993" cy="336521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04993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>式中：</w:t>
      </w:r>
    </w:p>
    <w:p>
      <w:pPr>
        <w:pStyle w:val="BodyText"/>
        <w:spacing w:before="75" w:line="370" w:lineRule="exact"/>
        <w:ind w:left="479"/>
      </w:pPr>
      <w:r>
        <w:rPr>
          <w:rFonts w:ascii="Times New Roman" w:eastAsia="Times New Roman" w:hAnsi="Times New Roman" w:cs="Times New Roman"/>
          <w:spacing w:val="9"/>
          <w:position w:val="10"/>
        </w:rPr>
        <w:t>o   ——</w:t>
      </w:r>
      <w:r>
        <w:rPr>
          <w:spacing w:val="9"/>
          <w:position w:val="10"/>
        </w:rPr>
        <w:t>样块电导率，%</w:t>
      </w:r>
      <w:r>
        <w:rPr>
          <w:rFonts w:ascii="Times New Roman" w:eastAsia="Times New Roman" w:hAnsi="Times New Roman" w:cs="Times New Roman"/>
          <w:position w:val="10"/>
        </w:rPr>
        <w:t>IACS</w:t>
      </w:r>
      <w:r>
        <w:rPr>
          <w:rFonts w:ascii="Times New Roman" w:eastAsia="Times New Roman" w:hAnsi="Times New Roman" w:cs="Times New Roman"/>
          <w:spacing w:val="9"/>
          <w:position w:val="10"/>
        </w:rPr>
        <w:t xml:space="preserve">   </w:t>
      </w:r>
      <w:r>
        <w:rPr>
          <w:spacing w:val="9"/>
          <w:position w:val="10"/>
        </w:rPr>
        <w:t>(</w:t>
      </w:r>
      <w:r>
        <w:rPr>
          <w:spacing w:val="-43"/>
          <w:position w:val="10"/>
        </w:rPr>
        <w:t xml:space="preserve"> </w:t>
      </w:r>
      <w:r>
        <w:rPr>
          <w:spacing w:val="9"/>
          <w:position w:val="10"/>
        </w:rPr>
        <w:t>与</w:t>
      </w:r>
      <w:r>
        <w:rPr>
          <w:spacing w:val="-44"/>
          <w:position w:val="1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10"/>
        </w:rPr>
        <w:t xml:space="preserve">S/m  </w:t>
      </w:r>
      <w:r>
        <w:rPr>
          <w:spacing w:val="9"/>
          <w:position w:val="10"/>
        </w:rPr>
        <w:t>换算关系见3);</w:t>
      </w:r>
    </w:p>
    <w:p>
      <w:pPr>
        <w:pStyle w:val="BodyText"/>
        <w:spacing w:line="219" w:lineRule="auto"/>
        <w:ind w:left="499"/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5"/>
        </w:rPr>
        <w:t>。</w:t>
      </w:r>
      <w:r>
        <w:rPr>
          <w:rFonts w:ascii="Times New Roman" w:eastAsia="Times New Roman" w:hAnsi="Times New Roman" w:cs="Times New Roman"/>
          <w:spacing w:val="-5"/>
        </w:rPr>
        <w:t>——</w:t>
      </w:r>
      <w:r>
        <w:rPr>
          <w:spacing w:val="-5"/>
        </w:rPr>
        <w:t>曲线常数项；</w:t>
      </w:r>
    </w:p>
    <w:p>
      <w:pPr>
        <w:pStyle w:val="BodyText"/>
        <w:spacing w:before="86" w:line="350" w:lineRule="exact"/>
        <w:ind w:left="519"/>
      </w:pPr>
      <w:r>
        <w:rPr>
          <w:rFonts w:ascii="Times New Roman" w:eastAsia="Times New Roman" w:hAnsi="Times New Roman" w:cs="Times New Roman"/>
          <w:spacing w:val="3"/>
          <w:position w:val="8"/>
        </w:rPr>
        <w:t xml:space="preserve">A₁——  </w:t>
      </w:r>
      <w:r>
        <w:rPr>
          <w:spacing w:val="3"/>
          <w:position w:val="8"/>
        </w:rPr>
        <w:t>一次项系数；</w:t>
      </w:r>
    </w:p>
    <w:p>
      <w:pPr>
        <w:pStyle w:val="BodyText"/>
        <w:spacing w:line="219" w:lineRule="auto"/>
        <w:ind w:left="509"/>
      </w:pPr>
      <w:r>
        <w:rPr>
          <w:rFonts w:ascii="Times New Roman" w:eastAsia="Times New Roman" w:hAnsi="Times New Roman" w:cs="Times New Roman"/>
          <w:spacing w:val="3"/>
        </w:rPr>
        <w:t>A₂——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</w:t>
      </w:r>
      <w:r>
        <w:rPr>
          <w:spacing w:val="3"/>
        </w:rPr>
        <w:t>二次项系数；</w:t>
      </w:r>
    </w:p>
    <w:p>
      <w:pPr>
        <w:pStyle w:val="BodyText"/>
        <w:spacing w:before="67" w:line="219" w:lineRule="auto"/>
        <w:ind w:left="529"/>
      </w:pPr>
      <w:r>
        <w:rPr>
          <w:rFonts w:ascii="Times New Roman" w:eastAsia="Times New Roman" w:hAnsi="Times New Roman" w:cs="Times New Roman"/>
          <w:spacing w:val="2"/>
        </w:rPr>
        <w:t xml:space="preserve">A₃——  </w:t>
      </w:r>
      <w:r>
        <w:rPr>
          <w:spacing w:val="2"/>
        </w:rPr>
        <w:t>三次项系数；</w:t>
      </w:r>
    </w:p>
    <w:p>
      <w:pPr>
        <w:pStyle w:val="BodyText"/>
        <w:spacing w:before="77" w:line="219" w:lineRule="auto"/>
        <w:ind w:left="539"/>
      </w:pPr>
      <w:r>
        <w:rPr>
          <w:spacing w:val="1"/>
        </w:rPr>
        <w:t>△R——探头线圈电阻变化量，Ω。</w:t>
      </w:r>
    </w:p>
    <w:p>
      <w:pPr>
        <w:pStyle w:val="BodyText"/>
        <w:spacing w:before="75" w:line="219" w:lineRule="auto"/>
        <w:ind w:left="529"/>
      </w:pPr>
      <w:r>
        <w:rPr>
          <w:spacing w:val="-2"/>
        </w:rPr>
        <w:t>曲线拟合法测量装置由测量探头、阻抗电桥、油槽及计算机等组成，系统框图见图2。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6" w:line="220" w:lineRule="auto"/>
        <w:ind w:left="510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8.9pt;height:15.65pt;margin-top:2.69pt;margin-left:50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jc w:val="right"/>
                  </w:pPr>
                  <w:r>
                    <w:rPr>
                      <w:spacing w:val="-18"/>
                      <w:w w:val="84"/>
                    </w:rPr>
                    <w:t>计算</w:t>
                  </w:r>
                  <w:r>
                    <w:rPr>
                      <w:spacing w:val="-9"/>
                      <w:w w:val="84"/>
                    </w:rPr>
                    <w:t>机</w:t>
                  </w:r>
                </w:p>
              </w:txbxContent>
            </v:textbox>
          </v:shape>
        </w:pict>
      </w:r>
      <w:r>
        <w:pict>
          <v:shape id="_x0000_s1026" type="#_x0000_t202" style="width:38.4pt;height:15.7pt;margin-top:1.73pt;margin-left:151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jc w:val="right"/>
                  </w:pPr>
                  <w:r>
                    <w:rPr>
                      <w:spacing w:val="-19"/>
                      <w:w w:val="86"/>
                    </w:rPr>
                    <w:t>阻</w:t>
                  </w:r>
                  <w:r>
                    <w:rPr>
                      <w:spacing w:val="-18"/>
                      <w:w w:val="86"/>
                    </w:rPr>
                    <w:t>抗电</w:t>
                  </w:r>
                  <w:r>
                    <w:rPr>
                      <w:spacing w:val="-9"/>
                      <w:w w:val="86"/>
                    </w:rPr>
                    <w:t>桥</w:t>
                  </w:r>
                </w:p>
              </w:txbxContent>
            </v:textbox>
          </v:shape>
        </w:pict>
      </w:r>
      <w:r>
        <w:pict>
          <v:shape id="_x0000_s1027" type="#_x0000_t202" style="width:30.15pt;height:13.35pt;margin-top:3.19pt;margin-left:362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2"/>
                      <w:sz w:val="19"/>
                      <w:szCs w:val="19"/>
                    </w:rPr>
                    <w:t>基准块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311101</wp:posOffset>
            </wp:positionH>
            <wp:positionV relativeFrom="paragraph">
              <wp:posOffset>-383899</wp:posOffset>
            </wp:positionV>
            <wp:extent cx="5232422" cy="98422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32422" cy="984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  <w:w w:val="92"/>
        </w:rPr>
        <w:t>测量电桥</w:t>
      </w:r>
    </w:p>
    <w:p>
      <w:pPr>
        <w:pStyle w:val="BodyText"/>
        <w:spacing w:before="233" w:line="219" w:lineRule="auto"/>
        <w:ind w:left="5579"/>
        <w:rPr>
          <w:sz w:val="19"/>
          <w:szCs w:val="19"/>
        </w:rPr>
      </w:pPr>
      <w:r>
        <w:rPr>
          <w:spacing w:val="-6"/>
          <w:sz w:val="19"/>
          <w:szCs w:val="19"/>
        </w:rPr>
        <w:t>油</w:t>
      </w:r>
      <w:r>
        <w:rPr>
          <w:spacing w:val="-10"/>
          <w:sz w:val="19"/>
          <w:szCs w:val="19"/>
        </w:rPr>
        <w:t xml:space="preserve"> </w:t>
      </w:r>
      <w:r>
        <w:rPr>
          <w:spacing w:val="-6"/>
          <w:sz w:val="19"/>
          <w:szCs w:val="19"/>
        </w:rPr>
        <w:t>槽</w:t>
      </w:r>
    </w:p>
    <w:p>
      <w:pPr>
        <w:pStyle w:val="BodyText"/>
        <w:spacing w:before="305" w:line="219" w:lineRule="auto"/>
        <w:ind w:left="3419"/>
      </w:pPr>
      <w:r>
        <w:rPr>
          <w:spacing w:val="-14"/>
          <w:sz w:val="20"/>
          <w:szCs w:val="20"/>
        </w:rPr>
        <w:t xml:space="preserve">图 2  </w:t>
      </w:r>
      <w:r>
        <w:rPr>
          <w:spacing w:val="-14"/>
        </w:rPr>
        <w:t>曲线拟合法测量框图</w:t>
      </w:r>
    </w:p>
    <w:p>
      <w:pPr>
        <w:pStyle w:val="BodyText"/>
        <w:spacing w:before="99" w:line="260" w:lineRule="auto"/>
        <w:ind w:left="69" w:right="86" w:firstLine="469"/>
      </w:pPr>
      <w:r>
        <w:rPr>
          <w:spacing w:val="18"/>
        </w:rPr>
        <w:t>曲线在不同范围内斜率变化不同，因此将整个测量量程分成两段，即0.5%</w:t>
      </w:r>
      <w:r>
        <w:rPr>
          <w:rFonts w:ascii="Times New Roman" w:eastAsia="Times New Roman" w:hAnsi="Times New Roman" w:cs="Times New Roman"/>
        </w:rPr>
        <w:t>IACS</w:t>
      </w:r>
      <w:r>
        <w:rPr>
          <w:spacing w:val="18"/>
        </w:rPr>
        <w:t>~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24%IACS  </w:t>
      </w:r>
      <w:r>
        <w:rPr>
          <w:spacing w:val="-2"/>
        </w:rPr>
        <w:t>与</w:t>
      </w:r>
      <w:r>
        <w:rPr>
          <w:spacing w:val="-15"/>
        </w:rPr>
        <w:t xml:space="preserve"> </w:t>
      </w:r>
      <w:r>
        <w:rPr>
          <w:spacing w:val="-2"/>
        </w:rPr>
        <w:t>2</w:t>
      </w:r>
      <w:r>
        <w:rPr>
          <w:spacing w:val="-32"/>
        </w:rPr>
        <w:t xml:space="preserve"> </w:t>
      </w:r>
      <w:r>
        <w:rPr>
          <w:spacing w:val="-2"/>
        </w:rPr>
        <w:t>4</w:t>
      </w:r>
      <w:r>
        <w:rPr>
          <w:spacing w:val="-37"/>
        </w:rPr>
        <w:t xml:space="preserve"> </w:t>
      </w:r>
      <w:r>
        <w:rPr>
          <w:spacing w:val="-2"/>
        </w:rPr>
        <w:t>%</w:t>
      </w:r>
      <w:r>
        <w:rPr>
          <w:rFonts w:ascii="Times New Roman" w:eastAsia="Times New Roman" w:hAnsi="Times New Roman" w:cs="Times New Roman"/>
          <w:spacing w:val="-2"/>
        </w:rPr>
        <w:t>IACS</w:t>
      </w:r>
      <w:r>
        <w:rPr>
          <w:spacing w:val="-2"/>
        </w:rPr>
        <w:t>～</w:t>
      </w:r>
      <w:r>
        <w:rPr>
          <w:rFonts w:ascii="Times New Roman" w:eastAsia="Times New Roman" w:hAnsi="Times New Roman" w:cs="Times New Roman"/>
          <w:spacing w:val="-2"/>
        </w:rPr>
        <w:t>101%IACS</w:t>
      </w:r>
      <w:r>
        <w:rPr>
          <w:spacing w:val="-2"/>
        </w:rPr>
        <w:t>。</w:t>
      </w:r>
    </w:p>
    <w:p>
      <w:pPr>
        <w:pStyle w:val="BodyText"/>
        <w:spacing w:before="102" w:line="219" w:lineRule="auto"/>
        <w:ind w:left="59"/>
      </w:pPr>
      <w:r>
        <w:t>7.2.2</w:t>
      </w:r>
      <w:r>
        <w:rPr>
          <w:spacing w:val="11"/>
        </w:rPr>
        <w:t xml:space="preserve">  </w:t>
      </w:r>
      <w:r>
        <w:t>插值法</w:t>
      </w:r>
    </w:p>
    <w:p>
      <w:pPr>
        <w:pStyle w:val="BodyText"/>
        <w:spacing w:before="58" w:line="268" w:lineRule="auto"/>
        <w:ind w:left="59" w:right="36" w:firstLine="469"/>
        <w:jc w:val="both"/>
      </w:pPr>
      <w:r>
        <w:rPr>
          <w:spacing w:val="14"/>
        </w:rPr>
        <w:t>插值法仅用于工作样块校准，选择2块二级样块，其电导率值范围包含被校样块电</w:t>
      </w:r>
      <w:r>
        <w:rPr>
          <w:spacing w:val="3"/>
        </w:rPr>
        <w:t xml:space="preserve"> </w:t>
      </w:r>
      <w:r>
        <w:rPr>
          <w:spacing w:val="11"/>
        </w:rPr>
        <w:t>导率值且数值尽量接近。校准时利用涡流电导率仪对二级样块依次测量后再对被校样块</w:t>
      </w:r>
      <w:r>
        <w:t xml:space="preserve"> </w:t>
      </w:r>
      <w:r>
        <w:rPr>
          <w:spacing w:val="23"/>
        </w:rPr>
        <w:t>进行测量，测量结果可由式(3)计算得到</w:t>
      </w:r>
    </w:p>
    <w:p>
      <w:pPr>
        <w:pStyle w:val="BodyText"/>
        <w:spacing w:before="221" w:line="222" w:lineRule="auto"/>
        <w:ind w:left="8869"/>
      </w:pPr>
      <w:r>
        <w:rPr>
          <w:spacing w:val="-11"/>
        </w:rPr>
        <w:t>(3)</w:t>
      </w:r>
    </w:p>
    <w:p>
      <w:pPr>
        <w:pStyle w:val="BodyText"/>
        <w:spacing w:before="270" w:line="220" w:lineRule="auto"/>
        <w:ind w:left="559"/>
      </w:pPr>
      <w:r>
        <w:rPr>
          <w:spacing w:val="-8"/>
        </w:rPr>
        <w:t>式中：</w:t>
      </w:r>
    </w:p>
    <w:p>
      <w:pPr>
        <w:pStyle w:val="BodyText"/>
        <w:spacing w:before="60" w:line="360" w:lineRule="exact"/>
        <w:ind w:left="529"/>
        <w:rPr>
          <w:rFonts w:ascii="Times New Roman" w:eastAsia="Times New Roman" w:hAnsi="Times New Roman" w:cs="Times New Roman"/>
        </w:rPr>
      </w:pPr>
      <w:r>
        <w:rPr>
          <w:spacing w:val="-3"/>
          <w:position w:val="9"/>
        </w:rPr>
        <w:t>σ</w:t>
      </w:r>
      <w:r>
        <w:rPr>
          <w:rFonts w:ascii="Calibri" w:eastAsia="Calibri" w:hAnsi="Calibri" w:cs="Calibri"/>
          <w:spacing w:val="-3"/>
          <w:position w:val="9"/>
        </w:rPr>
        <w:t>₄</w:t>
      </w:r>
      <w:r>
        <w:rPr>
          <w:spacing w:val="-3"/>
          <w:position w:val="9"/>
        </w:rPr>
        <w:t xml:space="preserve">——被校样块的电导率校准结果， </w:t>
      </w:r>
      <w:r>
        <w:rPr>
          <w:rFonts w:ascii="Times New Roman" w:eastAsia="Times New Roman" w:hAnsi="Times New Roman" w:cs="Times New Roman"/>
          <w:spacing w:val="-3"/>
          <w:position w:val="9"/>
        </w:rPr>
        <w:t>IACS;</w:t>
      </w:r>
    </w:p>
    <w:p>
      <w:pPr>
        <w:pStyle w:val="BodyText"/>
        <w:spacing w:before="1" w:line="212" w:lineRule="auto"/>
        <w:ind w:left="4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oa</w:t>
      </w:r>
      <w:r>
        <w:rPr>
          <w:rFonts w:ascii="Times New Roman" w:eastAsia="Times New Roman" w:hAnsi="Times New Roman" w:cs="Times New Roman"/>
          <w:spacing w:val="6"/>
        </w:rPr>
        <w:t>——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spacing w:val="6"/>
        </w:rPr>
        <w:t>低端基准样块电导率标称值，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6"/>
        </w:rPr>
        <w:t>;</w:t>
      </w:r>
    </w:p>
    <w:p>
      <w:pPr>
        <w:pStyle w:val="BodyText"/>
        <w:spacing w:before="114" w:line="212" w:lineRule="auto"/>
        <w:ind w:left="4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6"/>
        </w:rPr>
        <w:t>σg——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6"/>
        </w:rPr>
        <w:t>高端基准样块电导率标称值，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6"/>
        </w:rPr>
        <w:t>;</w:t>
      </w:r>
    </w:p>
    <w:p>
      <w:pPr>
        <w:pStyle w:val="BodyText"/>
        <w:spacing w:before="87" w:line="212" w:lineRule="auto"/>
        <w:ind w:left="55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oo</w:t>
      </w:r>
      <w:r>
        <w:rPr>
          <w:rFonts w:ascii="Times New Roman" w:eastAsia="Times New Roman" w:hAnsi="Times New Roman" w:cs="Times New Roman"/>
          <w:spacing w:val="3"/>
        </w:rPr>
        <w:t>——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3"/>
        </w:rPr>
        <w:t>涡流电导率测量设备测定的被校样块电导率值</w:t>
      </w:r>
      <w:r>
        <w:rPr>
          <w:spacing w:val="2"/>
        </w:rPr>
        <w:t xml:space="preserve">， 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2"/>
        </w:rPr>
        <w:t>;</w:t>
      </w:r>
    </w:p>
    <w:p>
      <w:pPr>
        <w:pStyle w:val="BodyText"/>
        <w:spacing w:before="126" w:line="264" w:lineRule="auto"/>
        <w:ind w:left="499" w:right="1750"/>
      </w:pPr>
      <w:r>
        <w:rPr>
          <w:rFonts w:ascii="Arial" w:eastAsia="Arial" w:hAnsi="Arial" w:cs="Arial"/>
          <w:spacing w:val="4"/>
        </w:rPr>
        <w:t xml:space="preserve">c  </w:t>
      </w:r>
      <w:r>
        <w:rPr>
          <w:rFonts w:ascii="Arial" w:eastAsia="Arial" w:hAnsi="Arial" w:cs="Arial"/>
          <w:spacing w:val="4"/>
          <w:u w:val="single" w:color="auto"/>
        </w:rPr>
        <w:t xml:space="preserve">        </w:t>
      </w:r>
      <w:r>
        <w:rPr>
          <w:spacing w:val="4"/>
        </w:rPr>
        <w:t xml:space="preserve">涡流电导率测量设备测定的低端二级样块电导率值， 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4"/>
        </w:rPr>
        <w:t>;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2"/>
        </w:rPr>
        <w:t>0</w:t>
      </w:r>
      <w:r>
        <w:rPr>
          <w:spacing w:val="42"/>
        </w:rPr>
        <w:t xml:space="preserve"> </w:t>
      </w:r>
      <w:r>
        <w:rPr>
          <w:strike/>
          <w:spacing w:val="12"/>
        </w:rPr>
        <w:t xml:space="preserve">    </w:t>
      </w:r>
      <w:r>
        <w:rPr>
          <w:spacing w:val="-103"/>
        </w:rPr>
        <w:t xml:space="preserve"> </w:t>
      </w:r>
      <w:r>
        <w:rPr>
          <w:spacing w:val="2"/>
        </w:rPr>
        <w:t xml:space="preserve">涡流电导率测量设备测定的高端二级样块电导率值， </w:t>
      </w:r>
      <w:r>
        <w:rPr>
          <w:rFonts w:ascii="Times New Roman" w:eastAsia="Times New Roman" w:hAnsi="Times New Roman" w:cs="Times New Roman"/>
        </w:rPr>
        <w:t>IACS</w:t>
      </w:r>
      <w:r>
        <w:rPr>
          <w:spacing w:val="2"/>
        </w:rPr>
        <w:t>。</w:t>
      </w:r>
    </w:p>
    <w:p>
      <w:pPr>
        <w:pStyle w:val="BodyText"/>
        <w:spacing w:before="98" w:line="220" w:lineRule="auto"/>
        <w:ind w:left="69"/>
      </w:pPr>
      <w:r>
        <w:t>7.3</w:t>
      </w:r>
      <w:r>
        <w:rPr>
          <w:spacing w:val="11"/>
        </w:rPr>
        <w:t xml:space="preserve">  </w:t>
      </w:r>
      <w:r>
        <w:t>校准方法</w:t>
      </w:r>
    </w:p>
    <w:p>
      <w:pPr>
        <w:pStyle w:val="BodyText"/>
        <w:spacing w:before="64" w:line="219" w:lineRule="auto"/>
        <w:ind w:left="59"/>
      </w:pPr>
      <w:r>
        <w:t>7.3.1</w:t>
      </w:r>
      <w:r>
        <w:rPr>
          <w:spacing w:val="36"/>
        </w:rPr>
        <w:t xml:space="preserve">  </w:t>
      </w:r>
      <w:r>
        <w:t>曲线拟合法</w:t>
      </w:r>
    </w:p>
    <w:p>
      <w:pPr>
        <w:pStyle w:val="BodyText"/>
        <w:spacing w:before="99" w:line="220" w:lineRule="auto"/>
        <w:ind w:left="69"/>
      </w:pPr>
      <w:hyperlink r:id="rId22" w:history="1">
        <w:r>
          <w:rPr>
            <w:spacing w:val="3"/>
          </w:rPr>
          <w:t>7.3.1.1</w:t>
        </w:r>
      </w:hyperlink>
      <w:r>
        <w:rPr>
          <w:spacing w:val="34"/>
        </w:rPr>
        <w:t xml:space="preserve">  </w:t>
      </w:r>
      <w:r>
        <w:rPr>
          <w:spacing w:val="3"/>
        </w:rPr>
        <w:t>系统自校准</w:t>
      </w:r>
    </w:p>
    <w:p>
      <w:pPr>
        <w:pStyle w:val="BodyText"/>
        <w:spacing w:before="20" w:line="212" w:lineRule="auto"/>
        <w:ind w:left="529"/>
        <w:sectPr>
          <w:headerReference w:type="default" r:id="rId23"/>
          <w:footerReference w:type="default" r:id="rId24"/>
          <w:pgSz w:w="11900" w:h="16840"/>
          <w:pgMar w:top="1549" w:right="1284" w:bottom="962" w:left="1360" w:header="1284" w:footer="803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4"/>
        </w:rPr>
        <w:t xml:space="preserve">a)   </w:t>
      </w:r>
      <w:r>
        <w:rPr>
          <w:spacing w:val="4"/>
        </w:rPr>
        <w:t>开启油槽，调整温度，使油槽温度稳定在20</w:t>
      </w:r>
      <w:r>
        <w:rPr>
          <w:spacing w:val="53"/>
        </w:rPr>
        <w:t xml:space="preserve"> </w:t>
      </w:r>
      <w:r>
        <w:rPr>
          <w:spacing w:val="4"/>
        </w:rPr>
        <w:t>℃±0.05</w:t>
      </w:r>
      <w:r>
        <w:rPr>
          <w:spacing w:val="43"/>
        </w:rPr>
        <w:t xml:space="preserve"> </w:t>
      </w:r>
      <w:r>
        <w:rPr>
          <w:spacing w:val="4"/>
        </w:rPr>
        <w:t>℃。</w:t>
      </w:r>
    </w:p>
    <w:p>
      <w:pPr>
        <w:pStyle w:val="BodyText"/>
        <w:spacing w:before="121" w:line="219" w:lineRule="auto"/>
        <w:ind w:left="559"/>
      </w:pPr>
      <w:r>
        <w:rPr>
          <w:spacing w:val="22"/>
        </w:rPr>
        <w:t>b) 将自校用基准样块(不少于13块，其中电导率范围为0.5%</w:t>
      </w:r>
      <w:r>
        <w:t>IACS</w:t>
      </w:r>
      <w:r>
        <w:rPr>
          <w:spacing w:val="22"/>
        </w:rPr>
        <w:t>～</w:t>
      </w:r>
      <w:r>
        <w:rPr>
          <w:spacing w:val="21"/>
        </w:rPr>
        <w:t>24%</w:t>
      </w:r>
      <w:r>
        <w:t>IACS</w:t>
      </w:r>
    </w:p>
    <w:p>
      <w:pPr>
        <w:pStyle w:val="BodyText"/>
        <w:spacing w:before="98" w:line="298" w:lineRule="auto"/>
        <w:ind w:left="69" w:right="21"/>
      </w:pPr>
      <w:r>
        <w:rPr>
          <w:spacing w:val="19"/>
        </w:rPr>
        <w:t>时选用低值不少于5块样块，电导率范围为24%</w:t>
      </w:r>
      <w:r>
        <w:rPr>
          <w:rFonts w:ascii="Times New Roman" w:eastAsia="Times New Roman" w:hAnsi="Times New Roman" w:cs="Times New Roman"/>
        </w:rPr>
        <w:t>IACS</w:t>
      </w:r>
      <w:r>
        <w:rPr>
          <w:spacing w:val="19"/>
        </w:rPr>
        <w:t>～</w:t>
      </w:r>
      <w:r>
        <w:rPr>
          <w:rFonts w:ascii="Times New Roman" w:eastAsia="Times New Roman" w:hAnsi="Times New Roman" w:cs="Times New Roman"/>
          <w:spacing w:val="19"/>
        </w:rPr>
        <w:t>101%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19"/>
        </w:rPr>
        <w:t>时选用高值不少于</w:t>
      </w:r>
      <w:r>
        <w:rPr>
          <w:spacing w:val="13"/>
        </w:rPr>
        <w:t xml:space="preserve"> </w:t>
      </w:r>
      <w:r>
        <w:rPr>
          <w:spacing w:val="23"/>
        </w:rPr>
        <w:t>9块样块)(定值方法见附录</w:t>
      </w:r>
      <w:r>
        <w:rPr>
          <w:spacing w:val="-40"/>
        </w:rPr>
        <w:t xml:space="preserve"> </w:t>
      </w:r>
      <w:r>
        <w:rPr>
          <w:spacing w:val="23"/>
        </w:rPr>
        <w:t>B) 及测量探头置于油槽中(被校样块同时放入),恒温至</w:t>
      </w:r>
    </w:p>
    <w:p>
      <w:pPr>
        <w:pStyle w:val="BodyText"/>
        <w:spacing w:line="221" w:lineRule="auto"/>
        <w:ind w:left="79"/>
      </w:pPr>
      <w:r>
        <w:rPr>
          <w:spacing w:val="4"/>
        </w:rPr>
        <w:t>少30</w:t>
      </w:r>
      <w:r>
        <w:rPr>
          <w:spacing w:val="15"/>
        </w:rPr>
        <w:t xml:space="preserve"> 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4"/>
        </w:rPr>
        <w:t>。</w:t>
      </w:r>
    </w:p>
    <w:p>
      <w:pPr>
        <w:pStyle w:val="BodyText"/>
        <w:spacing w:before="14" w:line="255" w:lineRule="auto"/>
        <w:ind w:left="79" w:firstLine="46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1"/>
        </w:rPr>
        <w:t>c)</w:t>
      </w:r>
      <w:r>
        <w:rPr>
          <w:rFonts w:ascii="Times New Roman" w:eastAsia="Times New Roman" w:hAnsi="Times New Roman" w:cs="Times New Roman"/>
          <w:spacing w:val="30"/>
        </w:rPr>
        <w:t xml:space="preserve">  </w:t>
      </w:r>
      <w:r>
        <w:rPr>
          <w:spacing w:val="21"/>
        </w:rPr>
        <w:t>设置阻抗电桥工作方式为串行方式电阻测量功能，电导率范围为0.5%</w:t>
      </w:r>
      <w:r>
        <w:rPr>
          <w:rFonts w:ascii="Times New Roman" w:eastAsia="Times New Roman" w:hAnsi="Times New Roman" w:cs="Times New Roman"/>
        </w:rPr>
        <w:t>IACS</w:t>
      </w:r>
      <w:r>
        <w:rPr>
          <w:spacing w:val="21"/>
        </w:rPr>
        <w:t>~</w:t>
      </w:r>
      <w:r>
        <w:t xml:space="preserve"> </w:t>
      </w:r>
      <w:r>
        <w:rPr>
          <w:rFonts w:ascii="Times New Roman" w:eastAsia="Times New Roman" w:hAnsi="Times New Roman" w:cs="Times New Roman"/>
          <w:spacing w:val="14"/>
        </w:rPr>
        <w:t>24%</w:t>
      </w:r>
      <w:r>
        <w:rPr>
          <w:rFonts w:ascii="Times New Roman" w:eastAsia="Times New Roman" w:hAnsi="Times New Roman" w:cs="Times New Roman"/>
        </w:rPr>
        <w:t>IACS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14"/>
        </w:rPr>
        <w:t>时频率设置为</w:t>
      </w:r>
      <w:r>
        <w:rPr>
          <w:rFonts w:ascii="Times New Roman" w:eastAsia="Times New Roman" w:hAnsi="Times New Roman" w:cs="Times New Roman"/>
          <w:spacing w:val="14"/>
        </w:rPr>
        <w:t>150</w:t>
      </w:r>
      <w:r>
        <w:rPr>
          <w:rFonts w:ascii="Times New Roman" w:eastAsia="Times New Roman" w:hAnsi="Times New Roman" w:cs="Times New Roman"/>
          <w:spacing w:val="39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14"/>
        </w:rPr>
        <w:t xml:space="preserve">  (</w:t>
      </w:r>
      <w:r>
        <w:rPr>
          <w:spacing w:val="14"/>
        </w:rPr>
        <w:t>或其他频率</w:t>
      </w:r>
      <w:r>
        <w:rPr>
          <w:rFonts w:ascii="Times New Roman" w:eastAsia="Times New Roman" w:hAnsi="Times New Roman" w:cs="Times New Roman"/>
          <w:spacing w:val="14"/>
        </w:rPr>
        <w:t>);</w:t>
      </w:r>
      <w:r>
        <w:rPr>
          <w:spacing w:val="14"/>
        </w:rPr>
        <w:t>电导率范围为</w:t>
      </w:r>
      <w:r>
        <w:rPr>
          <w:rFonts w:ascii="Times New Roman" w:eastAsia="Times New Roman" w:hAnsi="Times New Roman" w:cs="Times New Roman"/>
          <w:spacing w:val="14"/>
        </w:rPr>
        <w:t>24%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</w:t>
      </w:r>
      <w:r>
        <w:t>IACS</w:t>
      </w:r>
      <w:r>
        <w:rPr>
          <w:spacing w:val="14"/>
        </w:rPr>
        <w:t>～101%</w:t>
      </w:r>
      <w:r>
        <w:t>I</w:t>
      </w:r>
      <w:r>
        <w:rPr>
          <w:spacing w:val="14"/>
        </w:rPr>
        <w:t xml:space="preserve">  </w:t>
      </w:r>
      <w:r>
        <w:rPr>
          <w:rFonts w:ascii="Times New Roman" w:eastAsia="Times New Roman" w:hAnsi="Times New Roman" w:cs="Times New Roman"/>
        </w:rPr>
        <w:t>ACS</w:t>
      </w:r>
    </w:p>
    <w:p>
      <w:pPr>
        <w:spacing w:line="255" w:lineRule="auto"/>
        <w:rPr>
          <w:rFonts w:ascii="Times New Roman" w:eastAsia="Times New Roman" w:hAnsi="Times New Roman" w:cs="Times New Roman"/>
        </w:rPr>
        <w:sectPr>
          <w:headerReference w:type="default" r:id="rId25"/>
          <w:footerReference w:type="default" r:id="rId26"/>
          <w:type w:val="nextPage"/>
          <w:pgSz w:w="11900" w:h="16840"/>
          <w:pgMar w:top="1549" w:right="1284" w:bottom="962" w:left="1360" w:header="1284" w:footer="803" w:gutter="0"/>
          <w:pgNumType w:start="8"/>
          <w:cols w:space="708"/>
          <w:titlePg w:val="0"/>
        </w:sectPr>
      </w:pPr>
    </w:p>
    <w:p>
      <w:pPr>
        <w:pStyle w:val="BodyText"/>
        <w:spacing w:before="249" w:line="219" w:lineRule="auto"/>
        <w:ind w:left="59"/>
      </w:pPr>
      <w:r>
        <w:rPr>
          <w:spacing w:val="6"/>
        </w:rPr>
        <w:t xml:space="preserve">时频率设置为60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spacing w:val="6"/>
        </w:rPr>
        <w:t>(或其他频率)。</w:t>
      </w:r>
    </w:p>
    <w:p>
      <w:pPr>
        <w:pStyle w:val="BodyText"/>
        <w:spacing w:before="77" w:line="219" w:lineRule="auto"/>
        <w:jc w:val="right"/>
      </w:pPr>
      <w:r>
        <w:rPr>
          <w:spacing w:val="9"/>
        </w:rPr>
        <w:t>d) 测定探头零位电阻R。 (油槽中探头线圈不放在样块上时阻抗电桥测得的电阻)。</w:t>
      </w:r>
    </w:p>
    <w:p>
      <w:pPr>
        <w:pStyle w:val="BodyText"/>
        <w:spacing w:before="62" w:line="260" w:lineRule="auto"/>
        <w:ind w:left="39" w:right="95" w:firstLine="490"/>
      </w:pPr>
      <w:r>
        <w:rPr>
          <w:rFonts w:ascii="Times New Roman" w:eastAsia="Times New Roman" w:hAnsi="Times New Roman" w:cs="Times New Roman"/>
          <w:spacing w:val="18"/>
        </w:rPr>
        <w:t xml:space="preserve">e)  </w:t>
      </w:r>
      <w:r>
        <w:rPr>
          <w:spacing w:val="18"/>
        </w:rPr>
        <w:t>将第1块样块轻放在托盘上，将探头轻放在</w:t>
      </w:r>
      <w:r>
        <w:rPr>
          <w:spacing w:val="17"/>
        </w:rPr>
        <w:t>样块正面中心部位，读取阻抗电桥</w:t>
      </w:r>
      <w:r>
        <w:t xml:space="preserve"> </w:t>
      </w:r>
      <w:r>
        <w:rPr>
          <w:spacing w:val="10"/>
        </w:rPr>
        <w:t>测定的探头线圈的电阻测量值</w:t>
      </w:r>
      <w:r>
        <w:rPr>
          <w:rFonts w:ascii="Times New Roman" w:eastAsia="Times New Roman" w:hAnsi="Times New Roman" w:cs="Times New Roman"/>
          <w:spacing w:val="10"/>
        </w:rPr>
        <w:t xml:space="preserve">R₁    </w:t>
      </w:r>
      <w:r>
        <w:rPr>
          <w:spacing w:val="10"/>
        </w:rPr>
        <w:t>(第一块基准样块正面电阻)。</w:t>
      </w:r>
    </w:p>
    <w:p>
      <w:pPr>
        <w:pStyle w:val="BodyText"/>
        <w:spacing w:before="62" w:line="260" w:lineRule="auto"/>
        <w:ind w:left="49" w:right="75" w:firstLine="470"/>
      </w:pPr>
      <w:r>
        <w:rPr>
          <w:rFonts w:ascii="Times New Roman" w:eastAsia="Times New Roman" w:hAnsi="Times New Roman" w:cs="Times New Roman"/>
          <w:spacing w:val="11"/>
        </w:rPr>
        <w:t>f)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 </w:t>
      </w:r>
      <w:r>
        <w:rPr>
          <w:spacing w:val="11"/>
        </w:rPr>
        <w:t>完</w:t>
      </w:r>
      <w:r>
        <w:rPr>
          <w:spacing w:val="-43"/>
        </w:rPr>
        <w:t xml:space="preserve"> </w:t>
      </w:r>
      <w:r>
        <w:rPr>
          <w:spacing w:val="11"/>
        </w:rPr>
        <w:t>成</w:t>
      </w:r>
      <w:r>
        <w:rPr>
          <w:rFonts w:ascii="Times New Roman" w:eastAsia="Times New Roman" w:hAnsi="Times New Roman" w:cs="Times New Roman"/>
          <w:spacing w:val="11"/>
        </w:rPr>
        <w:t>R₁₁</w:t>
      </w:r>
      <w:r>
        <w:rPr>
          <w:rFonts w:ascii="Times New Roman" w:eastAsia="Times New Roman" w:hAnsi="Times New Roman" w:cs="Times New Roman"/>
          <w:spacing w:val="56"/>
        </w:rPr>
        <w:t xml:space="preserve"> </w:t>
      </w:r>
      <w:r>
        <w:rPr>
          <w:spacing w:val="11"/>
        </w:rPr>
        <w:t>测定后将基准样块翻面，重复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 xml:space="preserve">d),    </w:t>
      </w:r>
      <w:r>
        <w:rPr>
          <w:spacing w:val="11"/>
        </w:rPr>
        <w:t>读取阻抗电桥测定的探头线圈在基</w:t>
      </w:r>
      <w:r>
        <w:t xml:space="preserve"> </w:t>
      </w:r>
      <w:r>
        <w:rPr>
          <w:spacing w:val="11"/>
        </w:rPr>
        <w:t>准样块反面上的视在电阻</w:t>
      </w:r>
      <w:r>
        <w:rPr>
          <w:rFonts w:ascii="Times New Roman" w:eastAsia="Times New Roman" w:hAnsi="Times New Roman" w:cs="Times New Roman"/>
          <w:spacing w:val="11"/>
        </w:rPr>
        <w:t>R12</w:t>
      </w:r>
      <w:r>
        <w:rPr>
          <w:spacing w:val="11"/>
        </w:rPr>
        <w:t>。</w:t>
      </w:r>
    </w:p>
    <w:p>
      <w:pPr>
        <w:pStyle w:val="BodyText"/>
        <w:spacing w:before="59" w:line="247" w:lineRule="auto"/>
        <w:ind w:left="39" w:right="76" w:firstLine="490"/>
      </w:pPr>
      <w:r>
        <w:rPr>
          <w:rFonts w:ascii="Times New Roman" w:eastAsia="Times New Roman" w:hAnsi="Times New Roman" w:cs="Times New Roman"/>
          <w:spacing w:val="21"/>
        </w:rPr>
        <w:t xml:space="preserve">g)  </w:t>
      </w:r>
      <w:r>
        <w:rPr>
          <w:spacing w:val="21"/>
        </w:rPr>
        <w:t>完成第1块样块测量后，将其从托盘挪回原来位置，选择第2</w:t>
      </w:r>
      <w:r>
        <w:rPr>
          <w:spacing w:val="20"/>
        </w:rPr>
        <w:t>块样块轻放在托</w:t>
      </w:r>
      <w:r>
        <w:t xml:space="preserve"> </w:t>
      </w:r>
      <w:r>
        <w:rPr>
          <w:spacing w:val="18"/>
        </w:rPr>
        <w:t>盘上，重复</w:t>
      </w:r>
      <w:r>
        <w:rPr>
          <w:rFonts w:ascii="Times New Roman" w:eastAsia="Times New Roman" w:hAnsi="Times New Roman" w:cs="Times New Roman"/>
          <w:spacing w:val="18"/>
        </w:rPr>
        <w:t>e)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8"/>
        </w:rPr>
        <w:t>、</w:t>
      </w:r>
      <w:r>
        <w:rPr>
          <w:rFonts w:ascii="Times New Roman" w:eastAsia="Times New Roman" w:hAnsi="Times New Roman" w:cs="Times New Roman"/>
          <w:spacing w:val="18"/>
        </w:rPr>
        <w:t xml:space="preserve">f)    </w:t>
      </w:r>
      <w:r>
        <w:rPr>
          <w:spacing w:val="18"/>
        </w:rPr>
        <w:t>可由阻抗电桥测量探头线圈</w:t>
      </w:r>
      <w:r>
        <w:rPr>
          <w:spacing w:val="17"/>
        </w:rPr>
        <w:t>在其余基准样块正反面上的视在电阻</w:t>
      </w:r>
    </w:p>
    <w:p>
      <w:pPr>
        <w:pStyle w:val="BodyText"/>
        <w:spacing w:before="92"/>
        <w:ind w:left="19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Ra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sz w:val="36"/>
          <w:szCs w:val="36"/>
        </w:rPr>
        <w:t>Ra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,……,</w:t>
      </w:r>
      <w:r>
        <w:rPr>
          <w:rFonts w:ascii="Times New Roman" w:eastAsia="Times New Roman" w:hAnsi="Times New Roman" w:cs="Times New Roman"/>
          <w:sz w:val="36"/>
          <w:szCs w:val="36"/>
        </w:rPr>
        <w:t>Rx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 xml:space="preserve">,R(i≥5      </w:t>
      </w:r>
      <w:r>
        <w:rPr>
          <w:spacing w:val="-33"/>
          <w:w w:val="90"/>
          <w:sz w:val="36"/>
          <w:szCs w:val="36"/>
        </w:rPr>
        <w:t>或9),并计算其平均值</w:t>
      </w:r>
      <w:r>
        <w:rPr>
          <w:spacing w:val="-146"/>
          <w:sz w:val="36"/>
          <w:szCs w:val="36"/>
        </w:rPr>
        <w:t xml:space="preserve"> </w:t>
      </w:r>
      <w:r>
        <w:rPr>
          <w:position w:val="-12"/>
          <w:sz w:val="36"/>
          <w:szCs w:val="36"/>
        </w:rPr>
        <w:drawing>
          <wp:inline distT="0" distB="0" distL="0" distR="0">
            <wp:extent cx="952496" cy="34283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52496" cy="342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3"/>
          <w:w w:val="90"/>
          <w:sz w:val="42"/>
          <w:szCs w:val="42"/>
        </w:rPr>
        <w:t>,……,R,=</w:t>
      </w:r>
    </w:p>
    <w:p>
      <w:pPr>
        <w:pStyle w:val="BodyText"/>
        <w:spacing w:before="178" w:line="625" w:lineRule="exact"/>
        <w:ind w:left="49"/>
        <w:rPr>
          <w:rFonts w:ascii="Times New Roman" w:eastAsia="Times New Roman" w:hAnsi="Times New Roman" w:cs="Times New Roman"/>
        </w:rPr>
      </w:pPr>
      <w:r>
        <w:rPr>
          <w:position w:val="1"/>
        </w:rPr>
        <w:drawing>
          <wp:inline distT="0" distB="0" distL="0" distR="0">
            <wp:extent cx="584175" cy="31248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4175" cy="31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position w:val="18"/>
        </w:rPr>
        <w:t>,以及探头线圈电阻变化量△</w:t>
      </w:r>
      <w:r>
        <w:rPr>
          <w:rFonts w:ascii="Times New Roman" w:eastAsia="Times New Roman" w:hAnsi="Times New Roman" w:cs="Times New Roman"/>
          <w:spacing w:val="12"/>
          <w:position w:val="18"/>
        </w:rPr>
        <w:t>R₁=(R₁-</w:t>
      </w:r>
      <w:r>
        <w:rPr>
          <w:rFonts w:ascii="Times New Roman" w:eastAsia="Times New Roman" w:hAnsi="Times New Roman" w:cs="Times New Roman"/>
          <w:position w:val="18"/>
        </w:rPr>
        <w:t>Ro</w:t>
      </w:r>
      <w:r>
        <w:rPr>
          <w:rFonts w:ascii="Times New Roman" w:eastAsia="Times New Roman" w:hAnsi="Times New Roman" w:cs="Times New Roman"/>
          <w:spacing w:val="12"/>
          <w:position w:val="18"/>
        </w:rPr>
        <w:t>),</w:t>
      </w:r>
      <w:r>
        <w:rPr>
          <w:spacing w:val="12"/>
          <w:position w:val="18"/>
        </w:rPr>
        <w:t>△</w:t>
      </w:r>
      <w:r>
        <w:rPr>
          <w:rFonts w:ascii="Times New Roman" w:eastAsia="Times New Roman" w:hAnsi="Times New Roman" w:cs="Times New Roman"/>
          <w:spacing w:val="12"/>
          <w:position w:val="18"/>
        </w:rPr>
        <w:t>R₂=(R₂-</w:t>
      </w:r>
      <w:r>
        <w:rPr>
          <w:rFonts w:ascii="Times New Roman" w:eastAsia="Times New Roman" w:hAnsi="Times New Roman" w:cs="Times New Roman"/>
          <w:position w:val="18"/>
        </w:rPr>
        <w:t>Ro</w:t>
      </w:r>
      <w:r>
        <w:rPr>
          <w:rFonts w:ascii="Times New Roman" w:eastAsia="Times New Roman" w:hAnsi="Times New Roman" w:cs="Times New Roman"/>
          <w:spacing w:val="12"/>
          <w:position w:val="18"/>
        </w:rPr>
        <w:t>),……,</w:t>
      </w:r>
    </w:p>
    <w:p>
      <w:pPr>
        <w:pStyle w:val="BodyText"/>
        <w:spacing w:line="212" w:lineRule="auto"/>
        <w:ind w:left="49"/>
      </w:pPr>
      <w:r>
        <w:rPr>
          <w:spacing w:val="-2"/>
        </w:rPr>
        <w:t>△</w:t>
      </w:r>
      <w:r>
        <w:rPr>
          <w:rFonts w:ascii="Times New Roman" w:eastAsia="Times New Roman" w:hAnsi="Times New Roman" w:cs="Times New Roman"/>
          <w:spacing w:val="-2"/>
        </w:rPr>
        <w:t>R;=(R;-R₀)</w:t>
      </w:r>
      <w:r>
        <w:rPr>
          <w:spacing w:val="-2"/>
        </w:rPr>
        <w:t>。</w:t>
      </w:r>
    </w:p>
    <w:p>
      <w:pPr>
        <w:pStyle w:val="BodyText"/>
        <w:spacing w:before="119" w:line="216" w:lineRule="auto"/>
        <w:ind w:left="530"/>
      </w:pPr>
      <w:r>
        <w:rPr>
          <w:spacing w:val="12"/>
        </w:rPr>
        <w:t>h) 利用探头线圈电阻变化量△R</w:t>
      </w:r>
      <w:r>
        <w:rPr>
          <w:rFonts w:ascii="Calibri" w:eastAsia="Calibri" w:hAnsi="Calibri" w:cs="Calibri"/>
          <w:spacing w:val="12"/>
        </w:rPr>
        <w:t>₁</w:t>
      </w:r>
      <w:r>
        <w:rPr>
          <w:spacing w:val="12"/>
        </w:rPr>
        <w:t>,……,△R;</w:t>
      </w:r>
      <w:r>
        <w:rPr>
          <w:spacing w:val="37"/>
        </w:rPr>
        <w:t xml:space="preserve">   </w:t>
      </w:r>
      <w:r>
        <w:rPr>
          <w:spacing w:val="12"/>
        </w:rPr>
        <w:t>及样块的电导率</w:t>
      </w:r>
      <w:r>
        <w:rPr>
          <w:spacing w:val="11"/>
        </w:rPr>
        <w:t>的相关性进行3次</w:t>
      </w:r>
    </w:p>
    <w:p>
      <w:pPr>
        <w:pStyle w:val="BodyText"/>
        <w:spacing w:before="84" w:line="263" w:lineRule="auto"/>
        <w:ind w:left="49" w:right="101" w:firstLine="9"/>
        <w:jc w:val="both"/>
      </w:pPr>
      <w:r>
        <w:rPr>
          <w:spacing w:val="19"/>
        </w:rPr>
        <w:t>方曲线拟合，依据式(2)得到多项式各系数，并计算出各基准样块交流传递所得的电</w:t>
      </w:r>
      <w:r>
        <w:rPr>
          <w:spacing w:val="15"/>
        </w:rPr>
        <w:t xml:space="preserve"> </w:t>
      </w:r>
      <w:r>
        <w:rPr>
          <w:spacing w:val="17"/>
        </w:rPr>
        <w:t>导率值及其与标准值(直流定值)的差值，根据各</w:t>
      </w:r>
      <w:r>
        <w:rPr>
          <w:spacing w:val="16"/>
        </w:rPr>
        <w:t>个差值可得曲线拟合的标准偏差，至</w:t>
      </w:r>
      <w:r>
        <w:t xml:space="preserve"> </w:t>
      </w:r>
      <w:r>
        <w:rPr>
          <w:spacing w:val="11"/>
        </w:rPr>
        <w:t>此装置自校准结束，得到的曲线示例见图3。</w:t>
      </w:r>
    </w:p>
    <w:p>
      <w:pPr>
        <w:spacing w:before="182" w:line="192" w:lineRule="auto"/>
        <w:ind w:left="201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Y-σ(%IACS)</w:t>
      </w:r>
    </w:p>
    <w:p>
      <w:pPr>
        <w:spacing w:before="40" w:line="2737" w:lineRule="exact"/>
        <w:ind w:firstLine="2340"/>
      </w:pPr>
      <w:r>
        <w:rPr>
          <w:position w:val="-54"/>
        </w:rPr>
        <w:drawing>
          <wp:inline distT="0" distB="0" distL="0" distR="0">
            <wp:extent cx="3130506" cy="173820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30506" cy="173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88" w:lineRule="auto"/>
        <w:ind w:left="617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X-AR(Ω)</w:t>
      </w:r>
    </w:p>
    <w:p>
      <w:pPr>
        <w:pStyle w:val="BodyText"/>
        <w:spacing w:before="108" w:line="212" w:lineRule="auto"/>
        <w:ind w:left="372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15"/>
          <w:sz w:val="16"/>
          <w:szCs w:val="16"/>
        </w:rPr>
        <w:t>(a)</w:t>
      </w:r>
      <w:r>
        <w:rPr>
          <w:rFonts w:ascii="Times New Roman" w:eastAsia="Times New Roman" w:hAnsi="Times New Roman" w:cs="Times New Roman"/>
          <w:spacing w:val="11"/>
          <w:w w:val="102"/>
          <w:sz w:val="16"/>
          <w:szCs w:val="16"/>
        </w:rPr>
        <w:t xml:space="preserve">   </w:t>
      </w:r>
      <w:r>
        <w:rPr>
          <w:spacing w:val="15"/>
          <w:sz w:val="16"/>
          <w:szCs w:val="16"/>
        </w:rPr>
        <w:t>高端曲线拟合结果</w:t>
      </w:r>
    </w:p>
    <w:p>
      <w:pPr>
        <w:spacing w:before="283" w:line="192" w:lineRule="auto"/>
        <w:ind w:left="2139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30"/>
          <w:footerReference w:type="default" r:id="rId31"/>
          <w:pgSz w:w="11900" w:h="16840"/>
          <w:pgMar w:top="1610" w:right="1474" w:bottom="921" w:left="1130" w:header="1343" w:footer="763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Y-σ(%IACS)</w:t>
      </w:r>
    </w:p>
    <w:p>
      <w:pPr>
        <w:spacing w:before="19" w:line="3101" w:lineRule="exact"/>
        <w:ind w:firstLine="2229"/>
      </w:pPr>
      <w:r>
        <w:rPr>
          <w:position w:val="-62"/>
        </w:rPr>
        <w:drawing>
          <wp:inline distT="0" distB="0" distL="0" distR="0">
            <wp:extent cx="2914693" cy="1968548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14693" cy="196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7" w:line="212" w:lineRule="auto"/>
        <w:ind w:left="638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X-</w:t>
      </w:r>
      <w:r>
        <w:rPr>
          <w:spacing w:val="-1"/>
          <w:sz w:val="18"/>
          <w:szCs w:val="18"/>
        </w:rPr>
        <w:t>△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R(Ω)</w:t>
      </w:r>
    </w:p>
    <w:p>
      <w:pPr>
        <w:pStyle w:val="BodyText"/>
        <w:spacing w:before="114" w:line="272" w:lineRule="exact"/>
        <w:ind w:left="3729"/>
        <w:rPr>
          <w:sz w:val="18"/>
          <w:szCs w:val="18"/>
        </w:rPr>
      </w:pPr>
      <w:r>
        <w:rPr>
          <w:spacing w:val="-2"/>
          <w:position w:val="6"/>
          <w:sz w:val="19"/>
          <w:szCs w:val="19"/>
        </w:rPr>
        <w:t xml:space="preserve">(b) </w:t>
      </w:r>
      <w:r>
        <w:rPr>
          <w:spacing w:val="-2"/>
          <w:position w:val="6"/>
          <w:sz w:val="18"/>
          <w:szCs w:val="18"/>
        </w:rPr>
        <w:t>低端曲线拟合结果</w:t>
      </w:r>
    </w:p>
    <w:p>
      <w:pPr>
        <w:pStyle w:val="BodyText"/>
        <w:spacing w:line="220" w:lineRule="auto"/>
        <w:ind w:left="3909"/>
      </w:pPr>
      <w:r>
        <w:rPr>
          <w:spacing w:val="-16"/>
        </w:rPr>
        <w:t>图</w:t>
      </w:r>
      <w:r>
        <w:rPr>
          <w:spacing w:val="-35"/>
        </w:rPr>
        <w:t xml:space="preserve"> </w:t>
      </w:r>
      <w:r>
        <w:rPr>
          <w:spacing w:val="-16"/>
        </w:rPr>
        <w:t>3  曲线示例</w:t>
      </w:r>
    </w:p>
    <w:p>
      <w:pPr>
        <w:spacing w:line="220" w:lineRule="auto"/>
        <w:sectPr>
          <w:headerReference w:type="default" r:id="rId33"/>
          <w:footerReference w:type="default" r:id="rId34"/>
          <w:type w:val="nextPage"/>
          <w:pgSz w:w="11900" w:h="16840"/>
          <w:pgMar w:top="1610" w:right="1474" w:bottom="921" w:left="1130" w:header="1343" w:footer="763" w:gutter="0"/>
          <w:pgNumType w:start="10"/>
          <w:cols w:space="708"/>
          <w:titlePg w:val="0"/>
        </w:sectPr>
      </w:pPr>
    </w:p>
    <w:p>
      <w:pPr>
        <w:pStyle w:val="BodyText"/>
        <w:spacing w:before="202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i)   </w:t>
      </w:r>
      <w:r>
        <w:rPr>
          <w:spacing w:val="-1"/>
          <w:sz w:val="24"/>
          <w:szCs w:val="24"/>
        </w:rPr>
        <w:t>检查校准曲线的不确定度</w:t>
      </w:r>
    </w:p>
    <w:p>
      <w:pPr>
        <w:pStyle w:val="BodyText"/>
        <w:spacing w:before="127" w:line="245" w:lineRule="auto"/>
        <w:ind w:right="134" w:firstLine="459"/>
        <w:rPr>
          <w:sz w:val="24"/>
          <w:szCs w:val="24"/>
        </w:rPr>
      </w:pPr>
      <w:r>
        <w:rPr>
          <w:spacing w:val="6"/>
          <w:sz w:val="24"/>
          <w:szCs w:val="24"/>
        </w:rPr>
        <w:t>若拟合标准偏差≤0.08%</w:t>
      </w:r>
      <w:r>
        <w:rPr>
          <w:spacing w:val="-56"/>
          <w:sz w:val="24"/>
          <w:szCs w:val="24"/>
        </w:rPr>
        <w:t xml:space="preserve"> </w:t>
      </w:r>
      <w:r>
        <w:rPr>
          <w:sz w:val="24"/>
          <w:szCs w:val="24"/>
        </w:rPr>
        <w:t>IACS</w:t>
      </w:r>
      <w:r>
        <w:rPr>
          <w:spacing w:val="6"/>
          <w:sz w:val="24"/>
          <w:szCs w:val="24"/>
        </w:rPr>
        <w:t xml:space="preserve">  (低端曲线拟合标准偏差≤0.05% </w:t>
      </w:r>
      <w:r>
        <w:rPr>
          <w:sz w:val="24"/>
          <w:szCs w:val="24"/>
        </w:rPr>
        <w:t>IACS</w:t>
      </w:r>
      <w:r>
        <w:rPr>
          <w:spacing w:val="6"/>
          <w:sz w:val="24"/>
          <w:szCs w:val="24"/>
        </w:rPr>
        <w:t>),</w:t>
      </w:r>
      <w:r>
        <w:rPr>
          <w:spacing w:val="11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则自校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准有效，否则分析原因，排除干扰重新自校。</w:t>
      </w:r>
    </w:p>
    <w:p>
      <w:pPr>
        <w:pStyle w:val="BodyText"/>
        <w:spacing w:before="86" w:line="219" w:lineRule="auto"/>
        <w:rPr>
          <w:sz w:val="24"/>
          <w:szCs w:val="24"/>
        </w:rPr>
      </w:pPr>
      <w:hyperlink r:id="rId35" w:history="1">
        <w:r>
          <w:rPr>
            <w:spacing w:val="-2"/>
            <w:sz w:val="24"/>
            <w:szCs w:val="24"/>
          </w:rPr>
          <w:t>7.3.1.2</w:t>
        </w:r>
      </w:hyperlink>
      <w:r>
        <w:rPr>
          <w:spacing w:val="32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样块校准</w:t>
      </w:r>
    </w:p>
    <w:p>
      <w:pPr>
        <w:pStyle w:val="BodyText"/>
        <w:spacing w:before="68" w:line="275" w:lineRule="auto"/>
        <w:ind w:right="90" w:firstLine="459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 </w:t>
      </w:r>
      <w:r>
        <w:rPr>
          <w:spacing w:val="4"/>
          <w:sz w:val="24"/>
          <w:szCs w:val="24"/>
        </w:rPr>
        <w:t xml:space="preserve">样块须提前放置油槽中，恒温至少30 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,   </w:t>
      </w:r>
      <w:r>
        <w:rPr>
          <w:spacing w:val="4"/>
          <w:sz w:val="24"/>
          <w:szCs w:val="24"/>
        </w:rPr>
        <w:t>将被校样块轻放在托盘上，探头轻</w:t>
      </w:r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>放在样块正面中心部位，参照自校准中的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>d)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</w:t>
      </w:r>
      <w:r>
        <w:rPr>
          <w:spacing w:val="15"/>
          <w:sz w:val="24"/>
          <w:szCs w:val="24"/>
        </w:rPr>
        <w:t>测量被校样块</w:t>
      </w:r>
      <w:r>
        <w:rPr>
          <w:spacing w:val="14"/>
          <w:sz w:val="24"/>
          <w:szCs w:val="24"/>
        </w:rPr>
        <w:t>的电阻值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R,     </w:t>
      </w:r>
      <w:r>
        <w:rPr>
          <w:spacing w:val="14"/>
          <w:sz w:val="24"/>
          <w:szCs w:val="24"/>
        </w:rPr>
        <w:t>重复测量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6次以上，计算其平均值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spacing w:val="3"/>
          <w:sz w:val="24"/>
          <w:szCs w:val="24"/>
        </w:rPr>
        <w:t>。</w:t>
      </w:r>
    </w:p>
    <w:p>
      <w:pPr>
        <w:pStyle w:val="BodyText"/>
        <w:spacing w:before="128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pacing w:val="24"/>
          <w:w w:val="101"/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>计算△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R₄=(R₂-</w:t>
      </w:r>
      <w:r>
        <w:rPr>
          <w:rFonts w:ascii="Times New Roman" w:eastAsia="Times New Roman" w:hAnsi="Times New Roman" w:cs="Times New Roman"/>
          <w:sz w:val="24"/>
          <w:szCs w:val="24"/>
        </w:rPr>
        <w:t>Ro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),            </w:t>
      </w:r>
      <w:r>
        <w:rPr>
          <w:spacing w:val="9"/>
          <w:sz w:val="24"/>
          <w:szCs w:val="24"/>
        </w:rPr>
        <w:t>并代入式</w:t>
      </w:r>
      <w:r>
        <w:rPr>
          <w:spacing w:val="8"/>
          <w:sz w:val="24"/>
          <w:szCs w:val="24"/>
        </w:rPr>
        <w:t>(2)计算出被校样块电导率σ。</w:t>
      </w:r>
    </w:p>
    <w:p>
      <w:pPr>
        <w:pStyle w:val="BodyText"/>
        <w:spacing w:before="74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c)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spacing w:val="4"/>
          <w:sz w:val="24"/>
          <w:szCs w:val="24"/>
        </w:rPr>
        <w:t>根据附录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A </w:t>
      </w:r>
      <w:r>
        <w:rPr>
          <w:spacing w:val="4"/>
          <w:sz w:val="24"/>
          <w:szCs w:val="24"/>
        </w:rPr>
        <w:t>评定测量不确定度。</w:t>
      </w:r>
    </w:p>
    <w:p>
      <w:pPr>
        <w:pStyle w:val="BodyText"/>
        <w:spacing w:before="112" w:line="219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7.3.2  插值法</w:t>
      </w:r>
    </w:p>
    <w:p>
      <w:pPr>
        <w:pStyle w:val="BodyText"/>
        <w:spacing w:before="86" w:line="220" w:lineRule="auto"/>
        <w:rPr>
          <w:sz w:val="24"/>
          <w:szCs w:val="24"/>
        </w:rPr>
      </w:pPr>
      <w:hyperlink r:id="rId36" w:history="1">
        <w:r>
          <w:rPr>
            <w:spacing w:val="-1"/>
            <w:sz w:val="24"/>
            <w:szCs w:val="24"/>
          </w:rPr>
          <w:t>7.3.2.1</w:t>
        </w:r>
      </w:hyperlink>
      <w:r>
        <w:rPr>
          <w:spacing w:val="-1"/>
          <w:sz w:val="24"/>
          <w:szCs w:val="24"/>
        </w:rPr>
        <w:t xml:space="preserve">  系统自校准</w:t>
      </w:r>
    </w:p>
    <w:p>
      <w:pPr>
        <w:pStyle w:val="BodyText"/>
        <w:spacing w:before="55" w:line="254" w:lineRule="auto"/>
        <w:ind w:right="119" w:firstLine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a)   </w:t>
      </w:r>
      <w:r>
        <w:rPr>
          <w:spacing w:val="4"/>
          <w:sz w:val="24"/>
          <w:szCs w:val="24"/>
        </w:rPr>
        <w:t>涡流电导率仪、仪器附带自校样块以及二级样块置于同一恒温环境中，设备开</w:t>
      </w:r>
      <w:r>
        <w:rPr>
          <w:spacing w:val="1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机预热至少30 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spacing w:val="6"/>
          <w:sz w:val="24"/>
          <w:szCs w:val="24"/>
        </w:rPr>
        <w:t>。</w:t>
      </w:r>
    </w:p>
    <w:p>
      <w:pPr>
        <w:pStyle w:val="BodyText"/>
        <w:spacing w:before="96" w:line="219" w:lineRule="auto"/>
        <w:ind w:left="459"/>
        <w:rPr>
          <w:sz w:val="24"/>
          <w:szCs w:val="24"/>
        </w:rPr>
      </w:pPr>
      <w:r>
        <w:rPr>
          <w:spacing w:val="1"/>
          <w:sz w:val="24"/>
          <w:szCs w:val="24"/>
        </w:rPr>
        <w:t>b) 利用仪器附带自校样块对电导率仪进</w:t>
      </w:r>
      <w:r>
        <w:rPr>
          <w:sz w:val="24"/>
          <w:szCs w:val="24"/>
        </w:rPr>
        <w:t>行自校，检查设备是否正常工作。</w:t>
      </w:r>
    </w:p>
    <w:p>
      <w:pPr>
        <w:pStyle w:val="BodyText"/>
        <w:spacing w:before="60" w:line="262" w:lineRule="auto"/>
        <w:ind w:right="84" w:firstLine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c)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spacing w:val="6"/>
          <w:sz w:val="24"/>
          <w:szCs w:val="24"/>
        </w:rPr>
        <w:t>选取两块二级样块，将设备探头轻置于与二级样块测试</w:t>
      </w:r>
      <w:r>
        <w:rPr>
          <w:spacing w:val="5"/>
          <w:sz w:val="24"/>
          <w:szCs w:val="24"/>
        </w:rPr>
        <w:t>面中心部位，利用电导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率仪对二级样块进行测量，读取显示值σ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spacing w:val="-2"/>
          <w:sz w:val="24"/>
          <w:szCs w:val="24"/>
        </w:rPr>
        <w:t>。</w:t>
      </w:r>
    </w:p>
    <w:p>
      <w:pPr>
        <w:pStyle w:val="BodyText"/>
        <w:spacing w:before="66" w:line="219" w:lineRule="auto"/>
        <w:rPr>
          <w:sz w:val="24"/>
          <w:szCs w:val="24"/>
        </w:rPr>
      </w:pPr>
      <w:hyperlink r:id="rId37" w:history="1">
        <w:r>
          <w:rPr>
            <w:spacing w:val="-1"/>
            <w:sz w:val="24"/>
            <w:szCs w:val="24"/>
          </w:rPr>
          <w:t>7.3.2.2</w:t>
        </w:r>
      </w:hyperlink>
      <w:r>
        <w:rPr>
          <w:spacing w:val="-1"/>
          <w:sz w:val="24"/>
          <w:szCs w:val="24"/>
        </w:rPr>
        <w:t xml:space="preserve">  被校样块的校准</w:t>
      </w:r>
    </w:p>
    <w:p>
      <w:pPr>
        <w:pStyle w:val="BodyText"/>
        <w:spacing w:before="58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>被校样块置于与系统自校准相同的恒温环</w:t>
      </w:r>
      <w:r>
        <w:rPr>
          <w:sz w:val="24"/>
          <w:szCs w:val="24"/>
        </w:rPr>
        <w:t xml:space="preserve">境中，恒温30 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39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以上。</w:t>
      </w:r>
    </w:p>
    <w:p>
      <w:pPr>
        <w:pStyle w:val="BodyText"/>
        <w:spacing w:before="94" w:line="254" w:lineRule="auto"/>
        <w:ind w:right="39" w:firstLine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b)  </w:t>
      </w:r>
      <w:r>
        <w:rPr>
          <w:spacing w:val="8"/>
          <w:sz w:val="24"/>
          <w:szCs w:val="24"/>
        </w:rPr>
        <w:t>将设备探头轻放于被校样块测试面中心，用电导率仪测量被校样块</w:t>
      </w:r>
      <w:r>
        <w:rPr>
          <w:spacing w:val="7"/>
          <w:sz w:val="24"/>
          <w:szCs w:val="24"/>
        </w:rPr>
        <w:t>的电导率，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重复测量10次以上，得其平均值</w:t>
      </w:r>
      <w:r>
        <w:rPr>
          <w:spacing w:val="-83"/>
          <w:sz w:val="24"/>
          <w:szCs w:val="24"/>
        </w:rPr>
        <w:t xml:space="preserve"> </w:t>
      </w:r>
      <w:r>
        <w:rPr>
          <w:rFonts w:ascii="Arial" w:eastAsia="Arial" w:hAnsi="Arial" w:cs="Arial"/>
          <w:spacing w:val="8"/>
          <w:sz w:val="24"/>
          <w:szCs w:val="24"/>
        </w:rPr>
        <w:t>σ</w:t>
      </w:r>
      <w:r>
        <w:rPr>
          <w:rFonts w:ascii="Calibri" w:eastAsia="Calibri" w:hAnsi="Calibri" w:cs="Calibri"/>
          <w:spacing w:val="8"/>
          <w:sz w:val="24"/>
          <w:szCs w:val="24"/>
        </w:rPr>
        <w:t>₀</w:t>
      </w:r>
      <w:r>
        <w:rPr>
          <w:spacing w:val="8"/>
          <w:sz w:val="24"/>
          <w:szCs w:val="24"/>
        </w:rPr>
        <w:t>。</w:t>
      </w:r>
    </w:p>
    <w:p>
      <w:pPr>
        <w:pStyle w:val="BodyText"/>
        <w:spacing w:before="60" w:line="370" w:lineRule="exact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9"/>
          <w:position w:val="9"/>
          <w:sz w:val="24"/>
          <w:szCs w:val="24"/>
        </w:rPr>
        <w:t>c)</w:t>
      </w:r>
      <w:r>
        <w:rPr>
          <w:rFonts w:ascii="Times New Roman" w:eastAsia="Times New Roman" w:hAnsi="Times New Roman" w:cs="Times New Roman"/>
          <w:spacing w:val="2"/>
          <w:position w:val="9"/>
          <w:sz w:val="24"/>
          <w:szCs w:val="24"/>
        </w:rPr>
        <w:t xml:space="preserve">   </w:t>
      </w:r>
      <w:r>
        <w:rPr>
          <w:spacing w:val="9"/>
          <w:position w:val="9"/>
          <w:sz w:val="24"/>
          <w:szCs w:val="24"/>
        </w:rPr>
        <w:t>利用测得的数据按照式(3)计算被校样块的电导率。</w:t>
      </w:r>
    </w:p>
    <w:p>
      <w:pPr>
        <w:pStyle w:val="BodyText"/>
        <w:spacing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d)</w:t>
      </w:r>
      <w:r>
        <w:rPr>
          <w:rFonts w:ascii="Times New Roman" w:eastAsia="Times New Roman" w:hAnsi="Times New Roman" w:cs="Times New Roman"/>
          <w:spacing w:val="21"/>
          <w:w w:val="10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根据附录</w:t>
      </w:r>
      <w:r>
        <w:rPr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评定测量不确定度。</w:t>
      </w:r>
    </w:p>
    <w:p>
      <w:pPr>
        <w:spacing w:before="268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8</w:t>
      </w:r>
      <w:r>
        <w:rPr>
          <w:rFonts w:ascii="SimHei" w:eastAsia="SimHei" w:hAnsi="SimHei" w:cs="SimHei"/>
          <w:spacing w:val="-3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校准结果表达</w:t>
      </w:r>
    </w:p>
    <w:p>
      <w:pPr>
        <w:pStyle w:val="BodyText"/>
        <w:spacing w:before="292" w:line="231" w:lineRule="auto"/>
        <w:ind w:left="459" w:right="169"/>
        <w:rPr>
          <w:sz w:val="24"/>
          <w:szCs w:val="24"/>
        </w:rPr>
      </w:pPr>
      <w:r>
        <w:rPr>
          <w:spacing w:val="14"/>
          <w:sz w:val="24"/>
          <w:szCs w:val="24"/>
        </w:rPr>
        <w:t>校准结果应在校准证书(报告)上反应，校准证</w:t>
      </w:r>
      <w:r>
        <w:rPr>
          <w:spacing w:val="13"/>
          <w:sz w:val="24"/>
          <w:szCs w:val="24"/>
        </w:rPr>
        <w:t>书(报告)应至少包括以下信息：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 </w:t>
      </w:r>
      <w:r>
        <w:rPr>
          <w:spacing w:val="-9"/>
          <w:sz w:val="24"/>
          <w:szCs w:val="24"/>
        </w:rPr>
        <w:t>标题，如“校准证书”;</w:t>
      </w:r>
    </w:p>
    <w:p>
      <w:pPr>
        <w:pStyle w:val="BodyText"/>
        <w:spacing w:before="85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pacing w:val="18"/>
          <w:w w:val="101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实验室名称和地址；</w:t>
      </w:r>
    </w:p>
    <w:p>
      <w:pPr>
        <w:pStyle w:val="BodyText"/>
        <w:spacing w:before="104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c)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 </w:t>
      </w:r>
      <w:r>
        <w:rPr>
          <w:spacing w:val="8"/>
          <w:sz w:val="24"/>
          <w:szCs w:val="24"/>
        </w:rPr>
        <w:t>进行校准的地点(如果与实验室的地址</w:t>
      </w:r>
      <w:r>
        <w:rPr>
          <w:spacing w:val="7"/>
          <w:sz w:val="24"/>
          <w:szCs w:val="24"/>
        </w:rPr>
        <w:t>不同)</w:t>
      </w:r>
    </w:p>
    <w:p>
      <w:pPr>
        <w:pStyle w:val="BodyText"/>
        <w:spacing w:before="95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d)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 </w:t>
      </w:r>
      <w:r>
        <w:rPr>
          <w:spacing w:val="7"/>
          <w:sz w:val="24"/>
          <w:szCs w:val="24"/>
        </w:rPr>
        <w:t>证书或报告的唯一性标识(如编号),每页及总页数的标</w:t>
      </w:r>
      <w:r>
        <w:rPr>
          <w:spacing w:val="6"/>
          <w:sz w:val="24"/>
          <w:szCs w:val="24"/>
        </w:rPr>
        <w:t>识；</w:t>
      </w:r>
    </w:p>
    <w:p>
      <w:pPr>
        <w:pStyle w:val="BodyText"/>
        <w:spacing w:before="102" w:line="220" w:lineRule="auto"/>
        <w:ind w:left="459"/>
        <w:rPr>
          <w:sz w:val="24"/>
          <w:szCs w:val="24"/>
        </w:rPr>
      </w:pPr>
      <w:r>
        <w:rPr>
          <w:spacing w:val="-4"/>
          <w:sz w:val="24"/>
          <w:szCs w:val="24"/>
        </w:rPr>
        <w:t>e) 客户的名称和地址；</w:t>
      </w:r>
    </w:p>
    <w:p>
      <w:pPr>
        <w:pStyle w:val="BodyText"/>
        <w:spacing w:before="66"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f)   </w:t>
      </w:r>
      <w:r>
        <w:rPr>
          <w:spacing w:val="-2"/>
          <w:sz w:val="24"/>
          <w:szCs w:val="24"/>
        </w:rPr>
        <w:t>被校对象的描述和明确标识；</w:t>
      </w:r>
    </w:p>
    <w:p>
      <w:pPr>
        <w:pStyle w:val="BodyText"/>
        <w:spacing w:before="75" w:line="263" w:lineRule="auto"/>
        <w:ind w:right="120" w:firstLine="459"/>
        <w:rPr>
          <w:sz w:val="24"/>
          <w:szCs w:val="24"/>
        </w:rPr>
        <w:sectPr>
          <w:headerReference w:type="default" r:id="rId38"/>
          <w:footerReference w:type="default" r:id="rId39"/>
          <w:pgSz w:w="11900" w:h="16840"/>
          <w:pgMar w:top="1499" w:right="1219" w:bottom="1062" w:left="1400" w:header="1161" w:footer="903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g)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>进行校准的日期，如果与校准结果的有效性和有关时，应说明被校对象的接收</w:t>
      </w:r>
      <w:r>
        <w:rPr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日期；</w:t>
      </w:r>
    </w:p>
    <w:p>
      <w:pPr>
        <w:pStyle w:val="BodyText"/>
        <w:spacing w:before="65" w:line="258" w:lineRule="auto"/>
        <w:ind w:left="459" w:right="30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h)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sz w:val="24"/>
          <w:szCs w:val="24"/>
        </w:rPr>
        <w:t>如果与校准结果的有效性和应用有关时，应对被校样品的抽样程序进行</w:t>
      </w:r>
      <w:r>
        <w:rPr>
          <w:spacing w:val="-1"/>
          <w:sz w:val="24"/>
          <w:szCs w:val="24"/>
        </w:rPr>
        <w:t>说明；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i)</w:t>
      </w:r>
      <w:r>
        <w:rPr>
          <w:spacing w:val="5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对校准所依据的技术规范的标识，包括名称及代号；</w:t>
      </w:r>
    </w:p>
    <w:p>
      <w:pPr>
        <w:pStyle w:val="BodyText"/>
        <w:spacing w:before="49" w:line="371" w:lineRule="exact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9"/>
          <w:sz w:val="24"/>
          <w:szCs w:val="24"/>
        </w:rPr>
        <w:t xml:space="preserve">j)   </w:t>
      </w:r>
      <w:r>
        <w:rPr>
          <w:spacing w:val="-1"/>
          <w:position w:val="9"/>
          <w:sz w:val="24"/>
          <w:szCs w:val="24"/>
        </w:rPr>
        <w:t>本次校准所用测量标准的溯源性及有</w:t>
      </w:r>
      <w:r>
        <w:rPr>
          <w:spacing w:val="-2"/>
          <w:position w:val="9"/>
          <w:sz w:val="24"/>
          <w:szCs w:val="24"/>
        </w:rPr>
        <w:t>效性说明；</w:t>
      </w:r>
    </w:p>
    <w:p>
      <w:pPr>
        <w:pStyle w:val="BodyText"/>
        <w:spacing w:line="212" w:lineRule="auto"/>
        <w:ind w:left="4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k)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 </w:t>
      </w:r>
      <w:r>
        <w:rPr>
          <w:spacing w:val="-7"/>
          <w:sz w:val="24"/>
          <w:szCs w:val="24"/>
        </w:rPr>
        <w:t>校准环境的描述；</w:t>
      </w:r>
    </w:p>
    <w:p>
      <w:pPr>
        <w:pStyle w:val="BodyText"/>
        <w:spacing w:before="112" w:line="219" w:lineRule="auto"/>
        <w:ind w:left="459"/>
        <w:rPr>
          <w:sz w:val="24"/>
          <w:szCs w:val="24"/>
        </w:rPr>
      </w:pPr>
      <w:r>
        <w:rPr>
          <w:spacing w:val="3"/>
          <w:sz w:val="24"/>
          <w:szCs w:val="24"/>
        </w:rPr>
        <w:t>1)校准结果及其测量不确定度的说明；</w:t>
      </w:r>
    </w:p>
    <w:p>
      <w:pPr>
        <w:spacing w:line="219" w:lineRule="auto"/>
        <w:rPr>
          <w:sz w:val="24"/>
          <w:szCs w:val="24"/>
        </w:rPr>
        <w:sectPr>
          <w:headerReference w:type="default" r:id="rId40"/>
          <w:footerReference w:type="default" r:id="rId41"/>
          <w:type w:val="nextPage"/>
          <w:pgSz w:w="11900" w:h="16840"/>
          <w:pgMar w:top="1499" w:right="1219" w:bottom="1062" w:left="1400" w:header="1161" w:footer="903" w:gutter="0"/>
          <w:pgNumType w:start="12"/>
          <w:cols w:space="708"/>
          <w:titlePg w:val="0"/>
        </w:sectPr>
      </w:pPr>
    </w:p>
    <w:p>
      <w:pPr>
        <w:pStyle w:val="BodyText"/>
        <w:spacing w:before="202" w:line="212" w:lineRule="auto"/>
        <w:ind w:left="4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m)</w:t>
      </w:r>
      <w:r>
        <w:rPr>
          <w:rFonts w:ascii="Times New Roman" w:eastAsia="Times New Roman" w:hAnsi="Times New Roman" w:cs="Times New Roman"/>
          <w:spacing w:val="2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对校准规范的偏离的说明；</w:t>
      </w:r>
    </w:p>
    <w:p>
      <w:pPr>
        <w:pStyle w:val="BodyText"/>
        <w:spacing w:before="84" w:line="370" w:lineRule="exact"/>
        <w:ind w:left="4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9"/>
          <w:sz w:val="24"/>
          <w:szCs w:val="24"/>
        </w:rPr>
        <w:t xml:space="preserve">n)  </w:t>
      </w:r>
      <w:r>
        <w:rPr>
          <w:spacing w:val="-2"/>
          <w:position w:val="9"/>
          <w:sz w:val="24"/>
          <w:szCs w:val="24"/>
        </w:rPr>
        <w:t>校准证书和校准报告签发人的签名、职务或等效标识；</w:t>
      </w:r>
    </w:p>
    <w:p>
      <w:pPr>
        <w:pStyle w:val="BodyText"/>
        <w:spacing w:line="212" w:lineRule="auto"/>
        <w:ind w:left="4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o)  </w:t>
      </w:r>
      <w:r>
        <w:rPr>
          <w:spacing w:val="-3"/>
          <w:sz w:val="24"/>
          <w:szCs w:val="24"/>
        </w:rPr>
        <w:t>校准结果仅对被校对象有效的声明；</w:t>
      </w:r>
    </w:p>
    <w:p>
      <w:pPr>
        <w:pStyle w:val="BodyText"/>
        <w:spacing w:before="94" w:line="391" w:lineRule="exact"/>
        <w:ind w:left="4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position w:val="11"/>
          <w:sz w:val="24"/>
          <w:szCs w:val="24"/>
        </w:rPr>
        <w:t xml:space="preserve">p)  </w:t>
      </w:r>
      <w:r>
        <w:rPr>
          <w:spacing w:val="1"/>
          <w:position w:val="11"/>
          <w:sz w:val="24"/>
          <w:szCs w:val="24"/>
        </w:rPr>
        <w:t>未经实验室书面批准，不得部分复</w:t>
      </w:r>
      <w:r>
        <w:rPr>
          <w:position w:val="11"/>
          <w:sz w:val="24"/>
          <w:szCs w:val="24"/>
        </w:rPr>
        <w:t>制证书或报告的声明。</w:t>
      </w:r>
    </w:p>
    <w:p>
      <w:pPr>
        <w:pStyle w:val="BodyText"/>
        <w:spacing w:line="212" w:lineRule="auto"/>
        <w:ind w:left="490"/>
        <w:rPr>
          <w:sz w:val="24"/>
          <w:szCs w:val="24"/>
        </w:rPr>
      </w:pPr>
      <w:r>
        <w:rPr>
          <w:spacing w:val="2"/>
          <w:sz w:val="24"/>
          <w:szCs w:val="24"/>
        </w:rPr>
        <w:t>校准原始记录格式见附录</w:t>
      </w:r>
      <w:r>
        <w:rPr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C,</w:t>
      </w:r>
      <w:r>
        <w:rPr>
          <w:rFonts w:ascii="Times New Roman" w:eastAsia="Times New Roman" w:hAnsi="Times New Roman" w:cs="Times New Roman"/>
          <w:spacing w:val="19"/>
          <w:w w:val="101"/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校准证书内页格式见附录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spacing w:val="2"/>
          <w:sz w:val="24"/>
          <w:szCs w:val="24"/>
        </w:rPr>
        <w:t>。</w:t>
      </w:r>
    </w:p>
    <w:p>
      <w:pPr>
        <w:spacing w:before="265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9</w:t>
      </w:r>
      <w:r>
        <w:rPr>
          <w:rFonts w:ascii="SimHei" w:eastAsia="SimHei" w:hAnsi="SimHei" w:cs="SimHei"/>
          <w:spacing w:val="11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复校时间间隔</w:t>
      </w:r>
    </w:p>
    <w:p>
      <w:pPr>
        <w:pStyle w:val="BodyText"/>
        <w:spacing w:before="277" w:line="253" w:lineRule="auto"/>
        <w:ind w:right="56" w:firstLine="490"/>
        <w:rPr>
          <w:sz w:val="24"/>
          <w:szCs w:val="24"/>
        </w:rPr>
      </w:pPr>
      <w:r>
        <w:rPr>
          <w:spacing w:val="19"/>
          <w:sz w:val="24"/>
          <w:szCs w:val="24"/>
        </w:rPr>
        <w:t>建议复校时间间隔为1年。送校单位也可根据实际使用情况自主决定</w:t>
      </w:r>
      <w:r>
        <w:rPr>
          <w:spacing w:val="18"/>
          <w:sz w:val="24"/>
          <w:szCs w:val="24"/>
        </w:rPr>
        <w:t>复校时间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间隔。</w:t>
      </w:r>
    </w:p>
    <w:p>
      <w:pPr>
        <w:spacing w:line="253" w:lineRule="auto"/>
        <w:rPr>
          <w:sz w:val="24"/>
          <w:szCs w:val="24"/>
        </w:rPr>
        <w:sectPr>
          <w:headerReference w:type="default" r:id="rId42"/>
          <w:footerReference w:type="default" r:id="rId43"/>
          <w:pgSz w:w="11900" w:h="16840"/>
          <w:pgMar w:top="1579" w:right="1390" w:bottom="954" w:left="1279" w:header="1264" w:footer="806" w:gutter="0"/>
          <w:pgNumType w:start="13"/>
          <w:cols w:space="708"/>
        </w:sectPr>
      </w:pPr>
    </w:p>
    <w:p>
      <w:pPr>
        <w:spacing w:before="274" w:line="222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3"/>
          <w:sz w:val="24"/>
          <w:szCs w:val="24"/>
        </w:rPr>
        <w:t>附</w:t>
      </w:r>
      <w:r>
        <w:rPr>
          <w:rFonts w:ascii="SimHei" w:eastAsia="SimHei" w:hAnsi="SimHei" w:cs="SimHei"/>
          <w:spacing w:val="-5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4"/>
          <w:szCs w:val="24"/>
        </w:rPr>
        <w:t>录</w:t>
      </w:r>
      <w:r>
        <w:rPr>
          <w:rFonts w:ascii="SimHei" w:eastAsia="SimHei" w:hAnsi="SimHei" w:cs="SimHei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>A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78" w:line="222" w:lineRule="auto"/>
        <w:ind w:left="325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34"/>
          <w:sz w:val="24"/>
          <w:szCs w:val="24"/>
        </w:rPr>
        <w:t>测量不确定度评定示例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5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A.1     </w:t>
      </w:r>
      <w:r>
        <w:rPr>
          <w:spacing w:val="1"/>
          <w:sz w:val="24"/>
          <w:szCs w:val="24"/>
        </w:rPr>
        <w:t>曲线拟合法测量不确定度评定</w:t>
      </w:r>
    </w:p>
    <w:p>
      <w:pPr>
        <w:pStyle w:val="BodyText"/>
        <w:spacing w:before="65" w:line="219" w:lineRule="auto"/>
        <w:ind w:left="530"/>
        <w:rPr>
          <w:sz w:val="24"/>
          <w:szCs w:val="24"/>
        </w:rPr>
      </w:pPr>
      <w:r>
        <w:rPr>
          <w:spacing w:val="2"/>
          <w:sz w:val="24"/>
          <w:szCs w:val="24"/>
        </w:rPr>
        <w:t>系统曲线拟合校准的不确定度由曲线拟合、被校样块阻抗测量不确定度及样块测量</w:t>
      </w:r>
    </w:p>
    <w:p>
      <w:pPr>
        <w:pStyle w:val="BodyText"/>
        <w:spacing w:before="127" w:line="220" w:lineRule="auto"/>
        <w:ind w:left="50"/>
        <w:rPr>
          <w:sz w:val="24"/>
          <w:szCs w:val="24"/>
        </w:rPr>
      </w:pPr>
      <w:r>
        <w:rPr>
          <w:spacing w:val="-2"/>
          <w:sz w:val="24"/>
          <w:szCs w:val="24"/>
        </w:rPr>
        <w:t>重复性组成</w:t>
      </w:r>
    </w:p>
    <w:p>
      <w:pPr>
        <w:pStyle w:val="BodyText"/>
        <w:spacing w:before="72" w:line="219" w:lineRule="auto"/>
        <w:ind w:left="5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A.1.1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    </w:t>
      </w:r>
      <w:r>
        <w:rPr>
          <w:sz w:val="24"/>
          <w:szCs w:val="24"/>
        </w:rPr>
        <w:t>曲线拟合不确定度分析</w:t>
      </w:r>
    </w:p>
    <w:p>
      <w:pPr>
        <w:pStyle w:val="BodyText"/>
        <w:spacing w:before="25" w:line="219" w:lineRule="auto"/>
        <w:ind w:left="530"/>
        <w:rPr>
          <w:sz w:val="24"/>
          <w:szCs w:val="24"/>
        </w:rPr>
      </w:pPr>
      <w:r>
        <w:rPr>
          <w:spacing w:val="2"/>
          <w:sz w:val="24"/>
          <w:szCs w:val="24"/>
        </w:rPr>
        <w:t>曲线拟合的不确定度包含了基准样块定值不确定度与</w:t>
      </w:r>
      <w:r>
        <w:rPr>
          <w:spacing w:val="1"/>
          <w:sz w:val="24"/>
          <w:szCs w:val="24"/>
        </w:rPr>
        <w:t>曲线拟合标准偏差组成，具体</w:t>
      </w:r>
    </w:p>
    <w:p>
      <w:pPr>
        <w:pStyle w:val="BodyText"/>
        <w:spacing w:before="138" w:line="220" w:lineRule="auto"/>
        <w:ind w:left="50"/>
        <w:rPr>
          <w:sz w:val="24"/>
          <w:szCs w:val="24"/>
        </w:rPr>
      </w:pPr>
      <w:r>
        <w:rPr>
          <w:spacing w:val="-8"/>
          <w:sz w:val="24"/>
          <w:szCs w:val="24"/>
        </w:rPr>
        <w:t>分析如下。</w:t>
      </w:r>
    </w:p>
    <w:p>
      <w:pPr>
        <w:pStyle w:val="BodyText"/>
        <w:spacing w:before="46" w:line="212" w:lineRule="auto"/>
        <w:ind w:left="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A.1.1.1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</w:t>
      </w:r>
      <w:r>
        <w:rPr>
          <w:spacing w:val="8"/>
          <w:sz w:val="24"/>
          <w:szCs w:val="24"/>
        </w:rPr>
        <w:t>基准样块定值不确定度(定值方法见附录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B)</w:t>
      </w:r>
    </w:p>
    <w:p>
      <w:pPr>
        <w:pStyle w:val="BodyText"/>
        <w:spacing w:before="81" w:line="411" w:lineRule="exact"/>
        <w:ind w:left="530"/>
        <w:rPr>
          <w:sz w:val="24"/>
          <w:szCs w:val="24"/>
        </w:rPr>
      </w:pPr>
      <w:r>
        <w:rPr>
          <w:spacing w:val="2"/>
          <w:position w:val="12"/>
          <w:sz w:val="24"/>
          <w:szCs w:val="24"/>
        </w:rPr>
        <w:t>基准样块定值不确定度由系统不确定度、样块厚度测量不确</w:t>
      </w:r>
      <w:r>
        <w:rPr>
          <w:spacing w:val="1"/>
          <w:position w:val="12"/>
          <w:sz w:val="24"/>
          <w:szCs w:val="24"/>
        </w:rPr>
        <w:t>定度、样块温升残差及</w:t>
      </w:r>
    </w:p>
    <w:p>
      <w:pPr>
        <w:pStyle w:val="BodyText"/>
        <w:spacing w:line="220" w:lineRule="auto"/>
        <w:ind w:left="50"/>
        <w:rPr>
          <w:sz w:val="24"/>
          <w:szCs w:val="24"/>
        </w:rPr>
      </w:pPr>
      <w:r>
        <w:rPr>
          <w:spacing w:val="-5"/>
          <w:sz w:val="24"/>
          <w:szCs w:val="24"/>
        </w:rPr>
        <w:t>测控温误差组成。</w:t>
      </w:r>
    </w:p>
    <w:p>
      <w:pPr>
        <w:pStyle w:val="BodyText"/>
        <w:spacing w:before="46" w:line="212" w:lineRule="auto"/>
        <w:ind w:left="53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直流测量系统不确定度</w:t>
      </w:r>
    </w:p>
    <w:p>
      <w:pPr>
        <w:pStyle w:val="BodyText"/>
        <w:spacing w:before="100" w:line="260" w:lineRule="auto"/>
        <w:ind w:left="50" w:right="485" w:firstLine="479"/>
        <w:rPr>
          <w:sz w:val="24"/>
          <w:szCs w:val="24"/>
        </w:rPr>
      </w:pPr>
      <w:r>
        <w:rPr>
          <w:spacing w:val="12"/>
          <w:sz w:val="24"/>
          <w:szCs w:val="24"/>
        </w:rPr>
        <w:t>非铁磁金属电导率直流测量系统完成基准样块定值，</w:t>
      </w:r>
      <w:r>
        <w:rPr>
          <w:spacing w:val="11"/>
          <w:sz w:val="24"/>
          <w:szCs w:val="24"/>
        </w:rPr>
        <w:t>系统由数字电压表</w:t>
      </w:r>
      <w:r>
        <w:rPr>
          <w:spacing w:val="-31"/>
          <w:sz w:val="24"/>
          <w:szCs w:val="24"/>
        </w:rPr>
        <w:t xml:space="preserve"> </w:t>
      </w:r>
      <w:r>
        <w:rPr>
          <w:sz w:val="24"/>
          <w:szCs w:val="24"/>
        </w:rPr>
        <w:t>DVM</w:t>
      </w:r>
      <w:r>
        <w:rPr>
          <w:rFonts w:ascii="Calibri" w:eastAsia="Calibri" w:hAnsi="Calibri" w:cs="Calibri"/>
          <w:spacing w:val="11"/>
          <w:sz w:val="24"/>
          <w:szCs w:val="24"/>
        </w:rPr>
        <w:t>₁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sz w:val="24"/>
          <w:szCs w:val="24"/>
        </w:rPr>
        <w:t>DVM</w:t>
      </w:r>
      <w:r>
        <w:rPr>
          <w:rFonts w:ascii="Calibri" w:eastAsia="Calibri" w:hAnsi="Calibri" w:cs="Calibri"/>
          <w:sz w:val="24"/>
          <w:szCs w:val="24"/>
        </w:rPr>
        <w:t>₂</w:t>
      </w:r>
      <w:r>
        <w:rPr>
          <w:rFonts w:ascii="Calibri" w:eastAsia="Calibri" w:hAnsi="Calibri" w:cs="Calibri"/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、</w:t>
      </w:r>
      <w:r>
        <w:rPr>
          <w:spacing w:val="115"/>
          <w:sz w:val="24"/>
          <w:szCs w:val="24"/>
        </w:rPr>
        <w:t xml:space="preserve"> </w:t>
      </w:r>
      <w:r>
        <w:rPr>
          <w:sz w:val="24"/>
          <w:szCs w:val="24"/>
        </w:rPr>
        <w:t>直流恒流源、标准电阻器及油槽等组成，系统框图如图</w:t>
      </w:r>
      <w:r>
        <w:rPr>
          <w:spacing w:val="-51"/>
          <w:sz w:val="24"/>
          <w:szCs w:val="24"/>
        </w:rPr>
        <w:t xml:space="preserve"> </w:t>
      </w:r>
      <w:r>
        <w:rPr>
          <w:sz w:val="24"/>
          <w:szCs w:val="24"/>
        </w:rPr>
        <w:t>A.1。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59" w:line="273" w:lineRule="exact"/>
        <w:ind w:left="2860"/>
        <w:rPr>
          <w:sz w:val="18"/>
          <w:szCs w:val="18"/>
        </w:rPr>
      </w:pPr>
      <w:r>
        <w:pict>
          <v:shape id="_x0000_s1028" type="#_x0000_t202" style="width:25.55pt;height:10pt;margin-top:10.83pt;margin-left:72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DVM₂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749302</wp:posOffset>
            </wp:positionH>
            <wp:positionV relativeFrom="paragraph">
              <wp:posOffset>-539126</wp:posOffset>
            </wp:positionV>
            <wp:extent cx="4406951" cy="1905029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406951" cy="1905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position w:val="6"/>
          <w:sz w:val="18"/>
          <w:szCs w:val="18"/>
        </w:rPr>
        <w:t>标准电阻器</w:t>
      </w:r>
    </w:p>
    <w:p>
      <w:pPr>
        <w:pStyle w:val="BodyText"/>
        <w:spacing w:line="186" w:lineRule="auto"/>
        <w:ind w:left="2979"/>
        <w:rPr>
          <w:sz w:val="18"/>
          <w:szCs w:val="18"/>
        </w:rPr>
      </w:pPr>
      <w:r>
        <w:rPr>
          <w:spacing w:val="-2"/>
          <w:sz w:val="18"/>
          <w:szCs w:val="18"/>
        </w:rPr>
        <w:t>0.001</w:t>
      </w:r>
      <w:r>
        <w:rPr>
          <w:spacing w:val="6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Ω</w:t>
      </w:r>
    </w:p>
    <w:p>
      <w:pPr>
        <w:spacing w:before="134" w:line="185" w:lineRule="auto"/>
        <w:ind w:left="721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DVM₁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58" w:line="222" w:lineRule="auto"/>
        <w:ind w:left="2870"/>
        <w:rPr>
          <w:sz w:val="18"/>
          <w:szCs w:val="18"/>
        </w:rPr>
      </w:pPr>
      <w:r>
        <w:rPr>
          <w:spacing w:val="2"/>
          <w:sz w:val="18"/>
          <w:szCs w:val="18"/>
        </w:rPr>
        <w:t>电流源</w:t>
      </w:r>
    </w:p>
    <w:p>
      <w:pPr>
        <w:pStyle w:val="BodyText"/>
        <w:spacing w:before="191" w:line="219" w:lineRule="auto"/>
        <w:ind w:left="5110"/>
        <w:rPr>
          <w:sz w:val="18"/>
          <w:szCs w:val="18"/>
        </w:rPr>
      </w:pPr>
      <w:r>
        <w:rPr>
          <w:spacing w:val="-7"/>
          <w:sz w:val="18"/>
          <w:szCs w:val="18"/>
        </w:rPr>
        <w:t>油槽中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2560"/>
        <w:rPr>
          <w:sz w:val="18"/>
          <w:szCs w:val="18"/>
        </w:rPr>
      </w:pPr>
      <w:r>
        <w:rPr>
          <w:spacing w:val="19"/>
          <w:sz w:val="18"/>
          <w:szCs w:val="18"/>
        </w:rPr>
        <w:t xml:space="preserve">图 </w:t>
      </w:r>
      <w:r>
        <w:rPr>
          <w:rFonts w:ascii="Times New Roman" w:eastAsia="Times New Roman" w:hAnsi="Times New Roman" w:cs="Times New Roman"/>
          <w:spacing w:val="19"/>
          <w:sz w:val="18"/>
          <w:szCs w:val="18"/>
        </w:rPr>
        <w:t xml:space="preserve">A.1      </w:t>
      </w:r>
      <w:r>
        <w:rPr>
          <w:spacing w:val="19"/>
          <w:sz w:val="18"/>
          <w:szCs w:val="18"/>
        </w:rPr>
        <w:t>非铁磁金属电导率直流测量系统框图</w:t>
      </w:r>
    </w:p>
    <w:p>
      <w:pPr>
        <w:pStyle w:val="BodyText"/>
        <w:spacing w:before="118" w:line="261" w:lineRule="auto"/>
        <w:ind w:left="50" w:right="105" w:firstLine="479"/>
        <w:rPr>
          <w:sz w:val="24"/>
          <w:szCs w:val="24"/>
        </w:rPr>
      </w:pPr>
      <w:r>
        <w:rPr>
          <w:sz w:val="24"/>
          <w:szCs w:val="24"/>
        </w:rPr>
        <w:t>DVM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₁     </w:t>
      </w:r>
      <w:r>
        <w:rPr>
          <w:spacing w:val="5"/>
          <w:sz w:val="24"/>
          <w:szCs w:val="24"/>
        </w:rPr>
        <w:t>是一台带有数字滤波功能的高准确度纳伏计，在1</w:t>
      </w:r>
      <w:r>
        <w:rPr>
          <w:sz w:val="24"/>
          <w:szCs w:val="24"/>
        </w:rPr>
        <w:t>mV</w:t>
      </w:r>
      <w:r>
        <w:rPr>
          <w:spacing w:val="5"/>
          <w:sz w:val="24"/>
          <w:szCs w:val="24"/>
        </w:rPr>
        <w:t xml:space="preserve">  挡上的测量不确定度</w:t>
      </w:r>
      <w:r>
        <w:rPr>
          <w:spacing w:val="1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优于7×10~5,电压范围30μV～500</w:t>
      </w:r>
      <w:r>
        <w:rPr>
          <w:spacing w:val="11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μV测量不确定</w:t>
      </w:r>
      <w:r>
        <w:rPr>
          <w:spacing w:val="2"/>
          <w:sz w:val="24"/>
          <w:szCs w:val="24"/>
        </w:rPr>
        <w:t>度优于1.2×10-</w:t>
      </w:r>
      <w:r>
        <w:rPr>
          <w:spacing w:val="-6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‘。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https://d.book118.com/576141230033010033</w:t>
        </w:r>
      </w:hyperlink>
    </w:p>
    <w:p>
      <w:pPr>
        <w:pStyle w:val="BodyText"/>
        <w:spacing w:before="118" w:line="261" w:lineRule="auto"/>
        <w:ind w:left="50" w:right="105" w:firstLine="479"/>
        <w:rPr>
          <w:sz w:val="24"/>
          <w:szCs w:val="24"/>
        </w:rPr>
      </w:pPr>
    </w:p>
    <w:sectPr>
      <w:headerReference w:type="default" r:id="rId46"/>
      <w:footerReference w:type="default" r:id="rId47"/>
      <w:pgSz w:w="11900" w:h="16840"/>
      <w:pgMar w:top="1560" w:right="1260" w:bottom="946" w:left="1299" w:header="1273" w:footer="767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10"/>
      <w:rPr>
        <w:sz w:val="16"/>
        <w:szCs w:val="16"/>
      </w:rPr>
    </w:pPr>
    <w:r>
      <w:rPr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10"/>
      <w:rPr>
        <w:sz w:val="16"/>
        <w:szCs w:val="16"/>
      </w:rPr>
    </w:pPr>
    <w:r>
      <w:rPr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89"/>
      <w:rPr>
        <w:sz w:val="16"/>
        <w:szCs w:val="16"/>
      </w:rPr>
    </w:pPr>
    <w:r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89"/>
      <w:rPr>
        <w:sz w:val="16"/>
        <w:szCs w:val="16"/>
      </w:rPr>
    </w:pPr>
    <w:r>
      <w:rPr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80"/>
      <w:rPr>
        <w:sz w:val="16"/>
        <w:szCs w:val="16"/>
      </w:rPr>
    </w:pPr>
    <w:r>
      <w:rPr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80"/>
      <w:rPr>
        <w:sz w:val="16"/>
        <w:szCs w:val="16"/>
      </w:rPr>
    </w:pPr>
    <w:r>
      <w:rPr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19"/>
      <w:rPr>
        <w:sz w:val="16"/>
        <w:szCs w:val="16"/>
      </w:rPr>
    </w:pPr>
    <w:r>
      <w:rPr>
        <w:sz w:val="16"/>
        <w:szCs w:val="16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19"/>
      <w:rPr>
        <w:sz w:val="16"/>
        <w:szCs w:val="16"/>
      </w:rPr>
    </w:pPr>
    <w:r>
      <w:rPr>
        <w:sz w:val="16"/>
        <w:szCs w:val="16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00"/>
      <w:rPr>
        <w:sz w:val="16"/>
        <w:szCs w:val="16"/>
      </w:rPr>
    </w:pPr>
    <w:r>
      <w:rPr>
        <w:sz w:val="16"/>
        <w:szCs w:val="16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00"/>
      <w:rPr>
        <w:sz w:val="16"/>
        <w:szCs w:val="16"/>
      </w:rPr>
    </w:pPr>
    <w:r>
      <w:rPr>
        <w:sz w:val="16"/>
        <w:szCs w:val="16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9"/>
      <w:rPr>
        <w:sz w:val="16"/>
        <w:szCs w:val="16"/>
      </w:rPr>
    </w:pPr>
    <w:r>
      <w:rPr>
        <w:sz w:val="16"/>
        <w:szCs w:val="16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9"/>
      <w:rPr>
        <w:sz w:val="16"/>
        <w:szCs w:val="16"/>
      </w:rPr>
    </w:pPr>
    <w:r>
      <w:rPr>
        <w:sz w:val="16"/>
        <w:szCs w:val="16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30"/>
      <w:rPr>
        <w:sz w:val="15"/>
        <w:szCs w:val="15"/>
      </w:rPr>
    </w:pPr>
    <w:r>
      <w:rPr>
        <w:sz w:val="15"/>
        <w:szCs w:val="15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240"/>
      <w:rPr>
        <w:sz w:val="18"/>
        <w:szCs w:val="18"/>
      </w:rPr>
    </w:pPr>
    <w:r>
      <w:rPr>
        <w:sz w:val="18"/>
        <w:szCs w:val="18"/>
      </w:rPr>
      <w:t>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1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         1516—2015</w:t>
    </w:r>
  </w:p>
  <w:p>
    <w:pPr>
      <w:spacing w:before="95" w:line="10" w:lineRule="exact"/>
    </w:pPr>
    <w:r>
      <w:drawing>
        <wp:inline distT="0" distB="0" distL="0" distR="0">
          <wp:extent cx="5867394" cy="637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9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1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         1516—2015</w:t>
    </w:r>
  </w:p>
  <w:p>
    <w:pPr>
      <w:spacing w:before="95" w:line="10" w:lineRule="exact"/>
    </w:pPr>
    <w:r>
      <w:drawing>
        <wp:inline distT="0" distB="0" distL="0" distR="0">
          <wp:extent cx="5867394" cy="6375"/>
          <wp:effectExtent l="0" t="0" r="0" b="0"/>
          <wp:docPr id="67576352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576352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9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9"/>
      <w:rPr>
        <w:sz w:val="22"/>
        <w:szCs w:val="2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857284</wp:posOffset>
          </wp:positionH>
          <wp:positionV relativeFrom="page">
            <wp:posOffset>971602</wp:posOffset>
          </wp:positionV>
          <wp:extent cx="5886437" cy="12617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37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9"/>
        <w:sz w:val="22"/>
        <w:szCs w:val="22"/>
      </w:rPr>
      <w:t>JJF</w:t>
    </w:r>
    <w:r>
      <w:rPr>
        <w:spacing w:val="16"/>
        <w:sz w:val="22"/>
        <w:szCs w:val="22"/>
      </w:rPr>
      <w:t xml:space="preserve"> </w:t>
    </w:r>
    <w:r>
      <w:rPr>
        <w:spacing w:val="-9"/>
        <w:sz w:val="22"/>
        <w:szCs w:val="22"/>
      </w:rPr>
      <w:t>1516—2015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9"/>
      <w:rPr>
        <w:sz w:val="22"/>
        <w:szCs w:val="2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857284</wp:posOffset>
          </wp:positionH>
          <wp:positionV relativeFrom="page">
            <wp:posOffset>971602</wp:posOffset>
          </wp:positionV>
          <wp:extent cx="5886437" cy="12617"/>
          <wp:effectExtent l="0" t="0" r="0" b="0"/>
          <wp:wrapNone/>
          <wp:docPr id="132512097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12097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37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9"/>
        <w:sz w:val="22"/>
        <w:szCs w:val="22"/>
      </w:rPr>
      <w:t>JJF</w:t>
    </w:r>
    <w:r>
      <w:rPr>
        <w:spacing w:val="16"/>
        <w:sz w:val="22"/>
        <w:szCs w:val="22"/>
      </w:rPr>
      <w:t xml:space="preserve"> </w:t>
    </w:r>
    <w:r>
      <w:rPr>
        <w:spacing w:val="-9"/>
        <w:sz w:val="22"/>
        <w:szCs w:val="22"/>
      </w:rPr>
      <w:t>1516—2015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72"/>
    </w:pPr>
    <w:r>
      <w:rPr>
        <w:b/>
        <w:bCs/>
        <w:spacing w:val="-19"/>
      </w:rPr>
      <w:t>JJF</w:t>
    </w:r>
    <w:r>
      <w:rPr>
        <w:spacing w:val="18"/>
      </w:rPr>
      <w:t xml:space="preserve"> </w:t>
    </w:r>
    <w:r>
      <w:rPr>
        <w:b/>
        <w:bCs/>
        <w:spacing w:val="-19"/>
      </w:rPr>
      <w:t>1516—2015</w:t>
    </w:r>
  </w:p>
  <w:p>
    <w:pPr>
      <w:spacing w:before="81" w:line="10" w:lineRule="exact"/>
      <w:ind w:firstLine="59"/>
    </w:pPr>
    <w:r>
      <w:drawing>
        <wp:inline distT="0" distB="0" distL="0" distR="0">
          <wp:extent cx="5873743" cy="6375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7374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72"/>
    </w:pPr>
    <w:r>
      <w:rPr>
        <w:b/>
        <w:bCs/>
        <w:spacing w:val="-19"/>
      </w:rPr>
      <w:t>JJF</w:t>
    </w:r>
    <w:r>
      <w:rPr>
        <w:spacing w:val="18"/>
      </w:rPr>
      <w:t xml:space="preserve"> </w:t>
    </w:r>
    <w:r>
      <w:rPr>
        <w:b/>
        <w:bCs/>
        <w:spacing w:val="-19"/>
      </w:rPr>
      <w:t>1516—2015</w:t>
    </w:r>
  </w:p>
  <w:p>
    <w:pPr>
      <w:spacing w:before="81" w:line="10" w:lineRule="exact"/>
      <w:ind w:firstLine="59"/>
    </w:pPr>
    <w:r>
      <w:drawing>
        <wp:inline distT="0" distB="0" distL="0" distR="0">
          <wp:extent cx="5873743" cy="6375"/>
          <wp:effectExtent l="0" t="0" r="0" b="0"/>
          <wp:docPr id="991951639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1951639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7374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971602</wp:posOffset>
          </wp:positionV>
          <wp:extent cx="5867394" cy="12617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94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1516—2015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971602</wp:posOffset>
          </wp:positionV>
          <wp:extent cx="5867394" cy="12617"/>
          <wp:effectExtent l="0" t="0" r="0" b="0"/>
          <wp:wrapNone/>
          <wp:docPr id="192163793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63793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94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1516—2015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1516—2015</w:t>
    </w:r>
  </w:p>
  <w:p>
    <w:pPr>
      <w:spacing w:before="83" w:line="10" w:lineRule="exact"/>
    </w:pPr>
    <w:r>
      <w:drawing>
        <wp:inline distT="0" distB="0" distL="0" distR="0">
          <wp:extent cx="5873743" cy="6375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7374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1516—2015</w:t>
    </w:r>
  </w:p>
  <w:p>
    <w:pPr>
      <w:spacing w:before="83" w:line="10" w:lineRule="exact"/>
    </w:pPr>
    <w:r>
      <w:drawing>
        <wp:inline distT="0" distB="0" distL="0" distR="0">
          <wp:extent cx="5873743" cy="6375"/>
          <wp:effectExtent l="0" t="0" r="0" b="0"/>
          <wp:docPr id="1055294030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294030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7374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42"/>
      <w:rPr>
        <w:sz w:val="24"/>
        <w:szCs w:val="24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895369</wp:posOffset>
          </wp:positionH>
          <wp:positionV relativeFrom="page">
            <wp:posOffset>939842</wp:posOffset>
          </wp:positionV>
          <wp:extent cx="5886438" cy="12618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3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3"/>
        <w:sz w:val="24"/>
        <w:szCs w:val="24"/>
      </w:rPr>
      <w:t>JJF</w:t>
    </w:r>
    <w:r>
      <w:rPr>
        <w:spacing w:val="9"/>
        <w:sz w:val="24"/>
        <w:szCs w:val="24"/>
      </w:rPr>
      <w:t xml:space="preserve"> </w:t>
    </w:r>
    <w:r>
      <w:rPr>
        <w:b/>
        <w:bCs/>
        <w:spacing w:val="-23"/>
        <w:sz w:val="24"/>
        <w:szCs w:val="24"/>
      </w:rPr>
      <w:t>1516—2015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42"/>
      <w:rPr>
        <w:sz w:val="24"/>
        <w:szCs w:val="24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895369</wp:posOffset>
          </wp:positionH>
          <wp:positionV relativeFrom="page">
            <wp:posOffset>939842</wp:posOffset>
          </wp:positionV>
          <wp:extent cx="5886438" cy="12618"/>
          <wp:effectExtent l="0" t="0" r="0" b="0"/>
          <wp:wrapNone/>
          <wp:docPr id="1417325286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7325286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3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3"/>
        <w:sz w:val="24"/>
        <w:szCs w:val="24"/>
      </w:rPr>
      <w:t>JJF</w:t>
    </w:r>
    <w:r>
      <w:rPr>
        <w:spacing w:val="9"/>
        <w:sz w:val="24"/>
        <w:szCs w:val="24"/>
      </w:rPr>
      <w:t xml:space="preserve"> </w:t>
    </w:r>
    <w:r>
      <w:rPr>
        <w:b/>
        <w:bCs/>
        <w:spacing w:val="-23"/>
        <w:sz w:val="24"/>
        <w:szCs w:val="24"/>
      </w:rPr>
      <w:t>1516—2015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2"/>
      <w:rPr>
        <w:sz w:val="20"/>
        <w:szCs w:val="20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819124</wp:posOffset>
          </wp:positionH>
          <wp:positionV relativeFrom="page">
            <wp:posOffset>990635</wp:posOffset>
          </wp:positionV>
          <wp:extent cx="5854701" cy="12618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1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70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1516—2015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0"/>
      <w:rPr>
        <w:sz w:val="18"/>
        <w:szCs w:val="18"/>
      </w:rPr>
    </w:pPr>
    <w:r>
      <w:rPr>
        <w:spacing w:val="-3"/>
        <w:sz w:val="18"/>
        <w:szCs w:val="18"/>
      </w:rPr>
      <w:t>JJF</w:t>
    </w:r>
    <w:r>
      <w:rPr>
        <w:spacing w:val="15"/>
        <w:sz w:val="18"/>
        <w:szCs w:val="18"/>
      </w:rPr>
      <w:t xml:space="preserve">   </w:t>
    </w:r>
    <w:r>
      <w:rPr>
        <w:spacing w:val="-3"/>
        <w:sz w:val="18"/>
        <w:szCs w:val="18"/>
      </w:rPr>
      <w:t>1516—2015</w:t>
    </w:r>
  </w:p>
  <w:p>
    <w:pPr>
      <w:spacing w:before="87" w:line="10" w:lineRule="exact"/>
    </w:pPr>
    <w:r>
      <w:drawing>
        <wp:inline distT="0" distB="0" distL="0" distR="0">
          <wp:extent cx="5886513" cy="6375"/>
          <wp:effectExtent l="0" t="0" r="0" b="0"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51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jpeg" /><Relationship Id="rId22" Type="http://schemas.openxmlformats.org/officeDocument/2006/relationships/hyperlink" Target="7.3.1.1" TargetMode="Externa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5.jpe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yperlink" Target="7.3.1.2" TargetMode="External" /><Relationship Id="rId36" Type="http://schemas.openxmlformats.org/officeDocument/2006/relationships/hyperlink" Target="7.3.2.1" TargetMode="External" /><Relationship Id="rId37" Type="http://schemas.openxmlformats.org/officeDocument/2006/relationships/hyperlink" Target="7.3.2.2" TargetMode="External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image" Target="media/image17.jpeg" /><Relationship Id="rId45" Type="http://schemas.openxmlformats.org/officeDocument/2006/relationships/hyperlink" Target="https://d.book118.com/576141230033010033" TargetMode="External" /><Relationship Id="rId46" Type="http://schemas.openxmlformats.org/officeDocument/2006/relationships/header" Target="header14.xml" /><Relationship Id="rId47" Type="http://schemas.openxmlformats.org/officeDocument/2006/relationships/footer" Target="footer14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2024-01-10T22:22:12Z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659ea80e72a3fa001f1d2849wl</vt:lpwstr>
  </property>
</Properties>
</file>