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" w:lineRule="exact"/>
      </w:pPr>
    </w:p>
    <w:tbl>
      <w:tblPr>
        <w:tblStyle w:val="TableNormal"/>
        <w:tblW w:w="1064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05"/>
        <w:gridCol w:w="9743"/>
      </w:tblGrid>
      <w:tr>
        <w:tblPrEx>
          <w:tblW w:w="1064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03"/>
        </w:trPr>
        <w:tc>
          <w:tcPr>
            <w:tcW w:w="10648" w:type="dxa"/>
            <w:gridSpan w:val="2"/>
            <w:vAlign w:val="top"/>
          </w:tcPr>
          <w:p>
            <w:pPr>
              <w:pStyle w:val="TableText"/>
              <w:spacing w:before="105" w:line="219" w:lineRule="auto"/>
              <w:ind w:left="127"/>
              <w:rPr>
                <w:sz w:val="43"/>
                <w:szCs w:val="43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9143</wp:posOffset>
                  </wp:positionH>
                  <wp:positionV relativeFrom="paragraph">
                    <wp:posOffset>210</wp:posOffset>
                  </wp:positionV>
                  <wp:extent cx="6752590" cy="827836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2590" cy="8278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pacing w:val="9"/>
                <w:sz w:val="43"/>
                <w:szCs w:val="43"/>
                <w14:textOutline w14:w="796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【广发</w:t>
            </w:r>
            <w:r>
              <w:rPr>
                <w:color w:val="FFFFFF"/>
                <w:spacing w:val="-70"/>
                <w:sz w:val="43"/>
                <w:szCs w:val="4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FFFFFF"/>
                <w:sz w:val="43"/>
                <w:szCs w:val="43"/>
              </w:rPr>
              <w:t>TMT</w:t>
            </w:r>
            <w:r>
              <w:rPr>
                <w:rFonts w:ascii="Arial" w:eastAsia="Arial" w:hAnsi="Arial" w:cs="Arial"/>
                <w:b/>
                <w:bCs/>
                <w:color w:val="FFFFFF"/>
                <w:spacing w:val="9"/>
                <w:sz w:val="43"/>
                <w:szCs w:val="43"/>
              </w:rPr>
              <w:t xml:space="preserve"> </w:t>
            </w:r>
            <w:r>
              <w:rPr>
                <w:color w:val="FFFFFF"/>
                <w:spacing w:val="9"/>
                <w:sz w:val="43"/>
                <w:szCs w:val="43"/>
                <w14:textOutline w14:w="796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产业研究】美股科技股观察</w:t>
            </w:r>
          </w:p>
          <w:p>
            <w:pPr>
              <w:pStyle w:val="TableText"/>
              <w:spacing w:before="182" w:line="212" w:lineRule="auto"/>
              <w:ind w:left="2010"/>
              <w:rPr>
                <w:sz w:val="36"/>
                <w:szCs w:val="3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z w:val="36"/>
                <w:szCs w:val="36"/>
              </w:rPr>
              <w:t>Salesforce</w:t>
            </w:r>
            <w:r>
              <w:rPr>
                <w:color w:val="1F497D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、</w:t>
            </w:r>
            <w:r>
              <w:rPr>
                <w:rFonts w:ascii="Arial" w:eastAsia="Arial" w:hAnsi="Arial" w:cs="Arial"/>
                <w:b/>
                <w:bCs/>
                <w:color w:val="1F497D"/>
                <w:sz w:val="36"/>
                <w:szCs w:val="36"/>
              </w:rPr>
              <w:t xml:space="preserve">Adobe </w:t>
            </w:r>
            <w:r>
              <w:rPr>
                <w:color w:val="1F497D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业绩稳</w:t>
            </w:r>
            <w:r>
              <w:rPr>
                <w:color w:val="1F497D"/>
                <w:spacing w:val="-1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健增长，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36"/>
                <w:szCs w:val="36"/>
              </w:rPr>
              <w:t xml:space="preserve">AI </w:t>
            </w:r>
            <w:r>
              <w:rPr>
                <w:color w:val="1F497D"/>
                <w:spacing w:val="-1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布局持续深入</w:t>
            </w:r>
          </w:p>
        </w:tc>
      </w:tr>
      <w:tr>
        <w:tblPrEx>
          <w:tblW w:w="10648" w:type="dxa"/>
          <w:tblInd w:w="0" w:type="dxa"/>
          <w:tblLayout w:type="fixed"/>
        </w:tblPrEx>
        <w:trPr>
          <w:trHeight w:val="1677"/>
        </w:trPr>
        <w:tc>
          <w:tcPr>
            <w:tcW w:w="905" w:type="dxa"/>
            <w:tcBorders>
              <w:bottom w:val="single" w:sz="2" w:space="0" w:color="1F497D"/>
            </w:tcBorders>
            <w:vAlign w:val="top"/>
          </w:tcPr>
          <w:p>
            <w:pPr>
              <w:pStyle w:val="TableText"/>
              <w:spacing w:before="115" w:line="217" w:lineRule="auto"/>
              <w:ind w:left="181"/>
              <w:rPr>
                <w:sz w:val="18"/>
                <w:szCs w:val="18"/>
              </w:rPr>
            </w:pPr>
            <w:r>
              <w:rPr>
                <w:color w:val="1F497D"/>
                <w:spacing w:val="-10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</w:p>
          <w:p>
            <w:pPr>
              <w:spacing w:before="215" w:line="308" w:lineRule="exact"/>
              <w:ind w:firstLine="328"/>
            </w:pPr>
            <w:r>
              <w:rPr>
                <w:position w:val="-6"/>
              </w:rPr>
              <w:drawing>
                <wp:inline distT="0" distB="0" distL="0" distR="0">
                  <wp:extent cx="219456" cy="19507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195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91" w:line="605" w:lineRule="exact"/>
              <w:ind w:firstLine="328"/>
            </w:pPr>
            <w:r>
              <w:rPr>
                <w:position w:val="-12"/>
              </w:rPr>
              <w:drawing>
                <wp:inline distT="0" distB="0" distL="0" distR="0">
                  <wp:extent cx="219456" cy="38404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6" cy="3840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43" w:type="dxa"/>
            <w:tcBorders>
              <w:bottom w:val="single" w:sz="2" w:space="0" w:color="1F497D"/>
            </w:tcBorders>
            <w:vAlign w:val="top"/>
          </w:tcPr>
          <w:p>
            <w:pPr>
              <w:pStyle w:val="TableText"/>
              <w:spacing w:before="114" w:line="222" w:lineRule="auto"/>
              <w:ind w:left="212"/>
              <w:rPr>
                <w:sz w:val="18"/>
                <w:szCs w:val="18"/>
              </w:rPr>
            </w:pPr>
            <w:r>
              <w:rPr>
                <w:color w:val="1F497D"/>
                <w:spacing w:val="-1"/>
                <w:sz w:val="18"/>
                <w:szCs w:val="18"/>
              </w:rPr>
              <w:t>杨琳琳</w:t>
            </w:r>
          </w:p>
          <w:p>
            <w:pPr>
              <w:pStyle w:val="TableText"/>
              <w:spacing w:before="125" w:line="219" w:lineRule="auto"/>
              <w:ind w:left="21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42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S0260514050004</w:t>
            </w:r>
          </w:p>
          <w:p>
            <w:pPr>
              <w:spacing w:before="168" w:line="317" w:lineRule="exact"/>
              <w:ind w:left="215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position w:val="13"/>
                <w:sz w:val="15"/>
                <w:szCs w:val="15"/>
              </w:rPr>
              <w:t>SFC  CE.no:  BNC117</w:t>
            </w:r>
          </w:p>
          <w:p>
            <w:pPr>
              <w:spacing w:line="194" w:lineRule="auto"/>
              <w:ind w:left="21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0755-23480370</w:t>
            </w:r>
          </w:p>
          <w:p>
            <w:pPr>
              <w:spacing w:before="155" w:line="196" w:lineRule="auto"/>
              <w:ind w:left="21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yll@gf.com.cn</w:t>
            </w:r>
          </w:p>
        </w:tc>
      </w:tr>
      <w:tr>
        <w:tblPrEx>
          <w:tblW w:w="10648" w:type="dxa"/>
          <w:tblInd w:w="0" w:type="dxa"/>
          <w:tblLayout w:type="fixed"/>
        </w:tblPrEx>
        <w:trPr>
          <w:trHeight w:val="9084"/>
        </w:trPr>
        <w:tc>
          <w:tcPr>
            <w:tcW w:w="10648" w:type="dxa"/>
            <w:gridSpan w:val="2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231" w:line="221" w:lineRule="auto"/>
              <w:ind w:left="124"/>
              <w:rPr>
                <w:sz w:val="28"/>
                <w:szCs w:val="28"/>
              </w:rPr>
            </w:pPr>
            <w:r>
              <w:rPr>
                <w:color w:val="17365D"/>
                <w:spacing w:val="-8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88" w:line="280" w:lineRule="auto"/>
              <w:ind w:left="543" w:right="102" w:hanging="403"/>
            </w:pPr>
            <w:r>
              <w:rPr>
                <w:rFonts w:ascii="Wingdings" w:eastAsia="Wingdings" w:hAnsi="Wingdings" w:cs="Wingdings"/>
                <w:color w:val="17365D"/>
                <w:spacing w:val="-6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6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6"/>
              </w:rPr>
              <w:t>Salesforce</w:t>
            </w:r>
            <w:r>
              <w:rPr>
                <w:color w:val="1F497D"/>
                <w:spacing w:val="-6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：盈利水平提升，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6"/>
              </w:rPr>
              <w:t xml:space="preserve">AI </w:t>
            </w:r>
            <w:r>
              <w:rPr>
                <w:color w:val="1F497D"/>
                <w:spacing w:val="-6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布局持续深入，云产品增长强劲，下季度指引较乐观。</w:t>
            </w:r>
            <w:r>
              <w:rPr>
                <w:color w:val="1F497D"/>
                <w:spacing w:val="-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FY24Q3</w:t>
            </w:r>
            <w:r>
              <w:rPr>
                <w:color w:val="1F497D"/>
                <w:spacing w:val="-6"/>
              </w:rPr>
              <w:t>（截至</w:t>
            </w:r>
            <w:r>
              <w:rPr>
                <w:color w:val="1F497D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2023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年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10 </w:t>
            </w:r>
            <w:r>
              <w:rPr>
                <w:color w:val="1F497D"/>
                <w:spacing w:val="-4"/>
              </w:rPr>
              <w:t>月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31  </w:t>
            </w:r>
            <w:r>
              <w:rPr>
                <w:color w:val="1F497D"/>
                <w:spacing w:val="-4"/>
              </w:rPr>
              <w:t>日的三个月）实现营业收入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87.20 </w:t>
            </w:r>
            <w:r>
              <w:rPr>
                <w:color w:val="1F497D"/>
                <w:spacing w:val="-5"/>
              </w:rPr>
              <w:t>亿美元，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同比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+11%</w:t>
            </w:r>
            <w:r>
              <w:rPr>
                <w:color w:val="1F497D"/>
                <w:spacing w:val="-5"/>
              </w:rPr>
              <w:t>达此前指引上限，主要由公司产品组合的优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势以及多个云业务转型所推动；经营利润同比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+22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6.3%</w:t>
            </w:r>
            <w:r>
              <w:rPr>
                <w:color w:val="1F497D"/>
                <w:spacing w:val="-2"/>
              </w:rPr>
              <w:t>至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15.01 </w:t>
            </w:r>
            <w:r>
              <w:rPr>
                <w:color w:val="1F497D"/>
                <w:spacing w:val="-2"/>
              </w:rPr>
              <w:t>亿美元，净利润同比增长</w:t>
            </w:r>
            <w:r>
              <w:rPr>
                <w:color w:val="1F497D"/>
                <w:spacing w:val="-5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4.8 </w:t>
            </w:r>
            <w:r>
              <w:rPr>
                <w:color w:val="1F497D"/>
                <w:spacing w:val="-2"/>
              </w:rPr>
              <w:t>倍，达到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12.24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亿美元。公司预计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FY24Q4</w:t>
            </w:r>
            <w:r>
              <w:rPr>
                <w:rFonts w:ascii="Arial" w:eastAsia="Arial" w:hAnsi="Arial" w:cs="Arial"/>
                <w:color w:val="1F497D"/>
                <w:spacing w:val="26"/>
              </w:rPr>
              <w:t xml:space="preserve"> </w:t>
            </w:r>
            <w:r>
              <w:rPr>
                <w:color w:val="1F497D"/>
                <w:spacing w:val="-1"/>
              </w:rPr>
              <w:t>营收增速趋稳，同比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+10%</w:t>
            </w:r>
            <w:r>
              <w:rPr>
                <w:rFonts w:ascii="Arial" w:eastAsia="Arial" w:hAnsi="Arial" w:cs="Arial"/>
                <w:color w:val="1F497D"/>
                <w:spacing w:val="-30"/>
              </w:rPr>
              <w:t xml:space="preserve"> </w:t>
            </w:r>
            <w:r>
              <w:rPr>
                <w:color w:val="1F497D"/>
                <w:spacing w:val="-1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FY24 </w:t>
            </w:r>
            <w:r>
              <w:rPr>
                <w:color w:val="1F497D"/>
                <w:spacing w:val="-1"/>
              </w:rPr>
              <w:t>全年经营利润率进一步增加。</w:t>
            </w:r>
            <w:r>
              <w:rPr>
                <w:color w:val="1F497D"/>
                <w:spacing w:val="-1"/>
                <w:u w:val="single" w:color="auto"/>
              </w:rPr>
              <w:t>订阅和</w:t>
            </w:r>
            <w:r>
              <w:rPr>
                <w:color w:val="1F497D"/>
                <w:spacing w:val="-2"/>
                <w:u w:val="single" w:color="auto"/>
              </w:rPr>
              <w:t>支持业务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  <w:u w:val="single" w:color="auto"/>
              </w:rPr>
              <w:t>为业绩支柱，</w:t>
            </w:r>
            <w:r>
              <w:rPr>
                <w:rFonts w:ascii="Arial" w:eastAsia="Arial" w:hAnsi="Arial" w:cs="Arial"/>
                <w:color w:val="1F497D"/>
                <w:spacing w:val="-2"/>
                <w:u w:val="single" w:color="auto"/>
              </w:rPr>
              <w:t xml:space="preserve">FY24Q3 </w:t>
            </w:r>
            <w:r>
              <w:rPr>
                <w:color w:val="1F497D"/>
                <w:spacing w:val="-2"/>
                <w:u w:val="single" w:color="auto"/>
              </w:rPr>
              <w:t>收入增速稳中有升</w:t>
            </w:r>
            <w:r>
              <w:rPr>
                <w:color w:val="1F497D"/>
                <w:spacing w:val="-2"/>
              </w:rPr>
              <w:t>，同比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+12.6%</w:t>
            </w:r>
            <w:r>
              <w:rPr>
                <w:color w:val="1F497D"/>
                <w:spacing w:val="-2"/>
              </w:rPr>
              <w:t>至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81.41 </w:t>
            </w:r>
            <w:r>
              <w:rPr>
                <w:color w:val="1F497D"/>
                <w:spacing w:val="-2"/>
              </w:rPr>
              <w:t>亿美元，其中数据业务收入同比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+22%</w:t>
            </w:r>
            <w:r>
              <w:rPr>
                <w:color w:val="1F497D"/>
                <w:spacing w:val="-2"/>
              </w:rPr>
              <w:t>。</w:t>
            </w:r>
            <w:r>
              <w:rPr>
                <w:color w:val="1F497D"/>
                <w:spacing w:val="-2"/>
                <w:u w:val="single" w:color="auto"/>
              </w:rPr>
              <w:t>持续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  <w:u w:val="single" w:color="auto"/>
              </w:rPr>
              <w:t>迭代</w:t>
            </w:r>
            <w:r>
              <w:rPr>
                <w:color w:val="1F497D"/>
                <w:spacing w:val="-40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  <w:u w:val="single" w:color="auto"/>
              </w:rPr>
              <w:t xml:space="preserve">AI </w:t>
            </w:r>
            <w:r>
              <w:rPr>
                <w:color w:val="1F497D"/>
                <w:spacing w:val="-1"/>
                <w:u w:val="single" w:color="auto"/>
              </w:rPr>
              <w:t>产品，通过投资收购深入布局</w:t>
            </w:r>
            <w:r>
              <w:rPr>
                <w:color w:val="1F497D"/>
                <w:spacing w:val="-55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  <w:u w:val="single" w:color="auto"/>
              </w:rPr>
              <w:t xml:space="preserve">AI </w:t>
            </w:r>
            <w:r>
              <w:rPr>
                <w:color w:val="1F497D"/>
                <w:spacing w:val="-1"/>
                <w:u w:val="single" w:color="auto"/>
              </w:rPr>
              <w:t>领域</w:t>
            </w:r>
            <w:r>
              <w:rPr>
                <w:color w:val="1F497D"/>
                <w:spacing w:val="-1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FY24Q3 </w:t>
            </w:r>
            <w:r>
              <w:rPr>
                <w:color w:val="1F497D"/>
                <w:spacing w:val="-1"/>
              </w:rPr>
              <w:t>推出集成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Einstein</w:t>
            </w:r>
            <w:r>
              <w:rPr>
                <w:rFonts w:ascii="Arial" w:eastAsia="Arial" w:hAnsi="Arial" w:cs="Arial"/>
                <w:color w:val="1F497D"/>
                <w:spacing w:val="4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AI </w:t>
            </w:r>
            <w:r>
              <w:rPr>
                <w:color w:val="1F497D"/>
                <w:spacing w:val="-1"/>
              </w:rPr>
              <w:t>和数据云的</w:t>
            </w:r>
            <w:r>
              <w:rPr>
                <w:color w:val="1F497D"/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UE+</w:t>
            </w:r>
            <w:r>
              <w:rPr>
                <w:color w:val="1F497D"/>
                <w:spacing w:val="-1"/>
              </w:rPr>
              <w:t>捆绑包，现有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客户升级到</w:t>
            </w:r>
            <w:r>
              <w:rPr>
                <w:color w:val="1F497D"/>
                <w:spacing w:val="-2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UE+</w:t>
            </w:r>
            <w:r>
              <w:rPr>
                <w:color w:val="1F497D"/>
                <w:spacing w:val="-3"/>
              </w:rPr>
              <w:t>后消费增加超过</w:t>
            </w:r>
            <w:r>
              <w:rPr>
                <w:color w:val="1F497D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70%</w:t>
            </w:r>
            <w:r>
              <w:rPr>
                <w:color w:val="1F497D"/>
                <w:spacing w:val="-3"/>
              </w:rPr>
              <w:t>，另推出</w:t>
            </w:r>
            <w:r>
              <w:rPr>
                <w:color w:val="1F497D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Einstein  GPT</w:t>
            </w:r>
            <w:r>
              <w:rPr>
                <w:rFonts w:ascii="Arial" w:eastAsia="Arial" w:hAnsi="Arial" w:cs="Arial"/>
                <w:color w:val="1F497D"/>
                <w:spacing w:val="5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Copilots</w:t>
            </w:r>
            <w:r>
              <w:rPr>
                <w:rFonts w:ascii="Arial" w:eastAsia="Arial" w:hAnsi="Arial" w:cs="Arial"/>
                <w:color w:val="1F497D"/>
                <w:spacing w:val="-31"/>
              </w:rPr>
              <w:t xml:space="preserve"> </w:t>
            </w:r>
            <w:r>
              <w:rPr>
                <w:color w:val="1F497D"/>
                <w:spacing w:val="-3"/>
              </w:rPr>
              <w:t>、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Sal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esforce</w:t>
            </w:r>
            <w:r>
              <w:rPr>
                <w:rFonts w:ascii="Arial" w:eastAsia="Arial" w:hAnsi="Arial" w:cs="Arial"/>
                <w:color w:val="1F497D"/>
                <w:spacing w:val="54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Starter</w:t>
            </w:r>
            <w:r>
              <w:rPr>
                <w:rFonts w:ascii="Arial" w:eastAsia="Arial" w:hAnsi="Arial" w:cs="Arial"/>
                <w:color w:val="1F497D"/>
                <w:spacing w:val="20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等新产品；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9</w:t>
            </w:r>
            <w:r>
              <w:rPr>
                <w:rFonts w:ascii="Arial" w:eastAsia="Arial" w:hAnsi="Arial" w:cs="Arial"/>
                <w:color w:val="1F497D"/>
                <w:spacing w:val="31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月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宣布收购生成式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客户服务平台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Airkit.AI</w:t>
            </w:r>
            <w:r>
              <w:rPr>
                <w:color w:val="1F497D"/>
                <w:spacing w:val="-3"/>
              </w:rPr>
              <w:t>，截至目前共投资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10</w:t>
            </w:r>
            <w:r>
              <w:rPr>
                <w:rFonts w:ascii="Arial" w:eastAsia="Arial" w:hAnsi="Arial" w:cs="Arial"/>
                <w:color w:val="1F497D"/>
                <w:spacing w:val="18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家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AIGC </w:t>
            </w:r>
            <w:r>
              <w:rPr>
                <w:color w:val="1F497D"/>
                <w:spacing w:val="-3"/>
              </w:rPr>
              <w:t>企业。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  <w:u w:val="single" w:color="auto"/>
              </w:rPr>
              <w:t>云产品增长强</w:t>
            </w:r>
            <w:r>
              <w:rPr>
                <w:color w:val="1F497D"/>
                <w:spacing w:val="-4"/>
                <w:u w:val="single" w:color="auto"/>
              </w:rPr>
              <w:t>劲，与云服务商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  <w:u w:val="single" w:color="auto"/>
              </w:rPr>
              <w:t>扩大合作</w:t>
            </w:r>
            <w:r>
              <w:rPr>
                <w:color w:val="1F497D"/>
                <w:spacing w:val="-4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FY24Q3</w:t>
            </w:r>
            <w:r>
              <w:rPr>
                <w:rFonts w:ascii="Arial" w:eastAsia="Arial" w:hAnsi="Arial" w:cs="Arial"/>
                <w:color w:val="1F497D"/>
                <w:spacing w:val="45"/>
              </w:rPr>
              <w:t xml:space="preserve"> </w:t>
            </w:r>
            <w:r>
              <w:rPr>
                <w:color w:val="1F497D"/>
                <w:spacing w:val="-4"/>
              </w:rPr>
              <w:t>云产品获客能力进一步提升，</w:t>
            </w:r>
            <w:r>
              <w:rPr>
                <w:color w:val="1F497D"/>
                <w:spacing w:val="-27"/>
              </w:rPr>
              <w:t xml:space="preserve"> </w:t>
            </w:r>
            <w:r>
              <w:rPr>
                <w:color w:val="1F497D"/>
                <w:spacing w:val="-4"/>
              </w:rPr>
              <w:t>数据云新增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1,000</w:t>
            </w:r>
            <w:r>
              <w:rPr>
                <w:rFonts w:ascii="Arial" w:eastAsia="Arial" w:hAnsi="Arial" w:cs="Arial"/>
                <w:color w:val="1F497D"/>
                <w:spacing w:val="40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家客户，超过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100</w:t>
            </w:r>
            <w:r>
              <w:rPr>
                <w:rFonts w:ascii="Arial" w:eastAsia="Arial" w:hAnsi="Arial" w:cs="Arial"/>
                <w:color w:val="1F497D"/>
                <w:spacing w:val="29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万美元的交易数量翻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一番，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13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2"/>
              </w:rPr>
              <w:t>个行业云中有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9 </w:t>
            </w:r>
            <w:r>
              <w:rPr>
                <w:color w:val="1F497D"/>
                <w:spacing w:val="-2"/>
              </w:rPr>
              <w:t>个的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ARR </w:t>
            </w:r>
            <w:r>
              <w:rPr>
                <w:color w:val="1F497D"/>
                <w:spacing w:val="-2"/>
              </w:rPr>
              <w:t>增长率首次超过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50%</w:t>
            </w:r>
            <w:r>
              <w:rPr>
                <w:color w:val="1F497D"/>
                <w:spacing w:val="-2"/>
              </w:rPr>
              <w:t>；云产品使用量增加，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FY24Q3 </w:t>
            </w:r>
            <w:r>
              <w:rPr>
                <w:color w:val="1F497D"/>
                <w:spacing w:val="-2"/>
              </w:rPr>
              <w:t>数据云</w:t>
            </w:r>
            <w:r>
              <w:rPr>
                <w:color w:val="1F497D"/>
                <w:spacing w:val="-3"/>
              </w:rPr>
              <w:t>获取记录同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比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+140%</w:t>
            </w:r>
            <w:r>
              <w:rPr>
                <w:color w:val="1F497D"/>
                <w:spacing w:val="-3"/>
              </w:rPr>
              <w:t>，被激活次数同比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+220%</w:t>
            </w:r>
            <w:r>
              <w:rPr>
                <w:color w:val="1F497D"/>
                <w:spacing w:val="-3"/>
              </w:rPr>
              <w:t>；公司与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AWS </w:t>
            </w:r>
            <w:r>
              <w:rPr>
                <w:color w:val="1F497D"/>
                <w:spacing w:val="-4"/>
              </w:rPr>
              <w:t>扩大合作，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与阿里云合作的云产品于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23 </w:t>
            </w:r>
            <w:r>
              <w:rPr>
                <w:color w:val="1F497D"/>
                <w:spacing w:val="-4"/>
              </w:rPr>
              <w:t>年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12</w:t>
            </w:r>
            <w:r>
              <w:rPr>
                <w:rFonts w:ascii="Arial" w:eastAsia="Arial" w:hAnsi="Arial" w:cs="Arial"/>
                <w:color w:val="1F497D"/>
                <w:spacing w:val="14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月推出。</w:t>
            </w:r>
          </w:p>
          <w:p>
            <w:pPr>
              <w:pStyle w:val="TableText"/>
              <w:spacing w:before="83" w:line="281" w:lineRule="auto"/>
              <w:ind w:left="542" w:hanging="402"/>
            </w:pPr>
            <w:r>
              <w:rPr>
                <w:rFonts w:ascii="Wingdings" w:eastAsia="Wingdings" w:hAnsi="Wingdings" w:cs="Wingdings"/>
                <w:color w:val="1F497D"/>
                <w:spacing w:val="-9"/>
              </w:rPr>
              <w:t>.</w:t>
            </w:r>
            <w:r>
              <w:rPr>
                <w:rFonts w:ascii="Wingdings" w:eastAsia="Wingdings" w:hAnsi="Wingdings" w:cs="Wingdings"/>
                <w:color w:val="1F497D"/>
                <w:spacing w:val="5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9"/>
              </w:rPr>
              <w:t>Adobe</w:t>
            </w:r>
            <w:r>
              <w:rPr>
                <w:color w:val="1F497D"/>
                <w:spacing w:val="-9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：收入增长提速，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9"/>
              </w:rPr>
              <w:t xml:space="preserve">AI </w:t>
            </w:r>
            <w:r>
              <w:rPr>
                <w:color w:val="1F497D"/>
                <w:spacing w:val="-9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加快赋能业务，下季度指引趋稳。</w:t>
            </w:r>
            <w:r>
              <w:rPr>
                <w:color w:val="1F497D"/>
                <w:spacing w:val="6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9"/>
              </w:rPr>
              <w:t>FY23Q4</w:t>
            </w:r>
            <w:r>
              <w:rPr>
                <w:color w:val="1F497D"/>
                <w:spacing w:val="-9"/>
              </w:rPr>
              <w:t>（截至</w:t>
            </w:r>
            <w:r>
              <w:rPr>
                <w:color w:val="1F497D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9"/>
              </w:rPr>
              <w:t xml:space="preserve">2023 </w:t>
            </w:r>
            <w:r>
              <w:rPr>
                <w:color w:val="1F497D"/>
                <w:spacing w:val="-10"/>
              </w:rPr>
              <w:t>年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0"/>
              </w:rPr>
              <w:t>12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10"/>
              </w:rPr>
              <w:t>月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0"/>
              </w:rPr>
              <w:t>1</w:t>
            </w:r>
            <w:r>
              <w:rPr>
                <w:rFonts w:ascii="Arial" w:eastAsia="Arial" w:hAnsi="Arial" w:cs="Arial"/>
                <w:color w:val="1F497D"/>
                <w:spacing w:val="44"/>
              </w:rPr>
              <w:t xml:space="preserve"> </w:t>
            </w:r>
            <w:r>
              <w:rPr>
                <w:color w:val="1F497D"/>
                <w:spacing w:val="-10"/>
              </w:rPr>
              <w:t>日的三个月）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4"/>
              </w:rPr>
              <w:t>公司营收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50.48 </w:t>
            </w:r>
            <w:r>
              <w:rPr>
                <w:color w:val="1F497D"/>
                <w:spacing w:val="-4"/>
              </w:rPr>
              <w:t>亿美元，</w:t>
            </w:r>
            <w:r>
              <w:rPr>
                <w:color w:val="1F497D"/>
                <w:spacing w:val="-20"/>
              </w:rPr>
              <w:t xml:space="preserve"> </w:t>
            </w:r>
            <w:r>
              <w:rPr>
                <w:color w:val="1F497D"/>
                <w:spacing w:val="-4"/>
              </w:rPr>
              <w:t>同比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+11.6%</w:t>
            </w:r>
            <w:r>
              <w:rPr>
                <w:color w:val="1F497D"/>
                <w:spacing w:val="-4"/>
              </w:rPr>
              <w:t>，超出此前公司指引上限；经营利润为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17.43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YoY+15.8%</w:t>
            </w:r>
            <w:r>
              <w:rPr>
                <w:color w:val="1F497D"/>
                <w:spacing w:val="-43"/>
                <w:w w:val="94"/>
              </w:rPr>
              <w:t>），</w:t>
            </w:r>
            <w:r>
              <w:rPr>
                <w:color w:val="1F497D"/>
                <w:spacing w:val="-5"/>
              </w:rPr>
              <w:t>经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1"/>
              </w:rPr>
              <w:t>营利润率为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34.5%</w:t>
            </w:r>
            <w:r>
              <w:rPr>
                <w:color w:val="1F497D"/>
                <w:spacing w:val="-1"/>
              </w:rPr>
              <w:t>（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YoY+1.3pct</w:t>
            </w:r>
            <w:r>
              <w:rPr>
                <w:color w:val="1F497D"/>
                <w:spacing w:val="-50"/>
              </w:rPr>
              <w:t>）；</w:t>
            </w:r>
            <w:r>
              <w:rPr>
                <w:color w:val="1F497D"/>
                <w:spacing w:val="-1"/>
              </w:rPr>
              <w:t>净利润同</w:t>
            </w:r>
            <w:r>
              <w:rPr>
                <w:color w:val="1F497D"/>
                <w:spacing w:val="-2"/>
              </w:rPr>
              <w:t>比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+26.1%</w:t>
            </w:r>
            <w:r>
              <w:rPr>
                <w:color w:val="1F497D"/>
                <w:spacing w:val="-2"/>
              </w:rPr>
              <w:t>至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14.83 </w:t>
            </w:r>
            <w:r>
              <w:rPr>
                <w:color w:val="1F497D"/>
                <w:spacing w:val="-2"/>
              </w:rPr>
              <w:t>亿美元，净利率同比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+3.4pct </w:t>
            </w:r>
            <w:r>
              <w:rPr>
                <w:color w:val="1F497D"/>
                <w:spacing w:val="-2"/>
              </w:rPr>
              <w:t>达到</w:t>
            </w:r>
            <w:r>
              <w:rPr>
                <w:color w:val="1F497D"/>
                <w:spacing w:val="-4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29.4%</w:t>
            </w:r>
            <w:r>
              <w:rPr>
                <w:color w:val="1F497D"/>
                <w:spacing w:val="-2"/>
              </w:rPr>
              <w:t>。公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2"/>
              </w:rPr>
              <w:t>司预计</w:t>
            </w:r>
            <w:r>
              <w:rPr>
                <w:color w:val="1F497D"/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FY24Q1 </w:t>
            </w:r>
            <w:r>
              <w:rPr>
                <w:color w:val="1F497D"/>
                <w:spacing w:val="-2"/>
              </w:rPr>
              <w:t>收入为</w:t>
            </w:r>
            <w:r>
              <w:rPr>
                <w:color w:val="1F497D"/>
                <w:spacing w:val="-4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51.0~51.5 </w:t>
            </w:r>
            <w:r>
              <w:rPr>
                <w:color w:val="1F497D"/>
                <w:spacing w:val="-2"/>
              </w:rPr>
              <w:t>亿美元（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YoY+9.6%~10.6%</w:t>
            </w:r>
            <w:r>
              <w:rPr>
                <w:color w:val="1F497D"/>
                <w:spacing w:val="-42"/>
                <w:w w:val="91"/>
              </w:rPr>
              <w:t>），</w:t>
            </w:r>
            <w:r>
              <w:rPr>
                <w:color w:val="1F497D"/>
                <w:spacing w:val="-2"/>
              </w:rPr>
              <w:t>指引趋稳。数字媒体增速提升，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AI </w:t>
            </w:r>
            <w:r>
              <w:rPr>
                <w:color w:val="1F497D"/>
                <w:spacing w:val="-2"/>
              </w:rPr>
              <w:t>赋能创意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</w:rPr>
              <w:t>云、文档云产品创新，驱动订阅增长。</w:t>
            </w:r>
            <w:r>
              <w:rPr>
                <w:color w:val="1F497D"/>
                <w:u w:val="single" w:color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创意云</w:t>
            </w:r>
            <w:r>
              <w:rPr>
                <w:color w:val="1F497D"/>
                <w:spacing w:val="-45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u w:val="single" w:color="auto"/>
              </w:rPr>
              <w:t xml:space="preserve">AI </w:t>
            </w:r>
            <w:r>
              <w:rPr>
                <w:color w:val="1F497D"/>
                <w:u w:val="single" w:color="auto"/>
              </w:rPr>
              <w:t>功能持续迭代，采用</w:t>
            </w:r>
            <w:r>
              <w:rPr>
                <w:color w:val="1F497D"/>
                <w:spacing w:val="-1"/>
                <w:u w:val="single" w:color="auto"/>
              </w:rPr>
              <w:t>率创下新高</w:t>
            </w:r>
            <w:r>
              <w:rPr>
                <w:color w:val="1F497D"/>
                <w:spacing w:val="-1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FY23Q4</w:t>
            </w:r>
            <w:r>
              <w:rPr>
                <w:rFonts w:ascii="Arial" w:eastAsia="Arial" w:hAnsi="Arial" w:cs="Arial"/>
                <w:color w:val="1F497D"/>
                <w:spacing w:val="24"/>
              </w:rPr>
              <w:t xml:space="preserve"> </w:t>
            </w:r>
            <w:r>
              <w:rPr>
                <w:color w:val="1F497D"/>
                <w:spacing w:val="-1"/>
              </w:rPr>
              <w:t>营收</w:t>
            </w:r>
            <w:r>
              <w:rPr>
                <w:color w:val="1F497D"/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29.95 </w:t>
            </w:r>
            <w:r>
              <w:rPr>
                <w:color w:val="1F497D"/>
                <w:spacing w:val="-1"/>
              </w:rPr>
              <w:t>亿美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3"/>
              </w:rPr>
              <w:t>元，同比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+11.7%</w:t>
            </w:r>
            <w:r>
              <w:rPr>
                <w:rFonts w:ascii="Arial" w:eastAsia="Arial" w:hAnsi="Arial" w:cs="Arial"/>
                <w:color w:val="1F497D"/>
                <w:spacing w:val="-30"/>
              </w:rPr>
              <w:t xml:space="preserve"> </w:t>
            </w:r>
            <w:r>
              <w:rPr>
                <w:color w:val="1F497D"/>
                <w:spacing w:val="-3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ARR </w:t>
            </w:r>
            <w:r>
              <w:rPr>
                <w:color w:val="1F497D"/>
                <w:spacing w:val="-3"/>
              </w:rPr>
              <w:t>净新增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3.98 </w:t>
            </w:r>
            <w:r>
              <w:rPr>
                <w:color w:val="1F497D"/>
                <w:spacing w:val="-3"/>
              </w:rPr>
              <w:t>亿美元，主要由产品创新带来的订阅增长所驱动；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生成式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AI </w:t>
            </w:r>
            <w:r>
              <w:rPr>
                <w:color w:val="1F497D"/>
                <w:spacing w:val="-3"/>
              </w:rPr>
              <w:t>模型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Firefly</w:t>
            </w:r>
            <w:r>
              <w:rPr>
                <w:rFonts w:ascii="Arial" w:eastAsia="Arial" w:hAnsi="Arial" w:cs="Arial"/>
                <w:color w:val="1F497D"/>
              </w:rPr>
              <w:t xml:space="preserve">   </w:t>
            </w:r>
            <w:r>
              <w:rPr>
                <w:color w:val="1F497D"/>
                <w:spacing w:val="-1"/>
              </w:rPr>
              <w:t>生成次数超过</w:t>
            </w:r>
            <w:r>
              <w:rPr>
                <w:color w:val="1F497D"/>
                <w:spacing w:val="-5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45 </w:t>
            </w:r>
            <w:r>
              <w:rPr>
                <w:color w:val="1F497D"/>
                <w:spacing w:val="-1"/>
              </w:rPr>
              <w:t>亿次，</w:t>
            </w:r>
            <w:r>
              <w:rPr>
                <w:color w:val="1F497D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FY23Q4 </w:t>
            </w:r>
            <w:r>
              <w:rPr>
                <w:color w:val="1F497D"/>
                <w:spacing w:val="-1"/>
              </w:rPr>
              <w:t>推出三个新的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Firefly</w:t>
            </w:r>
            <w:r>
              <w:rPr>
                <w:rFonts w:ascii="Arial" w:eastAsia="Arial" w:hAnsi="Arial" w:cs="Arial"/>
                <w:color w:val="1F497D"/>
                <w:spacing w:val="26"/>
              </w:rPr>
              <w:t xml:space="preserve"> </w:t>
            </w:r>
            <w:r>
              <w:rPr>
                <w:color w:val="1F497D"/>
                <w:spacing w:val="-1"/>
              </w:rPr>
              <w:t>系列模型；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Adobe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 Illustrator</w:t>
            </w:r>
            <w:r>
              <w:rPr>
                <w:rFonts w:ascii="Arial" w:eastAsia="Arial" w:hAnsi="Arial" w:cs="Arial"/>
                <w:color w:val="1F497D"/>
                <w:spacing w:val="20"/>
              </w:rPr>
              <w:t xml:space="preserve"> </w:t>
            </w:r>
            <w:r>
              <w:rPr>
                <w:color w:val="1F497D"/>
                <w:spacing w:val="-2"/>
              </w:rPr>
              <w:t>引入“文本生成矢量图”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功能测试版；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Adobe  Premiere  Pro </w:t>
            </w:r>
            <w:r>
              <w:rPr>
                <w:color w:val="1F497D"/>
                <w:spacing w:val="-1"/>
              </w:rPr>
              <w:t>功能增强，与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Frame.io </w:t>
            </w:r>
            <w:r>
              <w:rPr>
                <w:color w:val="1F497D"/>
                <w:spacing w:val="-1"/>
              </w:rPr>
              <w:t>集成提升内容共享与协作效率。</w:t>
            </w:r>
            <w:r>
              <w:rPr>
                <w:color w:val="1F497D"/>
                <w:spacing w:val="-1"/>
                <w:u w:val="single" w:color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文档</w:t>
            </w:r>
            <w:r>
              <w:rPr>
                <w:color w:val="1F497D"/>
                <w:spacing w:val="-2"/>
                <w:u w:val="single" w:color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云</w:t>
            </w:r>
            <w:r>
              <w:rPr>
                <w:color w:val="1F497D"/>
                <w:spacing w:val="-2"/>
                <w:u w:val="single" w:color="auto"/>
              </w:rPr>
              <w:t>增长加速，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  <w:u w:val="single" w:color="auto"/>
              </w:rPr>
              <w:t>用户规模持续扩大</w:t>
            </w:r>
            <w:r>
              <w:rPr>
                <w:color w:val="1F497D"/>
                <w:spacing w:val="-4"/>
              </w:rPr>
              <w:t>：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FY23Q4</w:t>
            </w:r>
            <w:r>
              <w:rPr>
                <w:rFonts w:ascii="Arial" w:eastAsia="Arial" w:hAnsi="Arial" w:cs="Arial"/>
                <w:color w:val="1F497D"/>
                <w:spacing w:val="13"/>
              </w:rPr>
              <w:t xml:space="preserve"> </w:t>
            </w:r>
            <w:r>
              <w:rPr>
                <w:color w:val="1F497D"/>
                <w:spacing w:val="-4"/>
              </w:rPr>
              <w:t>文档云营收为</w:t>
            </w:r>
            <w:r>
              <w:rPr>
                <w:color w:val="1F497D"/>
                <w:spacing w:val="-3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7.21 </w:t>
            </w:r>
            <w:r>
              <w:rPr>
                <w:color w:val="1F497D"/>
                <w:spacing w:val="-4"/>
              </w:rPr>
              <w:t>亿美</w:t>
            </w:r>
            <w:r>
              <w:rPr>
                <w:color w:val="1F497D"/>
                <w:spacing w:val="-5"/>
              </w:rPr>
              <w:t>元，</w:t>
            </w:r>
            <w:r>
              <w:rPr>
                <w:color w:val="1F497D"/>
                <w:spacing w:val="25"/>
              </w:rPr>
              <w:t xml:space="preserve"> </w:t>
            </w:r>
            <w:r>
              <w:rPr>
                <w:color w:val="1F497D"/>
                <w:spacing w:val="-5"/>
              </w:rPr>
              <w:t>同比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+16.5%</w:t>
            </w:r>
            <w:r>
              <w:rPr>
                <w:rFonts w:ascii="Arial" w:eastAsia="Arial" w:hAnsi="Arial" w:cs="Arial"/>
                <w:color w:val="1F497D"/>
                <w:spacing w:val="-32"/>
              </w:rPr>
              <w:t xml:space="preserve"> </w:t>
            </w:r>
            <w:r>
              <w:rPr>
                <w:color w:val="1F497D"/>
                <w:spacing w:val="-5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ARR</w:t>
            </w:r>
            <w:r>
              <w:rPr>
                <w:rFonts w:ascii="Arial" w:eastAsia="Arial" w:hAnsi="Arial" w:cs="Arial"/>
                <w:color w:val="1F497D"/>
                <w:spacing w:val="16"/>
                <w:w w:val="101"/>
              </w:rPr>
              <w:t xml:space="preserve"> </w:t>
            </w:r>
            <w:r>
              <w:rPr>
                <w:color w:val="1F497D"/>
                <w:spacing w:val="-5"/>
              </w:rPr>
              <w:t>净新增</w:t>
            </w:r>
            <w:r>
              <w:rPr>
                <w:color w:val="1F497D"/>
                <w:spacing w:val="-2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1.71 </w:t>
            </w:r>
            <w:r>
              <w:rPr>
                <w:color w:val="1F497D"/>
                <w:spacing w:val="-5"/>
              </w:rPr>
              <w:t>亿美元。</w:t>
            </w:r>
            <w:r>
              <w:rPr>
                <w:color w:val="1F497D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Acrobat</w:t>
            </w:r>
            <w:r>
              <w:rPr>
                <w:rFonts w:ascii="Arial" w:eastAsia="Arial" w:hAnsi="Arial" w:cs="Arial"/>
                <w:color w:val="1F497D"/>
              </w:rPr>
              <w:t xml:space="preserve">   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Web  MAU</w:t>
            </w:r>
            <w:r>
              <w:rPr>
                <w:rFonts w:ascii="Arial" w:eastAsia="Arial" w:hAnsi="Arial" w:cs="Arial"/>
                <w:color w:val="1F497D"/>
                <w:spacing w:val="25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同比增长超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70%</w:t>
            </w:r>
            <w:r>
              <w:rPr>
                <w:color w:val="1F497D"/>
                <w:spacing w:val="-4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PDF </w:t>
            </w:r>
            <w:r>
              <w:rPr>
                <w:color w:val="1F497D"/>
                <w:spacing w:val="-4"/>
              </w:rPr>
              <w:t>协作链接使用率同</w:t>
            </w:r>
            <w:r>
              <w:rPr>
                <w:color w:val="1F497D"/>
                <w:spacing w:val="-5"/>
              </w:rPr>
              <w:t>比激增</w:t>
            </w:r>
            <w:r>
              <w:rPr>
                <w:color w:val="1F497D"/>
                <w:spacing w:val="-4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400%</w:t>
            </w:r>
            <w:r>
              <w:rPr>
                <w:color w:val="1F497D"/>
                <w:spacing w:val="-5"/>
              </w:rPr>
              <w:t>，移动端</w:t>
            </w:r>
            <w:r>
              <w:rPr>
                <w:color w:val="1F497D"/>
                <w:spacing w:val="-5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>Acrobat  MAU</w:t>
            </w:r>
            <w:r>
              <w:rPr>
                <w:rFonts w:ascii="Arial" w:eastAsia="Arial" w:hAnsi="Arial" w:cs="Arial"/>
                <w:color w:val="1F497D"/>
                <w:spacing w:val="20"/>
                <w:w w:val="101"/>
              </w:rPr>
              <w:t xml:space="preserve"> </w:t>
            </w:r>
            <w:r>
              <w:rPr>
                <w:color w:val="1F497D"/>
                <w:spacing w:val="-5"/>
              </w:rPr>
              <w:t>突破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1 </w:t>
            </w:r>
            <w:r>
              <w:rPr>
                <w:color w:val="1F497D"/>
                <w:spacing w:val="-5"/>
              </w:rPr>
              <w:t>亿；</w:t>
            </w:r>
            <w:r>
              <w:rPr>
                <w:color w:val="1F497D"/>
                <w:spacing w:val="-49"/>
              </w:rPr>
              <w:t xml:space="preserve"> </w:t>
            </w:r>
            <w:r>
              <w:rPr>
                <w:color w:val="1F497D"/>
                <w:spacing w:val="-5"/>
              </w:rPr>
              <w:t>近月将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4"/>
              </w:rPr>
              <w:t>发布生成式</w:t>
            </w:r>
            <w:r>
              <w:rPr>
                <w:color w:val="1F497D"/>
                <w:spacing w:val="-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AI </w:t>
            </w:r>
            <w:r>
              <w:rPr>
                <w:color w:val="1F497D"/>
                <w:spacing w:val="-4"/>
              </w:rPr>
              <w:t>公测版本。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  <w:u w:val="single" w:color="auto"/>
              </w:rPr>
              <w:t>生成式</w:t>
            </w:r>
            <w:r>
              <w:rPr>
                <w:color w:val="1F497D"/>
                <w:spacing w:val="-51"/>
                <w:u w:val="single" w:color="auto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u w:val="single" w:color="auto"/>
              </w:rPr>
              <w:t xml:space="preserve">AI </w:t>
            </w:r>
            <w:r>
              <w:rPr>
                <w:color w:val="1F497D"/>
                <w:spacing w:val="-4"/>
                <w:u w:val="single" w:color="auto"/>
              </w:rPr>
              <w:t>加速赋能</w:t>
            </w:r>
            <w:r>
              <w:rPr>
                <w:color w:val="1F497D"/>
                <w:spacing w:val="-4"/>
                <w:u w:val="single" w:color="1F497D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体验云</w:t>
            </w:r>
            <w:r>
              <w:rPr>
                <w:color w:val="1F497D"/>
                <w:spacing w:val="-4"/>
                <w:u w:val="single" w:color="auto"/>
              </w:rPr>
              <w:t>创新</w:t>
            </w:r>
            <w:r>
              <w:rPr>
                <w:color w:val="1F497D"/>
                <w:spacing w:val="-4"/>
              </w:rPr>
              <w:t>，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FY23Q4 </w:t>
            </w:r>
            <w:r>
              <w:rPr>
                <w:color w:val="1F497D"/>
                <w:spacing w:val="-4"/>
              </w:rPr>
              <w:t>体验云营收同比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+10.1%</w:t>
            </w:r>
            <w:r>
              <w:rPr>
                <w:color w:val="1F497D"/>
                <w:spacing w:val="-4"/>
              </w:rPr>
              <w:t>至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12.66 </w:t>
            </w:r>
            <w:r>
              <w:rPr>
                <w:color w:val="1F497D"/>
                <w:spacing w:val="-4"/>
              </w:rPr>
              <w:t>亿美元，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其中数字体验订阅收入同比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+11.6%</w:t>
            </w:r>
            <w:r>
              <w:rPr>
                <w:color w:val="1F497D"/>
                <w:spacing w:val="-1"/>
              </w:rPr>
              <w:t>至</w:t>
            </w:r>
            <w:r>
              <w:rPr>
                <w:color w:val="1F497D"/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11.23 </w:t>
            </w:r>
            <w:r>
              <w:rPr>
                <w:color w:val="1F497D"/>
                <w:spacing w:val="-1"/>
              </w:rPr>
              <w:t>亿</w:t>
            </w:r>
            <w:r>
              <w:rPr>
                <w:color w:val="1F497D"/>
                <w:spacing w:val="-2"/>
              </w:rPr>
              <w:t>美元；公司通过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AI </w:t>
            </w:r>
            <w:r>
              <w:rPr>
                <w:color w:val="1F497D"/>
                <w:spacing w:val="-2"/>
              </w:rPr>
              <w:t>助手增强体验云的应用程序，重新构想现有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2"/>
              </w:rPr>
              <w:t>的体验云应用程序，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2"/>
              </w:rPr>
              <w:t>针对生成式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AI </w:t>
            </w:r>
            <w:r>
              <w:rPr>
                <w:color w:val="1F497D"/>
                <w:spacing w:val="-2"/>
              </w:rPr>
              <w:t>时代开发全新解决方案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Adobe  GenStud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io</w:t>
            </w:r>
            <w:r>
              <w:rPr>
                <w:color w:val="1F497D"/>
                <w:spacing w:val="-3"/>
              </w:rPr>
              <w:t>。</w:t>
            </w:r>
          </w:p>
          <w:p>
            <w:pPr>
              <w:pStyle w:val="TableText"/>
              <w:spacing w:before="83" w:line="218" w:lineRule="auto"/>
              <w:ind w:left="140"/>
            </w:pPr>
            <w:r>
              <w:rPr>
                <w:rFonts w:ascii="Wingdings" w:eastAsia="Wingdings" w:hAnsi="Wingdings" w:cs="Wingdings"/>
                <w:color w:val="17365D"/>
                <w:spacing w:val="-7"/>
              </w:rPr>
              <w:t>.</w:t>
            </w:r>
            <w:r>
              <w:rPr>
                <w:rFonts w:ascii="Wingdings" w:eastAsia="Wingdings" w:hAnsi="Wingdings" w:cs="Wingdings"/>
                <w:color w:val="17365D"/>
                <w:spacing w:val="73"/>
              </w:rPr>
              <w:t xml:space="preserve"> </w:t>
            </w:r>
            <w:r>
              <w:rPr>
                <w:color w:val="1F497D"/>
                <w:spacing w:val="-7"/>
              </w:rPr>
              <w:t>风险提示。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  <w:spacing w:val="-7"/>
              </w:rPr>
              <w:t>汇率变动风险；宏观经济环境不及预期；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 xml:space="preserve">AI </w:t>
            </w:r>
            <w:r>
              <w:rPr>
                <w:color w:val="1F497D"/>
                <w:spacing w:val="-7"/>
              </w:rPr>
              <w:t>技术落地及商业化不及预期。</w:t>
            </w:r>
          </w:p>
        </w:tc>
      </w:tr>
      <w:tr>
        <w:tblPrEx>
          <w:tblW w:w="10648" w:type="dxa"/>
          <w:tblInd w:w="0" w:type="dxa"/>
          <w:tblLayout w:type="fixed"/>
        </w:tblPrEx>
        <w:trPr>
          <w:trHeight w:val="335"/>
        </w:trPr>
        <w:tc>
          <w:tcPr>
            <w:tcW w:w="10648" w:type="dxa"/>
            <w:gridSpan w:val="2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48" w:line="213" w:lineRule="auto"/>
              <w:ind w:left="123"/>
              <w:rPr>
                <w:sz w:val="24"/>
                <w:szCs w:val="24"/>
              </w:rPr>
            </w:pPr>
            <w:r>
              <w:rPr>
                <w:color w:val="1F497D"/>
                <w:spacing w:val="-6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spacing w:line="32" w:lineRule="exact"/>
        <w:rPr>
          <w:rFonts w:ascii="Arial"/>
          <w:sz w:val="2"/>
        </w:rPr>
      </w:pPr>
    </w:p>
    <w:p>
      <w:pPr>
        <w:spacing w:line="32" w:lineRule="exact"/>
        <w:rPr>
          <w:rFonts w:ascii="Arial" w:eastAsia="Arial" w:hAnsi="Arial" w:cs="Arial"/>
          <w:sz w:val="2"/>
          <w:szCs w:val="2"/>
        </w:rPr>
        <w:sectPr>
          <w:headerReference w:type="default" r:id="rId7"/>
          <w:footerReference w:type="default" r:id="rId8"/>
          <w:pgSz w:w="11907" w:h="16839"/>
          <w:pgMar w:top="1713" w:right="636" w:bottom="1730" w:left="621" w:header="689" w:footer="803" w:gutter="0"/>
          <w:cols w:num="1" w:space="708" w:equalWidth="0">
            <w:col w:w="10649" w:space="0"/>
          </w:cols>
        </w:sectPr>
      </w:pPr>
    </w:p>
    <w:p>
      <w:pPr>
        <w:spacing w:before="38" w:line="225" w:lineRule="auto"/>
        <w:ind w:left="12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z w:val="18"/>
          <w:szCs w:val="18"/>
        </w:rPr>
        <w:t>【广发</w:t>
      </w:r>
      <w:r>
        <w:rPr>
          <w:rFonts w:ascii="KaiTi" w:eastAsia="KaiTi" w:hAnsi="KaiTi" w:cs="KaiTi"/>
          <w:color w:val="1F497D"/>
          <w:spacing w:val="-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z w:val="18"/>
          <w:szCs w:val="18"/>
        </w:rPr>
        <w:t xml:space="preserve">TMT </w:t>
      </w:r>
      <w:r>
        <w:rPr>
          <w:rFonts w:ascii="KaiTi" w:eastAsia="KaiTi" w:hAnsi="KaiTi" w:cs="KaiTi"/>
          <w:color w:val="1F497D"/>
          <w:sz w:val="18"/>
          <w:szCs w:val="18"/>
        </w:rPr>
        <w:t>产业研究】美股科技股观察</w:t>
      </w:r>
      <w:r>
        <w:rPr>
          <w:rFonts w:ascii="Arial" w:eastAsia="Arial" w:hAnsi="Arial" w:cs="Arial"/>
          <w:color w:val="1F497D"/>
          <w:sz w:val="18"/>
          <w:szCs w:val="18"/>
        </w:rPr>
        <w:t>:</w:t>
      </w:r>
      <w:r>
        <w:rPr>
          <w:rFonts w:ascii="KaiTi" w:eastAsia="KaiTi" w:hAnsi="KaiTi" w:cs="KaiTi"/>
          <w:color w:val="1F497D"/>
          <w:sz w:val="18"/>
          <w:szCs w:val="18"/>
        </w:rPr>
        <w:t>英伟达：指引</w:t>
      </w:r>
      <w:r>
        <w:rPr>
          <w:rFonts w:ascii="KaiTi" w:eastAsia="KaiTi" w:hAnsi="KaiTi" w:cs="KaiTi"/>
          <w:color w:val="1F497D"/>
          <w:spacing w:val="-1"/>
          <w:sz w:val="18"/>
          <w:szCs w:val="18"/>
        </w:rPr>
        <w:t>乐观，预计数据中心增势将进一步延续</w:t>
      </w:r>
    </w:p>
    <w:p>
      <w:pPr>
        <w:spacing w:before="107" w:line="212" w:lineRule="auto"/>
        <w:ind w:left="12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3"/>
          <w:sz w:val="18"/>
          <w:szCs w:val="18"/>
        </w:rPr>
        <w:t>【广发</w:t>
      </w:r>
      <w:r>
        <w:rPr>
          <w:rFonts w:ascii="KaiTi" w:eastAsia="KaiTi" w:hAnsi="KaiTi" w:cs="KaiTi"/>
          <w:color w:val="1F497D"/>
          <w:spacing w:val="-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 xml:space="preserve">TMT </w:t>
      </w:r>
      <w:r>
        <w:rPr>
          <w:rFonts w:ascii="KaiTi" w:eastAsia="KaiTi" w:hAnsi="KaiTi" w:cs="KaiTi"/>
          <w:color w:val="1F497D"/>
          <w:spacing w:val="-3"/>
          <w:sz w:val="18"/>
          <w:szCs w:val="18"/>
        </w:rPr>
        <w:t>产业研究】美股科技股观察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 xml:space="preserve">:AMD </w:t>
      </w:r>
      <w:r>
        <w:rPr>
          <w:rFonts w:ascii="KaiTi" w:eastAsia="KaiTi" w:hAnsi="KaiTi" w:cs="KaiTi"/>
          <w:color w:val="1F497D"/>
          <w:spacing w:val="-3"/>
          <w:sz w:val="18"/>
          <w:szCs w:val="18"/>
        </w:rPr>
        <w:t>业</w:t>
      </w:r>
      <w:r>
        <w:rPr>
          <w:rFonts w:ascii="KaiTi" w:eastAsia="KaiTi" w:hAnsi="KaiTi" w:cs="KaiTi"/>
          <w:color w:val="1F497D"/>
          <w:spacing w:val="-4"/>
          <w:sz w:val="18"/>
          <w:szCs w:val="18"/>
        </w:rPr>
        <w:t>绩触底回升</w:t>
      </w:r>
      <w:r>
        <w:rPr>
          <w:rFonts w:ascii="KaiTi" w:eastAsia="KaiTi" w:hAnsi="KaiTi" w:cs="KaiTi"/>
          <w:color w:val="1F497D"/>
          <w:spacing w:val="-45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 xml:space="preserve">AI </w:t>
      </w:r>
      <w:r>
        <w:rPr>
          <w:rFonts w:ascii="KaiTi" w:eastAsia="KaiTi" w:hAnsi="KaiTi" w:cs="KaiTi"/>
          <w:color w:val="1F497D"/>
          <w:spacing w:val="-4"/>
          <w:sz w:val="18"/>
          <w:szCs w:val="18"/>
        </w:rPr>
        <w:t>将贡献增量，</w:t>
      </w:r>
      <w:r>
        <w:rPr>
          <w:rFonts w:ascii="KaiTi" w:eastAsia="KaiTi" w:hAnsi="KaiTi" w:cs="KaiTi"/>
          <w:color w:val="1F497D"/>
          <w:spacing w:val="58"/>
          <w:w w:val="101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 xml:space="preserve">Intel </w:t>
      </w:r>
      <w:r>
        <w:rPr>
          <w:rFonts w:ascii="KaiTi" w:eastAsia="KaiTi" w:hAnsi="KaiTi" w:cs="KaiTi"/>
          <w:color w:val="1F497D"/>
          <w:spacing w:val="-4"/>
          <w:sz w:val="18"/>
          <w:szCs w:val="18"/>
        </w:rPr>
        <w:t>业绩趋于改善</w:t>
      </w:r>
    </w:p>
    <w:p>
      <w:pPr>
        <w:spacing w:before="119" w:line="197" w:lineRule="auto"/>
        <w:ind w:left="122"/>
        <w:rPr>
          <w:rFonts w:ascii="KaiTi" w:eastAsia="KaiTi" w:hAnsi="KaiTi" w:cs="KaiTi"/>
          <w:sz w:val="18"/>
          <w:szCs w:val="18"/>
        </w:rPr>
      </w:pPr>
      <w:r>
        <w:rPr>
          <w:rFonts w:ascii="KaiTi" w:eastAsia="KaiTi" w:hAnsi="KaiTi" w:cs="KaiTi"/>
          <w:color w:val="1F497D"/>
          <w:spacing w:val="-3"/>
          <w:sz w:val="18"/>
          <w:szCs w:val="18"/>
        </w:rPr>
        <w:t>【广发</w:t>
      </w:r>
      <w:r>
        <w:rPr>
          <w:rFonts w:ascii="KaiTi" w:eastAsia="KaiTi" w:hAnsi="KaiTi" w:cs="KaiTi"/>
          <w:color w:val="1F497D"/>
          <w:spacing w:val="-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 xml:space="preserve">TMT </w:t>
      </w:r>
      <w:r>
        <w:rPr>
          <w:rFonts w:ascii="KaiTi" w:eastAsia="KaiTi" w:hAnsi="KaiTi" w:cs="KaiTi"/>
          <w:color w:val="1F497D"/>
          <w:spacing w:val="-3"/>
          <w:sz w:val="18"/>
          <w:szCs w:val="18"/>
        </w:rPr>
        <w:t>产业研究】美股科技股观察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:</w:t>
      </w:r>
      <w:r>
        <w:rPr>
          <w:rFonts w:ascii="KaiTi" w:eastAsia="KaiTi" w:hAnsi="KaiTi" w:cs="KaiTi"/>
          <w:color w:val="1F497D"/>
          <w:spacing w:val="-3"/>
          <w:sz w:val="18"/>
          <w:szCs w:val="18"/>
        </w:rPr>
        <w:t>苹果业绩稳步向好，服务业务增长强劲，</w:t>
      </w:r>
      <w:r>
        <w:rPr>
          <w:rFonts w:ascii="KaiTi" w:eastAsia="KaiTi" w:hAnsi="KaiTi" w:cs="KaiTi"/>
          <w:color w:val="1F497D"/>
          <w:spacing w:val="57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3"/>
          <w:sz w:val="18"/>
          <w:szCs w:val="18"/>
        </w:rPr>
        <w:t>Net</w:t>
      </w:r>
      <w:r>
        <w:rPr>
          <w:rFonts w:ascii="Arial" w:eastAsia="Arial" w:hAnsi="Arial" w:cs="Arial"/>
          <w:color w:val="1F497D"/>
          <w:spacing w:val="-4"/>
          <w:sz w:val="18"/>
          <w:szCs w:val="18"/>
        </w:rPr>
        <w:t xml:space="preserve">flix </w:t>
      </w:r>
      <w:r>
        <w:rPr>
          <w:rFonts w:ascii="KaiTi" w:eastAsia="KaiTi" w:hAnsi="KaiTi" w:cs="KaiTi"/>
          <w:color w:val="1F497D"/>
          <w:spacing w:val="-4"/>
          <w:sz w:val="18"/>
          <w:szCs w:val="18"/>
        </w:rPr>
        <w:t>收入增速提升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62" w:line="19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2"/>
          <w:sz w:val="18"/>
          <w:szCs w:val="18"/>
        </w:rPr>
        <w:t>2023-11-26</w:t>
      </w:r>
    </w:p>
    <w:p>
      <w:pPr>
        <w:spacing w:before="159" w:line="19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2"/>
          <w:sz w:val="18"/>
          <w:szCs w:val="18"/>
        </w:rPr>
        <w:t>2023-11-09</w:t>
      </w:r>
    </w:p>
    <w:p>
      <w:pPr>
        <w:spacing w:before="158" w:line="194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color w:val="1F497D"/>
          <w:spacing w:val="-2"/>
          <w:sz w:val="18"/>
          <w:szCs w:val="18"/>
        </w:rPr>
        <w:t>2023-11-07</w:t>
      </w:r>
    </w:p>
    <w:p>
      <w:pPr>
        <w:spacing w:line="194" w:lineRule="auto"/>
        <w:rPr>
          <w:rFonts w:ascii="Arial" w:eastAsia="Arial" w:hAnsi="Arial" w:cs="Arial"/>
          <w:sz w:val="18"/>
          <w:szCs w:val="18"/>
        </w:rPr>
        <w:sectPr>
          <w:headerReference w:type="default" r:id="rId9"/>
          <w:footerReference w:type="default" r:id="rId10"/>
          <w:type w:val="continuous"/>
          <w:pgSz w:w="11907" w:h="16839"/>
          <w:pgMar w:top="1713" w:right="636" w:bottom="1730" w:left="621" w:header="689" w:footer="803" w:gutter="0"/>
          <w:pgNumType w:start="2"/>
          <w:cols w:num="2" w:space="708" w:equalWidth="0">
            <w:col w:w="9539" w:space="100"/>
            <w:col w:w="1010" w:space="0"/>
          </w:cols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84292435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98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tabs>
              <w:tab w:val="right" w:leader="dot" w:pos="10633"/>
            </w:tabs>
            <w:spacing w:before="172" w:line="213" w:lineRule="auto"/>
            <w:ind w:left="24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一、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SALESFORCE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：盈利水平提升，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布局持续深入，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云产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品增长强劲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1" w:history="1">
            <w:r>
              <w:rPr>
                <w:rFonts w:ascii="Arial" w:eastAsia="Arial" w:hAnsi="Arial" w:cs="Arial"/>
                <w:spacing w:val="2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10633"/>
            </w:tabs>
            <w:spacing w:before="84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（一）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FY24Q3</w:t>
          </w:r>
          <w:r>
            <w:rPr>
              <w:rFonts w:ascii="Arial" w:eastAsia="Arial" w:hAnsi="Arial" w:cs="Arial"/>
              <w:spacing w:val="2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营收保持双位数增长，盈利水平同比提升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2" w:history="1">
            <w:r>
              <w:rPr>
                <w:rFonts w:ascii="Arial" w:eastAsia="Arial" w:hAnsi="Arial" w:cs="Arial"/>
                <w:spacing w:val="2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10633"/>
            </w:tabs>
            <w:spacing w:before="84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2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订阅和支持业务为业绩支柱，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FY24Q3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收入增速稳中有升</w:t>
          </w:r>
          <w:r>
            <w:rPr>
              <w:rFonts w:ascii="KaiTi" w:eastAsia="KaiTi" w:hAnsi="KaiTi" w:cs="KaiTi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3"/>
            </w:tabs>
            <w:spacing w:before="84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持续迭代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产品，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通过投资收购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深入布局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领域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3"/>
            </w:tabs>
            <w:spacing w:before="84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9"/>
              <w:sz w:val="21"/>
              <w:szCs w:val="21"/>
            </w:rPr>
            <w:t>（四）</w:t>
          </w:r>
          <w:r>
            <w:rPr>
              <w:rFonts w:ascii="KaiTi" w:eastAsia="KaiTi" w:hAnsi="KaiTi" w:cs="KaiTi"/>
              <w:spacing w:val="-1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云产品增长强劲，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与云服务商扩大合作</w:t>
          </w:r>
          <w:r>
            <w:rPr>
              <w:rFonts w:ascii="KaiTi" w:eastAsia="KaiTi" w:hAnsi="KaiTi" w:cs="KaiTi"/>
              <w:spacing w:val="-8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5"/>
            </w:tabs>
            <w:spacing w:before="81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（五）</w:t>
          </w:r>
          <w:r>
            <w:rPr>
              <w:rFonts w:ascii="KaiTi" w:eastAsia="KaiTi" w:hAnsi="KaiTi" w:cs="KaiTi"/>
              <w:spacing w:val="-2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业绩指引：预计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FY24Q4</w:t>
          </w:r>
          <w:r>
            <w:rPr>
              <w:rFonts w:ascii="Arial" w:eastAsia="Arial" w:hAnsi="Arial" w:cs="Arial"/>
              <w:spacing w:val="1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营收增速趋稳，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FY24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经营利润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率进一步提升</w:t>
          </w:r>
          <w:r>
            <w:rPr>
              <w:rFonts w:ascii="KaiTi" w:eastAsia="KaiTi" w:hAnsi="KaiTi" w:cs="KaiTi"/>
              <w:spacing w:val="-6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635"/>
            </w:tabs>
            <w:spacing w:before="84" w:line="213" w:lineRule="auto"/>
            <w:ind w:left="241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二、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ADOBE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：收入增长提速，</w:t>
          </w:r>
          <w:r>
            <w:rPr>
              <w:rFonts w:ascii="KaiTi" w:eastAsia="KaiTi" w:hAnsi="KaiTi" w:cs="KaiTi"/>
              <w:spacing w:val="-3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加快赋能业务，下季度指引趋稳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635"/>
            </w:tabs>
            <w:spacing w:before="83" w:line="217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（一）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FY23Q4</w:t>
          </w:r>
          <w:r>
            <w:rPr>
              <w:rFonts w:ascii="Arial" w:eastAsia="Arial" w:hAnsi="Arial" w:cs="Arial"/>
              <w:spacing w:val="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营收增速进一步提升</w:t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635"/>
            </w:tabs>
            <w:spacing w:before="81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2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订阅业务增速持续提升，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产品业务及服务与其他业务降幅收窄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635"/>
            </w:tabs>
            <w:spacing w:before="84" w:line="213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AI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全面赋能产品创新，订阅增加带动收入增长</w:t>
          </w:r>
          <w:r>
            <w:rPr>
              <w:rFonts w:ascii="KaiTi" w:eastAsia="KaiTi" w:hAnsi="KaiTi" w:cs="KaiTi"/>
              <w:spacing w:val="-6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5"/>
            </w:tabs>
            <w:spacing w:before="84" w:line="220" w:lineRule="auto"/>
            <w:ind w:left="289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（四）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业绩指引：预计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FY24Q1</w:t>
          </w:r>
          <w:r>
            <w:rPr>
              <w:rFonts w:ascii="Arial" w:eastAsia="Arial" w:hAnsi="Arial" w:cs="Arial"/>
              <w:spacing w:val="1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营收增速趋稳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5"/>
            </w:tabs>
            <w:spacing w:before="74" w:line="223" w:lineRule="auto"/>
            <w:ind w:left="2421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三、风险提示</w:t>
          </w:r>
          <w:r>
            <w:rPr>
              <w:rFonts w:ascii="KaiTi" w:eastAsia="KaiTi" w:hAnsi="KaiTi" w:cs="KaiTi"/>
              <w:spacing w:val="-6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20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  <w:sz w:val="21"/>
          <w:szCs w:val="21"/>
        </w:rPr>
        <w:sectPr>
          <w:headerReference w:type="default" r:id="rId11"/>
          <w:footerReference w:type="default" r:id="rId12"/>
          <w:pgSz w:w="11907" w:h="16839"/>
          <w:pgMar w:top="1382" w:right="646" w:bottom="1291" w:left="624" w:header="794" w:footer="745" w:gutter="0"/>
          <w:pgNumType w:start="3"/>
          <w:cols w:space="708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269687360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72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spacing w:val="-1"/>
              <w:sz w:val="31"/>
              <w:szCs w:val="31"/>
              <w14:textOutline w14:w="5791">
                <w14:solidFill>
                  <w14:srgbClr w14:val="000000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tabs>
              <w:tab w:val="right" w:leader="dot" w:pos="10633"/>
            </w:tabs>
            <w:spacing w:before="172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Salesforce</w:t>
          </w:r>
          <w:r>
            <w:rPr>
              <w:rFonts w:ascii="Arial" w:eastAsia="Arial" w:hAnsi="Arial" w:cs="Arial"/>
              <w:spacing w:val="1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营业收入及同比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增速</w:t>
          </w:r>
          <w:r>
            <w:rPr>
              <w:rFonts w:ascii="KaiTi" w:eastAsia="KaiTi" w:hAnsi="KaiTi" w:cs="KaiTi"/>
              <w:spacing w:val="-6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3"/>
            </w:tabs>
            <w:spacing w:before="80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净利润及净利率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3"/>
            </w:tabs>
            <w:spacing w:before="78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经营利润及经营利润率</w:t>
          </w:r>
          <w:r>
            <w:rPr>
              <w:rFonts w:ascii="KaiTi" w:eastAsia="KaiTi" w:hAnsi="KaiTi" w:cs="KaiTi"/>
              <w:spacing w:val="-3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3"/>
            </w:tabs>
            <w:spacing w:before="78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毛利率变动情况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3"/>
            </w:tabs>
            <w:spacing w:before="78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三费用率变动情况</w:t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3"/>
            </w:tabs>
            <w:spacing w:before="76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分业务收入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3"/>
            </w:tabs>
            <w:spacing w:before="79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分业务收入同比增速</w:t>
          </w:r>
          <w:r>
            <w:rPr>
              <w:rFonts w:ascii="KaiTi" w:eastAsia="KaiTi" w:hAnsi="KaiTi" w:cs="KaiTi"/>
              <w:spacing w:val="-5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3"/>
            </w:tabs>
            <w:spacing w:before="81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分业务收入占比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3"/>
            </w:tabs>
            <w:spacing w:before="79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分地区收入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3"/>
            </w:tabs>
            <w:spacing w:before="74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分地区收入同比增速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3"/>
            </w:tabs>
            <w:spacing w:before="81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分地区收入占比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3"/>
            </w:tabs>
            <w:spacing w:before="73" w:line="219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Salesforce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投资的</w:t>
          </w:r>
          <w:r>
            <w:rPr>
              <w:rFonts w:ascii="KaiTi" w:eastAsia="KaiTi" w:hAnsi="KaiTi" w:cs="KaiTi"/>
              <w:spacing w:val="-4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AIGC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公司</w:t>
          </w:r>
          <w:r>
            <w:rPr>
              <w:rFonts w:ascii="KaiTi" w:eastAsia="KaiTi" w:hAnsi="KaiTi" w:cs="KaiTi"/>
              <w:spacing w:val="-7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5"/>
            </w:tabs>
            <w:spacing w:before="77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13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MuleSoft</w:t>
          </w:r>
          <w:r>
            <w:rPr>
              <w:rFonts w:ascii="Arial" w:eastAsia="Arial" w:hAnsi="Arial" w:cs="Arial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、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Table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au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和</w:t>
          </w:r>
          <w:r>
            <w:rPr>
              <w:rFonts w:ascii="KaiTi" w:eastAsia="KaiTi" w:hAnsi="KaiTi" w:cs="KaiTi"/>
              <w:spacing w:val="-4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Slack</w:t>
          </w:r>
          <w:r>
            <w:rPr>
              <w:rFonts w:ascii="Arial" w:eastAsia="Arial" w:hAnsi="Arial" w:cs="Arial"/>
              <w:spacing w:val="1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收入同比增速</w:t>
          </w:r>
          <w:r>
            <w:rPr>
              <w:rFonts w:ascii="KaiTi" w:eastAsia="KaiTi" w:hAnsi="KaiTi" w:cs="KaiTi"/>
              <w:spacing w:val="-3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635"/>
            </w:tabs>
            <w:spacing w:before="80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Salesfore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与阿里云合作的销售云、服务云、平台云介绍</w:t>
          </w:r>
          <w:r>
            <w:rPr>
              <w:rFonts w:ascii="KaiTi" w:eastAsia="KaiTi" w:hAnsi="KaiTi" w:cs="KaiTi"/>
              <w:spacing w:val="-8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7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1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10635"/>
            </w:tabs>
            <w:spacing w:before="81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Adobe</w:t>
          </w:r>
          <w:r>
            <w:rPr>
              <w:rFonts w:ascii="Arial" w:eastAsia="Arial" w:hAnsi="Arial" w:cs="Arial"/>
              <w:spacing w:val="24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营业收入及同比增速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5"/>
            </w:tabs>
            <w:spacing w:before="81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16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Adobe</w:t>
          </w:r>
          <w:r>
            <w:rPr>
              <w:rFonts w:ascii="Arial" w:eastAsia="Arial" w:hAnsi="Arial" w:cs="Arial"/>
              <w:spacing w:val="20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净利润及同比增速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5"/>
            </w:tabs>
            <w:spacing w:before="81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17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Adobe</w:t>
          </w:r>
          <w:r>
            <w:rPr>
              <w:rFonts w:ascii="Arial" w:eastAsia="Arial" w:hAnsi="Arial" w:cs="Arial"/>
              <w:spacing w:val="24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经营利润及同比增速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5"/>
            </w:tabs>
            <w:spacing w:before="78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Adobe</w:t>
          </w:r>
          <w:r>
            <w:rPr>
              <w:rFonts w:ascii="Arial" w:eastAsia="Arial" w:hAnsi="Arial" w:cs="Arial"/>
              <w:spacing w:val="24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净利率及经营利润率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5"/>
            </w:tabs>
            <w:spacing w:before="79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3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>19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毛利率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635"/>
            </w:tabs>
            <w:spacing w:before="79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20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三费率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1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635"/>
            </w:tabs>
            <w:spacing w:before="78" w:line="218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21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分业务收入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2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78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22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分业务收入同比增速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81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23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分产品收入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78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分产品收入同比增速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81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25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分地区收入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75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分地区收入同比增速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5"/>
            </w:tabs>
            <w:spacing w:before="81" w:line="221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分地区收入占比</w:t>
          </w:r>
          <w:r>
            <w:rPr>
              <w:rFonts w:ascii="KaiTi" w:eastAsia="KaiTi" w:hAnsi="KaiTi" w:cs="KaiTi"/>
              <w:spacing w:val="-6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5"/>
            </w:tabs>
            <w:spacing w:before="75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Adobe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创意云和文档云收入及同比增速</w:t>
          </w:r>
          <w:r>
            <w:rPr>
              <w:rFonts w:ascii="KaiTi" w:eastAsia="KaiTi" w:hAnsi="KaiTi" w:cs="KaiTi"/>
              <w:spacing w:val="-2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9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5"/>
            </w:tabs>
            <w:spacing w:before="80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29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FY2023 Adobe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创意云产品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与服务一览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0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5"/>
            </w:tabs>
            <w:spacing w:before="79" w:line="216" w:lineRule="auto"/>
            <w:ind w:left="3123"/>
            <w:rPr>
              <w:rFonts w:ascii="Arial" w:eastAsia="Arial" w:hAnsi="Arial" w:cs="Arial"/>
              <w:sz w:val="21"/>
              <w:szCs w:val="21"/>
            </w:rPr>
            <w:sectPr>
              <w:headerReference w:type="default" r:id="rId13"/>
              <w:footerReference w:type="default" r:id="rId14"/>
              <w:pgSz w:w="11907" w:h="16839"/>
              <w:pgMar w:top="1382" w:right="646" w:bottom="1291" w:left="624" w:header="794" w:footer="746" w:gutter="0"/>
              <w:pgNumType w:start="4"/>
              <w:cols w:space="708"/>
            </w:sect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30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FY2023 Adobe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文档云产品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与服务一览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1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KaiTi" w:eastAsia="KaiTi" w:hAnsi="KaiTi" w:cs="KaiTi"/>
          <w:sz w:val="31"/>
          <w:szCs w:val="31"/>
        </w:rPr>
        <w:id w:val="881838001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tabs>
              <w:tab w:val="right" w:leader="dot" w:pos="10635"/>
            </w:tabs>
            <w:spacing w:before="80" w:line="215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31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：数字体验订阅收入及同比增速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2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5"/>
            </w:tabs>
            <w:spacing w:before="83" w:line="216" w:lineRule="auto"/>
            <w:ind w:left="3123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32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FY2023 Adobe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体验云产品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与服务一览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3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</w:sdtContent>
    </w:sdt>
    <w:p>
      <w:pPr>
        <w:spacing w:line="216" w:lineRule="auto"/>
        <w:rPr>
          <w:rFonts w:ascii="Arial" w:eastAsia="Arial" w:hAnsi="Arial" w:cs="Arial"/>
          <w:sz w:val="21"/>
          <w:szCs w:val="21"/>
        </w:rPr>
        <w:sectPr>
          <w:headerReference w:type="default" r:id="rId15"/>
          <w:footerReference w:type="default" r:id="rId16"/>
          <w:type w:val="nextPage"/>
          <w:pgSz w:w="11907" w:h="16839"/>
          <w:pgMar w:top="1382" w:right="646" w:bottom="1291" w:left="624" w:header="794" w:footer="746" w:gutter="0"/>
          <w:pgNumType w:start="5"/>
          <w:cols w:space="708"/>
          <w:titlePg w:val="0"/>
        </w:sectPr>
      </w:pPr>
    </w:p>
    <w:p>
      <w:pPr>
        <w:spacing w:before="118" w:line="259" w:lineRule="auto"/>
        <w:ind w:left="3031" w:firstLine="14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除非特殊说明，</w:t>
      </w:r>
      <w:r>
        <w:rPr>
          <w:rFonts w:ascii="KaiTi" w:eastAsia="KaiTi" w:hAnsi="KaiTi" w:cs="KaiTi"/>
          <w:spacing w:val="37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本报告所使用数据来源均为公司财报、</w:t>
      </w:r>
      <w:r>
        <w:rPr>
          <w:rFonts w:ascii="KaiTi" w:eastAsia="KaiTi" w:hAnsi="KaiTi" w:cs="KaiTi"/>
          <w:spacing w:val="-3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21"/>
          <w:szCs w:val="21"/>
        </w:rPr>
        <w:t>Earnings Call</w:t>
      </w:r>
      <w:r>
        <w:rPr>
          <w:rFonts w:ascii="KaiTi" w:eastAsia="KaiTi" w:hAnsi="KaiTi" w:cs="KaiTi"/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记录及演示材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料、官网等官方公开信息。</w:t>
      </w:r>
    </w:p>
    <w:p>
      <w:pPr>
        <w:spacing w:line="254" w:lineRule="auto"/>
        <w:rPr>
          <w:rFonts w:ascii="Arial"/>
          <w:sz w:val="21"/>
        </w:rPr>
      </w:pPr>
    </w:p>
    <w:p>
      <w:pPr>
        <w:spacing w:before="101" w:line="653" w:lineRule="exact"/>
        <w:jc w:val="right"/>
        <w:rPr>
          <w:rFonts w:ascii="KaiTi" w:eastAsia="KaiTi" w:hAnsi="KaiTi" w:cs="KaiTi"/>
          <w:sz w:val="31"/>
          <w:szCs w:val="31"/>
        </w:rPr>
      </w:pPr>
      <w:bookmarkStart w:id="0" w:name="bookmark1"/>
      <w:bookmarkEnd w:id="0"/>
      <w:bookmarkStart w:id="1" w:name="bookmark2"/>
      <w:bookmarkEnd w:id="1"/>
      <w:r>
        <w:rPr>
          <w:rFonts w:ascii="KaiTi" w:eastAsia="KaiTi" w:hAnsi="KaiTi" w:cs="KaiTi"/>
          <w:spacing w:val="-1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一、</w:t>
      </w:r>
      <w:r>
        <w:rPr>
          <w:rFonts w:ascii="Arial" w:eastAsia="Arial" w:hAnsi="Arial" w:cs="Arial"/>
          <w:b/>
          <w:bCs/>
          <w:spacing w:val="-1"/>
          <w:position w:val="25"/>
          <w:sz w:val="31"/>
          <w:szCs w:val="31"/>
        </w:rPr>
        <w:t>Salesforce</w:t>
      </w:r>
      <w:r>
        <w:rPr>
          <w:rFonts w:ascii="KaiTi" w:eastAsia="KaiTi" w:hAnsi="KaiTi" w:cs="KaiTi"/>
          <w:spacing w:val="-1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：盈利水平提升，</w:t>
      </w:r>
      <w:r>
        <w:rPr>
          <w:rFonts w:ascii="KaiTi" w:eastAsia="KaiTi" w:hAnsi="KaiTi" w:cs="KaiTi"/>
          <w:spacing w:val="-67"/>
          <w:position w:val="25"/>
          <w:sz w:val="31"/>
          <w:szCs w:val="31"/>
        </w:rPr>
        <w:t xml:space="preserve"> </w:t>
      </w:r>
      <w:r>
        <w:rPr>
          <w:rFonts w:ascii="Arial" w:eastAsia="Arial" w:hAnsi="Arial" w:cs="Arial"/>
          <w:b/>
          <w:bCs/>
          <w:spacing w:val="-1"/>
          <w:position w:val="25"/>
          <w:sz w:val="31"/>
          <w:szCs w:val="31"/>
        </w:rPr>
        <w:t>AI</w:t>
      </w:r>
      <w:r>
        <w:rPr>
          <w:rFonts w:ascii="Arial" w:eastAsia="Arial" w:hAnsi="Arial" w:cs="Arial"/>
          <w:b/>
          <w:bCs/>
          <w:spacing w:val="-2"/>
          <w:position w:val="25"/>
          <w:sz w:val="31"/>
          <w:szCs w:val="31"/>
        </w:rPr>
        <w:t xml:space="preserve"> </w:t>
      </w:r>
      <w:r>
        <w:rPr>
          <w:rFonts w:ascii="KaiTi" w:eastAsia="KaiTi" w:hAnsi="KaiTi" w:cs="KaiTi"/>
          <w:spacing w:val="-2"/>
          <w:position w:val="25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布局持续深入，云</w:t>
      </w:r>
    </w:p>
    <w:p>
      <w:pPr>
        <w:spacing w:before="1" w:line="220" w:lineRule="auto"/>
        <w:ind w:left="3039"/>
        <w:rPr>
          <w:rFonts w:ascii="KaiTi" w:eastAsia="KaiTi" w:hAnsi="KaiTi" w:cs="KaiTi"/>
          <w:sz w:val="31"/>
          <w:szCs w:val="31"/>
        </w:rPr>
      </w:pPr>
      <w:r>
        <w:rPr>
          <w:rFonts w:ascii="KaiTi" w:eastAsia="KaiTi" w:hAnsi="KaiTi" w:cs="KaiTi"/>
          <w:spacing w:val="9"/>
          <w:sz w:val="31"/>
          <w:szCs w:val="31"/>
          <w14:textOutline w14:w="5791">
            <w14:solidFill>
              <w14:srgbClr w14:val="000000"/>
            </w14:solidFill>
            <w14:prstDash w14:val="solid"/>
            <w14:round/>
          </w14:textOutline>
        </w:rPr>
        <w:t>产品增长强劲</w:t>
      </w:r>
    </w:p>
    <w:p>
      <w:pPr>
        <w:spacing w:line="248" w:lineRule="auto"/>
        <w:rPr>
          <w:rFonts w:ascii="Arial"/>
          <w:sz w:val="21"/>
        </w:rPr>
      </w:pPr>
    </w:p>
    <w:p>
      <w:pPr>
        <w:spacing w:before="78" w:line="219" w:lineRule="auto"/>
        <w:ind w:left="3044"/>
        <w:rPr>
          <w:rFonts w:ascii="KaiTi" w:eastAsia="KaiTi" w:hAnsi="KaiTi" w:cs="KaiTi"/>
          <w:sz w:val="24"/>
          <w:szCs w:val="24"/>
        </w:rPr>
      </w:pPr>
      <w:r>
        <w:rPr>
          <w:rFonts w:ascii="KaiTi" w:eastAsia="KaiTi" w:hAnsi="KaiTi" w:cs="KaiTi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round/>
          </w14:textOutline>
        </w:rPr>
        <w:t>业绩亮点</w:t>
      </w:r>
    </w:p>
    <w:p>
      <w:pPr>
        <w:spacing w:before="231" w:line="271" w:lineRule="auto"/>
        <w:ind w:left="3093" w:right="167" w:firstLine="21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营收增速保持双位数增长，盈利水平提升，下季度指引较乐观。</w:t>
      </w:r>
      <w:r>
        <w:rPr>
          <w:rFonts w:ascii="Arial" w:eastAsia="Arial" w:hAnsi="Arial" w:cs="Arial"/>
          <w:sz w:val="21"/>
          <w:szCs w:val="21"/>
        </w:rPr>
        <w:t>FY24Q3</w:t>
      </w:r>
      <w:r>
        <w:rPr>
          <w:rFonts w:ascii="Arial" w:eastAsia="Arial" w:hAnsi="Arial" w:cs="Arial"/>
          <w:spacing w:val="-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公司实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现营业收入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87.20 </w:t>
      </w:r>
      <w:r>
        <w:rPr>
          <w:rFonts w:ascii="KaiTi" w:eastAsia="KaiTi" w:hAnsi="KaiTi" w:cs="KaiTi"/>
          <w:spacing w:val="-1"/>
          <w:sz w:val="21"/>
          <w:szCs w:val="21"/>
        </w:rPr>
        <w:t>亿美元，同比</w:t>
      </w:r>
      <w:r>
        <w:rPr>
          <w:rFonts w:ascii="Arial" w:eastAsia="Arial" w:hAnsi="Arial" w:cs="Arial"/>
          <w:spacing w:val="-1"/>
          <w:sz w:val="21"/>
          <w:szCs w:val="21"/>
        </w:rPr>
        <w:t>+11%</w:t>
      </w:r>
      <w:r>
        <w:rPr>
          <w:rFonts w:ascii="KaiTi" w:eastAsia="KaiTi" w:hAnsi="KaiTi" w:cs="KaiTi"/>
          <w:spacing w:val="-1"/>
          <w:sz w:val="21"/>
          <w:szCs w:val="21"/>
        </w:rPr>
        <w:t>（剔除汇率影响，同比</w:t>
      </w:r>
      <w:r>
        <w:rPr>
          <w:rFonts w:ascii="Arial" w:eastAsia="Arial" w:hAnsi="Arial" w:cs="Arial"/>
          <w:spacing w:val="-1"/>
          <w:sz w:val="21"/>
          <w:szCs w:val="21"/>
        </w:rPr>
        <w:t>+10%</w:t>
      </w:r>
      <w:r>
        <w:rPr>
          <w:rFonts w:ascii="KaiTi" w:eastAsia="KaiTi" w:hAnsi="KaiTi" w:cs="KaiTi"/>
          <w:spacing w:val="9"/>
          <w:sz w:val="21"/>
          <w:szCs w:val="21"/>
        </w:rPr>
        <w:t>），</w:t>
      </w:r>
      <w:r>
        <w:rPr>
          <w:rFonts w:ascii="KaiTi" w:eastAsia="KaiTi" w:hAnsi="KaiTi" w:cs="KaiTi"/>
          <w:spacing w:val="-1"/>
          <w:sz w:val="21"/>
          <w:szCs w:val="21"/>
        </w:rPr>
        <w:t>达到此前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公司指引上限。主要由公司产品组合的优势以及多个云业务转型所推动。营收增</w:t>
      </w:r>
      <w:r>
        <w:rPr>
          <w:rFonts w:ascii="KaiTi" w:eastAsia="KaiTi" w:hAnsi="KaiTi" w:cs="KaiTi"/>
          <w:spacing w:val="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长、费用下降共同驱动经营利润同比</w:t>
      </w:r>
      <w:r>
        <w:rPr>
          <w:rFonts w:ascii="Arial" w:eastAsia="Arial" w:hAnsi="Arial" w:cs="Arial"/>
          <w:spacing w:val="-1"/>
          <w:sz w:val="21"/>
          <w:szCs w:val="21"/>
        </w:rPr>
        <w:t>+226.3%</w:t>
      </w:r>
      <w:r>
        <w:rPr>
          <w:rFonts w:ascii="KaiTi" w:eastAsia="KaiTi" w:hAnsi="KaiTi" w:cs="KaiTi"/>
          <w:spacing w:val="-1"/>
          <w:sz w:val="21"/>
          <w:szCs w:val="21"/>
        </w:rPr>
        <w:t>至</w:t>
      </w:r>
      <w:r>
        <w:rPr>
          <w:rFonts w:ascii="KaiTi" w:eastAsia="KaiTi" w:hAnsi="KaiTi" w:cs="KaiTi"/>
          <w:spacing w:val="-1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15.01 </w:t>
      </w:r>
      <w:r>
        <w:rPr>
          <w:rFonts w:ascii="KaiTi" w:eastAsia="KaiTi" w:hAnsi="KaiTi" w:cs="KaiTi"/>
          <w:spacing w:val="-1"/>
          <w:sz w:val="21"/>
          <w:szCs w:val="21"/>
        </w:rPr>
        <w:t>亿美元，经营利润率为</w:t>
      </w:r>
    </w:p>
    <w:p>
      <w:pPr>
        <w:spacing w:before="70" w:line="264" w:lineRule="auto"/>
        <w:ind w:left="3099" w:right="242" w:firstLine="17"/>
        <w:rPr>
          <w:rFonts w:ascii="KaiTi" w:eastAsia="KaiTi" w:hAnsi="KaiTi" w:cs="KaiTi"/>
          <w:sz w:val="21"/>
          <w:szCs w:val="21"/>
        </w:rPr>
      </w:pPr>
      <w:r>
        <w:rPr>
          <w:rFonts w:ascii="Arial" w:eastAsia="Arial" w:hAnsi="Arial" w:cs="Arial"/>
          <w:spacing w:val="-4"/>
          <w:sz w:val="21"/>
          <w:szCs w:val="21"/>
        </w:rPr>
        <w:t>17.2%</w:t>
      </w:r>
      <w:r>
        <w:rPr>
          <w:rFonts w:ascii="KaiTi" w:eastAsia="KaiTi" w:hAnsi="KaiTi" w:cs="KaiTi"/>
          <w:spacing w:val="-4"/>
          <w:sz w:val="21"/>
          <w:szCs w:val="21"/>
        </w:rPr>
        <w:t>（</w:t>
      </w:r>
      <w:r>
        <w:rPr>
          <w:rFonts w:ascii="Arial" w:eastAsia="Arial" w:hAnsi="Arial" w:cs="Arial"/>
          <w:spacing w:val="-4"/>
          <w:sz w:val="21"/>
          <w:szCs w:val="21"/>
        </w:rPr>
        <w:t>YoY+11.3pct</w:t>
      </w:r>
      <w:r>
        <w:rPr>
          <w:rFonts w:ascii="KaiTi" w:eastAsia="KaiTi" w:hAnsi="KaiTi" w:cs="KaiTi"/>
          <w:spacing w:val="10"/>
          <w:sz w:val="21"/>
          <w:szCs w:val="21"/>
        </w:rPr>
        <w:t>）；</w:t>
      </w:r>
      <w:r>
        <w:rPr>
          <w:rFonts w:ascii="KaiTi" w:eastAsia="KaiTi" w:hAnsi="KaiTi" w:cs="KaiTi"/>
          <w:spacing w:val="-4"/>
          <w:sz w:val="21"/>
          <w:szCs w:val="21"/>
        </w:rPr>
        <w:t>净利润为</w:t>
      </w:r>
      <w:r>
        <w:rPr>
          <w:rFonts w:ascii="KaiTi" w:eastAsia="KaiTi" w:hAnsi="KaiTi" w:cs="KaiTi"/>
          <w:spacing w:val="-2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12.24 </w:t>
      </w:r>
      <w:r>
        <w:rPr>
          <w:rFonts w:ascii="KaiTi" w:eastAsia="KaiTi" w:hAnsi="KaiTi" w:cs="KaiTi"/>
          <w:spacing w:val="-4"/>
          <w:sz w:val="21"/>
          <w:szCs w:val="21"/>
        </w:rPr>
        <w:t>亿美元，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4"/>
          <w:sz w:val="21"/>
          <w:szCs w:val="21"/>
        </w:rPr>
        <w:t>同比增长</w:t>
      </w:r>
      <w:r>
        <w:rPr>
          <w:rFonts w:ascii="KaiTi" w:eastAsia="KaiTi" w:hAnsi="KaiTi" w:cs="KaiTi"/>
          <w:spacing w:val="-50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4.8 </w:t>
      </w:r>
      <w:r>
        <w:rPr>
          <w:rFonts w:ascii="KaiTi" w:eastAsia="KaiTi" w:hAnsi="KaiTi" w:cs="KaiTi"/>
          <w:spacing w:val="-4"/>
          <w:sz w:val="21"/>
          <w:szCs w:val="21"/>
        </w:rPr>
        <w:t>倍，净利率为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14.0%</w:t>
      </w:r>
      <w:r>
        <w:rPr>
          <w:rFonts w:ascii="KaiTi" w:eastAsia="KaiTi" w:hAnsi="KaiTi" w:cs="KaiTi"/>
          <w:spacing w:val="-1"/>
          <w:sz w:val="21"/>
          <w:szCs w:val="21"/>
        </w:rPr>
        <w:t>（</w:t>
      </w:r>
      <w:r>
        <w:rPr>
          <w:rFonts w:ascii="Arial" w:eastAsia="Arial" w:hAnsi="Arial" w:cs="Arial"/>
          <w:spacing w:val="-1"/>
          <w:sz w:val="21"/>
          <w:szCs w:val="21"/>
        </w:rPr>
        <w:t>YoY+11.4pct</w:t>
      </w:r>
      <w:r>
        <w:rPr>
          <w:rFonts w:ascii="KaiTi" w:eastAsia="KaiTi" w:hAnsi="KaiTi" w:cs="KaiTi"/>
          <w:spacing w:val="-1"/>
          <w:sz w:val="21"/>
          <w:szCs w:val="21"/>
        </w:rPr>
        <w:t>）。公司预计</w:t>
      </w:r>
      <w:r>
        <w:rPr>
          <w:rFonts w:ascii="KaiTi" w:eastAsia="KaiTi" w:hAnsi="KaiTi" w:cs="KaiTi"/>
          <w:spacing w:val="-3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FY24Q4 </w:t>
      </w:r>
      <w:r>
        <w:rPr>
          <w:rFonts w:ascii="KaiTi" w:eastAsia="KaiTi" w:hAnsi="KaiTi" w:cs="KaiTi"/>
          <w:spacing w:val="-1"/>
          <w:sz w:val="21"/>
          <w:szCs w:val="21"/>
        </w:rPr>
        <w:t>营收增速趋稳，同比</w:t>
      </w:r>
      <w:r>
        <w:rPr>
          <w:rFonts w:ascii="Arial" w:eastAsia="Arial" w:hAnsi="Arial" w:cs="Arial"/>
          <w:spacing w:val="-1"/>
          <w:sz w:val="21"/>
          <w:szCs w:val="21"/>
        </w:rPr>
        <w:t>+</w:t>
      </w:r>
      <w:r>
        <w:rPr>
          <w:rFonts w:ascii="Arial" w:eastAsia="Arial" w:hAnsi="Arial" w:cs="Arial"/>
          <w:spacing w:val="-2"/>
          <w:sz w:val="21"/>
          <w:szCs w:val="21"/>
        </w:rPr>
        <w:t>10%</w:t>
      </w:r>
      <w:r>
        <w:rPr>
          <w:rFonts w:ascii="Arial" w:eastAsia="Arial" w:hAnsi="Arial" w:cs="Arial"/>
          <w:spacing w:val="-3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，</w:t>
      </w:r>
      <w:r>
        <w:rPr>
          <w:rFonts w:ascii="Arial" w:eastAsia="Arial" w:hAnsi="Arial" w:cs="Arial"/>
          <w:spacing w:val="-2"/>
          <w:sz w:val="21"/>
          <w:szCs w:val="21"/>
        </w:rPr>
        <w:t>FY24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全年经营利润率进一步增加。</w:t>
      </w:r>
    </w:p>
    <w:p>
      <w:pPr>
        <w:spacing w:before="240" w:line="272" w:lineRule="auto"/>
        <w:ind w:left="3098" w:right="175" w:firstLine="2"/>
        <w:jc w:val="both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5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订阅和支持业务为业绩支柱，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5"/>
          <w:sz w:val="21"/>
          <w:szCs w:val="21"/>
        </w:rPr>
        <w:t xml:space="preserve">FY24Q3 </w:t>
      </w:r>
      <w:r>
        <w:rPr>
          <w:rFonts w:ascii="KaiTi" w:eastAsia="KaiTi" w:hAnsi="KaiTi" w:cs="KaiTi"/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收入增速稳中有升。</w:t>
      </w:r>
      <w:r>
        <w:rPr>
          <w:rFonts w:ascii="KaiTi" w:eastAsia="KaiTi" w:hAnsi="KaiTi" w:cs="KaiTi"/>
          <w:spacing w:val="2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 xml:space="preserve">FY24Q3 </w:t>
      </w:r>
      <w:r>
        <w:rPr>
          <w:rFonts w:ascii="KaiTi" w:eastAsia="KaiTi" w:hAnsi="KaiTi" w:cs="KaiTi"/>
          <w:spacing w:val="-6"/>
          <w:sz w:val="21"/>
          <w:szCs w:val="21"/>
        </w:rPr>
        <w:t>订阅和支持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业务实现收入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 xml:space="preserve">81.41 </w:t>
      </w:r>
      <w:r>
        <w:rPr>
          <w:rFonts w:ascii="KaiTi" w:eastAsia="KaiTi" w:hAnsi="KaiTi" w:cs="KaiTi"/>
          <w:spacing w:val="-2"/>
          <w:sz w:val="21"/>
          <w:szCs w:val="21"/>
        </w:rPr>
        <w:t>亿美元（</w:t>
      </w:r>
      <w:r>
        <w:rPr>
          <w:rFonts w:ascii="Arial" w:eastAsia="Arial" w:hAnsi="Arial" w:cs="Arial"/>
          <w:spacing w:val="-2"/>
          <w:sz w:val="21"/>
          <w:szCs w:val="21"/>
        </w:rPr>
        <w:t>YoY+12.6%</w:t>
      </w:r>
      <w:r>
        <w:rPr>
          <w:rFonts w:ascii="KaiTi" w:eastAsia="KaiTi" w:hAnsi="KaiTi" w:cs="KaiTi"/>
          <w:spacing w:val="-34"/>
          <w:sz w:val="21"/>
          <w:szCs w:val="21"/>
        </w:rPr>
        <w:t>），</w:t>
      </w:r>
      <w:r>
        <w:rPr>
          <w:rFonts w:ascii="KaiTi" w:eastAsia="KaiTi" w:hAnsi="KaiTi" w:cs="KaiTi"/>
          <w:spacing w:val="-20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主要由新业务的数量增加所驱动，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z w:val="21"/>
          <w:szCs w:val="21"/>
        </w:rPr>
        <w:t>包括新客户、业务升级和现有客户的额外订阅。分业务看，数据业务保持相对高</w:t>
      </w:r>
      <w:r>
        <w:rPr>
          <w:rFonts w:ascii="KaiTi" w:eastAsia="KaiTi" w:hAnsi="KaiTi" w:cs="KaiTi"/>
          <w:spacing w:val="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增、占比提升，</w:t>
      </w:r>
      <w:r>
        <w:rPr>
          <w:rFonts w:ascii="KaiTi" w:eastAsia="KaiTi" w:hAnsi="KaiTi" w:cs="KaiTi"/>
          <w:spacing w:val="-29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销售、服务、平台和其他业务增速相对稳定，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市场营销和商业增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速略下滑；</w:t>
      </w:r>
      <w:r>
        <w:rPr>
          <w:rFonts w:ascii="KaiTi" w:eastAsia="KaiTi" w:hAnsi="KaiTi" w:cs="KaiTi"/>
          <w:spacing w:val="-14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分地区看，美洲地区收入增速趋稳，亚太地区领衔增长。</w:t>
      </w:r>
    </w:p>
    <w:p>
      <w:pPr>
        <w:spacing w:before="247" w:line="213" w:lineRule="auto"/>
        <w:ind w:left="3096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持续迭代</w:t>
      </w:r>
      <w:r>
        <w:rPr>
          <w:rFonts w:ascii="KaiTi" w:eastAsia="KaiTi" w:hAnsi="KaiTi" w:cs="KaiTi"/>
          <w:spacing w:val="-32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 xml:space="preserve">AI </w:t>
      </w:r>
      <w:r>
        <w:rPr>
          <w:rFonts w:ascii="KaiTi" w:eastAsia="KaiTi" w:hAnsi="KaiTi" w:cs="KaiTi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产品，通过投资收购深入布局</w:t>
      </w:r>
      <w:r>
        <w:rPr>
          <w:rFonts w:ascii="KaiTi" w:eastAsia="KaiTi" w:hAnsi="KaiTi" w:cs="KaiTi"/>
          <w:spacing w:val="-50"/>
          <w:sz w:val="21"/>
          <w:szCs w:val="21"/>
        </w:rPr>
        <w:t xml:space="preserve"> </w:t>
      </w:r>
      <w:r>
        <w:rPr>
          <w:rFonts w:ascii="Arial" w:eastAsia="Arial" w:hAnsi="Arial" w:cs="Arial"/>
          <w:b/>
          <w:bCs/>
          <w:spacing w:val="-3"/>
          <w:sz w:val="21"/>
          <w:szCs w:val="21"/>
        </w:rPr>
        <w:t xml:space="preserve">AI </w:t>
      </w:r>
      <w:r>
        <w:rPr>
          <w:rFonts w:ascii="KaiTi" w:eastAsia="KaiTi" w:hAnsi="KaiTi" w:cs="KaiTi"/>
          <w:spacing w:val="-3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领域。</w:t>
      </w:r>
      <w:r>
        <w:rPr>
          <w:rFonts w:ascii="KaiTi" w:eastAsia="KaiTi" w:hAnsi="KaiTi" w:cs="KaiTi"/>
          <w:spacing w:val="-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FY24Q3 </w:t>
      </w:r>
      <w:r>
        <w:rPr>
          <w:rFonts w:ascii="KaiTi" w:eastAsia="KaiTi" w:hAnsi="KaiTi" w:cs="KaiTi"/>
          <w:spacing w:val="-3"/>
          <w:sz w:val="21"/>
          <w:szCs w:val="21"/>
        </w:rPr>
        <w:t>公司基于</w:t>
      </w:r>
      <w:r>
        <w:rPr>
          <w:rFonts w:ascii="KaiTi" w:eastAsia="KaiTi" w:hAnsi="KaiTi" w:cs="KaiTi"/>
          <w:spacing w:val="-5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AI </w:t>
      </w:r>
      <w:r>
        <w:rPr>
          <w:rFonts w:ascii="KaiTi" w:eastAsia="KaiTi" w:hAnsi="KaiTi" w:cs="KaiTi"/>
          <w:spacing w:val="-3"/>
          <w:sz w:val="21"/>
          <w:szCs w:val="21"/>
        </w:rPr>
        <w:t>技术推</w:t>
      </w:r>
    </w:p>
    <w:p>
      <w:pPr>
        <w:spacing w:before="82" w:line="213" w:lineRule="auto"/>
        <w:ind w:left="3128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1"/>
          <w:sz w:val="21"/>
          <w:szCs w:val="21"/>
        </w:rPr>
        <w:t>出多款产品，对内提质增效，对外促进交易表现。在内部推出</w:t>
      </w:r>
      <w:r>
        <w:rPr>
          <w:rFonts w:ascii="KaiTi" w:eastAsia="KaiTi" w:hAnsi="KaiTi" w:cs="KaiTi"/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Sales GPT </w:t>
      </w:r>
      <w:r>
        <w:rPr>
          <w:rFonts w:ascii="KaiTi" w:eastAsia="KaiTi" w:hAnsi="KaiTi" w:cs="KaiTi"/>
          <w:spacing w:val="-1"/>
          <w:sz w:val="21"/>
          <w:szCs w:val="21"/>
        </w:rPr>
        <w:t>和</w:t>
      </w:r>
    </w:p>
    <w:p>
      <w:pPr>
        <w:spacing w:before="85" w:line="263" w:lineRule="auto"/>
        <w:ind w:left="3104" w:right="73" w:hanging="1"/>
        <w:rPr>
          <w:rFonts w:ascii="KaiTi" w:eastAsia="KaiTi" w:hAnsi="KaiTi" w:cs="KaiTi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>Slack Sales</w:t>
      </w:r>
      <w:r>
        <w:rPr>
          <w:rFonts w:ascii="Arial" w:eastAsia="Arial" w:hAnsi="Arial" w:cs="Arial"/>
          <w:spacing w:val="1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Elevate </w:t>
      </w:r>
      <w:r>
        <w:rPr>
          <w:rFonts w:ascii="KaiTi" w:eastAsia="KaiTi" w:hAnsi="KaiTi" w:cs="KaiTi"/>
          <w:spacing w:val="-1"/>
          <w:sz w:val="21"/>
          <w:szCs w:val="21"/>
        </w:rPr>
        <w:t>并使用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Service GPT</w:t>
      </w:r>
      <w:r>
        <w:rPr>
          <w:rFonts w:ascii="KaiTi" w:eastAsia="KaiTi" w:hAnsi="KaiTi" w:cs="KaiTi"/>
          <w:spacing w:val="-1"/>
          <w:sz w:val="21"/>
          <w:szCs w:val="21"/>
        </w:rPr>
        <w:t>；对外推出集成</w:t>
      </w:r>
      <w:r>
        <w:rPr>
          <w:rFonts w:ascii="KaiTi" w:eastAsia="KaiTi" w:hAnsi="KaiTi" w:cs="KaiTi"/>
          <w:spacing w:val="-3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Einstein A</w:t>
      </w:r>
      <w:r>
        <w:rPr>
          <w:rFonts w:ascii="Arial" w:eastAsia="Arial" w:hAnsi="Arial" w:cs="Arial"/>
          <w:spacing w:val="-2"/>
          <w:sz w:val="21"/>
          <w:szCs w:val="21"/>
        </w:rPr>
        <w:t xml:space="preserve">I </w:t>
      </w:r>
      <w:r>
        <w:rPr>
          <w:rFonts w:ascii="KaiTi" w:eastAsia="KaiTi" w:hAnsi="KaiTi" w:cs="KaiTi"/>
          <w:spacing w:val="-2"/>
          <w:sz w:val="21"/>
          <w:szCs w:val="21"/>
        </w:rPr>
        <w:t>和数据云的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UE+</w:t>
      </w:r>
      <w:r>
        <w:rPr>
          <w:rFonts w:ascii="KaiTi" w:eastAsia="KaiTi" w:hAnsi="KaiTi" w:cs="KaiTi"/>
          <w:spacing w:val="-5"/>
          <w:sz w:val="21"/>
          <w:szCs w:val="21"/>
        </w:rPr>
        <w:t>捆绑包，</w:t>
      </w:r>
      <w:r>
        <w:rPr>
          <w:rFonts w:ascii="KaiTi" w:eastAsia="KaiTi" w:hAnsi="KaiTi" w:cs="KaiTi"/>
          <w:spacing w:val="-26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现有客户升级到</w:t>
      </w:r>
      <w:r>
        <w:rPr>
          <w:rFonts w:ascii="KaiTi" w:eastAsia="KaiTi" w:hAnsi="KaiTi" w:cs="KaiTi"/>
          <w:spacing w:val="-3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UE+</w:t>
      </w:r>
      <w:r>
        <w:rPr>
          <w:rFonts w:ascii="KaiTi" w:eastAsia="KaiTi" w:hAnsi="KaiTi" w:cs="KaiTi"/>
          <w:spacing w:val="-5"/>
          <w:sz w:val="21"/>
          <w:szCs w:val="21"/>
        </w:rPr>
        <w:t>后，</w:t>
      </w:r>
      <w:r>
        <w:rPr>
          <w:rFonts w:ascii="KaiTi" w:eastAsia="KaiTi" w:hAnsi="KaiTi" w:cs="KaiTi"/>
          <w:spacing w:val="-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5"/>
          <w:sz w:val="21"/>
          <w:szCs w:val="21"/>
        </w:rPr>
        <w:t>消费增加超过</w:t>
      </w:r>
      <w:r>
        <w:rPr>
          <w:rFonts w:ascii="KaiTi" w:eastAsia="KaiTi" w:hAnsi="KaiTi" w:cs="KaiTi"/>
          <w:spacing w:val="-4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70%</w:t>
      </w:r>
      <w:r>
        <w:rPr>
          <w:rFonts w:ascii="KaiTi" w:eastAsia="KaiTi" w:hAnsi="KaiTi" w:cs="KaiTi"/>
          <w:spacing w:val="-5"/>
          <w:sz w:val="21"/>
          <w:szCs w:val="21"/>
        </w:rPr>
        <w:t>，另推出</w:t>
      </w:r>
      <w:r>
        <w:rPr>
          <w:rFonts w:ascii="KaiTi" w:eastAsia="KaiTi" w:hAnsi="KaiTi" w:cs="KaiTi"/>
          <w:spacing w:val="-3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5"/>
          <w:sz w:val="21"/>
          <w:szCs w:val="21"/>
        </w:rPr>
        <w:t>Ei</w:t>
      </w:r>
      <w:r>
        <w:rPr>
          <w:rFonts w:ascii="Arial" w:eastAsia="Arial" w:hAnsi="Arial" w:cs="Arial"/>
          <w:spacing w:val="-6"/>
          <w:sz w:val="21"/>
          <w:szCs w:val="21"/>
        </w:rPr>
        <w:t>nstein GPT</w:t>
      </w:r>
      <w:r>
        <w:rPr>
          <w:rFonts w:ascii="Arial" w:eastAsia="Arial" w:hAnsi="Arial" w:cs="Arial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Copilots</w:t>
      </w:r>
      <w:r>
        <w:rPr>
          <w:rFonts w:ascii="Arial" w:eastAsia="Arial" w:hAnsi="Arial" w:cs="Arial"/>
          <w:spacing w:val="-32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、</w:t>
      </w:r>
      <w:r>
        <w:rPr>
          <w:rFonts w:ascii="Arial" w:eastAsia="Arial" w:hAnsi="Arial" w:cs="Arial"/>
          <w:spacing w:val="-1"/>
          <w:sz w:val="21"/>
          <w:szCs w:val="21"/>
        </w:rPr>
        <w:t>Salesforce Start</w:t>
      </w:r>
      <w:r>
        <w:rPr>
          <w:rFonts w:ascii="Arial" w:eastAsia="Arial" w:hAnsi="Arial" w:cs="Arial"/>
          <w:spacing w:val="-2"/>
          <w:sz w:val="21"/>
          <w:szCs w:val="21"/>
        </w:rPr>
        <w:t>er</w:t>
      </w:r>
      <w:r>
        <w:rPr>
          <w:rFonts w:ascii="Arial" w:eastAsia="Arial" w:hAnsi="Arial" w:cs="Arial"/>
          <w:spacing w:val="-3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、</w:t>
      </w:r>
      <w:r>
        <w:rPr>
          <w:rFonts w:ascii="Arial" w:eastAsia="Arial" w:hAnsi="Arial" w:cs="Arial"/>
          <w:spacing w:val="-2"/>
          <w:sz w:val="21"/>
          <w:szCs w:val="21"/>
        </w:rPr>
        <w:t>Slack Sales</w:t>
      </w:r>
      <w:r>
        <w:rPr>
          <w:rFonts w:ascii="Arial" w:eastAsia="Arial" w:hAnsi="Arial" w:cs="Arial"/>
          <w:spacing w:val="1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Elevate</w:t>
      </w:r>
      <w:r>
        <w:rPr>
          <w:rFonts w:ascii="Arial" w:eastAsia="Arial" w:hAnsi="Arial" w:cs="Arial"/>
          <w:spacing w:val="-33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、</w:t>
      </w:r>
      <w:r>
        <w:rPr>
          <w:rFonts w:ascii="Arial" w:eastAsia="Arial" w:hAnsi="Arial" w:cs="Arial"/>
          <w:spacing w:val="-2"/>
          <w:sz w:val="21"/>
          <w:szCs w:val="21"/>
        </w:rPr>
        <w:t>Salesforce</w:t>
      </w:r>
      <w:r>
        <w:rPr>
          <w:rFonts w:ascii="Arial" w:eastAsia="Arial" w:hAnsi="Arial" w:cs="Arial"/>
          <w:spacing w:val="1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Field Service</w:t>
      </w:r>
      <w:r>
        <w:rPr>
          <w:rFonts w:ascii="KaiTi" w:eastAsia="KaiTi" w:hAnsi="KaiTi" w:cs="KaiTi"/>
          <w:spacing w:val="-2"/>
          <w:sz w:val="21"/>
          <w:szCs w:val="21"/>
        </w:rPr>
        <w:t>、</w:t>
      </w:r>
    </w:p>
    <w:p>
      <w:pPr>
        <w:spacing w:before="81" w:line="250" w:lineRule="auto"/>
        <w:ind w:left="3140" w:right="181" w:hanging="30"/>
        <w:rPr>
          <w:rFonts w:ascii="KaiTi" w:eastAsia="KaiTi" w:hAnsi="KaiTi" w:cs="KaiTi"/>
          <w:sz w:val="21"/>
          <w:szCs w:val="21"/>
        </w:rPr>
      </w:pPr>
      <w:r>
        <w:rPr>
          <w:rFonts w:ascii="Arial" w:eastAsia="Arial" w:hAnsi="Arial" w:cs="Arial"/>
          <w:spacing w:val="-1"/>
          <w:sz w:val="21"/>
          <w:szCs w:val="21"/>
        </w:rPr>
        <w:t xml:space="preserve">Einstein Studio </w:t>
      </w:r>
      <w:r>
        <w:rPr>
          <w:rFonts w:ascii="KaiTi" w:eastAsia="KaiTi" w:hAnsi="KaiTi" w:cs="KaiTi"/>
          <w:spacing w:val="-1"/>
          <w:sz w:val="21"/>
          <w:szCs w:val="21"/>
        </w:rPr>
        <w:t>等新产品。</w:t>
      </w:r>
      <w:r>
        <w:rPr>
          <w:rFonts w:ascii="Arial" w:eastAsia="Arial" w:hAnsi="Arial" w:cs="Arial"/>
          <w:spacing w:val="-1"/>
          <w:sz w:val="21"/>
          <w:szCs w:val="21"/>
        </w:rPr>
        <w:t>9</w:t>
      </w:r>
      <w:r>
        <w:rPr>
          <w:rFonts w:ascii="Arial" w:eastAsia="Arial" w:hAnsi="Arial" w:cs="Arial"/>
          <w:spacing w:val="1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月宣布收购生成式</w:t>
      </w:r>
      <w:r>
        <w:rPr>
          <w:rFonts w:ascii="KaiTi" w:eastAsia="KaiTi" w:hAnsi="KaiTi" w:cs="KaiTi"/>
          <w:spacing w:val="-5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 xml:space="preserve">AI </w:t>
      </w:r>
      <w:r>
        <w:rPr>
          <w:rFonts w:ascii="KaiTi" w:eastAsia="KaiTi" w:hAnsi="KaiTi" w:cs="KaiTi"/>
          <w:spacing w:val="-1"/>
          <w:sz w:val="21"/>
          <w:szCs w:val="21"/>
        </w:rPr>
        <w:t>客户服务平台</w:t>
      </w:r>
      <w:r>
        <w:rPr>
          <w:rFonts w:ascii="KaiTi" w:eastAsia="KaiTi" w:hAnsi="KaiTi" w:cs="KaiTi"/>
          <w:spacing w:val="-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"/>
          <w:sz w:val="21"/>
          <w:szCs w:val="21"/>
        </w:rPr>
        <w:t>Airkit.AI</w:t>
      </w:r>
      <w:r>
        <w:rPr>
          <w:rFonts w:ascii="KaiTi" w:eastAsia="KaiTi" w:hAnsi="KaiTi" w:cs="KaiTi"/>
          <w:spacing w:val="-1"/>
          <w:sz w:val="21"/>
          <w:szCs w:val="21"/>
        </w:rPr>
        <w:t>，</w:t>
      </w:r>
      <w:r>
        <w:rPr>
          <w:rFonts w:ascii="KaiTi" w:eastAsia="KaiTi" w:hAnsi="KaiTi" w:cs="KaiTi"/>
          <w:spacing w:val="-2"/>
          <w:sz w:val="21"/>
          <w:szCs w:val="21"/>
        </w:rPr>
        <w:t>截至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目前共投资</w:t>
      </w:r>
      <w:r>
        <w:rPr>
          <w:rFonts w:ascii="KaiTi" w:eastAsia="KaiTi" w:hAnsi="KaiTi" w:cs="KaiTi"/>
          <w:spacing w:val="-2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10</w:t>
      </w:r>
      <w:r>
        <w:rPr>
          <w:rFonts w:ascii="Arial" w:eastAsia="Arial" w:hAnsi="Arial" w:cs="Arial"/>
          <w:spacing w:val="18"/>
          <w:w w:val="10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家</w:t>
      </w:r>
      <w:r>
        <w:rPr>
          <w:rFonts w:ascii="KaiTi" w:eastAsia="KaiTi" w:hAnsi="KaiTi" w:cs="KaiTi"/>
          <w:spacing w:val="-55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AIGC </w:t>
      </w:r>
      <w:r>
        <w:rPr>
          <w:rFonts w:ascii="KaiTi" w:eastAsia="KaiTi" w:hAnsi="KaiTi" w:cs="KaiTi"/>
          <w:spacing w:val="-3"/>
          <w:sz w:val="21"/>
          <w:szCs w:val="21"/>
        </w:rPr>
        <w:t>企业，包括</w:t>
      </w:r>
      <w:r>
        <w:rPr>
          <w:rFonts w:ascii="KaiTi" w:eastAsia="KaiTi" w:hAnsi="KaiTi" w:cs="KaiTi"/>
          <w:spacing w:val="-5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>Anthropic</w:t>
      </w:r>
      <w:r>
        <w:rPr>
          <w:rFonts w:ascii="KaiTi" w:eastAsia="KaiTi" w:hAnsi="KaiTi" w:cs="KaiTi"/>
          <w:spacing w:val="-3"/>
          <w:sz w:val="21"/>
          <w:szCs w:val="21"/>
        </w:rPr>
        <w:t>、</w:t>
      </w:r>
      <w:r>
        <w:rPr>
          <w:rFonts w:ascii="Arial" w:eastAsia="Arial" w:hAnsi="Arial" w:cs="Arial"/>
          <w:spacing w:val="-3"/>
          <w:sz w:val="21"/>
          <w:szCs w:val="21"/>
        </w:rPr>
        <w:t>Hugging</w:t>
      </w:r>
      <w:r>
        <w:rPr>
          <w:rFonts w:ascii="Arial" w:eastAsia="Arial" w:hAnsi="Arial" w:cs="Arial"/>
          <w:spacing w:val="17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Face </w:t>
      </w:r>
      <w:r>
        <w:rPr>
          <w:rFonts w:ascii="KaiTi" w:eastAsia="KaiTi" w:hAnsi="KaiTi" w:cs="KaiTi"/>
          <w:spacing w:val="-3"/>
          <w:sz w:val="21"/>
          <w:szCs w:val="21"/>
        </w:rPr>
        <w:t>等独角兽公司。</w:t>
      </w:r>
    </w:p>
    <w:p>
      <w:pPr>
        <w:spacing w:before="246" w:line="262" w:lineRule="auto"/>
        <w:ind w:left="3098" w:right="233" w:firstLine="9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6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云产品增长强劲，与云服务商扩大合作。</w:t>
      </w:r>
      <w:r>
        <w:rPr>
          <w:rFonts w:ascii="KaiTi" w:eastAsia="KaiTi" w:hAnsi="KaiTi" w:cs="KaiTi"/>
          <w:spacing w:val="7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 xml:space="preserve">FY24Q3 </w:t>
      </w:r>
      <w:r>
        <w:rPr>
          <w:rFonts w:ascii="KaiTi" w:eastAsia="KaiTi" w:hAnsi="KaiTi" w:cs="KaiTi"/>
          <w:spacing w:val="-6"/>
          <w:sz w:val="21"/>
          <w:szCs w:val="21"/>
        </w:rPr>
        <w:t>云产品获客能力进一步提升，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数据云新增</w:t>
      </w:r>
      <w:r>
        <w:rPr>
          <w:rFonts w:ascii="KaiTi" w:eastAsia="KaiTi" w:hAnsi="KaiTi" w:cs="KaiTi"/>
          <w:spacing w:val="-2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>1,000</w:t>
      </w:r>
      <w:r>
        <w:rPr>
          <w:rFonts w:ascii="Arial" w:eastAsia="Arial" w:hAnsi="Arial" w:cs="Arial"/>
          <w:spacing w:val="2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2"/>
          <w:sz w:val="21"/>
          <w:szCs w:val="21"/>
        </w:rPr>
        <w:t>家客户，超过</w:t>
      </w:r>
      <w:r>
        <w:rPr>
          <w:rFonts w:ascii="KaiTi" w:eastAsia="KaiTi" w:hAnsi="KaiTi" w:cs="KaiTi"/>
          <w:spacing w:val="-29"/>
          <w:sz w:val="21"/>
          <w:szCs w:val="21"/>
        </w:rPr>
        <w:t xml:space="preserve"> </w:t>
      </w:r>
      <w:r>
        <w:rPr>
          <w:rFonts w:ascii="Arial" w:eastAsia="Arial" w:hAnsi="Arial" w:cs="Arial"/>
          <w:spacing w:val="-2"/>
          <w:sz w:val="21"/>
          <w:szCs w:val="21"/>
        </w:rPr>
        <w:t xml:space="preserve">100 </w:t>
      </w:r>
      <w:r>
        <w:rPr>
          <w:rFonts w:ascii="KaiTi" w:eastAsia="KaiTi" w:hAnsi="KaiTi" w:cs="KaiTi"/>
          <w:spacing w:val="-2"/>
          <w:sz w:val="21"/>
          <w:szCs w:val="21"/>
        </w:rPr>
        <w:t>万美元的交易数量翻一番；行</w:t>
      </w:r>
      <w:r>
        <w:rPr>
          <w:rFonts w:ascii="KaiTi" w:eastAsia="KaiTi" w:hAnsi="KaiTi" w:cs="KaiTi"/>
          <w:spacing w:val="-3"/>
          <w:sz w:val="21"/>
          <w:szCs w:val="21"/>
        </w:rPr>
        <w:t>业云增长强</w:t>
      </w:r>
      <w:r>
        <w:rPr>
          <w:rFonts w:ascii="KaiTi" w:eastAsia="KaiTi" w:hAnsi="KaiTi" w:cs="KaiTi"/>
          <w:sz w:val="21"/>
          <w:szCs w:val="21"/>
        </w:rPr>
        <w:t xml:space="preserve">  </w:t>
      </w:r>
      <w:r>
        <w:rPr>
          <w:rFonts w:ascii="KaiTi" w:eastAsia="KaiTi" w:hAnsi="KaiTi" w:cs="KaiTi"/>
          <w:spacing w:val="-4"/>
          <w:sz w:val="21"/>
          <w:szCs w:val="21"/>
        </w:rPr>
        <w:t>劲，</w:t>
      </w:r>
      <w:r>
        <w:rPr>
          <w:rFonts w:ascii="KaiTi" w:eastAsia="KaiTi" w:hAnsi="KaiTi" w:cs="KaiTi"/>
          <w:spacing w:val="-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13 </w:t>
      </w:r>
      <w:r>
        <w:rPr>
          <w:rFonts w:ascii="KaiTi" w:eastAsia="KaiTi" w:hAnsi="KaiTi" w:cs="KaiTi"/>
          <w:spacing w:val="-4"/>
          <w:sz w:val="21"/>
          <w:szCs w:val="21"/>
        </w:rPr>
        <w:t>个行业云中有</w:t>
      </w:r>
      <w:r>
        <w:rPr>
          <w:rFonts w:ascii="KaiTi" w:eastAsia="KaiTi" w:hAnsi="KaiTi" w:cs="KaiTi"/>
          <w:spacing w:val="-4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9 </w:t>
      </w:r>
      <w:r>
        <w:rPr>
          <w:rFonts w:ascii="KaiTi" w:eastAsia="KaiTi" w:hAnsi="KaiTi" w:cs="KaiTi"/>
          <w:spacing w:val="-4"/>
          <w:sz w:val="21"/>
          <w:szCs w:val="21"/>
        </w:rPr>
        <w:t>个的</w:t>
      </w:r>
      <w:r>
        <w:rPr>
          <w:rFonts w:ascii="KaiTi" w:eastAsia="KaiTi" w:hAnsi="KaiTi" w:cs="KaiTi"/>
          <w:spacing w:val="-5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 xml:space="preserve">ARR </w:t>
      </w:r>
      <w:r>
        <w:rPr>
          <w:rFonts w:ascii="KaiTi" w:eastAsia="KaiTi" w:hAnsi="KaiTi" w:cs="KaiTi"/>
          <w:spacing w:val="-4"/>
          <w:sz w:val="21"/>
          <w:szCs w:val="21"/>
        </w:rPr>
        <w:t>增长率首次超过</w:t>
      </w:r>
      <w:r>
        <w:rPr>
          <w:rFonts w:ascii="KaiTi" w:eastAsia="KaiTi" w:hAnsi="KaiTi" w:cs="KaiTi"/>
          <w:spacing w:val="-44"/>
          <w:sz w:val="21"/>
          <w:szCs w:val="21"/>
        </w:rPr>
        <w:t xml:space="preserve"> </w:t>
      </w:r>
      <w:r>
        <w:rPr>
          <w:rFonts w:ascii="Arial" w:eastAsia="Arial" w:hAnsi="Arial" w:cs="Arial"/>
          <w:spacing w:val="-4"/>
          <w:sz w:val="21"/>
          <w:szCs w:val="21"/>
        </w:rPr>
        <w:t>50%</w:t>
      </w:r>
      <w:r>
        <w:rPr>
          <w:rFonts w:ascii="KaiTi" w:eastAsia="KaiTi" w:hAnsi="KaiTi" w:cs="KaiTi"/>
          <w:spacing w:val="-4"/>
          <w:sz w:val="21"/>
          <w:szCs w:val="21"/>
        </w:rPr>
        <w:t>。云产品</w:t>
      </w:r>
      <w:r>
        <w:rPr>
          <w:rFonts w:ascii="KaiTi" w:eastAsia="KaiTi" w:hAnsi="KaiTi" w:cs="KaiTi"/>
          <w:spacing w:val="-5"/>
          <w:sz w:val="21"/>
          <w:szCs w:val="21"/>
        </w:rPr>
        <w:t>使用量增加，</w:t>
      </w:r>
    </w:p>
    <w:p>
      <w:pPr>
        <w:spacing w:before="82" w:line="273" w:lineRule="auto"/>
        <w:ind w:left="3098" w:right="189" w:firstLine="13"/>
        <w:rPr>
          <w:rFonts w:ascii="KaiTi" w:eastAsia="KaiTi" w:hAnsi="KaiTi" w:cs="KaiTi"/>
          <w:sz w:val="21"/>
          <w:szCs w:val="21"/>
        </w:rPr>
      </w:pPr>
      <w:r>
        <w:rPr>
          <w:rFonts w:ascii="Arial" w:eastAsia="Arial" w:hAnsi="Arial" w:cs="Arial"/>
          <w:spacing w:val="-2"/>
          <w:sz w:val="21"/>
          <w:szCs w:val="21"/>
        </w:rPr>
        <w:t xml:space="preserve">FY24Q3 </w:t>
      </w:r>
      <w:r>
        <w:rPr>
          <w:rFonts w:ascii="KaiTi" w:eastAsia="KaiTi" w:hAnsi="KaiTi" w:cs="KaiTi"/>
          <w:spacing w:val="-2"/>
          <w:sz w:val="21"/>
          <w:szCs w:val="21"/>
        </w:rPr>
        <w:t>数据云获取记录同比</w:t>
      </w:r>
      <w:r>
        <w:rPr>
          <w:rFonts w:ascii="Arial" w:eastAsia="Arial" w:hAnsi="Arial" w:cs="Arial"/>
          <w:spacing w:val="-2"/>
          <w:sz w:val="21"/>
          <w:szCs w:val="21"/>
        </w:rPr>
        <w:t>+140%</w:t>
      </w:r>
      <w:r>
        <w:rPr>
          <w:rFonts w:ascii="KaiTi" w:eastAsia="KaiTi" w:hAnsi="KaiTi" w:cs="KaiTi"/>
          <w:spacing w:val="-2"/>
          <w:sz w:val="21"/>
          <w:szCs w:val="21"/>
        </w:rPr>
        <w:t>，被激活次数同比</w:t>
      </w:r>
      <w:r>
        <w:rPr>
          <w:rFonts w:ascii="Arial" w:eastAsia="Arial" w:hAnsi="Arial" w:cs="Arial"/>
          <w:spacing w:val="-2"/>
          <w:sz w:val="21"/>
          <w:szCs w:val="21"/>
        </w:rPr>
        <w:t>+220%</w:t>
      </w:r>
      <w:r>
        <w:rPr>
          <w:rFonts w:ascii="KaiTi" w:eastAsia="KaiTi" w:hAnsi="KaiTi" w:cs="KaiTi"/>
          <w:spacing w:val="-2"/>
          <w:sz w:val="21"/>
          <w:szCs w:val="21"/>
        </w:rPr>
        <w:t>；在网络周期间，</w:t>
      </w:r>
      <w:r>
        <w:rPr>
          <w:rFonts w:ascii="KaiTi" w:eastAsia="KaiTi" w:hAnsi="KaiTi" w:cs="KaiTi"/>
          <w:spacing w:val="15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Commerce Cloud</w:t>
      </w:r>
      <w:r>
        <w:rPr>
          <w:rFonts w:ascii="KaiTi" w:eastAsia="KaiTi" w:hAnsi="KaiTi" w:cs="KaiTi"/>
          <w:sz w:val="21"/>
          <w:szCs w:val="21"/>
        </w:rPr>
        <w:t>、</w:t>
      </w:r>
      <w:r>
        <w:rPr>
          <w:rFonts w:ascii="Arial" w:eastAsia="Arial" w:hAnsi="Arial" w:cs="Arial"/>
          <w:sz w:val="21"/>
          <w:szCs w:val="21"/>
        </w:rPr>
        <w:t>Market</w:t>
      </w:r>
      <w:r>
        <w:rPr>
          <w:rFonts w:ascii="Arial" w:eastAsia="Arial" w:hAnsi="Arial" w:cs="Arial"/>
          <w:spacing w:val="-1"/>
          <w:sz w:val="21"/>
          <w:szCs w:val="21"/>
        </w:rPr>
        <w:t>ing Cloud</w:t>
      </w:r>
      <w:r>
        <w:rPr>
          <w:rFonts w:ascii="Arial" w:eastAsia="Arial" w:hAnsi="Arial" w:cs="Arial"/>
          <w:spacing w:val="-3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1"/>
          <w:sz w:val="21"/>
          <w:szCs w:val="21"/>
        </w:rPr>
        <w:t>、</w:t>
      </w:r>
      <w:r>
        <w:rPr>
          <w:rFonts w:ascii="Arial" w:eastAsia="Arial" w:hAnsi="Arial" w:cs="Arial"/>
          <w:spacing w:val="-1"/>
          <w:sz w:val="21"/>
          <w:szCs w:val="21"/>
        </w:rPr>
        <w:t xml:space="preserve">Service Cloud </w:t>
      </w:r>
      <w:r>
        <w:rPr>
          <w:rFonts w:ascii="KaiTi" w:eastAsia="KaiTi" w:hAnsi="KaiTi" w:cs="KaiTi"/>
          <w:spacing w:val="-1"/>
          <w:sz w:val="21"/>
          <w:szCs w:val="21"/>
        </w:rPr>
        <w:t>等均表现出色。从收入来</w:t>
      </w:r>
      <w:r>
        <w:rPr>
          <w:rFonts w:ascii="KaiTi" w:eastAsia="KaiTi" w:hAnsi="KaiTi" w:cs="KaiTi"/>
          <w:sz w:val="21"/>
          <w:szCs w:val="21"/>
        </w:rPr>
        <w:t xml:space="preserve">  </w:t>
      </w:r>
      <w:r>
        <w:rPr>
          <w:rFonts w:ascii="KaiTi" w:eastAsia="KaiTi" w:hAnsi="KaiTi" w:cs="KaiTi"/>
          <w:spacing w:val="-6"/>
          <w:sz w:val="21"/>
          <w:szCs w:val="21"/>
        </w:rPr>
        <w:t>看，</w:t>
      </w:r>
      <w:r>
        <w:rPr>
          <w:rFonts w:ascii="KaiTi" w:eastAsia="KaiTi" w:hAnsi="KaiTi" w:cs="KaiTi"/>
          <w:spacing w:val="-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MuleSoft</w:t>
      </w:r>
      <w:r>
        <w:rPr>
          <w:rFonts w:ascii="Arial" w:eastAsia="Arial" w:hAnsi="Arial" w:cs="Arial"/>
          <w:spacing w:val="-21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、</w:t>
      </w:r>
      <w:r>
        <w:rPr>
          <w:rFonts w:ascii="Arial" w:eastAsia="Arial" w:hAnsi="Arial" w:cs="Arial"/>
          <w:spacing w:val="-6"/>
          <w:sz w:val="21"/>
          <w:szCs w:val="21"/>
        </w:rPr>
        <w:t xml:space="preserve">Tableau </w:t>
      </w:r>
      <w:r>
        <w:rPr>
          <w:rFonts w:ascii="KaiTi" w:eastAsia="KaiTi" w:hAnsi="KaiTi" w:cs="KaiTi"/>
          <w:spacing w:val="-6"/>
          <w:sz w:val="21"/>
          <w:szCs w:val="21"/>
        </w:rPr>
        <w:t>和</w:t>
      </w:r>
      <w:r>
        <w:rPr>
          <w:rFonts w:ascii="KaiTi" w:eastAsia="KaiTi" w:hAnsi="KaiTi" w:cs="KaiTi"/>
          <w:spacing w:val="-43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 xml:space="preserve">Slack </w:t>
      </w:r>
      <w:r>
        <w:rPr>
          <w:rFonts w:ascii="KaiTi" w:eastAsia="KaiTi" w:hAnsi="KaiTi" w:cs="KaiTi"/>
          <w:spacing w:val="-6"/>
          <w:sz w:val="21"/>
          <w:szCs w:val="21"/>
        </w:rPr>
        <w:t>收入增速均保持强劲，</w:t>
      </w:r>
      <w:r>
        <w:rPr>
          <w:rFonts w:ascii="KaiTi" w:eastAsia="KaiTi" w:hAnsi="KaiTi" w:cs="KaiTi"/>
          <w:spacing w:val="-6"/>
          <w:sz w:val="21"/>
          <w:szCs w:val="21"/>
        </w:rPr>
        <w:t xml:space="preserve"> </w:t>
      </w:r>
      <w:r>
        <w:rPr>
          <w:rFonts w:ascii="Arial" w:eastAsia="Arial" w:hAnsi="Arial" w:cs="Arial"/>
          <w:spacing w:val="-6"/>
          <w:sz w:val="21"/>
          <w:szCs w:val="21"/>
        </w:rPr>
        <w:t>FY24Q3</w:t>
      </w:r>
      <w:r>
        <w:rPr>
          <w:rFonts w:ascii="Arial" w:eastAsia="Arial" w:hAnsi="Arial" w:cs="Arial"/>
          <w:spacing w:val="25"/>
          <w:sz w:val="21"/>
          <w:szCs w:val="21"/>
        </w:rPr>
        <w:t xml:space="preserve"> </w:t>
      </w:r>
      <w:r>
        <w:rPr>
          <w:rFonts w:ascii="KaiTi" w:eastAsia="KaiTi" w:hAnsi="KaiTi" w:cs="KaiTi"/>
          <w:spacing w:val="-6"/>
          <w:sz w:val="21"/>
          <w:szCs w:val="21"/>
        </w:rPr>
        <w:t>同比分别增长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>26%</w:t>
      </w:r>
      <w:r>
        <w:rPr>
          <w:rFonts w:ascii="KaiTi" w:eastAsia="KaiTi" w:hAnsi="KaiTi" w:cs="KaiTi"/>
          <w:sz w:val="21"/>
          <w:szCs w:val="21"/>
        </w:rPr>
        <w:t>、</w:t>
      </w:r>
      <w:r>
        <w:rPr>
          <w:rFonts w:ascii="Arial" w:eastAsia="Arial" w:hAnsi="Arial" w:cs="Arial"/>
          <w:sz w:val="21"/>
          <w:szCs w:val="21"/>
        </w:rPr>
        <w:t>16%</w:t>
      </w:r>
      <w:r>
        <w:rPr>
          <w:rFonts w:ascii="KaiTi" w:eastAsia="KaiTi" w:hAnsi="KaiTi" w:cs="KaiTi"/>
          <w:sz w:val="21"/>
          <w:szCs w:val="21"/>
        </w:rPr>
        <w:t>、</w:t>
      </w:r>
      <w:r>
        <w:rPr>
          <w:rFonts w:ascii="Arial" w:eastAsia="Arial" w:hAnsi="Arial" w:cs="Arial"/>
          <w:sz w:val="21"/>
          <w:szCs w:val="21"/>
        </w:rPr>
        <w:t>18%</w:t>
      </w:r>
      <w:r>
        <w:rPr>
          <w:rFonts w:ascii="KaiTi" w:eastAsia="KaiTi" w:hAnsi="KaiTi" w:cs="KaiTi"/>
          <w:sz w:val="21"/>
          <w:szCs w:val="21"/>
        </w:rPr>
        <w:t>。公司与</w:t>
      </w:r>
      <w:r>
        <w:rPr>
          <w:rFonts w:ascii="KaiTi" w:eastAsia="KaiTi" w:hAnsi="KaiTi" w:cs="KaiTi"/>
          <w:spacing w:val="-53"/>
          <w:sz w:val="21"/>
          <w:szCs w:val="21"/>
        </w:rPr>
        <w:t xml:space="preserve"> </w:t>
      </w:r>
      <w:r>
        <w:rPr>
          <w:rFonts w:ascii="Arial" w:eastAsia="Arial" w:hAnsi="Arial" w:cs="Arial"/>
          <w:sz w:val="21"/>
          <w:szCs w:val="21"/>
        </w:rPr>
        <w:t xml:space="preserve">AWS </w:t>
      </w:r>
      <w:r>
        <w:rPr>
          <w:rFonts w:ascii="KaiTi" w:eastAsia="KaiTi" w:hAnsi="KaiTi" w:cs="KaiTi"/>
          <w:sz w:val="21"/>
          <w:szCs w:val="21"/>
        </w:rPr>
        <w:t>扩大合作，与阿里云合作的云产</w:t>
      </w:r>
      <w:r>
        <w:rPr>
          <w:rFonts w:ascii="KaiTi" w:eastAsia="KaiTi" w:hAnsi="KaiTi" w:cs="KaiTi"/>
          <w:spacing w:val="-1"/>
          <w:sz w:val="21"/>
          <w:szCs w:val="21"/>
        </w:rPr>
        <w:t>品（包括销售</w:t>
      </w:r>
      <w:r>
        <w:rPr>
          <w:rFonts w:ascii="KaiTi" w:eastAsia="KaiTi" w:hAnsi="KaiTi" w:cs="KaiTi"/>
          <w:sz w:val="21"/>
          <w:szCs w:val="21"/>
        </w:rPr>
        <w:t xml:space="preserve"> </w:t>
      </w:r>
      <w:r>
        <w:rPr>
          <w:rFonts w:ascii="KaiTi" w:eastAsia="KaiTi" w:hAnsi="KaiTi" w:cs="KaiTi"/>
          <w:spacing w:val="-3"/>
          <w:sz w:val="21"/>
          <w:szCs w:val="21"/>
        </w:rPr>
        <w:t>云、服务云和平台云）于</w:t>
      </w:r>
      <w:r>
        <w:rPr>
          <w:rFonts w:ascii="KaiTi" w:eastAsia="KaiTi" w:hAnsi="KaiTi" w:cs="KaiTi"/>
          <w:spacing w:val="-38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23 </w:t>
      </w:r>
      <w:r>
        <w:rPr>
          <w:rFonts w:ascii="KaiTi" w:eastAsia="KaiTi" w:hAnsi="KaiTi" w:cs="KaiTi"/>
          <w:spacing w:val="-3"/>
          <w:sz w:val="21"/>
          <w:szCs w:val="21"/>
        </w:rPr>
        <w:t>年</w:t>
      </w:r>
      <w:r>
        <w:rPr>
          <w:rFonts w:ascii="KaiTi" w:eastAsia="KaiTi" w:hAnsi="KaiTi" w:cs="KaiTi"/>
          <w:spacing w:val="-31"/>
          <w:sz w:val="21"/>
          <w:szCs w:val="21"/>
        </w:rPr>
        <w:t xml:space="preserve"> </w:t>
      </w:r>
      <w:r>
        <w:rPr>
          <w:rFonts w:ascii="Arial" w:eastAsia="Arial" w:hAnsi="Arial" w:cs="Arial"/>
          <w:spacing w:val="-3"/>
          <w:sz w:val="21"/>
          <w:szCs w:val="21"/>
        </w:rPr>
        <w:t xml:space="preserve">12 </w:t>
      </w:r>
      <w:r>
        <w:rPr>
          <w:rFonts w:ascii="KaiTi" w:eastAsia="KaiTi" w:hAnsi="KaiTi" w:cs="KaiTi"/>
          <w:spacing w:val="-3"/>
          <w:sz w:val="21"/>
          <w:szCs w:val="21"/>
        </w:rPr>
        <w:t>月正式推出。</w:t>
      </w:r>
    </w:p>
    <w:p>
      <w:pPr>
        <w:spacing w:line="317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https://d.book118.com/576220222022010041</w:t>
        </w:r>
      </w:hyperlink>
    </w:p>
    <w:p>
      <w:pPr>
        <w:spacing w:line="317" w:lineRule="auto"/>
        <w:rPr>
          <w:rFonts w:ascii="Arial"/>
          <w:sz w:val="21"/>
        </w:rPr>
      </w:pPr>
    </w:p>
    <w:sectPr>
      <w:headerReference w:type="default" r:id="rId18"/>
      <w:footerReference w:type="default" r:id="rId19"/>
      <w:pgSz w:w="11907" w:h="16839"/>
      <w:pgMar w:top="1382" w:right="638" w:bottom="1291" w:left="624" w:header="794" w:footer="745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147" w:line="210" w:lineRule="auto"/>
      <w:ind w:left="21"/>
    </w:pPr>
    <w:r>
      <w:pict>
        <v:shape id="_x0000_s2050" style="width:529.55pt;height:1pt;margin-top:755.4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09.65pt;height:12.65pt;margin-top:2.41pt;margin-left:423.21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4892"/>
                    <w:spacing w:val="-1"/>
                  </w:rPr>
                  <w:t>请务必阅读末页的免责声明</w:t>
                </w:r>
              </w:p>
            </w:txbxContent>
          </v:textbox>
        </v:shape>
      </w:pict>
    </w:r>
    <w:r>
      <w:rPr>
        <w:color w:val="003F8A"/>
        <w:spacing w:val="-1"/>
      </w:rPr>
      <w:t>识别风险，发现价值</w:t>
    </w:r>
  </w:p>
  <w:p>
    <w:pPr>
      <w:pStyle w:val="BodyText"/>
      <w:spacing w:after="136" w:line="216" w:lineRule="auto"/>
      <w:ind w:left="148"/>
      <w:rPr>
        <w:sz w:val="16"/>
        <w:szCs w:val="16"/>
      </w:rPr>
    </w:pPr>
    <w:r>
      <w:rPr>
        <w:color w:val="1F497D"/>
        <w:spacing w:val="-3"/>
        <w:sz w:val="16"/>
        <w:szCs w:val="16"/>
      </w:rPr>
      <w:t>本报告联系人：</w:t>
    </w:r>
    <w:r>
      <w:rPr>
        <w:color w:val="1F497D"/>
        <w:spacing w:val="5"/>
        <w:sz w:val="16"/>
        <w:szCs w:val="16"/>
      </w:rPr>
      <w:t xml:space="preserve">      </w:t>
    </w:r>
    <w:r>
      <w:rPr>
        <w:color w:val="1F497D"/>
        <w:spacing w:val="-3"/>
        <w:sz w:val="16"/>
        <w:szCs w:val="16"/>
      </w:rPr>
      <w:t>罗可心</w:t>
    </w:r>
    <w:r>
      <w:rPr>
        <w:color w:val="1F497D"/>
        <w:spacing w:val="-3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020-66336855</w:t>
    </w:r>
    <w:r>
      <w:rPr>
        <w:color w:val="1F497D"/>
        <w:spacing w:val="17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luokexin@gf.com.cn</w:t>
    </w:r>
  </w:p>
  <w:p>
    <w:pPr>
      <w:spacing w:line="225" w:lineRule="auto"/>
      <w:ind w:left="506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147" w:line="210" w:lineRule="auto"/>
      <w:ind w:left="21"/>
    </w:pPr>
    <w:r>
      <w:pict>
        <v:shape id="_x0000_s2053" style="width:529.55pt;height:1pt;margin-top:755.4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09.65pt;height:12.65pt;margin-top:2.41pt;margin-left:423.21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8" w:lineRule="auto"/>
                  <w:ind w:left="20"/>
                </w:pPr>
                <w:r>
                  <w:rPr>
                    <w:color w:val="004892"/>
                    <w:spacing w:val="-1"/>
                  </w:rPr>
                  <w:t>请务必阅读末页的免责声明</w:t>
                </w:r>
              </w:p>
            </w:txbxContent>
          </v:textbox>
        </v:shape>
      </w:pict>
    </w:r>
    <w:r>
      <w:rPr>
        <w:color w:val="003F8A"/>
        <w:spacing w:val="-1"/>
      </w:rPr>
      <w:t>识别风险，发现价值</w:t>
    </w:r>
  </w:p>
  <w:p>
    <w:pPr>
      <w:pStyle w:val="BodyText"/>
      <w:spacing w:after="136" w:line="216" w:lineRule="auto"/>
      <w:ind w:left="148"/>
      <w:rPr>
        <w:sz w:val="16"/>
        <w:szCs w:val="16"/>
      </w:rPr>
    </w:pPr>
    <w:r>
      <w:rPr>
        <w:color w:val="1F497D"/>
        <w:spacing w:val="-3"/>
        <w:sz w:val="16"/>
        <w:szCs w:val="16"/>
      </w:rPr>
      <w:t>本报告联系人：</w:t>
    </w:r>
    <w:r>
      <w:rPr>
        <w:color w:val="1F497D"/>
        <w:spacing w:val="5"/>
        <w:sz w:val="16"/>
        <w:szCs w:val="16"/>
      </w:rPr>
      <w:t xml:space="preserve">      </w:t>
    </w:r>
    <w:r>
      <w:rPr>
        <w:color w:val="1F497D"/>
        <w:spacing w:val="-3"/>
        <w:sz w:val="16"/>
        <w:szCs w:val="16"/>
      </w:rPr>
      <w:t>罗可心</w:t>
    </w:r>
    <w:r>
      <w:rPr>
        <w:color w:val="1F497D"/>
        <w:spacing w:val="-3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020-66336855</w:t>
    </w:r>
    <w:r>
      <w:rPr>
        <w:color w:val="1F497D"/>
        <w:spacing w:val="17"/>
        <w:sz w:val="16"/>
        <w:szCs w:val="16"/>
      </w:rPr>
      <w:t xml:space="preserve">  </w:t>
    </w:r>
    <w:r>
      <w:rPr>
        <w:color w:val="1F497D"/>
        <w:spacing w:val="-3"/>
        <w:sz w:val="16"/>
        <w:szCs w:val="16"/>
      </w:rPr>
      <w:t>luokexin@gf.com.cn</w:t>
    </w:r>
  </w:p>
  <w:p>
    <w:pPr>
      <w:spacing w:line="225" w:lineRule="auto"/>
      <w:ind w:left="5063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</w:rPr>
      <w:t>/</w:t>
    </w:r>
    <w:r>
      <w:rPr>
        <w:rFonts w:ascii="Arial" w:eastAsia="Arial" w:hAnsi="Arial" w:cs="Arial"/>
        <w:color w:val="003F8A"/>
        <w:spacing w:val="4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5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81" w:line="218" w:lineRule="auto"/>
      <w:ind w:right="1"/>
      <w:jc w:val="right"/>
    </w:pPr>
    <w:r>
      <w:pict>
        <v:shape id="_x0000_s2056" style="width:529.55pt;height:1pt;margin-top:777.36pt;margin-left:31.2pt;mso-position-horizontal-relative:page;mso-position-vertical-relative:page;position:absolute;z-index:251663360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2.65pt;height:12.25pt;margin-top:2.41pt;margin-left:-0.05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0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48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7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81" w:line="218" w:lineRule="auto"/>
      <w:ind w:right="1"/>
      <w:jc w:val="right"/>
    </w:pPr>
    <w:r>
      <w:pict>
        <v:shape id="_x0000_s2058" style="width:529.55pt;height:1pt;margin-top:777.36pt;margin-left:31.2pt;mso-position-horizontal-relative:page;mso-position-vertical-relative:page;position:absolute;z-index:251665408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2.65pt;height:12.25pt;margin-top:2.41pt;margin-left:-0.05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0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81" w:line="218" w:lineRule="auto"/>
      <w:ind w:right="1"/>
      <w:jc w:val="right"/>
    </w:pPr>
    <w:r>
      <w:pict>
        <v:shape id="_x0000_s2061" style="width:529.55pt;height:1pt;margin-top:777.36pt;margin-left:31.2pt;mso-position-horizontal-relative:page;mso-position-vertical-relative:page;position:absolute;z-index:251667456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65pt;height:12.25pt;margin-top:2.41pt;margin-left:-0.05pt;position:absolute;z-index:2516664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0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2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2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81" w:line="218" w:lineRule="auto"/>
      <w:ind w:right="9"/>
      <w:jc w:val="right"/>
    </w:pPr>
    <w:r>
      <w:pict>
        <v:shape id="_x0000_s2065" style="width:529.55pt;height:1pt;margin-top:777.36pt;margin-left:31.2pt;mso-position-horizontal-relative:page;mso-position-vertical-relative:page;position:absolute;z-index:25166950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65pt;height:12.25pt;margin-top:2.41pt;margin-left:-0.05pt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0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225" w:lineRule="auto"/>
      <w:ind w:left="504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-1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5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22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72" w:lineRule="auto"/>
      <w:ind w:left="8892" w:right="275" w:hanging="1271"/>
      <w:jc w:val="right"/>
    </w:pPr>
    <w:r>
      <w:pict>
        <v:shape id="_x0000_s2049" style="width:529.55pt;height:1pt;margin-top:84.72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行业专题研究|软件与服务</w:t>
    </w:r>
    <w:r>
      <w:rPr>
        <w:color w:val="1F497D"/>
        <w:spacing w:val="2"/>
        <w:sz w:val="24"/>
        <w:szCs w:val="24"/>
      </w:rPr>
      <w:t xml:space="preserve"> </w:t>
    </w:r>
    <w:r>
      <w:rPr>
        <w:color w:val="1F497D"/>
        <w:spacing w:val="-8"/>
      </w:rPr>
      <w:t>2023</w:t>
    </w:r>
    <w:r>
      <w:rPr>
        <w:color w:val="1F497D"/>
        <w:spacing w:val="-37"/>
      </w:rPr>
      <w:t xml:space="preserve"> </w:t>
    </w:r>
    <w:r>
      <w:rPr>
        <w:color w:val="1F497D"/>
        <w:spacing w:val="-8"/>
      </w:rPr>
      <w:t>年</w:t>
    </w:r>
    <w:r>
      <w:rPr>
        <w:color w:val="1F497D"/>
        <w:spacing w:val="-28"/>
      </w:rPr>
      <w:t xml:space="preserve"> </w:t>
    </w:r>
    <w:r>
      <w:rPr>
        <w:color w:val="1F497D"/>
        <w:spacing w:val="-8"/>
      </w:rPr>
      <w:t>12</w:t>
    </w:r>
    <w:r>
      <w:rPr>
        <w:color w:val="1F497D"/>
        <w:spacing w:val="-34"/>
      </w:rPr>
      <w:t xml:space="preserve"> </w:t>
    </w:r>
    <w:r>
      <w:rPr>
        <w:color w:val="1F497D"/>
        <w:spacing w:val="-8"/>
      </w:rPr>
      <w:t>月</w:t>
    </w:r>
    <w:r>
      <w:rPr>
        <w:color w:val="1F497D"/>
        <w:spacing w:val="-36"/>
      </w:rPr>
      <w:t xml:space="preserve"> </w:t>
    </w:r>
    <w:r>
      <w:rPr>
        <w:color w:val="1F497D"/>
        <w:spacing w:val="-8"/>
      </w:rPr>
      <w:t>21</w:t>
    </w:r>
    <w:r>
      <w:rPr>
        <w:color w:val="1F497D"/>
        <w:spacing w:val="-8"/>
      </w:rPr>
      <w:t xml:space="preserve"> </w:t>
    </w:r>
    <w:r>
      <w:rPr>
        <w:color w:val="1F497D"/>
        <w:spacing w:val="-8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72" w:lineRule="auto"/>
      <w:ind w:left="8892" w:right="275" w:hanging="1271"/>
      <w:jc w:val="right"/>
    </w:pPr>
    <w:r>
      <w:pict>
        <v:shape id="_x0000_s2052" style="width:529.55pt;height:1pt;margin-top:84.72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3506934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6934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行业专题研究|软件与服务</w:t>
    </w:r>
    <w:r>
      <w:rPr>
        <w:color w:val="1F497D"/>
        <w:spacing w:val="2"/>
        <w:sz w:val="24"/>
        <w:szCs w:val="24"/>
      </w:rPr>
      <w:t xml:space="preserve"> </w:t>
    </w:r>
    <w:r>
      <w:rPr>
        <w:color w:val="1F497D"/>
        <w:spacing w:val="-8"/>
      </w:rPr>
      <w:t>2023</w:t>
    </w:r>
    <w:r>
      <w:rPr>
        <w:color w:val="1F497D"/>
        <w:spacing w:val="-37"/>
      </w:rPr>
      <w:t xml:space="preserve"> </w:t>
    </w:r>
    <w:r>
      <w:rPr>
        <w:color w:val="1F497D"/>
        <w:spacing w:val="-8"/>
      </w:rPr>
      <w:t>年</w:t>
    </w:r>
    <w:r>
      <w:rPr>
        <w:color w:val="1F497D"/>
        <w:spacing w:val="-28"/>
      </w:rPr>
      <w:t xml:space="preserve"> </w:t>
    </w:r>
    <w:r>
      <w:rPr>
        <w:color w:val="1F497D"/>
        <w:spacing w:val="-8"/>
      </w:rPr>
      <w:t>12</w:t>
    </w:r>
    <w:r>
      <w:rPr>
        <w:color w:val="1F497D"/>
        <w:spacing w:val="-34"/>
      </w:rPr>
      <w:t xml:space="preserve"> </w:t>
    </w:r>
    <w:r>
      <w:rPr>
        <w:color w:val="1F497D"/>
        <w:spacing w:val="-8"/>
      </w:rPr>
      <w:t>月</w:t>
    </w:r>
    <w:r>
      <w:rPr>
        <w:color w:val="1F497D"/>
        <w:spacing w:val="-36"/>
      </w:rPr>
      <w:t xml:space="preserve"> </w:t>
    </w:r>
    <w:r>
      <w:rPr>
        <w:color w:val="1F497D"/>
        <w:spacing w:val="-8"/>
      </w:rPr>
      <w:t>21</w:t>
    </w:r>
    <w:r>
      <w:rPr>
        <w:color w:val="1F497D"/>
        <w:spacing w:val="-8"/>
      </w:rPr>
      <w:t xml:space="preserve"> </w:t>
    </w:r>
    <w:r>
      <w:rPr>
        <w:color w:val="1F497D"/>
        <w:spacing w:val="-8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114"/>
      <w:rPr>
        <w:sz w:val="21"/>
        <w:szCs w:val="21"/>
      </w:rPr>
    </w:pPr>
    <w:r>
      <w:pict>
        <v:shape id="_x0000_s2055" style="width:529.6pt;height:1pt;margin-top:68.16pt;margin-left:31.92pt;mso-position-horizontal-relative:page;mso-position-vertical-relative:page;position:absolute;z-index:251663360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114"/>
      <w:rPr>
        <w:sz w:val="21"/>
        <w:szCs w:val="21"/>
      </w:rPr>
    </w:pPr>
    <w:r>
      <w:pict>
        <v:shape id="_x0000_s2060" style="width:529.6pt;height:1pt;margin-top:68.16pt;margin-left:31.92pt;mso-position-horizontal-relative:page;mso-position-vertical-relative:page;position:absolute;z-index:251665408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428325796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8325796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114"/>
      <w:rPr>
        <w:sz w:val="21"/>
        <w:szCs w:val="21"/>
      </w:rPr>
    </w:pPr>
    <w:r>
      <w:pict>
        <v:shape id="_x0000_s2063" style="width:529.6pt;height:1pt;margin-top:68.16pt;margin-left:31.92pt;mso-position-horizontal-relative:page;mso-position-vertical-relative:page;position:absolute;z-index:251667456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203678743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6787432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114"/>
      <w:rPr>
        <w:sz w:val="21"/>
        <w:szCs w:val="21"/>
      </w:rPr>
    </w:pPr>
    <w:r>
      <w:pict>
        <v:shape id="_x0000_s2064" style="width:529.6pt;height:1pt;margin-top:68.16pt;margin-left:31.92pt;mso-position-horizontal-relative:page;mso-position-vertical-relative:page;position:absolute;z-index:251669504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行业专题研究|软件与服务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eader" Target="header4.xml" /><Relationship Id="rId14" Type="http://schemas.openxmlformats.org/officeDocument/2006/relationships/footer" Target="footer4.xml" /><Relationship Id="rId15" Type="http://schemas.openxmlformats.org/officeDocument/2006/relationships/header" Target="header5.xml" /><Relationship Id="rId16" Type="http://schemas.openxmlformats.org/officeDocument/2006/relationships/footer" Target="footer5.xml" /><Relationship Id="rId17" Type="http://schemas.openxmlformats.org/officeDocument/2006/relationships/hyperlink" Target="https://d.book118.com/576220222022010041" TargetMode="External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广发证券-软件与服务行业【广发TMT产业研究】美股科技股观察：Salesforce、Adobe业绩稳健增长，AI布局持续深入-231221.pdf</dc:title>
  <cp:revision>0</cp:revision>
  <dcterms:created xsi:type="dcterms:W3CDTF">2024-01-25T09:21:33Z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2024-01-25T09:28:49Z</vt:filetime>
  </property>
  <property fmtid="{D5CDD505-2E9C-101B-9397-08002B2CF9AE}" pid="3" name="CRO">
    <vt:lpwstr>wqlLaW5nc29mdCBQREYgdG8gV1BTIDkw</vt:lpwstr>
  </property>
</Properties>
</file>