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BodyText"/>
        <w:spacing w:before="78" w:line="220" w:lineRule="auto"/>
        <w:ind w:left="2538"/>
        <w:outlineLvl w:val="0"/>
      </w:pPr>
      <w:r>
        <w:rPr>
          <w:b/>
          <w:bCs/>
          <w:spacing w:val="-3"/>
        </w:rPr>
        <w:t>企业生物多样性信息披露指南</w:t>
      </w: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78" w:line="220" w:lineRule="auto"/>
        <w:ind w:left="27"/>
      </w:pPr>
      <w:r>
        <w:rPr>
          <w:rFonts w:ascii="Times New Roman" w:eastAsia="Times New Roman" w:hAnsi="Times New Roman" w:cs="Times New Roman"/>
          <w:b/>
          <w:bCs/>
          <w:spacing w:val="-10"/>
        </w:rPr>
        <w:t>1</w:t>
      </w:r>
      <w:r>
        <w:rPr>
          <w:rFonts w:ascii="Times New Roman" w:eastAsia="Times New Roman" w:hAnsi="Times New Roman" w:cs="Times New Roman"/>
          <w:b/>
          <w:bCs/>
          <w:spacing w:val="8"/>
        </w:rPr>
        <w:t xml:space="preserve">  </w:t>
      </w:r>
      <w:r>
        <w:rPr>
          <w:b/>
          <w:bCs/>
          <w:spacing w:val="-10"/>
        </w:rPr>
        <w:t>范围</w:t>
      </w:r>
    </w:p>
    <w:p>
      <w:pPr>
        <w:spacing w:line="258" w:lineRule="auto"/>
        <w:rPr>
          <w:rFonts w:ascii="Arial"/>
          <w:sz w:val="21"/>
        </w:rPr>
      </w:pPr>
    </w:p>
    <w:p>
      <w:pPr>
        <w:pStyle w:val="BodyText"/>
        <w:spacing w:before="78" w:line="468" w:lineRule="exact"/>
        <w:ind w:left="502"/>
      </w:pPr>
      <w:r>
        <w:rPr>
          <w:spacing w:val="-2"/>
          <w:position w:val="17"/>
        </w:rPr>
        <w:t>本文件规定了企业生物多样性信息披露的原则，披露内容、时间、频次，</w:t>
      </w:r>
    </w:p>
    <w:p>
      <w:pPr>
        <w:pStyle w:val="BodyText"/>
        <w:spacing w:line="219" w:lineRule="auto"/>
        <w:ind w:left="21"/>
      </w:pPr>
      <w:r>
        <w:rPr>
          <w:spacing w:val="-13"/>
        </w:rPr>
        <w:t>披露指标体系、</w:t>
      </w:r>
      <w:r>
        <w:rPr>
          <w:spacing w:val="48"/>
        </w:rPr>
        <w:t xml:space="preserve"> </w:t>
      </w:r>
      <w:r>
        <w:rPr>
          <w:spacing w:val="-13"/>
        </w:rPr>
        <w:t>披露要求与应用等。</w:t>
      </w:r>
    </w:p>
    <w:p>
      <w:pPr>
        <w:spacing w:line="259" w:lineRule="auto"/>
        <w:rPr>
          <w:rFonts w:ascii="Arial"/>
          <w:sz w:val="21"/>
        </w:rPr>
      </w:pPr>
    </w:p>
    <w:p>
      <w:pPr>
        <w:pStyle w:val="BodyText"/>
        <w:spacing w:before="78" w:line="468" w:lineRule="exact"/>
        <w:ind w:left="502"/>
      </w:pPr>
      <w:r>
        <w:rPr>
          <w:spacing w:val="-3"/>
          <w:position w:val="17"/>
        </w:rPr>
        <w:t>本文件适用于企业开展生物多样性信息披露，也适用于</w:t>
      </w:r>
      <w:r>
        <w:rPr>
          <w:spacing w:val="-54"/>
          <w:position w:val="17"/>
        </w:rPr>
        <w:t xml:space="preserve"> </w:t>
      </w:r>
      <w:r>
        <w:rPr>
          <w:rFonts w:ascii="Times New Roman" w:eastAsia="Times New Roman" w:hAnsi="Times New Roman" w:cs="Times New Roman"/>
          <w:spacing w:val="-3"/>
          <w:position w:val="17"/>
        </w:rPr>
        <w:t xml:space="preserve">ESG </w:t>
      </w:r>
      <w:r>
        <w:rPr>
          <w:spacing w:val="-3"/>
          <w:position w:val="17"/>
        </w:rPr>
        <w:t>信</w:t>
      </w:r>
      <w:r>
        <w:rPr>
          <w:spacing w:val="-4"/>
          <w:position w:val="17"/>
        </w:rPr>
        <w:t>息披露、环</w:t>
      </w:r>
    </w:p>
    <w:p>
      <w:pPr>
        <w:pStyle w:val="BodyText"/>
        <w:spacing w:line="218" w:lineRule="auto"/>
        <w:ind w:left="22"/>
      </w:pPr>
      <w:r>
        <w:rPr>
          <w:spacing w:val="-2"/>
        </w:rPr>
        <w:t>境影响评价工作参考。</w:t>
      </w:r>
    </w:p>
    <w:p>
      <w:pPr>
        <w:spacing w:line="343" w:lineRule="auto"/>
        <w:rPr>
          <w:rFonts w:ascii="Arial"/>
          <w:sz w:val="21"/>
        </w:rPr>
      </w:pPr>
    </w:p>
    <w:p>
      <w:pPr>
        <w:pStyle w:val="BodyText"/>
        <w:spacing w:before="79" w:line="220" w:lineRule="auto"/>
        <w:ind w:left="17"/>
      </w:pPr>
      <w:r>
        <w:rPr>
          <w:rFonts w:ascii="Times New Roman" w:eastAsia="Times New Roman" w:hAnsi="Times New Roman" w:cs="Times New Roman"/>
          <w:b/>
          <w:bCs/>
          <w:spacing w:val="-2"/>
        </w:rPr>
        <w:t xml:space="preserve">2  </w:t>
      </w:r>
      <w:r>
        <w:rPr>
          <w:b/>
          <w:bCs/>
          <w:spacing w:val="-2"/>
        </w:rPr>
        <w:t>规范性引用文件</w:t>
      </w:r>
    </w:p>
    <w:p>
      <w:pPr>
        <w:spacing w:line="259" w:lineRule="auto"/>
        <w:rPr>
          <w:rFonts w:ascii="Arial"/>
          <w:sz w:val="21"/>
        </w:rPr>
      </w:pPr>
    </w:p>
    <w:p>
      <w:pPr>
        <w:pStyle w:val="BodyText"/>
        <w:spacing w:before="78" w:line="360" w:lineRule="auto"/>
        <w:ind w:left="21" w:right="162" w:firstLine="487"/>
        <w:jc w:val="both"/>
      </w:pPr>
      <w:r>
        <w:rPr>
          <w:spacing w:val="-1"/>
        </w:rPr>
        <w:t>下列文件对于本文件的应用是必不可少的。凡是注日期的引用文件，仅所</w:t>
      </w:r>
      <w:r>
        <w:rPr>
          <w:spacing w:val="14"/>
        </w:rPr>
        <w:t xml:space="preserve"> </w:t>
      </w:r>
      <w:r>
        <w:t>注日期的版本适用于本文件。凡是不注日期的引用文</w:t>
      </w:r>
      <w:r>
        <w:rPr>
          <w:spacing w:val="-1"/>
        </w:rPr>
        <w:t>件，其最新版本（包括所</w:t>
      </w:r>
    </w:p>
    <w:p>
      <w:pPr>
        <w:pStyle w:val="BodyText"/>
        <w:spacing w:before="1" w:line="218" w:lineRule="auto"/>
        <w:ind w:left="22"/>
      </w:pPr>
      <w:r>
        <w:rPr>
          <w:spacing w:val="-4"/>
        </w:rPr>
        <w:t>有的修改单）适用于本文件。</w:t>
      </w:r>
    </w:p>
    <w:p>
      <w:pPr>
        <w:pStyle w:val="BodyText"/>
        <w:spacing w:before="260" w:line="220" w:lineRule="auto"/>
        <w:ind w:left="20"/>
      </w:pPr>
      <w:r>
        <w:rPr>
          <w:rFonts w:ascii="Times New Roman" w:eastAsia="Times New Roman" w:hAnsi="Times New Roman" w:cs="Times New Roman"/>
          <w:spacing w:val="-1"/>
        </w:rPr>
        <w:t xml:space="preserve">GB/T 21010    </w:t>
      </w:r>
      <w:r>
        <w:rPr>
          <w:spacing w:val="-1"/>
        </w:rPr>
        <w:t>土地利用现状分类</w:t>
      </w:r>
    </w:p>
    <w:p>
      <w:pPr>
        <w:spacing w:line="258" w:lineRule="auto"/>
        <w:rPr>
          <w:rFonts w:ascii="Arial"/>
          <w:sz w:val="21"/>
        </w:rPr>
      </w:pPr>
    </w:p>
    <w:p>
      <w:pPr>
        <w:pStyle w:val="BodyText"/>
        <w:spacing w:before="79" w:line="219" w:lineRule="auto"/>
        <w:ind w:left="20"/>
      </w:pPr>
      <w:r>
        <w:rPr>
          <w:rFonts w:ascii="Times New Roman" w:eastAsia="Times New Roman" w:hAnsi="Times New Roman" w:cs="Times New Roman"/>
        </w:rPr>
        <w:t xml:space="preserve">GB/T 39256    </w:t>
      </w:r>
      <w:r>
        <w:t>绿色制造  制造企业绿色供应链管理信</w:t>
      </w:r>
      <w:r>
        <w:rPr>
          <w:spacing w:val="-1"/>
        </w:rPr>
        <w:t>息化管理平台规范</w:t>
      </w:r>
    </w:p>
    <w:p>
      <w:pPr>
        <w:spacing w:line="257" w:lineRule="auto"/>
        <w:rPr>
          <w:rFonts w:ascii="Arial"/>
          <w:sz w:val="21"/>
        </w:rPr>
      </w:pPr>
    </w:p>
    <w:p>
      <w:pPr>
        <w:pStyle w:val="BodyText"/>
        <w:spacing w:before="79" w:line="218" w:lineRule="auto"/>
        <w:ind w:left="20"/>
      </w:pPr>
      <w:r>
        <w:rPr>
          <w:rFonts w:ascii="Times New Roman" w:eastAsia="Times New Roman" w:hAnsi="Times New Roman" w:cs="Times New Roman"/>
        </w:rPr>
        <w:t xml:space="preserve">GB/T 32150    </w:t>
      </w:r>
      <w:r>
        <w:t>工业企业温室气</w:t>
      </w:r>
      <w:r>
        <w:rPr>
          <w:spacing w:val="-1"/>
        </w:rPr>
        <w:t>体排放核算和报告通则</w:t>
      </w:r>
    </w:p>
    <w:p>
      <w:pPr>
        <w:spacing w:line="260" w:lineRule="auto"/>
        <w:rPr>
          <w:rFonts w:ascii="Arial"/>
          <w:sz w:val="21"/>
        </w:rPr>
      </w:pPr>
    </w:p>
    <w:p>
      <w:pPr>
        <w:pStyle w:val="BodyText"/>
        <w:spacing w:before="79" w:line="218" w:lineRule="auto"/>
        <w:ind w:left="20"/>
      </w:pPr>
      <w:r>
        <w:rPr>
          <w:rFonts w:ascii="Times New Roman" w:eastAsia="Times New Roman" w:hAnsi="Times New Roman" w:cs="Times New Roman"/>
          <w:spacing w:val="-1"/>
        </w:rPr>
        <w:t xml:space="preserve">GB/T 32151.1    </w:t>
      </w:r>
      <w:r>
        <w:rPr>
          <w:spacing w:val="-1"/>
        </w:rPr>
        <w:t>温室气体排放核算与报告要求 第</w:t>
      </w:r>
      <w:r>
        <w:rPr>
          <w:spacing w:val="-27"/>
        </w:rPr>
        <w:t xml:space="preserve"> </w:t>
      </w:r>
      <w:r>
        <w:rPr>
          <w:rFonts w:ascii="Times New Roman" w:eastAsia="Times New Roman" w:hAnsi="Times New Roman" w:cs="Times New Roman"/>
          <w:spacing w:val="-1"/>
        </w:rPr>
        <w:t xml:space="preserve">1 </w:t>
      </w:r>
      <w:r>
        <w:rPr>
          <w:spacing w:val="-1"/>
        </w:rPr>
        <w:t>部分：发电企业</w:t>
      </w:r>
    </w:p>
    <w:p>
      <w:pPr>
        <w:spacing w:line="258" w:lineRule="auto"/>
        <w:rPr>
          <w:rFonts w:ascii="Arial"/>
          <w:sz w:val="21"/>
        </w:rPr>
      </w:pPr>
    </w:p>
    <w:p>
      <w:pPr>
        <w:pStyle w:val="BodyText"/>
        <w:spacing w:before="78" w:line="218" w:lineRule="auto"/>
        <w:ind w:left="20"/>
      </w:pPr>
      <w:r>
        <w:rPr>
          <w:rFonts w:ascii="Times New Roman" w:eastAsia="Times New Roman" w:hAnsi="Times New Roman" w:cs="Times New Roman"/>
        </w:rPr>
        <w:t xml:space="preserve">GB/T 32151.2    </w:t>
      </w:r>
      <w:r>
        <w:t>温室气体排放核算与报告要</w:t>
      </w:r>
      <w:r>
        <w:rPr>
          <w:spacing w:val="-1"/>
        </w:rPr>
        <w:t>求 第</w:t>
      </w:r>
      <w:r>
        <w:rPr>
          <w:spacing w:val="-55"/>
        </w:rPr>
        <w:t xml:space="preserve"> </w:t>
      </w:r>
      <w:r>
        <w:rPr>
          <w:rFonts w:ascii="Times New Roman" w:eastAsia="Times New Roman" w:hAnsi="Times New Roman" w:cs="Times New Roman"/>
          <w:spacing w:val="-1"/>
        </w:rPr>
        <w:t xml:space="preserve">2 </w:t>
      </w:r>
      <w:r>
        <w:rPr>
          <w:spacing w:val="-1"/>
        </w:rPr>
        <w:t>部分：电网企业</w:t>
      </w:r>
    </w:p>
    <w:p>
      <w:pPr>
        <w:spacing w:line="261" w:lineRule="auto"/>
        <w:rPr>
          <w:rFonts w:ascii="Arial"/>
          <w:sz w:val="21"/>
        </w:rPr>
        <w:sectPr>
          <w:headerReference w:type="default" r:id="rId4"/>
          <w:footerReference w:type="default" r:id="rId5"/>
          <w:pgSz w:w="11907" w:h="16839"/>
          <w:pgMar w:top="400" w:right="1785" w:bottom="1904" w:left="1785" w:header="0" w:footer="1740" w:gutter="0"/>
          <w:cols w:space="708"/>
        </w:sectPr>
      </w:pPr>
    </w:p>
    <w:p>
      <w:pPr>
        <w:pStyle w:val="BodyText"/>
        <w:spacing w:before="79" w:line="218" w:lineRule="auto"/>
        <w:ind w:left="20"/>
      </w:pPr>
      <w:r>
        <w:rPr>
          <w:rFonts w:ascii="Times New Roman" w:eastAsia="Times New Roman" w:hAnsi="Times New Roman" w:cs="Times New Roman"/>
        </w:rPr>
        <w:t xml:space="preserve">GB/T 32151.3    </w:t>
      </w:r>
      <w:r>
        <w:t>温室气体排放核算</w:t>
      </w:r>
      <w:r>
        <w:rPr>
          <w:spacing w:val="-1"/>
        </w:rPr>
        <w:t>与报告要求 第</w:t>
      </w:r>
      <w:r>
        <w:rPr>
          <w:spacing w:val="-50"/>
        </w:rPr>
        <w:t xml:space="preserve"> </w:t>
      </w:r>
      <w:r>
        <w:rPr>
          <w:rFonts w:ascii="Times New Roman" w:eastAsia="Times New Roman" w:hAnsi="Times New Roman" w:cs="Times New Roman"/>
          <w:spacing w:val="-1"/>
        </w:rPr>
        <w:t xml:space="preserve">3 </w:t>
      </w:r>
      <w:r>
        <w:rPr>
          <w:spacing w:val="-1"/>
        </w:rPr>
        <w:t>部分：镁冶炼企业</w:t>
      </w:r>
    </w:p>
    <w:p>
      <w:pPr>
        <w:spacing w:line="258" w:lineRule="auto"/>
        <w:rPr>
          <w:rFonts w:ascii="Arial"/>
          <w:sz w:val="21"/>
        </w:rPr>
      </w:pPr>
    </w:p>
    <w:p>
      <w:pPr>
        <w:pStyle w:val="BodyText"/>
        <w:spacing w:before="78" w:line="218" w:lineRule="auto"/>
        <w:ind w:left="20"/>
      </w:pPr>
      <w:r>
        <w:rPr>
          <w:rFonts w:ascii="Times New Roman" w:eastAsia="Times New Roman" w:hAnsi="Times New Roman" w:cs="Times New Roman"/>
        </w:rPr>
        <w:t xml:space="preserve">GB/T 32151.4  </w:t>
      </w:r>
      <w:r>
        <w:t xml:space="preserve">温室气体排放核算与报告要求 </w:t>
      </w:r>
      <w:r>
        <w:rPr>
          <w:spacing w:val="-1"/>
        </w:rPr>
        <w:t>第</w:t>
      </w:r>
      <w:r>
        <w:rPr>
          <w:spacing w:val="-56"/>
        </w:rPr>
        <w:t xml:space="preserve"> </w:t>
      </w:r>
      <w:r>
        <w:rPr>
          <w:rFonts w:ascii="Times New Roman" w:eastAsia="Times New Roman" w:hAnsi="Times New Roman" w:cs="Times New Roman"/>
          <w:spacing w:val="-1"/>
        </w:rPr>
        <w:t xml:space="preserve">4 </w:t>
      </w:r>
      <w:r>
        <w:rPr>
          <w:spacing w:val="-1"/>
        </w:rPr>
        <w:t>部分：铝冶炼企业</w:t>
      </w:r>
    </w:p>
    <w:p>
      <w:pPr>
        <w:spacing w:line="260" w:lineRule="auto"/>
        <w:rPr>
          <w:rFonts w:ascii="Arial"/>
          <w:sz w:val="21"/>
        </w:rPr>
      </w:pPr>
    </w:p>
    <w:p>
      <w:pPr>
        <w:pStyle w:val="BodyText"/>
        <w:spacing w:before="79" w:line="622" w:lineRule="exact"/>
        <w:ind w:left="20"/>
      </w:pPr>
      <w:r>
        <w:rPr>
          <w:rFonts w:ascii="Times New Roman" w:eastAsia="Times New Roman" w:hAnsi="Times New Roman" w:cs="Times New Roman"/>
          <w:position w:val="29"/>
        </w:rPr>
        <w:t xml:space="preserve">GB/T 32151.5    </w:t>
      </w:r>
      <w:r>
        <w:rPr>
          <w:position w:val="29"/>
        </w:rPr>
        <w:t>温室气体排放核</w:t>
      </w:r>
      <w:r>
        <w:rPr>
          <w:spacing w:val="-1"/>
          <w:position w:val="29"/>
        </w:rPr>
        <w:t>算与报告要求 第</w:t>
      </w:r>
      <w:r>
        <w:rPr>
          <w:spacing w:val="-48"/>
          <w:position w:val="29"/>
        </w:rPr>
        <w:t xml:space="preserve"> </w:t>
      </w:r>
      <w:r>
        <w:rPr>
          <w:rFonts w:ascii="Times New Roman" w:eastAsia="Times New Roman" w:hAnsi="Times New Roman" w:cs="Times New Roman"/>
          <w:spacing w:val="-1"/>
          <w:position w:val="29"/>
        </w:rPr>
        <w:t xml:space="preserve">5 </w:t>
      </w:r>
      <w:r>
        <w:rPr>
          <w:spacing w:val="-1"/>
          <w:position w:val="29"/>
        </w:rPr>
        <w:t>部分：钢铁生产企业</w:t>
      </w:r>
    </w:p>
    <w:p>
      <w:pPr>
        <w:pStyle w:val="BodyText"/>
        <w:spacing w:line="218" w:lineRule="auto"/>
        <w:ind w:left="20"/>
      </w:pPr>
      <w:r>
        <w:rPr>
          <w:rFonts w:ascii="Times New Roman" w:eastAsia="Times New Roman" w:hAnsi="Times New Roman" w:cs="Times New Roman"/>
        </w:rPr>
        <w:t xml:space="preserve">GB/T 32151.6    </w:t>
      </w:r>
      <w:r>
        <w:t>温室气体排放核算与</w:t>
      </w:r>
      <w:r>
        <w:rPr>
          <w:spacing w:val="-1"/>
        </w:rPr>
        <w:t>报告要求 第</w:t>
      </w:r>
      <w:r>
        <w:rPr>
          <w:spacing w:val="-50"/>
        </w:rPr>
        <w:t xml:space="preserve"> </w:t>
      </w:r>
      <w:r>
        <w:rPr>
          <w:rFonts w:ascii="Times New Roman" w:eastAsia="Times New Roman" w:hAnsi="Times New Roman" w:cs="Times New Roman"/>
          <w:spacing w:val="-1"/>
        </w:rPr>
        <w:t xml:space="preserve">6 </w:t>
      </w:r>
      <w:r>
        <w:rPr>
          <w:spacing w:val="-1"/>
        </w:rPr>
        <w:t>部分：民用航空企业</w:t>
      </w:r>
    </w:p>
    <w:p>
      <w:pPr>
        <w:spacing w:line="260" w:lineRule="auto"/>
        <w:rPr>
          <w:rFonts w:ascii="Arial"/>
          <w:sz w:val="21"/>
        </w:rPr>
      </w:pPr>
    </w:p>
    <w:p>
      <w:pPr>
        <w:pStyle w:val="BodyText"/>
        <w:spacing w:before="79" w:line="218" w:lineRule="auto"/>
        <w:ind w:left="20"/>
      </w:pPr>
      <w:r>
        <w:rPr>
          <w:rFonts w:ascii="Times New Roman" w:eastAsia="Times New Roman" w:hAnsi="Times New Roman" w:cs="Times New Roman"/>
        </w:rPr>
        <w:t xml:space="preserve">GB/T 32151.7    </w:t>
      </w:r>
      <w:r>
        <w:t>温室气体排放核算与报告要</w:t>
      </w:r>
      <w:r>
        <w:rPr>
          <w:spacing w:val="-1"/>
        </w:rPr>
        <w:t>求 第</w:t>
      </w:r>
      <w:r>
        <w:rPr>
          <w:spacing w:val="-51"/>
        </w:rPr>
        <w:t xml:space="preserve"> </w:t>
      </w:r>
      <w:r>
        <w:rPr>
          <w:rFonts w:ascii="Times New Roman" w:eastAsia="Times New Roman" w:hAnsi="Times New Roman" w:cs="Times New Roman"/>
          <w:spacing w:val="-1"/>
        </w:rPr>
        <w:t xml:space="preserve">7 </w:t>
      </w:r>
      <w:r>
        <w:rPr>
          <w:spacing w:val="-1"/>
        </w:rPr>
        <w:t>部分：平板玻璃生产企业</w:t>
      </w:r>
    </w:p>
    <w:p>
      <w:pPr>
        <w:spacing w:line="259" w:lineRule="auto"/>
        <w:rPr>
          <w:rFonts w:ascii="Arial"/>
          <w:sz w:val="21"/>
        </w:rPr>
      </w:pPr>
    </w:p>
    <w:p>
      <w:pPr>
        <w:pStyle w:val="BodyText"/>
        <w:spacing w:before="78" w:line="218" w:lineRule="auto"/>
        <w:ind w:left="20"/>
      </w:pPr>
      <w:r>
        <w:rPr>
          <w:rFonts w:ascii="Times New Roman" w:eastAsia="Times New Roman" w:hAnsi="Times New Roman" w:cs="Times New Roman"/>
        </w:rPr>
        <w:t xml:space="preserve">GB/T 32151.8    </w:t>
      </w:r>
      <w:r>
        <w:t>温室气体</w:t>
      </w:r>
      <w:r>
        <w:rPr>
          <w:spacing w:val="-1"/>
        </w:rPr>
        <w:t>排放核算与报告要求 第</w:t>
      </w:r>
      <w:r>
        <w:rPr>
          <w:spacing w:val="-45"/>
        </w:rPr>
        <w:t xml:space="preserve"> </w:t>
      </w:r>
      <w:r>
        <w:rPr>
          <w:rFonts w:ascii="Times New Roman" w:eastAsia="Times New Roman" w:hAnsi="Times New Roman" w:cs="Times New Roman"/>
          <w:spacing w:val="-1"/>
        </w:rPr>
        <w:t xml:space="preserve">8 </w:t>
      </w:r>
      <w:r>
        <w:rPr>
          <w:spacing w:val="-1"/>
        </w:rPr>
        <w:t>部分：水泥生产企业</w:t>
      </w:r>
    </w:p>
    <w:p>
      <w:pPr>
        <w:spacing w:line="218" w:lineRule="auto"/>
        <w:sectPr>
          <w:headerReference w:type="default" r:id="rId6"/>
          <w:footerReference w:type="default" r:id="rId7"/>
          <w:type w:val="nextPage"/>
          <w:pgSz w:w="11907" w:h="16839"/>
          <w:pgMar w:top="400" w:right="1785" w:bottom="1904" w:left="1785" w:header="0" w:footer="1740" w:gutter="0"/>
          <w:pgNumType w:start="2"/>
          <w:cols w:space="708"/>
          <w:titlePg w:val="0"/>
        </w:sectPr>
      </w:pPr>
    </w:p>
    <w:p>
      <w:pPr>
        <w:spacing w:before="15"/>
      </w:pPr>
    </w:p>
    <w:p>
      <w:pPr>
        <w:spacing w:before="15"/>
      </w:pPr>
    </w:p>
    <w:p>
      <w:pPr>
        <w:spacing w:before="15"/>
      </w:pPr>
    </w:p>
    <w:p>
      <w:pPr>
        <w:spacing w:before="15"/>
      </w:pPr>
    </w:p>
    <w:p>
      <w:pPr>
        <w:sectPr>
          <w:headerReference w:type="default" r:id="rId8"/>
          <w:footerReference w:type="default" r:id="rId9"/>
          <w:pgSz w:w="11907" w:h="16839"/>
          <w:pgMar w:top="400" w:right="1785" w:bottom="1904" w:left="1785" w:header="0" w:footer="1741" w:gutter="0"/>
          <w:pgNumType w:start="3"/>
          <w:cols w:num="1" w:space="708" w:equalWidth="0">
            <w:col w:w="8335" w:space="0"/>
          </w:cols>
        </w:sectPr>
      </w:pPr>
    </w:p>
    <w:p>
      <w:pPr>
        <w:spacing w:before="87" w:line="190" w:lineRule="auto"/>
        <w:ind w:left="2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GB/T 32151.9</w:t>
      </w:r>
    </w:p>
    <w:p>
      <w:pPr>
        <w:spacing w:line="334" w:lineRule="auto"/>
        <w:rPr>
          <w:rFonts w:ascii="Arial"/>
          <w:sz w:val="21"/>
        </w:rPr>
      </w:pPr>
    </w:p>
    <w:p>
      <w:pPr>
        <w:spacing w:before="69" w:line="190" w:lineRule="auto"/>
        <w:ind w:left="2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GB/T 32151.10</w:t>
      </w:r>
    </w:p>
    <w:p>
      <w:pPr>
        <w:spacing w:line="332" w:lineRule="auto"/>
        <w:rPr>
          <w:rFonts w:ascii="Arial"/>
          <w:sz w:val="21"/>
        </w:rPr>
      </w:pPr>
    </w:p>
    <w:p>
      <w:pPr>
        <w:spacing w:before="69" w:line="190" w:lineRule="auto"/>
        <w:ind w:left="2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GB/T 32151.11</w:t>
      </w:r>
    </w:p>
    <w:p>
      <w:pPr>
        <w:spacing w:line="334" w:lineRule="auto"/>
        <w:rPr>
          <w:rFonts w:ascii="Arial"/>
          <w:sz w:val="21"/>
        </w:rPr>
      </w:pPr>
    </w:p>
    <w:p>
      <w:pPr>
        <w:spacing w:before="69" w:line="190" w:lineRule="auto"/>
        <w:ind w:left="2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GB/T 32151.12</w:t>
      </w:r>
    </w:p>
    <w:p>
      <w:pPr>
        <w:spacing w:line="14" w:lineRule="auto"/>
        <w:rPr>
          <w:rFonts w:ascii="Arial"/>
          <w:sz w:val="2"/>
        </w:rPr>
      </w:pPr>
      <w:r>
        <w:rPr>
          <w:rFonts w:ascii="Arial" w:eastAsia="Arial" w:hAnsi="Arial" w:cs="Arial"/>
          <w:sz w:val="2"/>
          <w:szCs w:val="2"/>
        </w:rPr>
        <w:br w:type="column"/>
      </w:r>
    </w:p>
    <w:p>
      <w:pPr>
        <w:pStyle w:val="BodyText"/>
        <w:spacing w:before="46" w:line="218" w:lineRule="auto"/>
      </w:pPr>
      <w:r>
        <w:rPr>
          <w:spacing w:val="-1"/>
        </w:rPr>
        <w:t>温室气体排放核算与报告要求 第</w:t>
      </w:r>
      <w:r>
        <w:rPr>
          <w:spacing w:val="-42"/>
        </w:rPr>
        <w:t xml:space="preserve"> </w:t>
      </w:r>
      <w:r>
        <w:rPr>
          <w:rFonts w:ascii="Times New Roman" w:eastAsia="Times New Roman" w:hAnsi="Times New Roman" w:cs="Times New Roman"/>
          <w:spacing w:val="-1"/>
        </w:rPr>
        <w:t xml:space="preserve">9 </w:t>
      </w:r>
      <w:r>
        <w:rPr>
          <w:spacing w:val="-1"/>
        </w:rPr>
        <w:t>部分：陶瓷生产企业</w:t>
      </w:r>
    </w:p>
    <w:p>
      <w:pPr>
        <w:spacing w:line="260" w:lineRule="auto"/>
        <w:rPr>
          <w:rFonts w:ascii="Arial"/>
          <w:sz w:val="21"/>
        </w:rPr>
      </w:pPr>
    </w:p>
    <w:p>
      <w:pPr>
        <w:pStyle w:val="BodyText"/>
        <w:spacing w:before="78" w:line="218" w:lineRule="auto"/>
        <w:ind w:left="120"/>
      </w:pPr>
      <w:r>
        <w:rPr>
          <w:spacing w:val="-2"/>
        </w:rPr>
        <w:t>温室气体排放核算与报告要求 第</w:t>
      </w:r>
      <w:r>
        <w:rPr>
          <w:spacing w:val="-15"/>
        </w:rPr>
        <w:t xml:space="preserve"> </w:t>
      </w:r>
      <w:r>
        <w:rPr>
          <w:rFonts w:ascii="Times New Roman" w:eastAsia="Times New Roman" w:hAnsi="Times New Roman" w:cs="Times New Roman"/>
          <w:spacing w:val="-2"/>
        </w:rPr>
        <w:t xml:space="preserve">10 </w:t>
      </w:r>
      <w:r>
        <w:rPr>
          <w:spacing w:val="-2"/>
        </w:rPr>
        <w:t>部分：化工生产企业</w:t>
      </w:r>
    </w:p>
    <w:p>
      <w:pPr>
        <w:spacing w:line="258" w:lineRule="auto"/>
        <w:rPr>
          <w:rFonts w:ascii="Arial"/>
          <w:sz w:val="21"/>
        </w:rPr>
      </w:pPr>
    </w:p>
    <w:p>
      <w:pPr>
        <w:pStyle w:val="BodyText"/>
        <w:spacing w:before="78" w:line="232" w:lineRule="auto"/>
        <w:ind w:left="120"/>
      </w:pPr>
      <w:r>
        <w:rPr>
          <w:spacing w:val="-1"/>
        </w:rPr>
        <w:t>温室气体排放核算与报告要求 第</w:t>
      </w:r>
      <w:r>
        <w:rPr>
          <w:spacing w:val="-32"/>
        </w:rPr>
        <w:t xml:space="preserve"> </w:t>
      </w:r>
      <w:r>
        <w:rPr>
          <w:rFonts w:ascii="Times New Roman" w:eastAsia="Times New Roman" w:hAnsi="Times New Roman" w:cs="Times New Roman"/>
          <w:spacing w:val="-1"/>
        </w:rPr>
        <w:t xml:space="preserve">11 </w:t>
      </w:r>
      <w:r>
        <w:rPr>
          <w:spacing w:val="-1"/>
        </w:rPr>
        <w:t>部分</w:t>
      </w:r>
      <w:r>
        <w:rPr>
          <w:rFonts w:ascii="Times New Roman" w:eastAsia="Times New Roman" w:hAnsi="Times New Roman" w:cs="Times New Roman"/>
          <w:spacing w:val="-1"/>
        </w:rPr>
        <w:t xml:space="preserve">:  </w:t>
      </w:r>
      <w:r>
        <w:rPr>
          <w:spacing w:val="-2"/>
        </w:rPr>
        <w:t>煤炭生产企业</w:t>
      </w:r>
    </w:p>
    <w:p>
      <w:pPr>
        <w:spacing w:line="243" w:lineRule="auto"/>
        <w:rPr>
          <w:rFonts w:ascii="Arial"/>
          <w:sz w:val="21"/>
        </w:rPr>
      </w:pPr>
    </w:p>
    <w:p>
      <w:pPr>
        <w:pStyle w:val="BodyText"/>
        <w:spacing w:before="79" w:line="198" w:lineRule="auto"/>
        <w:ind w:left="120"/>
      </w:pPr>
      <w:r>
        <w:rPr>
          <w:spacing w:val="-1"/>
        </w:rPr>
        <w:t>温室气体排放核算与报告要求 第</w:t>
      </w:r>
      <w:r>
        <w:rPr>
          <w:spacing w:val="-32"/>
        </w:rPr>
        <w:t xml:space="preserve"> </w:t>
      </w:r>
      <w:r>
        <w:rPr>
          <w:rFonts w:ascii="Times New Roman" w:eastAsia="Times New Roman" w:hAnsi="Times New Roman" w:cs="Times New Roman"/>
          <w:spacing w:val="-1"/>
        </w:rPr>
        <w:t xml:space="preserve">12 </w:t>
      </w:r>
      <w:r>
        <w:rPr>
          <w:spacing w:val="-1"/>
        </w:rPr>
        <w:t>部分</w:t>
      </w:r>
      <w:r>
        <w:rPr>
          <w:rFonts w:ascii="Times New Roman" w:eastAsia="Times New Roman" w:hAnsi="Times New Roman" w:cs="Times New Roman"/>
          <w:spacing w:val="-1"/>
        </w:rPr>
        <w:t xml:space="preserve">:  </w:t>
      </w:r>
      <w:r>
        <w:rPr>
          <w:spacing w:val="-2"/>
        </w:rPr>
        <w:t>纺织服装企业</w:t>
      </w:r>
    </w:p>
    <w:p>
      <w:pPr>
        <w:spacing w:line="198" w:lineRule="auto"/>
        <w:sectPr>
          <w:headerReference w:type="default" r:id="rId10"/>
          <w:footerReference w:type="default" r:id="rId11"/>
          <w:type w:val="continuous"/>
          <w:pgSz w:w="11907" w:h="16839"/>
          <w:pgMar w:top="400" w:right="1785" w:bottom="1904" w:left="1785" w:header="0" w:footer="1741" w:gutter="0"/>
          <w:pgNumType w:start="4"/>
          <w:cols w:num="2" w:space="708" w:equalWidth="0">
            <w:col w:w="1549" w:space="100"/>
            <w:col w:w="6687" w:space="0"/>
          </w:cols>
        </w:sectPr>
      </w:pPr>
    </w:p>
    <w:p>
      <w:pPr>
        <w:spacing w:line="283" w:lineRule="auto"/>
        <w:rPr>
          <w:rFonts w:ascii="Arial"/>
          <w:sz w:val="21"/>
        </w:rPr>
      </w:pPr>
    </w:p>
    <w:p>
      <w:pPr>
        <w:pStyle w:val="BodyText"/>
        <w:spacing w:before="78" w:line="625" w:lineRule="exact"/>
        <w:ind w:left="20"/>
      </w:pPr>
      <w:r>
        <w:rPr>
          <w:rFonts w:ascii="Times New Roman" w:eastAsia="Times New Roman" w:hAnsi="Times New Roman" w:cs="Times New Roman"/>
          <w:spacing w:val="-2"/>
          <w:position w:val="29"/>
        </w:rPr>
        <w:t>GB</w:t>
      </w:r>
      <w:r>
        <w:rPr>
          <w:rFonts w:ascii="Times New Roman" w:eastAsia="Times New Roman" w:hAnsi="Times New Roman" w:cs="Times New Roman"/>
          <w:spacing w:val="30"/>
          <w:position w:val="29"/>
        </w:rPr>
        <w:t xml:space="preserve"> </w:t>
      </w:r>
      <w:r>
        <w:rPr>
          <w:rFonts w:ascii="Times New Roman" w:eastAsia="Times New Roman" w:hAnsi="Times New Roman" w:cs="Times New Roman"/>
          <w:spacing w:val="-2"/>
          <w:position w:val="29"/>
        </w:rPr>
        <w:t xml:space="preserve">16297  </w:t>
      </w:r>
      <w:r>
        <w:rPr>
          <w:spacing w:val="-2"/>
          <w:position w:val="29"/>
        </w:rPr>
        <w:t>大气污染物综合排放标准</w:t>
      </w:r>
    </w:p>
    <w:p>
      <w:pPr>
        <w:pStyle w:val="BodyText"/>
        <w:spacing w:line="219" w:lineRule="auto"/>
        <w:ind w:left="20"/>
      </w:pPr>
      <w:r>
        <w:rPr>
          <w:rFonts w:ascii="Times New Roman" w:eastAsia="Times New Roman" w:hAnsi="Times New Roman" w:cs="Times New Roman"/>
          <w:spacing w:val="-1"/>
        </w:rPr>
        <w:t xml:space="preserve">GB 8978  </w:t>
      </w:r>
      <w:r>
        <w:rPr>
          <w:spacing w:val="-1"/>
        </w:rPr>
        <w:t>污水综合排放标准</w:t>
      </w:r>
    </w:p>
    <w:p>
      <w:pPr>
        <w:spacing w:line="256" w:lineRule="auto"/>
        <w:rPr>
          <w:rFonts w:ascii="Arial"/>
          <w:sz w:val="21"/>
        </w:rPr>
      </w:pPr>
    </w:p>
    <w:p>
      <w:pPr>
        <w:pStyle w:val="BodyText"/>
        <w:spacing w:before="79" w:line="624" w:lineRule="exact"/>
        <w:ind w:left="20"/>
      </w:pPr>
      <w:r>
        <w:rPr>
          <w:rFonts w:ascii="Times New Roman" w:eastAsia="Times New Roman" w:hAnsi="Times New Roman" w:cs="Times New Roman"/>
          <w:spacing w:val="-1"/>
          <w:position w:val="29"/>
        </w:rPr>
        <w:t xml:space="preserve">GB-T 38582  </w:t>
      </w:r>
      <w:r>
        <w:rPr>
          <w:spacing w:val="-1"/>
          <w:position w:val="29"/>
        </w:rPr>
        <w:t>森林生态系统服务功能评估规范</w:t>
      </w:r>
    </w:p>
    <w:p>
      <w:pPr>
        <w:pStyle w:val="BodyText"/>
        <w:spacing w:before="1" w:line="218" w:lineRule="auto"/>
        <w:ind w:left="20"/>
      </w:pPr>
      <w:r>
        <w:rPr>
          <w:rFonts w:ascii="Times New Roman" w:eastAsia="Times New Roman" w:hAnsi="Times New Roman" w:cs="Times New Roman"/>
          <w:spacing w:val="-1"/>
        </w:rPr>
        <w:t xml:space="preserve">GB/T 36000  </w:t>
      </w:r>
      <w:r>
        <w:rPr>
          <w:spacing w:val="-1"/>
        </w:rPr>
        <w:t>社会责任指南</w:t>
      </w:r>
    </w:p>
    <w:p>
      <w:pPr>
        <w:spacing w:line="257" w:lineRule="auto"/>
        <w:rPr>
          <w:rFonts w:ascii="Arial"/>
          <w:sz w:val="21"/>
        </w:rPr>
      </w:pPr>
    </w:p>
    <w:p>
      <w:pPr>
        <w:pStyle w:val="BodyText"/>
        <w:spacing w:before="79" w:line="218" w:lineRule="auto"/>
        <w:ind w:left="16"/>
      </w:pPr>
      <w:r>
        <w:rPr>
          <w:rFonts w:ascii="Times New Roman" w:eastAsia="Times New Roman" w:hAnsi="Times New Roman" w:cs="Times New Roman"/>
        </w:rPr>
        <w:t xml:space="preserve">HJ 944  </w:t>
      </w:r>
      <w:r>
        <w:t>排污单位环境管理台账及排污许可证执行报告技术规范  总则（试行）</w:t>
      </w:r>
    </w:p>
    <w:p>
      <w:pPr>
        <w:spacing w:line="260" w:lineRule="auto"/>
        <w:rPr>
          <w:rFonts w:ascii="Arial"/>
          <w:sz w:val="21"/>
        </w:rPr>
      </w:pPr>
    </w:p>
    <w:p>
      <w:pPr>
        <w:pStyle w:val="BodyText"/>
        <w:spacing w:before="79" w:line="621" w:lineRule="exact"/>
        <w:ind w:left="16"/>
      </w:pPr>
      <w:r>
        <w:rPr>
          <w:rFonts w:ascii="Times New Roman" w:eastAsia="Times New Roman" w:hAnsi="Times New Roman" w:cs="Times New Roman"/>
          <w:spacing w:val="-1"/>
          <w:position w:val="29"/>
        </w:rPr>
        <w:t xml:space="preserve">HJ 2300 </w:t>
      </w:r>
      <w:r>
        <w:rPr>
          <w:spacing w:val="-1"/>
          <w:position w:val="29"/>
        </w:rPr>
        <w:t>污染防治可行技术指南编制导则</w:t>
      </w:r>
    </w:p>
    <w:p>
      <w:pPr>
        <w:pStyle w:val="BodyText"/>
        <w:spacing w:line="218" w:lineRule="auto"/>
        <w:ind w:left="16"/>
      </w:pPr>
      <w:r>
        <w:rPr>
          <w:rFonts w:ascii="Times New Roman" w:eastAsia="Times New Roman" w:hAnsi="Times New Roman" w:cs="Times New Roman"/>
          <w:spacing w:val="-2"/>
        </w:rPr>
        <w:t>HJ</w:t>
      </w:r>
      <w:r>
        <w:rPr>
          <w:rFonts w:ascii="Times New Roman" w:eastAsia="Times New Roman" w:hAnsi="Times New Roman" w:cs="Times New Roman"/>
          <w:spacing w:val="41"/>
          <w:w w:val="101"/>
        </w:rPr>
        <w:t xml:space="preserve"> </w:t>
      </w:r>
      <w:r>
        <w:rPr>
          <w:rFonts w:ascii="Times New Roman" w:eastAsia="Times New Roman" w:hAnsi="Times New Roman" w:cs="Times New Roman"/>
          <w:spacing w:val="-2"/>
        </w:rPr>
        <w:t xml:space="preserve">19  </w:t>
      </w:r>
      <w:r>
        <w:rPr>
          <w:spacing w:val="-2"/>
        </w:rPr>
        <w:t>环境影响评价技术导则  生态影响</w:t>
      </w:r>
    </w:p>
    <w:p>
      <w:pPr>
        <w:spacing w:line="261" w:lineRule="auto"/>
        <w:rPr>
          <w:rFonts w:ascii="Arial"/>
          <w:sz w:val="21"/>
        </w:rPr>
      </w:pPr>
    </w:p>
    <w:p>
      <w:pPr>
        <w:pStyle w:val="BodyText"/>
        <w:spacing w:before="79" w:line="218" w:lineRule="auto"/>
        <w:ind w:left="16"/>
      </w:pPr>
      <w:r>
        <w:rPr>
          <w:rFonts w:ascii="Times New Roman" w:eastAsia="Times New Roman" w:hAnsi="Times New Roman" w:cs="Times New Roman"/>
        </w:rPr>
        <w:t xml:space="preserve">HJ1172  </w:t>
      </w:r>
      <w:r>
        <w:t>全国生态状况调查评估技术规范—生态系统</w:t>
      </w:r>
      <w:r>
        <w:rPr>
          <w:spacing w:val="-1"/>
        </w:rPr>
        <w:t>质量评估</w:t>
      </w:r>
    </w:p>
    <w:p>
      <w:pPr>
        <w:spacing w:line="258" w:lineRule="auto"/>
        <w:rPr>
          <w:rFonts w:ascii="Arial"/>
          <w:sz w:val="21"/>
        </w:rPr>
      </w:pPr>
    </w:p>
    <w:p>
      <w:pPr>
        <w:pStyle w:val="BodyText"/>
        <w:spacing w:before="78" w:line="218" w:lineRule="auto"/>
        <w:ind w:left="16"/>
      </w:pPr>
      <w:r>
        <w:rPr>
          <w:rFonts w:ascii="Times New Roman" w:eastAsia="Times New Roman" w:hAnsi="Times New Roman" w:cs="Times New Roman"/>
          <w:spacing w:val="-2"/>
        </w:rPr>
        <w:t>HJ</w:t>
      </w:r>
      <w:r>
        <w:rPr>
          <w:rFonts w:ascii="Times New Roman" w:eastAsia="Times New Roman" w:hAnsi="Times New Roman" w:cs="Times New Roman"/>
          <w:spacing w:val="32"/>
          <w:w w:val="101"/>
        </w:rPr>
        <w:t xml:space="preserve"> </w:t>
      </w:r>
      <w:r>
        <w:rPr>
          <w:rFonts w:ascii="Times New Roman" w:eastAsia="Times New Roman" w:hAnsi="Times New Roman" w:cs="Times New Roman"/>
          <w:spacing w:val="-2"/>
        </w:rPr>
        <w:t xml:space="preserve">192  </w:t>
      </w:r>
      <w:r>
        <w:rPr>
          <w:spacing w:val="-2"/>
        </w:rPr>
        <w:t>生态环境状况评价技术规范</w:t>
      </w:r>
    </w:p>
    <w:p>
      <w:pPr>
        <w:spacing w:line="260" w:lineRule="auto"/>
        <w:rPr>
          <w:rFonts w:ascii="Arial"/>
          <w:sz w:val="21"/>
        </w:rPr>
      </w:pPr>
    </w:p>
    <w:p>
      <w:pPr>
        <w:pStyle w:val="BodyText"/>
        <w:spacing w:before="79" w:line="622" w:lineRule="exact"/>
        <w:ind w:left="16"/>
      </w:pPr>
      <w:r>
        <w:rPr>
          <w:rFonts w:ascii="Times New Roman" w:eastAsia="Times New Roman" w:hAnsi="Times New Roman" w:cs="Times New Roman"/>
          <w:spacing w:val="-1"/>
          <w:position w:val="29"/>
        </w:rPr>
        <w:t xml:space="preserve">LY∕T 2899  </w:t>
      </w:r>
      <w:r>
        <w:rPr>
          <w:spacing w:val="-1"/>
          <w:position w:val="29"/>
        </w:rPr>
        <w:t>湿地生态系统服务评估规范</w:t>
      </w:r>
    </w:p>
    <w:p>
      <w:pPr>
        <w:pStyle w:val="BodyText"/>
        <w:spacing w:line="218" w:lineRule="auto"/>
        <w:ind w:left="19"/>
      </w:pPr>
      <w:r>
        <w:rPr>
          <w:rFonts w:ascii="Times New Roman" w:eastAsia="Times New Roman" w:hAnsi="Times New Roman" w:cs="Times New Roman"/>
          <w:spacing w:val="-1"/>
        </w:rPr>
        <w:t xml:space="preserve">T/CGDF 00026-2021  </w:t>
      </w:r>
      <w:r>
        <w:rPr>
          <w:spacing w:val="-1"/>
        </w:rPr>
        <w:t>企业碳评价标准</w:t>
      </w:r>
    </w:p>
    <w:p>
      <w:pPr>
        <w:spacing w:line="260" w:lineRule="auto"/>
        <w:rPr>
          <w:rFonts w:ascii="Arial"/>
          <w:sz w:val="21"/>
        </w:rPr>
        <w:sectPr>
          <w:headerReference w:type="default" r:id="rId12"/>
          <w:footerReference w:type="default" r:id="rId13"/>
          <w:type w:val="continuous"/>
          <w:pgSz w:w="11907" w:h="16839"/>
          <w:pgMar w:top="400" w:right="1785" w:bottom="1904" w:left="1785" w:header="0" w:footer="1741" w:gutter="0"/>
          <w:pgNumType w:start="5"/>
          <w:cols w:num="1" w:space="708" w:equalWidth="0">
            <w:col w:w="8335" w:space="0"/>
          </w:cols>
        </w:sectPr>
      </w:pPr>
    </w:p>
    <w:p>
      <w:pPr>
        <w:pStyle w:val="BodyText"/>
        <w:spacing w:before="79" w:line="218" w:lineRule="auto"/>
        <w:ind w:left="19"/>
      </w:pPr>
      <w:r>
        <w:rPr>
          <w:rFonts w:ascii="Times New Roman" w:eastAsia="Times New Roman" w:hAnsi="Times New Roman" w:cs="Times New Roman"/>
        </w:rPr>
        <w:t>T/CGDF 00011-2021    ES</w:t>
      </w:r>
      <w:r>
        <w:rPr>
          <w:rFonts w:ascii="Times New Roman" w:eastAsia="Times New Roman" w:hAnsi="Times New Roman" w:cs="Times New Roman"/>
          <w:spacing w:val="-1"/>
        </w:rPr>
        <w:t xml:space="preserve">G </w:t>
      </w:r>
      <w:r>
        <w:rPr>
          <w:spacing w:val="-1"/>
        </w:rPr>
        <w:t>评价标准</w:t>
      </w:r>
    </w:p>
    <w:p>
      <w:pPr>
        <w:spacing w:line="260" w:lineRule="auto"/>
        <w:rPr>
          <w:rFonts w:ascii="Arial"/>
          <w:sz w:val="21"/>
        </w:rPr>
      </w:pPr>
    </w:p>
    <w:p>
      <w:pPr>
        <w:pStyle w:val="BodyText"/>
        <w:spacing w:before="79" w:line="220" w:lineRule="auto"/>
        <w:ind w:left="19"/>
      </w:pPr>
      <w:r>
        <w:rPr>
          <w:rFonts w:ascii="Times New Roman" w:eastAsia="Times New Roman" w:hAnsi="Times New Roman" w:cs="Times New Roman"/>
        </w:rPr>
        <w:t xml:space="preserve">T/CGDF 00001-2020 </w:t>
      </w:r>
      <w:r>
        <w:t>生物多样</w:t>
      </w:r>
      <w:r>
        <w:rPr>
          <w:spacing w:val="-1"/>
        </w:rPr>
        <w:t>性调查与监测标准</w:t>
      </w:r>
    </w:p>
    <w:p>
      <w:pPr>
        <w:spacing w:line="256" w:lineRule="auto"/>
        <w:rPr>
          <w:rFonts w:ascii="Arial"/>
          <w:sz w:val="21"/>
        </w:rPr>
      </w:pPr>
    </w:p>
    <w:p>
      <w:pPr>
        <w:pStyle w:val="BodyText"/>
        <w:spacing w:before="78" w:line="218" w:lineRule="auto"/>
        <w:ind w:left="19"/>
      </w:pPr>
      <w:r>
        <w:rPr>
          <w:rFonts w:ascii="Times New Roman" w:eastAsia="Times New Roman" w:hAnsi="Times New Roman" w:cs="Times New Roman"/>
        </w:rPr>
        <w:t xml:space="preserve">T/CGDF 00022-2022  </w:t>
      </w:r>
      <w:r>
        <w:t>生物多样性保护与绿色发展</w:t>
      </w:r>
      <w:r>
        <w:rPr>
          <w:spacing w:val="-1"/>
        </w:rPr>
        <w:t>示范基地评价标准</w:t>
      </w:r>
    </w:p>
    <w:p>
      <w:pPr>
        <w:spacing w:line="422" w:lineRule="auto"/>
        <w:rPr>
          <w:rFonts w:ascii="Arial"/>
          <w:sz w:val="21"/>
        </w:rPr>
      </w:pPr>
    </w:p>
    <w:p>
      <w:pPr>
        <w:pStyle w:val="BodyText"/>
        <w:spacing w:before="79" w:line="220" w:lineRule="auto"/>
        <w:ind w:left="15"/>
      </w:pPr>
      <w:r>
        <w:rPr>
          <w:rFonts w:ascii="Times New Roman" w:eastAsia="Times New Roman" w:hAnsi="Times New Roman" w:cs="Times New Roman"/>
          <w:b/>
          <w:bCs/>
          <w:spacing w:val="-2"/>
        </w:rPr>
        <w:t xml:space="preserve">3  </w:t>
      </w:r>
      <w:r>
        <w:rPr>
          <w:b/>
          <w:bCs/>
          <w:spacing w:val="-2"/>
        </w:rPr>
        <w:t>术语和定义</w:t>
      </w:r>
    </w:p>
    <w:p>
      <w:pPr>
        <w:pStyle w:val="BodyText"/>
        <w:spacing w:before="242" w:line="219" w:lineRule="auto"/>
        <w:ind w:left="508"/>
      </w:pPr>
      <w:r>
        <w:rPr>
          <w:spacing w:val="-2"/>
        </w:rPr>
        <w:t>下列术语和定义适用于本文件。</w:t>
      </w:r>
    </w:p>
    <w:p>
      <w:pPr>
        <w:spacing w:line="314" w:lineRule="auto"/>
        <w:rPr>
          <w:rFonts w:ascii="Arial"/>
          <w:sz w:val="21"/>
        </w:rPr>
      </w:pPr>
    </w:p>
    <w:p>
      <w:pPr>
        <w:spacing w:before="70" w:line="166" w:lineRule="exact"/>
        <w:ind w:left="15"/>
        <w:rPr>
          <w:rFonts w:ascii="Times New Roman" w:eastAsia="Times New Roman" w:hAnsi="Times New Roman" w:cs="Times New Roman"/>
          <w:sz w:val="24"/>
          <w:szCs w:val="24"/>
        </w:rPr>
      </w:pPr>
      <w:r>
        <w:rPr>
          <w:rFonts w:ascii="Times New Roman" w:eastAsia="Times New Roman" w:hAnsi="Times New Roman" w:cs="Times New Roman"/>
          <w:b/>
          <w:bCs/>
          <w:spacing w:val="-1"/>
          <w:position w:val="-3"/>
          <w:sz w:val="24"/>
          <w:szCs w:val="24"/>
        </w:rPr>
        <w:t>3.1</w:t>
      </w:r>
    </w:p>
    <w:p>
      <w:pPr>
        <w:spacing w:line="166" w:lineRule="exact"/>
        <w:rPr>
          <w:rFonts w:ascii="Times New Roman" w:eastAsia="Times New Roman" w:hAnsi="Times New Roman" w:cs="Times New Roman"/>
          <w:sz w:val="24"/>
          <w:szCs w:val="24"/>
        </w:rPr>
        <w:sectPr>
          <w:headerReference w:type="default" r:id="rId14"/>
          <w:footerReference w:type="default" r:id="rId15"/>
          <w:type w:val="nextPage"/>
          <w:pgSz w:w="11907" w:h="16839"/>
          <w:pgMar w:top="400" w:right="1785" w:bottom="1904" w:left="1785" w:header="0" w:footer="1741" w:gutter="0"/>
          <w:pgNumType w:start="6"/>
          <w:cols w:num="1" w:space="708" w:equalWidth="0">
            <w:col w:w="8335" w:space="0"/>
          </w:cols>
          <w:titlePg w:val="0"/>
        </w:sect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pStyle w:val="BodyText"/>
        <w:spacing w:before="78" w:line="212" w:lineRule="auto"/>
        <w:ind w:left="505"/>
        <w:rPr>
          <w:rFonts w:ascii="Times New Roman" w:eastAsia="Times New Roman" w:hAnsi="Times New Roman" w:cs="Times New Roman"/>
        </w:rPr>
      </w:pPr>
      <w:r>
        <w:rPr>
          <w:b/>
          <w:bCs/>
          <w:spacing w:val="-1"/>
        </w:rPr>
        <w:t>生物多样性</w:t>
      </w:r>
      <w:r>
        <w:rPr>
          <w:spacing w:val="-1"/>
        </w:rPr>
        <w:t xml:space="preserve">  </w:t>
      </w:r>
      <w:r>
        <w:rPr>
          <w:rFonts w:ascii="Times New Roman" w:eastAsia="Times New Roman" w:hAnsi="Times New Roman" w:cs="Times New Roman"/>
          <w:b/>
          <w:bCs/>
          <w:spacing w:val="-1"/>
        </w:rPr>
        <w:t>biodiversity</w:t>
      </w:r>
    </w:p>
    <w:p>
      <w:pPr>
        <w:pStyle w:val="BodyText"/>
        <w:spacing w:before="192" w:line="360" w:lineRule="auto"/>
        <w:ind w:left="21" w:right="162" w:firstLine="483"/>
      </w:pPr>
      <w:r>
        <w:rPr>
          <w:spacing w:val="-2"/>
        </w:rPr>
        <w:t>是生物及其环境形成的生态复合体以及与此相关的各种生态过程</w:t>
      </w:r>
      <w:r>
        <w:rPr>
          <w:spacing w:val="-3"/>
        </w:rPr>
        <w:t>的综合，</w:t>
      </w:r>
      <w:r>
        <w:t xml:space="preserve"> </w:t>
      </w:r>
      <w:r>
        <w:t>包括物种多样性、遗传多样性、生态系统多样性，以</w:t>
      </w:r>
      <w:r>
        <w:rPr>
          <w:spacing w:val="-1"/>
        </w:rPr>
        <w:t>及不同生物群落与生存环</w:t>
      </w:r>
    </w:p>
    <w:p>
      <w:pPr>
        <w:pStyle w:val="BodyText"/>
        <w:spacing w:line="220" w:lineRule="auto"/>
        <w:ind w:left="22"/>
      </w:pPr>
      <w:r>
        <w:rPr>
          <w:spacing w:val="-5"/>
        </w:rPr>
        <w:t>境间的物理化学作用。</w:t>
      </w:r>
    </w:p>
    <w:p>
      <w:pPr>
        <w:pStyle w:val="BodyText"/>
        <w:spacing w:before="182" w:line="215" w:lineRule="auto"/>
        <w:ind w:left="31"/>
        <w:rPr>
          <w:rFonts w:ascii="Times New Roman" w:eastAsia="Times New Roman" w:hAnsi="Times New Roman" w:cs="Times New Roman"/>
        </w:rPr>
      </w:pPr>
      <w:r>
        <w:rPr>
          <w:rFonts w:ascii="Times New Roman" w:eastAsia="Times New Roman" w:hAnsi="Times New Roman" w:cs="Times New Roman"/>
          <w:spacing w:val="-6"/>
        </w:rPr>
        <w:t>[</w:t>
      </w:r>
      <w:r>
        <w:rPr>
          <w:spacing w:val="-6"/>
        </w:rPr>
        <w:t xml:space="preserve">来源： </w:t>
      </w:r>
      <w:r>
        <w:rPr>
          <w:rFonts w:ascii="Times New Roman" w:eastAsia="Times New Roman" w:hAnsi="Times New Roman" w:cs="Times New Roman"/>
          <w:spacing w:val="-6"/>
        </w:rPr>
        <w:t>T/CGDF 00033-20</w:t>
      </w:r>
      <w:r>
        <w:rPr>
          <w:rFonts w:ascii="Times New Roman" w:eastAsia="Times New Roman" w:hAnsi="Times New Roman" w:cs="Times New Roman"/>
          <w:spacing w:val="-7"/>
        </w:rPr>
        <w:t>22]</w:t>
      </w:r>
    </w:p>
    <w:p>
      <w:pPr>
        <w:spacing w:line="319" w:lineRule="auto"/>
        <w:rPr>
          <w:rFonts w:ascii="Arial"/>
          <w:sz w:val="21"/>
        </w:rPr>
      </w:pPr>
    </w:p>
    <w:p>
      <w:pPr>
        <w:spacing w:before="69" w:line="186" w:lineRule="auto"/>
        <w:ind w:left="15"/>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3.2</w:t>
      </w:r>
    </w:p>
    <w:p>
      <w:pPr>
        <w:spacing w:line="284" w:lineRule="auto"/>
        <w:rPr>
          <w:rFonts w:ascii="Arial"/>
          <w:sz w:val="21"/>
        </w:rPr>
      </w:pPr>
    </w:p>
    <w:p>
      <w:pPr>
        <w:pStyle w:val="BodyText"/>
        <w:spacing w:before="79" w:line="212" w:lineRule="auto"/>
        <w:ind w:left="505"/>
        <w:rPr>
          <w:rFonts w:ascii="Times New Roman" w:eastAsia="Times New Roman" w:hAnsi="Times New Roman" w:cs="Times New Roman"/>
        </w:rPr>
      </w:pPr>
      <w:r>
        <w:rPr>
          <w:b/>
          <w:bCs/>
          <w:spacing w:val="-1"/>
        </w:rPr>
        <w:t>温室气体</w:t>
      </w:r>
      <w:r>
        <w:rPr>
          <w:spacing w:val="-1"/>
        </w:rPr>
        <w:t xml:space="preserve">   </w:t>
      </w:r>
      <w:r>
        <w:rPr>
          <w:rFonts w:ascii="Times New Roman" w:eastAsia="Times New Roman" w:hAnsi="Times New Roman" w:cs="Times New Roman"/>
          <w:b/>
          <w:bCs/>
          <w:spacing w:val="-1"/>
        </w:rPr>
        <w:t>greenhouse gas</w:t>
      </w:r>
    </w:p>
    <w:p>
      <w:pPr>
        <w:spacing w:line="268" w:lineRule="auto"/>
        <w:rPr>
          <w:rFonts w:ascii="Arial"/>
          <w:sz w:val="21"/>
        </w:rPr>
      </w:pPr>
    </w:p>
    <w:p>
      <w:pPr>
        <w:pStyle w:val="BodyText"/>
        <w:spacing w:before="78" w:line="360" w:lineRule="auto"/>
        <w:ind w:left="24" w:right="167" w:firstLine="479"/>
      </w:pPr>
      <w:r>
        <w:rPr>
          <w:spacing w:val="-2"/>
        </w:rPr>
        <w:t>大气层中自然存在的和由于人类活动产生的能够吸收和散发由地球表面、</w:t>
      </w:r>
      <w:r>
        <w:rPr>
          <w:spacing w:val="15"/>
        </w:rPr>
        <w:t xml:space="preserve"> </w:t>
      </w:r>
      <w:r>
        <w:rPr>
          <w:spacing w:val="6"/>
        </w:rPr>
        <w:t>大气层和云层所产生的、波长在红外光谱内的辐射的气态成分，如二氧化碳</w:t>
      </w:r>
      <w:r>
        <w:rPr>
          <w:spacing w:val="16"/>
        </w:rPr>
        <w:t xml:space="preserve"> </w:t>
      </w:r>
      <w:r>
        <w:rPr>
          <w:spacing w:val="-2"/>
        </w:rPr>
        <w:t>（</w:t>
      </w:r>
      <w:r>
        <w:rPr>
          <w:rFonts w:ascii="Times New Roman" w:eastAsia="Times New Roman" w:hAnsi="Times New Roman" w:cs="Times New Roman"/>
          <w:spacing w:val="-2"/>
        </w:rPr>
        <w:t>CO2</w:t>
      </w:r>
      <w:r>
        <w:rPr>
          <w:spacing w:val="-2"/>
        </w:rPr>
        <w:t>）、甲烷（</w:t>
      </w:r>
      <w:r>
        <w:rPr>
          <w:rFonts w:ascii="Times New Roman" w:eastAsia="Times New Roman" w:hAnsi="Times New Roman" w:cs="Times New Roman"/>
          <w:spacing w:val="-2"/>
        </w:rPr>
        <w:t>CH4</w:t>
      </w:r>
      <w:r>
        <w:rPr>
          <w:spacing w:val="-2"/>
        </w:rPr>
        <w:t>）、氧化亚氮（</w:t>
      </w:r>
      <w:r>
        <w:rPr>
          <w:rFonts w:ascii="Times New Roman" w:eastAsia="Times New Roman" w:hAnsi="Times New Roman" w:cs="Times New Roman"/>
          <w:spacing w:val="-2"/>
        </w:rPr>
        <w:t>N2O</w:t>
      </w:r>
      <w:r>
        <w:rPr>
          <w:spacing w:val="-2"/>
        </w:rPr>
        <w:t>）、氢氟碳化物（</w:t>
      </w:r>
      <w:r>
        <w:rPr>
          <w:rFonts w:ascii="Times New Roman" w:eastAsia="Times New Roman" w:hAnsi="Times New Roman" w:cs="Times New Roman"/>
          <w:spacing w:val="-2"/>
        </w:rPr>
        <w:t>HFCS</w:t>
      </w:r>
      <w:r>
        <w:rPr>
          <w:spacing w:val="-2"/>
        </w:rPr>
        <w:t>）、全氟碳</w:t>
      </w:r>
    </w:p>
    <w:p>
      <w:pPr>
        <w:pStyle w:val="BodyText"/>
        <w:spacing w:line="219" w:lineRule="auto"/>
        <w:ind w:left="22"/>
      </w:pPr>
      <w:r>
        <w:rPr>
          <w:spacing w:val="-2"/>
        </w:rPr>
        <w:t>化物（</w:t>
      </w:r>
      <w:r>
        <w:rPr>
          <w:rFonts w:ascii="Times New Roman" w:eastAsia="Times New Roman" w:hAnsi="Times New Roman" w:cs="Times New Roman"/>
          <w:spacing w:val="-2"/>
        </w:rPr>
        <w:t>PFCS</w:t>
      </w:r>
      <w:r>
        <w:rPr>
          <w:spacing w:val="-2"/>
        </w:rPr>
        <w:t>）等</w:t>
      </w:r>
    </w:p>
    <w:p>
      <w:pPr>
        <w:spacing w:line="259" w:lineRule="auto"/>
        <w:rPr>
          <w:rFonts w:ascii="Arial"/>
          <w:sz w:val="21"/>
        </w:rPr>
      </w:pPr>
    </w:p>
    <w:p>
      <w:pPr>
        <w:pStyle w:val="BodyText"/>
        <w:spacing w:before="78" w:line="215" w:lineRule="auto"/>
        <w:ind w:left="31"/>
        <w:rPr>
          <w:rFonts w:ascii="Times New Roman" w:eastAsia="Times New Roman" w:hAnsi="Times New Roman" w:cs="Times New Roman"/>
        </w:rPr>
      </w:pPr>
      <w:r>
        <w:rPr>
          <w:rFonts w:ascii="Times New Roman" w:eastAsia="Times New Roman" w:hAnsi="Times New Roman" w:cs="Times New Roman"/>
          <w:spacing w:val="-8"/>
        </w:rPr>
        <w:t>[</w:t>
      </w:r>
      <w:r>
        <w:rPr>
          <w:spacing w:val="-8"/>
        </w:rPr>
        <w:t xml:space="preserve">来源： </w:t>
      </w:r>
      <w:r>
        <w:rPr>
          <w:rFonts w:ascii="Times New Roman" w:eastAsia="Times New Roman" w:hAnsi="Times New Roman" w:cs="Times New Roman"/>
          <w:spacing w:val="-8"/>
        </w:rPr>
        <w:t>GB/T</w:t>
      </w:r>
      <w:r>
        <w:rPr>
          <w:rFonts w:ascii="Times New Roman" w:eastAsia="Times New Roman" w:hAnsi="Times New Roman" w:cs="Times New Roman"/>
          <w:spacing w:val="4"/>
        </w:rPr>
        <w:t xml:space="preserve">    </w:t>
      </w:r>
      <w:r>
        <w:rPr>
          <w:rFonts w:ascii="Times New Roman" w:eastAsia="Times New Roman" w:hAnsi="Times New Roman" w:cs="Times New Roman"/>
          <w:spacing w:val="-8"/>
        </w:rPr>
        <w:t>32150-2015]</w:t>
      </w:r>
    </w:p>
    <w:p>
      <w:pPr>
        <w:spacing w:line="319" w:lineRule="auto"/>
        <w:rPr>
          <w:rFonts w:ascii="Arial"/>
          <w:sz w:val="21"/>
        </w:rPr>
      </w:pPr>
    </w:p>
    <w:p>
      <w:pPr>
        <w:spacing w:before="70" w:line="186" w:lineRule="auto"/>
        <w:ind w:left="15"/>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3.3</w:t>
      </w:r>
    </w:p>
    <w:p>
      <w:pPr>
        <w:spacing w:line="284" w:lineRule="auto"/>
        <w:rPr>
          <w:rFonts w:ascii="Arial"/>
          <w:sz w:val="21"/>
        </w:rPr>
      </w:pPr>
    </w:p>
    <w:p>
      <w:pPr>
        <w:pStyle w:val="BodyText"/>
        <w:spacing w:before="78" w:line="212" w:lineRule="auto"/>
        <w:ind w:left="505"/>
        <w:rPr>
          <w:rFonts w:ascii="Times New Roman" w:eastAsia="Times New Roman" w:hAnsi="Times New Roman" w:cs="Times New Roman"/>
        </w:rPr>
      </w:pPr>
      <w:r>
        <w:rPr>
          <w:b/>
          <w:bCs/>
          <w:spacing w:val="-1"/>
        </w:rPr>
        <w:t>绿色供应链</w:t>
      </w:r>
      <w:r>
        <w:rPr>
          <w:spacing w:val="-1"/>
        </w:rPr>
        <w:t xml:space="preserve">   </w:t>
      </w:r>
      <w:r>
        <w:rPr>
          <w:rFonts w:ascii="Times New Roman" w:eastAsia="Times New Roman" w:hAnsi="Times New Roman" w:cs="Times New Roman"/>
          <w:b/>
          <w:bCs/>
          <w:spacing w:val="-1"/>
        </w:rPr>
        <w:t>green supply</w:t>
      </w:r>
      <w:r>
        <w:rPr>
          <w:rFonts w:ascii="Times New Roman" w:eastAsia="Times New Roman" w:hAnsi="Times New Roman" w:cs="Times New Roman"/>
          <w:b/>
          <w:bCs/>
          <w:spacing w:val="9"/>
        </w:rPr>
        <w:t xml:space="preserve"> </w:t>
      </w:r>
      <w:r>
        <w:rPr>
          <w:rFonts w:ascii="Times New Roman" w:eastAsia="Times New Roman" w:hAnsi="Times New Roman" w:cs="Times New Roman"/>
          <w:b/>
          <w:bCs/>
          <w:spacing w:val="-1"/>
        </w:rPr>
        <w:t>chain</w:t>
      </w:r>
    </w:p>
    <w:p>
      <w:pPr>
        <w:spacing w:line="268" w:lineRule="auto"/>
        <w:rPr>
          <w:rFonts w:ascii="Arial"/>
          <w:sz w:val="21"/>
        </w:rPr>
      </w:pPr>
    </w:p>
    <w:p>
      <w:pPr>
        <w:pStyle w:val="BodyText"/>
        <w:spacing w:before="79" w:line="360" w:lineRule="auto"/>
        <w:ind w:left="27" w:right="160" w:firstLine="476"/>
      </w:pPr>
      <w:r>
        <w:rPr>
          <w:spacing w:val="-14"/>
        </w:rPr>
        <w:t>组织以可持续发展为宗旨，</w:t>
      </w:r>
      <w:r>
        <w:rPr>
          <w:spacing w:val="-16"/>
        </w:rPr>
        <w:t xml:space="preserve"> </w:t>
      </w:r>
      <w:r>
        <w:rPr>
          <w:spacing w:val="-14"/>
        </w:rPr>
        <w:t>以资源配置最优、与环境相容为目标， 以简洁、</w:t>
      </w:r>
      <w:r>
        <w:t xml:space="preserve"> </w:t>
      </w:r>
      <w:r>
        <w:rPr>
          <w:spacing w:val="-1"/>
        </w:rPr>
        <w:t>高效和协同为基本原则，在实现其活动、产品或服务的全生命周期各阶段或相</w:t>
      </w:r>
    </w:p>
    <w:p>
      <w:pPr>
        <w:pStyle w:val="BodyText"/>
        <w:spacing w:before="1" w:line="218" w:lineRule="auto"/>
        <w:ind w:left="25"/>
      </w:pPr>
      <w:r>
        <w:rPr>
          <w:spacing w:val="-2"/>
        </w:rPr>
        <w:t>关阶段内，由与供应链有关的相关方组成的</w:t>
      </w:r>
      <w:r>
        <w:rPr>
          <w:spacing w:val="-3"/>
        </w:rPr>
        <w:t>系统。</w:t>
      </w:r>
    </w:p>
    <w:p>
      <w:pPr>
        <w:spacing w:line="260" w:lineRule="auto"/>
        <w:rPr>
          <w:rFonts w:ascii="Arial"/>
          <w:sz w:val="21"/>
        </w:rPr>
      </w:pPr>
    </w:p>
    <w:p>
      <w:pPr>
        <w:pStyle w:val="BodyText"/>
        <w:spacing w:before="78" w:line="215" w:lineRule="auto"/>
        <w:ind w:left="31"/>
        <w:rPr>
          <w:rFonts w:ascii="Times New Roman" w:eastAsia="Times New Roman" w:hAnsi="Times New Roman" w:cs="Times New Roman"/>
        </w:rPr>
      </w:pPr>
      <w:r>
        <w:rPr>
          <w:rFonts w:ascii="Times New Roman" w:eastAsia="Times New Roman" w:hAnsi="Times New Roman" w:cs="Times New Roman"/>
          <w:spacing w:val="-8"/>
        </w:rPr>
        <w:t>[</w:t>
      </w:r>
      <w:r>
        <w:rPr>
          <w:spacing w:val="-8"/>
        </w:rPr>
        <w:t xml:space="preserve">来源： </w:t>
      </w:r>
      <w:r>
        <w:rPr>
          <w:rFonts w:ascii="Times New Roman" w:eastAsia="Times New Roman" w:hAnsi="Times New Roman" w:cs="Times New Roman"/>
          <w:spacing w:val="-8"/>
        </w:rPr>
        <w:t>RB/T 087-2022]</w:t>
      </w:r>
    </w:p>
    <w:p>
      <w:pPr>
        <w:spacing w:line="319" w:lineRule="auto"/>
        <w:rPr>
          <w:rFonts w:ascii="Arial"/>
          <w:sz w:val="21"/>
        </w:rPr>
        <w:sectPr>
          <w:headerReference w:type="default" r:id="rId16"/>
          <w:footerReference w:type="default" r:id="rId17"/>
          <w:pgSz w:w="11907" w:h="16839"/>
          <w:pgMar w:top="400" w:right="1785" w:bottom="1902" w:left="1785" w:header="0" w:footer="1740" w:gutter="0"/>
          <w:pgNumType w:start="7"/>
          <w:cols w:space="708"/>
        </w:sectPr>
      </w:pPr>
    </w:p>
    <w:p>
      <w:pPr>
        <w:spacing w:before="70" w:line="186" w:lineRule="auto"/>
        <w:ind w:left="15"/>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3.4</w:t>
      </w:r>
    </w:p>
    <w:p>
      <w:pPr>
        <w:spacing w:line="284" w:lineRule="auto"/>
        <w:rPr>
          <w:rFonts w:ascii="Arial"/>
          <w:sz w:val="21"/>
        </w:rPr>
      </w:pPr>
    </w:p>
    <w:p>
      <w:pPr>
        <w:pStyle w:val="BodyText"/>
        <w:spacing w:before="79" w:line="212" w:lineRule="auto"/>
        <w:ind w:left="505"/>
        <w:rPr>
          <w:rFonts w:ascii="Times New Roman" w:eastAsia="Times New Roman" w:hAnsi="Times New Roman" w:cs="Times New Roman"/>
        </w:rPr>
      </w:pPr>
      <w:r>
        <w:rPr>
          <w:b/>
          <w:bCs/>
        </w:rPr>
        <w:t>生物多样性恢复与替代</w:t>
      </w:r>
      <w:r>
        <w:t xml:space="preserve">  </w:t>
      </w:r>
      <w:r>
        <w:rPr>
          <w:rFonts w:ascii="Times New Roman" w:eastAsia="Times New Roman" w:hAnsi="Times New Roman" w:cs="Times New Roman"/>
          <w:b/>
          <w:bCs/>
        </w:rPr>
        <w:t>biodiversity re</w:t>
      </w:r>
      <w:r>
        <w:rPr>
          <w:rFonts w:ascii="Times New Roman" w:eastAsia="Times New Roman" w:hAnsi="Times New Roman" w:cs="Times New Roman"/>
          <w:b/>
          <w:bCs/>
          <w:spacing w:val="-1"/>
        </w:rPr>
        <w:t>storation and substitution</w:t>
      </w:r>
    </w:p>
    <w:p>
      <w:pPr>
        <w:spacing w:line="268" w:lineRule="auto"/>
        <w:rPr>
          <w:rFonts w:ascii="Arial"/>
          <w:sz w:val="21"/>
        </w:rPr>
      </w:pPr>
    </w:p>
    <w:p>
      <w:pPr>
        <w:pStyle w:val="BodyText"/>
        <w:spacing w:before="78" w:line="360" w:lineRule="auto"/>
        <w:ind w:left="22" w:right="162" w:firstLine="481"/>
        <w:jc w:val="both"/>
      </w:pPr>
      <w:r>
        <w:rPr>
          <w:spacing w:val="-1"/>
        </w:rPr>
        <w:t>指针对企业在建设、生产和市场流通等产品全生命链条中产生的生物多样</w:t>
      </w:r>
      <w:r>
        <w:rPr>
          <w:spacing w:val="18"/>
        </w:rPr>
        <w:t xml:space="preserve"> </w:t>
      </w:r>
      <w:r>
        <w:t>性损失而开展的原位或异地生物多样性恢复行动或</w:t>
      </w:r>
      <w:r>
        <w:rPr>
          <w:spacing w:val="-1"/>
        </w:rPr>
        <w:t>恢复工程。所采取的恢复行</w:t>
      </w:r>
      <w:r>
        <w:t xml:space="preserve"> </w:t>
      </w:r>
      <w:r>
        <w:t>动或恢复工程，是不同生态系统、不同地理空间上</w:t>
      </w:r>
      <w:r>
        <w:rPr>
          <w:spacing w:val="-1"/>
        </w:rPr>
        <w:t>的转换与抵偿，则为生物多</w:t>
      </w:r>
    </w:p>
    <w:p>
      <w:pPr>
        <w:pStyle w:val="BodyText"/>
        <w:spacing w:before="1" w:line="219" w:lineRule="auto"/>
        <w:ind w:left="20"/>
      </w:pPr>
      <w:r>
        <w:rPr>
          <w:spacing w:val="-7"/>
        </w:rPr>
        <w:t>样性替代。</w:t>
      </w:r>
    </w:p>
    <w:p>
      <w:pPr>
        <w:spacing w:line="219" w:lineRule="auto"/>
        <w:sectPr>
          <w:headerReference w:type="default" r:id="rId18"/>
          <w:footerReference w:type="default" r:id="rId19"/>
          <w:type w:val="nextPage"/>
          <w:pgSz w:w="11907" w:h="16839"/>
          <w:pgMar w:top="400" w:right="1785" w:bottom="1902" w:left="1785" w:header="0" w:footer="1740" w:gutter="0"/>
          <w:pgNumType w:start="8"/>
          <w:cols w:space="708"/>
          <w:titlePg w:val="0"/>
        </w:sectPr>
      </w:pPr>
    </w:p>
    <w:p>
      <w:pPr>
        <w:spacing w:line="280" w:lineRule="auto"/>
        <w:rPr>
          <w:rFonts w:ascii="Arial"/>
          <w:sz w:val="21"/>
        </w:rPr>
      </w:pP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before="69" w:line="186" w:lineRule="auto"/>
        <w:ind w:left="15"/>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3.5</w:t>
      </w:r>
    </w:p>
    <w:p>
      <w:pPr>
        <w:spacing w:line="284" w:lineRule="auto"/>
        <w:rPr>
          <w:rFonts w:ascii="Arial"/>
          <w:sz w:val="21"/>
        </w:rPr>
      </w:pPr>
    </w:p>
    <w:p>
      <w:pPr>
        <w:pStyle w:val="BodyText"/>
        <w:spacing w:before="78" w:line="212" w:lineRule="auto"/>
        <w:ind w:left="20"/>
        <w:rPr>
          <w:rFonts w:ascii="Times New Roman" w:eastAsia="Times New Roman" w:hAnsi="Times New Roman" w:cs="Times New Roman"/>
        </w:rPr>
      </w:pPr>
      <w:r>
        <w:rPr>
          <w:b/>
          <w:bCs/>
        </w:rPr>
        <w:t>邻里生物多样性保护</w:t>
      </w:r>
      <w:r>
        <w:rPr>
          <w:spacing w:val="-53"/>
        </w:rPr>
        <w:t xml:space="preserve"> </w:t>
      </w:r>
      <w:r>
        <w:rPr>
          <w:rFonts w:ascii="Times New Roman" w:eastAsia="Times New Roman" w:hAnsi="Times New Roman" w:cs="Times New Roman"/>
          <w:b/>
          <w:bCs/>
        </w:rPr>
        <w:t>biodiversity conservati</w:t>
      </w:r>
      <w:r>
        <w:rPr>
          <w:rFonts w:ascii="Times New Roman" w:eastAsia="Times New Roman" w:hAnsi="Times New Roman" w:cs="Times New Roman"/>
          <w:b/>
          <w:bCs/>
          <w:spacing w:val="-1"/>
        </w:rPr>
        <w:t>on in our neighborhood(BCON)</w:t>
      </w:r>
    </w:p>
    <w:p>
      <w:pPr>
        <w:spacing w:line="268" w:lineRule="auto"/>
        <w:rPr>
          <w:rFonts w:ascii="Arial"/>
          <w:sz w:val="21"/>
        </w:rPr>
      </w:pPr>
    </w:p>
    <w:p>
      <w:pPr>
        <w:pStyle w:val="BodyText"/>
        <w:spacing w:before="78" w:line="360" w:lineRule="auto"/>
        <w:ind w:left="23" w:right="160" w:firstLine="479"/>
      </w:pPr>
      <w:r>
        <w:rPr>
          <w:spacing w:val="-2"/>
        </w:rPr>
        <w:t>人们在生产、生活过程中开展的生物多样性保护。即在生产生活中就地、</w:t>
      </w:r>
      <w:r>
        <w:rPr>
          <w:spacing w:val="16"/>
        </w:rPr>
        <w:t xml:space="preserve"> </w:t>
      </w:r>
      <w:r>
        <w:t>就近、因地制宜地开展生物多样性保护，以尽可</w:t>
      </w:r>
      <w:r>
        <w:rPr>
          <w:spacing w:val="-1"/>
        </w:rPr>
        <w:t>能减少对自然和野生动植物栖</w:t>
      </w:r>
      <w:r>
        <w:t xml:space="preserve"> </w:t>
      </w:r>
      <w:r>
        <w:t>息地干扰，减缓因人类活动持续扩张而带来的生</w:t>
      </w:r>
      <w:r>
        <w:rPr>
          <w:spacing w:val="-1"/>
        </w:rPr>
        <w:t>物多样性急剧丧失趋势，推动</w:t>
      </w:r>
      <w:r>
        <w:t xml:space="preserve"> </w:t>
      </w:r>
      <w:r>
        <w:t>可持续生计，实现人与自然和谐共生。邻里生物多样性保护，</w:t>
      </w:r>
      <w:r>
        <w:rPr>
          <w:spacing w:val="-1"/>
        </w:rPr>
        <w:t xml:space="preserve">是确保 </w:t>
      </w:r>
      <w:r>
        <w:rPr>
          <w:rFonts w:ascii="Times New Roman" w:eastAsia="Times New Roman" w:hAnsi="Times New Roman" w:cs="Times New Roman"/>
          <w:spacing w:val="-1"/>
        </w:rPr>
        <w:t xml:space="preserve">2020  </w:t>
      </w:r>
      <w:r>
        <w:rPr>
          <w:spacing w:val="-1"/>
        </w:rPr>
        <w:t>后</w:t>
      </w:r>
    </w:p>
    <w:p>
      <w:pPr>
        <w:pStyle w:val="BodyText"/>
        <w:spacing w:line="219" w:lineRule="auto"/>
        <w:ind w:left="21"/>
      </w:pPr>
      <w:r>
        <w:rPr>
          <w:spacing w:val="-3"/>
        </w:rPr>
        <w:t>全球生物多样性框架成功的重要方法论。</w:t>
      </w:r>
    </w:p>
    <w:p>
      <w:pPr>
        <w:spacing w:line="259" w:lineRule="auto"/>
        <w:rPr>
          <w:rFonts w:ascii="Arial"/>
          <w:sz w:val="21"/>
        </w:rPr>
      </w:pPr>
    </w:p>
    <w:p>
      <w:pPr>
        <w:pStyle w:val="BodyText"/>
        <w:spacing w:before="79" w:line="215" w:lineRule="auto"/>
        <w:ind w:left="511"/>
        <w:rPr>
          <w:rFonts w:ascii="Times New Roman" w:eastAsia="Times New Roman" w:hAnsi="Times New Roman" w:cs="Times New Roman"/>
        </w:rPr>
      </w:pPr>
      <w:r>
        <w:rPr>
          <w:rFonts w:ascii="Times New Roman" w:eastAsia="Times New Roman" w:hAnsi="Times New Roman" w:cs="Times New Roman"/>
          <w:spacing w:val="-6"/>
        </w:rPr>
        <w:t>[</w:t>
      </w:r>
      <w:r>
        <w:rPr>
          <w:spacing w:val="-6"/>
        </w:rPr>
        <w:t xml:space="preserve">来源： </w:t>
      </w:r>
      <w:r>
        <w:rPr>
          <w:rFonts w:ascii="Times New Roman" w:eastAsia="Times New Roman" w:hAnsi="Times New Roman" w:cs="Times New Roman"/>
          <w:spacing w:val="-6"/>
        </w:rPr>
        <w:t>T/CGDF 00022-20</w:t>
      </w:r>
      <w:r>
        <w:rPr>
          <w:rFonts w:ascii="Times New Roman" w:eastAsia="Times New Roman" w:hAnsi="Times New Roman" w:cs="Times New Roman"/>
          <w:spacing w:val="-7"/>
        </w:rPr>
        <w:t>22]</w:t>
      </w:r>
    </w:p>
    <w:p>
      <w:pPr>
        <w:spacing w:line="319" w:lineRule="auto"/>
        <w:rPr>
          <w:rFonts w:ascii="Arial"/>
          <w:sz w:val="21"/>
        </w:rPr>
      </w:pPr>
    </w:p>
    <w:p>
      <w:pPr>
        <w:spacing w:before="69" w:line="186" w:lineRule="auto"/>
        <w:ind w:left="15"/>
        <w:rPr>
          <w:rFonts w:ascii="Times New Roman" w:eastAsia="Times New Roman" w:hAnsi="Times New Roman" w:cs="Times New Roman"/>
          <w:sz w:val="24"/>
          <w:szCs w:val="24"/>
        </w:rPr>
      </w:pPr>
      <w:r>
        <w:rPr>
          <w:rFonts w:ascii="Times New Roman" w:eastAsia="Times New Roman" w:hAnsi="Times New Roman" w:cs="Times New Roman"/>
          <w:b/>
          <w:bCs/>
          <w:spacing w:val="-2"/>
          <w:sz w:val="24"/>
          <w:szCs w:val="24"/>
        </w:rPr>
        <w:t>3.6</w:t>
      </w:r>
    </w:p>
    <w:p>
      <w:pPr>
        <w:spacing w:line="284" w:lineRule="auto"/>
        <w:rPr>
          <w:rFonts w:ascii="Arial"/>
          <w:sz w:val="21"/>
        </w:rPr>
      </w:pPr>
    </w:p>
    <w:p>
      <w:pPr>
        <w:pStyle w:val="BodyText"/>
        <w:spacing w:before="79" w:line="212" w:lineRule="auto"/>
        <w:ind w:left="505"/>
        <w:rPr>
          <w:rFonts w:ascii="Times New Roman" w:eastAsia="Times New Roman" w:hAnsi="Times New Roman" w:cs="Times New Roman"/>
        </w:rPr>
      </w:pPr>
      <w:r>
        <w:rPr>
          <w:b/>
          <w:bCs/>
          <w:spacing w:val="-1"/>
        </w:rPr>
        <w:t>生态产品总值</w:t>
      </w:r>
      <w:r>
        <w:rPr>
          <w:spacing w:val="-1"/>
        </w:rPr>
        <w:t xml:space="preserve">  </w:t>
      </w:r>
      <w:r>
        <w:rPr>
          <w:rFonts w:ascii="Times New Roman" w:eastAsia="Times New Roman" w:hAnsi="Times New Roman" w:cs="Times New Roman"/>
          <w:b/>
          <w:bCs/>
          <w:spacing w:val="-1"/>
        </w:rPr>
        <w:t>gross ecosystem product</w:t>
      </w:r>
    </w:p>
    <w:p>
      <w:pPr>
        <w:spacing w:line="268" w:lineRule="auto"/>
        <w:rPr>
          <w:rFonts w:ascii="Arial"/>
          <w:sz w:val="21"/>
        </w:rPr>
      </w:pPr>
    </w:p>
    <w:p>
      <w:pPr>
        <w:pStyle w:val="BodyText"/>
        <w:spacing w:before="78" w:line="468" w:lineRule="exact"/>
        <w:ind w:left="505"/>
      </w:pPr>
      <w:r>
        <w:rPr>
          <w:spacing w:val="-1"/>
          <w:position w:val="17"/>
        </w:rPr>
        <w:t>是指生态系统为人类福祉和经济社会可持续发展提供的各种最终产品与服</w:t>
      </w:r>
    </w:p>
    <w:p>
      <w:pPr>
        <w:pStyle w:val="BodyText"/>
        <w:spacing w:line="218" w:lineRule="auto"/>
        <w:ind w:left="23"/>
      </w:pPr>
      <w:r>
        <w:rPr>
          <w:spacing w:val="-1"/>
        </w:rPr>
        <w:t>务价值的总和，主要包括生态系统提供的物质</w:t>
      </w:r>
      <w:r>
        <w:rPr>
          <w:spacing w:val="-2"/>
        </w:rPr>
        <w:t>产品、调节服务和文化服务。</w:t>
      </w:r>
    </w:p>
    <w:p>
      <w:pPr>
        <w:spacing w:line="345" w:lineRule="auto"/>
        <w:rPr>
          <w:rFonts w:ascii="Arial"/>
          <w:sz w:val="21"/>
        </w:rPr>
      </w:pPr>
    </w:p>
    <w:p>
      <w:pPr>
        <w:pStyle w:val="BodyText"/>
        <w:spacing w:before="78" w:line="220" w:lineRule="auto"/>
        <w:ind w:left="18"/>
      </w:pPr>
      <w:r>
        <w:rPr>
          <w:rFonts w:ascii="Times New Roman" w:eastAsia="Times New Roman" w:hAnsi="Times New Roman" w:cs="Times New Roman"/>
          <w:b/>
          <w:bCs/>
          <w:spacing w:val="-2"/>
        </w:rPr>
        <w:t xml:space="preserve">4  </w:t>
      </w:r>
      <w:r>
        <w:rPr>
          <w:b/>
          <w:bCs/>
          <w:spacing w:val="-2"/>
        </w:rPr>
        <w:t>披露原则</w:t>
      </w:r>
    </w:p>
    <w:p>
      <w:pPr>
        <w:pStyle w:val="BodyText"/>
        <w:spacing w:before="242" w:line="360" w:lineRule="auto"/>
        <w:ind w:left="20" w:right="162" w:firstLine="479"/>
        <w:jc w:val="both"/>
      </w:pPr>
      <w:r>
        <w:t>遵循客观性原则、准确性原则、完整性原则、可操</w:t>
      </w:r>
      <w:r>
        <w:rPr>
          <w:spacing w:val="-1"/>
        </w:rPr>
        <w:t>作性原则，客观披露企</w:t>
      </w:r>
      <w:r>
        <w:t xml:space="preserve"> </w:t>
      </w:r>
      <w:r>
        <w:t>业生物多样性信息，如实反映企业在环境保护、生物多</w:t>
      </w:r>
      <w:r>
        <w:rPr>
          <w:spacing w:val="-1"/>
        </w:rPr>
        <w:t>样性保护等方面的具体</w:t>
      </w:r>
    </w:p>
    <w:p>
      <w:pPr>
        <w:pStyle w:val="BodyText"/>
        <w:spacing w:line="220" w:lineRule="auto"/>
        <w:ind w:left="22"/>
      </w:pPr>
      <w:r>
        <w:rPr>
          <w:spacing w:val="-11"/>
        </w:rPr>
        <w:t>情况。</w:t>
      </w:r>
    </w:p>
    <w:p>
      <w:pPr>
        <w:spacing w:line="340" w:lineRule="auto"/>
        <w:rPr>
          <w:rFonts w:ascii="Arial"/>
          <w:sz w:val="21"/>
        </w:rPr>
      </w:pPr>
    </w:p>
    <w:p>
      <w:pPr>
        <w:pStyle w:val="BodyText"/>
        <w:spacing w:before="79" w:line="220" w:lineRule="auto"/>
        <w:ind w:left="20"/>
        <w:outlineLvl w:val="0"/>
      </w:pPr>
      <w:r>
        <w:rPr>
          <w:rFonts w:ascii="Times New Roman" w:eastAsia="Times New Roman" w:hAnsi="Times New Roman" w:cs="Times New Roman"/>
          <w:b/>
          <w:bCs/>
          <w:spacing w:val="-2"/>
        </w:rPr>
        <w:t xml:space="preserve">5    </w:t>
      </w:r>
      <w:r>
        <w:rPr>
          <w:b/>
          <w:bCs/>
          <w:spacing w:val="-2"/>
        </w:rPr>
        <w:t>披露内容、时间、频次</w:t>
      </w:r>
    </w:p>
    <w:p>
      <w:pPr>
        <w:pStyle w:val="BodyText"/>
        <w:spacing w:before="243" w:line="220" w:lineRule="auto"/>
        <w:ind w:left="20"/>
        <w:outlineLvl w:val="0"/>
      </w:pPr>
      <w:r>
        <w:rPr>
          <w:rFonts w:ascii="Times New Roman" w:eastAsia="Times New Roman" w:hAnsi="Times New Roman" w:cs="Times New Roman"/>
          <w:b/>
          <w:bCs/>
          <w:spacing w:val="-2"/>
        </w:rPr>
        <w:t xml:space="preserve">5.1  </w:t>
      </w:r>
      <w:r>
        <w:rPr>
          <w:b/>
          <w:bCs/>
          <w:spacing w:val="-2"/>
        </w:rPr>
        <w:t>披露内容</w:t>
      </w:r>
    </w:p>
    <w:p>
      <w:pPr>
        <w:pStyle w:val="BodyText"/>
        <w:spacing w:before="182" w:line="219" w:lineRule="auto"/>
        <w:ind w:left="22"/>
        <w:outlineLvl w:val="0"/>
        <w:sectPr>
          <w:headerReference w:type="default" r:id="rId20"/>
          <w:footerReference w:type="default" r:id="rId21"/>
          <w:pgSz w:w="11907" w:h="16839"/>
          <w:pgMar w:top="400" w:right="1785" w:bottom="1902" w:left="1785" w:header="0" w:footer="1741" w:gutter="0"/>
          <w:pgNumType w:start="9"/>
          <w:cols w:space="708"/>
        </w:sectPr>
      </w:pPr>
      <w:r>
        <w:rPr>
          <w:rFonts w:ascii="Arial" w:eastAsia="Arial" w:hAnsi="Arial" w:cs="Arial"/>
          <w:b/>
          <w:bCs/>
          <w:spacing w:val="-3"/>
        </w:rPr>
        <w:t xml:space="preserve">5.1.1   </w:t>
      </w:r>
      <w:r>
        <w:rPr>
          <w:b/>
          <w:bCs/>
          <w:spacing w:val="-3"/>
        </w:rPr>
        <w:t>企业的基本信息</w:t>
      </w:r>
    </w:p>
    <w:p>
      <w:pPr>
        <w:pStyle w:val="BodyText"/>
        <w:spacing w:before="184" w:line="468" w:lineRule="exact"/>
        <w:ind w:left="21"/>
      </w:pPr>
      <w:r>
        <w:rPr>
          <w:spacing w:val="-9"/>
          <w:position w:val="17"/>
        </w:rPr>
        <w:t>包括名称、 位置、面积、注册资本、</w:t>
      </w:r>
      <w:r>
        <w:rPr>
          <w:spacing w:val="55"/>
          <w:position w:val="17"/>
        </w:rPr>
        <w:t xml:space="preserve"> </w:t>
      </w:r>
      <w:r>
        <w:rPr>
          <w:spacing w:val="-9"/>
          <w:position w:val="17"/>
        </w:rPr>
        <w:t>经营范围、企业性质、成立时间、员工人</w:t>
      </w:r>
    </w:p>
    <w:p>
      <w:pPr>
        <w:pStyle w:val="BodyText"/>
        <w:spacing w:line="219" w:lineRule="auto"/>
        <w:ind w:left="23"/>
      </w:pPr>
      <w:r>
        <w:rPr>
          <w:spacing w:val="-4"/>
        </w:rPr>
        <w:t>数、经营状况等。</w:t>
      </w:r>
    </w:p>
    <w:p>
      <w:pPr>
        <w:pStyle w:val="BodyText"/>
        <w:spacing w:before="183" w:line="468" w:lineRule="exact"/>
        <w:ind w:left="22"/>
      </w:pPr>
      <w:r>
        <w:rPr>
          <w:rFonts w:ascii="Arial" w:eastAsia="Arial" w:hAnsi="Arial" w:cs="Arial"/>
          <w:b/>
          <w:bCs/>
          <w:spacing w:val="-3"/>
          <w:position w:val="17"/>
        </w:rPr>
        <w:t xml:space="preserve">5.1.2   </w:t>
      </w:r>
      <w:r>
        <w:rPr>
          <w:b/>
          <w:bCs/>
          <w:spacing w:val="-3"/>
          <w:position w:val="17"/>
        </w:rPr>
        <w:t>企业治理与战略</w:t>
      </w:r>
    </w:p>
    <w:p>
      <w:pPr>
        <w:pStyle w:val="BodyText"/>
        <w:spacing w:line="220" w:lineRule="auto"/>
        <w:ind w:left="27"/>
      </w:pPr>
      <w:r>
        <w:rPr>
          <w:b/>
          <w:bCs/>
          <w:spacing w:val="-4"/>
        </w:rPr>
        <w:t>（</w:t>
      </w:r>
      <w:r>
        <w:rPr>
          <w:rFonts w:ascii="Times New Roman" w:eastAsia="Times New Roman" w:hAnsi="Times New Roman" w:cs="Times New Roman"/>
          <w:b/>
          <w:bCs/>
          <w:spacing w:val="-4"/>
        </w:rPr>
        <w:t>1</w:t>
      </w:r>
      <w:r>
        <w:rPr>
          <w:b/>
          <w:bCs/>
          <w:spacing w:val="-4"/>
        </w:rPr>
        <w:t>）制度</w:t>
      </w:r>
    </w:p>
    <w:p>
      <w:pPr>
        <w:pStyle w:val="BodyText"/>
        <w:spacing w:before="271" w:line="228" w:lineRule="auto"/>
        <w:ind w:left="458"/>
      </w:pPr>
      <w:r>
        <w:rPr>
          <w:rFonts w:ascii="Corbel" w:eastAsia="Corbel" w:hAnsi="Corbel" w:cs="Corbel"/>
          <w:spacing w:val="-2"/>
        </w:rPr>
        <w:t>①</w:t>
      </w:r>
      <w:r>
        <w:rPr>
          <w:rFonts w:ascii="Corbel" w:eastAsia="Corbel" w:hAnsi="Corbel" w:cs="Corbel"/>
          <w:spacing w:val="16"/>
          <w:w w:val="101"/>
        </w:rPr>
        <w:t xml:space="preserve">  </w:t>
      </w:r>
      <w:r>
        <w:rPr>
          <w:spacing w:val="-2"/>
        </w:rPr>
        <w:t>环境保护责任制度</w:t>
      </w:r>
    </w:p>
    <w:p>
      <w:pPr>
        <w:pStyle w:val="BodyText"/>
        <w:spacing w:before="238" w:line="220" w:lineRule="auto"/>
        <w:ind w:left="535"/>
      </w:pPr>
      <w:r>
        <w:rPr>
          <w:spacing w:val="-9"/>
        </w:rPr>
        <w:t>根据</w:t>
      </w:r>
      <w:r>
        <w:rPr>
          <w:b/>
          <w:bCs/>
          <w:spacing w:val="-9"/>
        </w:rPr>
        <w:t>《中华人民共和国环境保护法》</w:t>
      </w:r>
      <w:r>
        <w:rPr>
          <w:spacing w:val="-9"/>
        </w:rPr>
        <w:t xml:space="preserve"> 的规定， 产生</w:t>
      </w:r>
      <w:r>
        <w:rPr>
          <w:spacing w:val="-10"/>
        </w:rPr>
        <w:t>环境污染和其他公害的</w:t>
      </w:r>
    </w:p>
    <w:p>
      <w:pPr>
        <w:spacing w:line="220" w:lineRule="auto"/>
        <w:sectPr>
          <w:headerReference w:type="default" r:id="rId22"/>
          <w:footerReference w:type="default" r:id="rId23"/>
          <w:type w:val="nextPage"/>
          <w:pgSz w:w="11907" w:h="16839"/>
          <w:pgMar w:top="400" w:right="1785" w:bottom="1902" w:left="1785" w:header="0" w:footer="1741" w:gutter="0"/>
          <w:pgNumType w:start="10"/>
          <w:cols w:space="708"/>
          <w:titlePg w:val="0"/>
        </w:sect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BodyText"/>
        <w:spacing w:before="78" w:line="557" w:lineRule="exact"/>
        <w:ind w:left="536"/>
      </w:pPr>
      <w:r>
        <w:rPr>
          <w:spacing w:val="-3"/>
          <w:position w:val="24"/>
        </w:rPr>
        <w:t>单位，必须建立环境保护责任制度。</w:t>
      </w:r>
    </w:p>
    <w:p>
      <w:pPr>
        <w:pStyle w:val="BodyText"/>
        <w:spacing w:line="228" w:lineRule="auto"/>
        <w:ind w:left="305"/>
      </w:pPr>
      <w:r>
        <w:rPr>
          <w:rFonts w:ascii="Corbel" w:eastAsia="Corbel" w:hAnsi="Corbel" w:cs="Corbel"/>
          <w:spacing w:val="-2"/>
        </w:rPr>
        <w:t>②</w:t>
      </w:r>
      <w:r>
        <w:rPr>
          <w:rFonts w:ascii="Corbel" w:eastAsia="Corbel" w:hAnsi="Corbel" w:cs="Corbel"/>
          <w:spacing w:val="16"/>
          <w:w w:val="101"/>
        </w:rPr>
        <w:t xml:space="preserve">  </w:t>
      </w:r>
      <w:r>
        <w:rPr>
          <w:spacing w:val="-2"/>
        </w:rPr>
        <w:t>环境应急管理制度</w:t>
      </w:r>
    </w:p>
    <w:p>
      <w:pPr>
        <w:pStyle w:val="BodyText"/>
        <w:spacing w:before="238" w:line="360" w:lineRule="auto"/>
        <w:ind w:left="620" w:right="158" w:firstLine="2"/>
        <w:jc w:val="both"/>
      </w:pPr>
      <w:r>
        <w:rPr>
          <w:spacing w:val="-12"/>
        </w:rPr>
        <w:t>按照</w:t>
      </w:r>
      <w:r>
        <w:rPr>
          <w:b/>
          <w:bCs/>
          <w:spacing w:val="-12"/>
        </w:rPr>
        <w:t>《突发环境事件应急管理办法》</w:t>
      </w:r>
      <w:r>
        <w:rPr>
          <w:spacing w:val="89"/>
        </w:rPr>
        <w:t xml:space="preserve"> </w:t>
      </w:r>
      <w:r>
        <w:rPr>
          <w:spacing w:val="-12"/>
        </w:rPr>
        <w:t xml:space="preserve">（环境保护部令第 </w:t>
      </w:r>
      <w:r>
        <w:rPr>
          <w:rFonts w:ascii="Calibri" w:eastAsia="Calibri" w:hAnsi="Calibri" w:cs="Calibri"/>
          <w:spacing w:val="-12"/>
        </w:rPr>
        <w:t>34</w:t>
      </w:r>
      <w:r>
        <w:rPr>
          <w:rFonts w:ascii="Calibri" w:eastAsia="Calibri" w:hAnsi="Calibri" w:cs="Calibri"/>
          <w:spacing w:val="48"/>
          <w:w w:val="101"/>
        </w:rPr>
        <w:t xml:space="preserve"> </w:t>
      </w:r>
      <w:r>
        <w:rPr>
          <w:spacing w:val="-12"/>
        </w:rPr>
        <w:t>号）</w:t>
      </w:r>
      <w:r>
        <w:rPr>
          <w:spacing w:val="-53"/>
        </w:rPr>
        <w:t xml:space="preserve"> </w:t>
      </w:r>
      <w:r>
        <w:rPr>
          <w:spacing w:val="-12"/>
        </w:rPr>
        <w:t xml:space="preserve">第 </w:t>
      </w:r>
      <w:r>
        <w:rPr>
          <w:rFonts w:ascii="Calibri" w:eastAsia="Calibri" w:hAnsi="Calibri" w:cs="Calibri"/>
          <w:spacing w:val="-12"/>
        </w:rPr>
        <w:t>10</w:t>
      </w:r>
      <w:r>
        <w:rPr>
          <w:rFonts w:ascii="Calibri" w:eastAsia="Calibri" w:hAnsi="Calibri" w:cs="Calibri"/>
          <w:spacing w:val="44"/>
          <w:w w:val="101"/>
        </w:rPr>
        <w:t xml:space="preserve"> </w:t>
      </w:r>
      <w:r>
        <w:rPr>
          <w:spacing w:val="-12"/>
        </w:rPr>
        <w:t>条</w:t>
      </w:r>
      <w:r>
        <w:t xml:space="preserve"> </w:t>
      </w:r>
      <w:r>
        <w:rPr>
          <w:spacing w:val="-4"/>
        </w:rPr>
        <w:t>规定，企业事业单位应当按照有关规定建立健全环境安全隐患排查治</w:t>
      </w:r>
      <w:r>
        <w:rPr>
          <w:spacing w:val="-5"/>
        </w:rPr>
        <w:t>理制</w:t>
      </w:r>
      <w:r>
        <w:t xml:space="preserve"> </w:t>
      </w:r>
      <w:r>
        <w:rPr>
          <w:spacing w:val="-8"/>
        </w:rPr>
        <w:t>度，</w:t>
      </w:r>
      <w:r>
        <w:rPr>
          <w:spacing w:val="-66"/>
        </w:rPr>
        <w:t xml:space="preserve"> </w:t>
      </w:r>
      <w:r>
        <w:rPr>
          <w:spacing w:val="-8"/>
        </w:rPr>
        <w:t>建立隐患排查治理档案，</w:t>
      </w:r>
      <w:r>
        <w:rPr>
          <w:spacing w:val="-36"/>
        </w:rPr>
        <w:t xml:space="preserve"> </w:t>
      </w:r>
      <w:r>
        <w:rPr>
          <w:spacing w:val="-8"/>
        </w:rPr>
        <w:t>及时发现并消除环境</w:t>
      </w:r>
      <w:r>
        <w:rPr>
          <w:spacing w:val="-9"/>
        </w:rPr>
        <w:t>安全隐患。建立环境应</w:t>
      </w:r>
    </w:p>
    <w:p>
      <w:pPr>
        <w:pStyle w:val="BodyText"/>
        <w:spacing w:line="219" w:lineRule="auto"/>
        <w:ind w:left="628"/>
      </w:pPr>
      <w:r>
        <w:rPr>
          <w:spacing w:val="-4"/>
        </w:rPr>
        <w:t>急管理制度，应对突发环境事件。</w:t>
      </w:r>
    </w:p>
    <w:p>
      <w:pPr>
        <w:pStyle w:val="BodyText"/>
        <w:spacing w:before="272" w:line="228" w:lineRule="auto"/>
        <w:ind w:left="271"/>
      </w:pPr>
      <w:r>
        <w:rPr>
          <w:rFonts w:ascii="Corbel" w:eastAsia="Corbel" w:hAnsi="Corbel" w:cs="Corbel"/>
          <w:spacing w:val="-2"/>
        </w:rPr>
        <w:t>③</w:t>
      </w:r>
      <w:r>
        <w:rPr>
          <w:rFonts w:ascii="Corbel" w:eastAsia="Corbel" w:hAnsi="Corbel" w:cs="Corbel"/>
          <w:spacing w:val="16"/>
          <w:w w:val="101"/>
        </w:rPr>
        <w:t xml:space="preserve">  </w:t>
      </w:r>
      <w:r>
        <w:rPr>
          <w:spacing w:val="-2"/>
        </w:rPr>
        <w:t>环境信息披露制度</w:t>
      </w:r>
    </w:p>
    <w:p>
      <w:pPr>
        <w:pStyle w:val="BodyText"/>
        <w:spacing w:before="238" w:line="360" w:lineRule="auto"/>
        <w:ind w:left="536" w:right="160" w:firstLine="1"/>
        <w:jc w:val="both"/>
      </w:pPr>
      <w:r>
        <w:rPr>
          <w:b/>
          <w:bCs/>
          <w:spacing w:val="-5"/>
        </w:rPr>
        <w:t>《企业环境信息依法披露管理办法》</w:t>
      </w:r>
      <w:r>
        <w:rPr>
          <w:rFonts w:ascii="Calibri" w:eastAsia="Calibri" w:hAnsi="Calibri" w:cs="Calibri"/>
          <w:spacing w:val="-5"/>
        </w:rPr>
        <w:t>(</w:t>
      </w:r>
      <w:r>
        <w:rPr>
          <w:spacing w:val="-5"/>
        </w:rPr>
        <w:t>生态环境令第</w:t>
      </w:r>
      <w:r>
        <w:rPr>
          <w:spacing w:val="-41"/>
        </w:rPr>
        <w:t xml:space="preserve"> </w:t>
      </w:r>
      <w:r>
        <w:rPr>
          <w:rFonts w:ascii="Calibri" w:eastAsia="Calibri" w:hAnsi="Calibri" w:cs="Calibri"/>
          <w:spacing w:val="-5"/>
        </w:rPr>
        <w:t>24</w:t>
      </w:r>
      <w:r>
        <w:rPr>
          <w:rFonts w:ascii="Calibri" w:eastAsia="Calibri" w:hAnsi="Calibri" w:cs="Calibri"/>
          <w:spacing w:val="22"/>
          <w:w w:val="101"/>
        </w:rPr>
        <w:t xml:space="preserve"> </w:t>
      </w:r>
      <w:r>
        <w:rPr>
          <w:spacing w:val="-5"/>
        </w:rPr>
        <w:t>号</w:t>
      </w:r>
      <w:r>
        <w:rPr>
          <w:rFonts w:ascii="Calibri" w:eastAsia="Calibri" w:hAnsi="Calibri" w:cs="Calibri"/>
          <w:spacing w:val="-5"/>
        </w:rPr>
        <w:t>)</w:t>
      </w:r>
      <w:r>
        <w:rPr>
          <w:spacing w:val="-5"/>
        </w:rPr>
        <w:t>第</w:t>
      </w:r>
      <w:r>
        <w:rPr>
          <w:spacing w:val="-55"/>
        </w:rPr>
        <w:t xml:space="preserve"> </w:t>
      </w:r>
      <w:r>
        <w:rPr>
          <w:rFonts w:ascii="Calibri" w:eastAsia="Calibri" w:hAnsi="Calibri" w:cs="Calibri"/>
          <w:spacing w:val="-5"/>
        </w:rPr>
        <w:t>4</w:t>
      </w:r>
      <w:r>
        <w:rPr>
          <w:rFonts w:ascii="Calibri" w:eastAsia="Calibri" w:hAnsi="Calibri" w:cs="Calibri"/>
          <w:spacing w:val="18"/>
        </w:rPr>
        <w:t xml:space="preserve"> </w:t>
      </w:r>
      <w:r>
        <w:rPr>
          <w:spacing w:val="-5"/>
        </w:rPr>
        <w:t>条规定，企</w:t>
      </w:r>
      <w:r>
        <w:t xml:space="preserve"> </w:t>
      </w:r>
      <w:r>
        <w:rPr>
          <w:spacing w:val="-6"/>
        </w:rPr>
        <w:t>业事业单位应当建立健全本单位环境信息披露制度，</w:t>
      </w:r>
      <w:r>
        <w:rPr>
          <w:spacing w:val="29"/>
        </w:rPr>
        <w:t xml:space="preserve"> </w:t>
      </w:r>
      <w:r>
        <w:rPr>
          <w:spacing w:val="-6"/>
        </w:rPr>
        <w:t>指定机构负责本</w:t>
      </w:r>
      <w:r>
        <w:rPr>
          <w:spacing w:val="-7"/>
        </w:rPr>
        <w:t>单位</w:t>
      </w:r>
    </w:p>
    <w:p>
      <w:pPr>
        <w:pStyle w:val="BodyText"/>
        <w:spacing w:before="1" w:line="219" w:lineRule="auto"/>
        <w:ind w:left="537"/>
      </w:pPr>
      <w:r>
        <w:rPr>
          <w:spacing w:val="-4"/>
        </w:rPr>
        <w:t>环境信息公开日常工作。</w:t>
      </w:r>
    </w:p>
    <w:p>
      <w:pPr>
        <w:pStyle w:val="BodyText"/>
        <w:spacing w:before="272" w:line="228" w:lineRule="auto"/>
        <w:ind w:left="271"/>
      </w:pPr>
      <w:r>
        <w:rPr>
          <w:rFonts w:ascii="Corbel" w:eastAsia="Corbel" w:hAnsi="Corbel" w:cs="Corbel"/>
          <w:spacing w:val="-3"/>
        </w:rPr>
        <w:t>④</w:t>
      </w:r>
      <w:r>
        <w:rPr>
          <w:rFonts w:ascii="Corbel" w:eastAsia="Corbel" w:hAnsi="Corbel" w:cs="Corbel"/>
          <w:spacing w:val="19"/>
          <w:w w:val="101"/>
        </w:rPr>
        <w:t xml:space="preserve">  </w:t>
      </w:r>
      <w:r>
        <w:rPr>
          <w:spacing w:val="-3"/>
        </w:rPr>
        <w:t>考核和奖惩制度</w:t>
      </w:r>
    </w:p>
    <w:p>
      <w:pPr>
        <w:pStyle w:val="BodyText"/>
        <w:spacing w:before="238" w:line="468" w:lineRule="exact"/>
        <w:ind w:left="624"/>
      </w:pPr>
      <w:r>
        <w:rPr>
          <w:spacing w:val="-11"/>
          <w:position w:val="17"/>
        </w:rPr>
        <w:t>建立考核和奖惩制度， 定期对环境保护工作进行考核， 根据工作完成情况</w:t>
      </w:r>
    </w:p>
    <w:p>
      <w:pPr>
        <w:pStyle w:val="BodyText"/>
        <w:spacing w:before="1" w:line="220" w:lineRule="auto"/>
        <w:ind w:left="619"/>
      </w:pPr>
      <w:r>
        <w:rPr>
          <w:spacing w:val="-7"/>
        </w:rPr>
        <w:t>进行奖惩。</w:t>
      </w:r>
    </w:p>
    <w:p>
      <w:pPr>
        <w:pStyle w:val="BodyText"/>
        <w:spacing w:before="182" w:line="217" w:lineRule="auto"/>
        <w:ind w:left="259"/>
      </w:pPr>
      <w:r>
        <w:rPr>
          <w:spacing w:val="-1"/>
        </w:rPr>
        <w:t>⑤ 生物多样性保护制度</w:t>
      </w:r>
    </w:p>
    <w:p>
      <w:pPr>
        <w:pStyle w:val="BodyText"/>
        <w:spacing w:before="185" w:line="220" w:lineRule="auto"/>
        <w:ind w:left="625"/>
      </w:pPr>
      <w:r>
        <w:rPr>
          <w:spacing w:val="-2"/>
        </w:rPr>
        <w:t>企业环境保护管理制度应将生物多样性保护纳入其中。</w:t>
      </w:r>
    </w:p>
    <w:p>
      <w:pPr>
        <w:pStyle w:val="BodyText"/>
        <w:spacing w:before="183" w:line="220" w:lineRule="auto"/>
        <w:ind w:left="27"/>
      </w:pPr>
      <w:r>
        <w:rPr>
          <w:b/>
          <w:bCs/>
          <w:spacing w:val="-7"/>
        </w:rPr>
        <w:t>（</w:t>
      </w:r>
      <w:r>
        <w:rPr>
          <w:rFonts w:ascii="Times New Roman" w:eastAsia="Times New Roman" w:hAnsi="Times New Roman" w:cs="Times New Roman"/>
          <w:b/>
          <w:bCs/>
          <w:spacing w:val="-7"/>
        </w:rPr>
        <w:t>2</w:t>
      </w:r>
      <w:r>
        <w:rPr>
          <w:b/>
          <w:bCs/>
          <w:spacing w:val="-7"/>
        </w:rPr>
        <w:t>）</w:t>
      </w:r>
      <w:r>
        <w:rPr>
          <w:spacing w:val="23"/>
        </w:rPr>
        <w:t xml:space="preserve"> </w:t>
      </w:r>
      <w:r>
        <w:rPr>
          <w:b/>
          <w:bCs/>
          <w:spacing w:val="-7"/>
        </w:rPr>
        <w:t>战略规划</w:t>
      </w:r>
    </w:p>
    <w:p>
      <w:pPr>
        <w:pStyle w:val="BodyText"/>
        <w:spacing w:before="181" w:line="219" w:lineRule="auto"/>
        <w:ind w:left="505"/>
      </w:pPr>
      <w:r>
        <w:rPr>
          <w:spacing w:val="-3"/>
        </w:rPr>
        <w:t>发展战略规划应考虑到生物多样性。</w:t>
      </w:r>
    </w:p>
    <w:p>
      <w:pPr>
        <w:pStyle w:val="BodyText"/>
        <w:spacing w:before="185" w:line="360" w:lineRule="auto"/>
        <w:ind w:left="504" w:right="162"/>
        <w:jc w:val="both"/>
      </w:pPr>
      <w:r>
        <w:rPr>
          <w:spacing w:val="-1"/>
        </w:rPr>
        <w:t>企业应将生物多样性保护纳入中长期规划，将生物多样性保护作为重要内</w:t>
      </w:r>
      <w:r>
        <w:rPr>
          <w:spacing w:val="17"/>
        </w:rPr>
        <w:t xml:space="preserve"> </w:t>
      </w:r>
      <w:r>
        <w:rPr>
          <w:spacing w:val="-1"/>
        </w:rPr>
        <w:t>容纳入其中。企业制定生物多样性保护行动计划，全面提升生物多样性保</w:t>
      </w:r>
    </w:p>
    <w:p>
      <w:pPr>
        <w:pStyle w:val="BodyText"/>
        <w:spacing w:line="220" w:lineRule="auto"/>
        <w:ind w:left="502"/>
      </w:pPr>
      <w:r>
        <w:rPr>
          <w:spacing w:val="-9"/>
        </w:rPr>
        <w:t>护意识。</w:t>
      </w:r>
    </w:p>
    <w:p>
      <w:pPr>
        <w:pStyle w:val="BodyText"/>
        <w:spacing w:before="181" w:line="219" w:lineRule="auto"/>
        <w:ind w:left="27"/>
      </w:pPr>
      <w:r>
        <w:rPr>
          <w:b/>
          <w:bCs/>
          <w:spacing w:val="-4"/>
        </w:rPr>
        <w:t>（</w:t>
      </w:r>
      <w:r>
        <w:rPr>
          <w:rFonts w:ascii="Times New Roman" w:eastAsia="Times New Roman" w:hAnsi="Times New Roman" w:cs="Times New Roman"/>
          <w:b/>
          <w:bCs/>
          <w:spacing w:val="-4"/>
        </w:rPr>
        <w:t>3</w:t>
      </w:r>
      <w:r>
        <w:rPr>
          <w:b/>
          <w:bCs/>
          <w:spacing w:val="-4"/>
        </w:rPr>
        <w:t>）机构和人员</w:t>
      </w:r>
    </w:p>
    <w:p>
      <w:pPr>
        <w:pStyle w:val="BodyText"/>
        <w:spacing w:before="183" w:line="220" w:lineRule="auto"/>
        <w:ind w:left="505"/>
      </w:pPr>
      <w:r>
        <w:rPr>
          <w:spacing w:val="-2"/>
        </w:rPr>
        <w:t>设立相应的部门及人员，明确职责，保证制度落实到每个人。</w:t>
      </w:r>
    </w:p>
    <w:p>
      <w:pPr>
        <w:pStyle w:val="BodyText"/>
        <w:spacing w:before="183" w:line="360" w:lineRule="auto"/>
        <w:ind w:left="506" w:right="162" w:hanging="1"/>
        <w:jc w:val="both"/>
        <w:sectPr>
          <w:headerReference w:type="default" r:id="rId24"/>
          <w:footerReference w:type="default" r:id="rId25"/>
          <w:pgSz w:w="11907" w:h="16839"/>
          <w:pgMar w:top="400" w:right="1785" w:bottom="1904" w:left="1785" w:header="0" w:footer="1741" w:gutter="0"/>
          <w:pgNumType w:start="11"/>
          <w:cols w:space="708"/>
        </w:sectPr>
      </w:pPr>
      <w:r>
        <w:rPr>
          <w:spacing w:val="-1"/>
        </w:rPr>
        <w:t>设立环境保护工作部门、指定主要负责人，对环境保护工作实施统一监督</w:t>
      </w:r>
      <w:r>
        <w:rPr>
          <w:spacing w:val="17"/>
        </w:rPr>
        <w:t xml:space="preserve"> </w:t>
      </w:r>
      <w:r>
        <w:rPr>
          <w:spacing w:val="-1"/>
        </w:rPr>
        <w:t>管理，配备与开展工作相适应的环保管理人员，掌握生产工艺技术及生产</w:t>
      </w:r>
    </w:p>
    <w:p>
      <w:pPr>
        <w:pStyle w:val="BodyText"/>
        <w:spacing w:before="1" w:line="219" w:lineRule="auto"/>
        <w:ind w:left="501"/>
      </w:pPr>
      <w:r>
        <w:rPr>
          <w:spacing w:val="-8"/>
        </w:rPr>
        <w:t>运行状况。</w:t>
      </w:r>
    </w:p>
    <w:p>
      <w:pPr>
        <w:pStyle w:val="BodyText"/>
        <w:spacing w:before="182" w:line="220" w:lineRule="auto"/>
        <w:ind w:left="27"/>
      </w:pPr>
      <w:r>
        <w:rPr>
          <w:b/>
          <w:bCs/>
          <w:spacing w:val="-4"/>
        </w:rPr>
        <w:t>（</w:t>
      </w:r>
      <w:r>
        <w:rPr>
          <w:rFonts w:ascii="Times New Roman" w:eastAsia="Times New Roman" w:hAnsi="Times New Roman" w:cs="Times New Roman"/>
          <w:b/>
          <w:bCs/>
          <w:spacing w:val="-4"/>
        </w:rPr>
        <w:t>4</w:t>
      </w:r>
      <w:r>
        <w:rPr>
          <w:b/>
          <w:bCs/>
          <w:spacing w:val="-4"/>
        </w:rPr>
        <w:t>）风险管控</w:t>
      </w:r>
    </w:p>
    <w:p>
      <w:pPr>
        <w:spacing w:line="220" w:lineRule="auto"/>
        <w:sectPr>
          <w:headerReference w:type="default" r:id="rId26"/>
          <w:footerReference w:type="default" r:id="rId27"/>
          <w:type w:val="nextPage"/>
          <w:pgSz w:w="11907" w:h="16839"/>
          <w:pgMar w:top="400" w:right="1785" w:bottom="1904" w:left="1785" w:header="0" w:footer="1741" w:gutter="0"/>
          <w:pgNumType w:start="12"/>
          <w:cols w:space="708"/>
          <w:titlePg w:val="0"/>
        </w:sect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BodyText"/>
        <w:spacing w:before="78" w:line="468" w:lineRule="exact"/>
        <w:ind w:left="505"/>
      </w:pPr>
      <w:r>
        <w:rPr>
          <w:position w:val="17"/>
        </w:rPr>
        <w:t>项目决策、实施、运营等过程中对生物多样性带</w:t>
      </w:r>
      <w:r>
        <w:rPr>
          <w:spacing w:val="-1"/>
          <w:position w:val="17"/>
        </w:rPr>
        <w:t>来的风险，有预防和应对</w:t>
      </w:r>
    </w:p>
    <w:p>
      <w:pPr>
        <w:pStyle w:val="BodyText"/>
        <w:spacing w:line="220" w:lineRule="auto"/>
        <w:ind w:left="521"/>
      </w:pPr>
      <w:r>
        <w:rPr>
          <w:spacing w:val="-8"/>
        </w:rPr>
        <w:t>的制度和措施。</w:t>
      </w:r>
    </w:p>
    <w:p>
      <w:pPr>
        <w:pStyle w:val="BodyText"/>
        <w:spacing w:before="181" w:line="468" w:lineRule="exact"/>
        <w:ind w:left="499"/>
      </w:pPr>
      <w:r>
        <w:rPr>
          <w:position w:val="17"/>
        </w:rPr>
        <w:t>将生物多样性纳入企业生产决策、实施的全过程，制</w:t>
      </w:r>
      <w:r>
        <w:rPr>
          <w:spacing w:val="-1"/>
          <w:position w:val="17"/>
        </w:rPr>
        <w:t>定明确的环境保护任</w:t>
      </w:r>
    </w:p>
    <w:p>
      <w:pPr>
        <w:pStyle w:val="BodyText"/>
        <w:spacing w:line="219" w:lineRule="auto"/>
        <w:ind w:left="503"/>
      </w:pPr>
      <w:r>
        <w:rPr>
          <w:spacing w:val="-2"/>
        </w:rPr>
        <w:t>务和指标，落实到生产管理、技术管理等各个方面和环节。</w:t>
      </w:r>
    </w:p>
    <w:p>
      <w:pPr>
        <w:pStyle w:val="BodyText"/>
        <w:spacing w:before="183" w:line="360" w:lineRule="auto"/>
        <w:ind w:left="499" w:right="95"/>
        <w:jc w:val="both"/>
      </w:pPr>
      <w:r>
        <w:rPr>
          <w:spacing w:val="-7"/>
        </w:rPr>
        <w:t>将生产经营活动对生物多样性的影响纳入运营决</w:t>
      </w:r>
      <w:r>
        <w:rPr>
          <w:spacing w:val="-8"/>
        </w:rPr>
        <w:t>策考量，</w:t>
      </w:r>
      <w:r>
        <w:rPr>
          <w:spacing w:val="-59"/>
        </w:rPr>
        <w:t xml:space="preserve"> </w:t>
      </w:r>
      <w:r>
        <w:rPr>
          <w:spacing w:val="-8"/>
        </w:rPr>
        <w:t>进行可持续管理，</w:t>
      </w:r>
      <w:r>
        <w:t xml:space="preserve"> </w:t>
      </w:r>
      <w:r>
        <w:t>采用对生物多样性、生态环境更加友好的方式，在</w:t>
      </w:r>
      <w:r>
        <w:rPr>
          <w:spacing w:val="-1"/>
        </w:rPr>
        <w:t>产品全生命周期、全产</w:t>
      </w:r>
    </w:p>
    <w:p>
      <w:pPr>
        <w:pStyle w:val="BodyText"/>
        <w:spacing w:line="219" w:lineRule="auto"/>
        <w:ind w:left="500"/>
      </w:pPr>
      <w:r>
        <w:rPr>
          <w:spacing w:val="-2"/>
        </w:rPr>
        <w:t>业链加强生物多样性保护与可持续利用，尽可能降低对其负面影响。</w:t>
      </w:r>
    </w:p>
    <w:p>
      <w:pPr>
        <w:pStyle w:val="BodyText"/>
        <w:spacing w:before="183" w:line="220" w:lineRule="auto"/>
        <w:ind w:left="27"/>
      </w:pPr>
      <w:r>
        <w:rPr>
          <w:b/>
          <w:bCs/>
          <w:spacing w:val="-4"/>
        </w:rPr>
        <w:t>（</w:t>
      </w:r>
      <w:r>
        <w:rPr>
          <w:rFonts w:ascii="Times New Roman" w:eastAsia="Times New Roman" w:hAnsi="Times New Roman" w:cs="Times New Roman"/>
          <w:b/>
          <w:bCs/>
          <w:spacing w:val="-4"/>
        </w:rPr>
        <w:t>5</w:t>
      </w:r>
      <w:r>
        <w:rPr>
          <w:b/>
          <w:bCs/>
          <w:spacing w:val="-4"/>
        </w:rPr>
        <w:t>）资金保障</w:t>
      </w:r>
    </w:p>
    <w:p>
      <w:pPr>
        <w:pStyle w:val="BodyText"/>
        <w:spacing w:before="272" w:line="228" w:lineRule="auto"/>
        <w:ind w:left="31"/>
      </w:pPr>
      <w:r>
        <w:rPr>
          <w:rFonts w:ascii="Corbel" w:eastAsia="Corbel" w:hAnsi="Corbel" w:cs="Corbel"/>
          <w:spacing w:val="-2"/>
        </w:rPr>
        <w:t>①</w:t>
      </w:r>
      <w:r>
        <w:rPr>
          <w:rFonts w:ascii="Corbel" w:eastAsia="Corbel" w:hAnsi="Corbel" w:cs="Corbel"/>
          <w:spacing w:val="24"/>
          <w:w w:val="101"/>
        </w:rPr>
        <w:t xml:space="preserve">  </w:t>
      </w:r>
      <w:r>
        <w:rPr>
          <w:spacing w:val="-2"/>
        </w:rPr>
        <w:t>资金支持：企业应设立专门的资金，用于生物多样性保护和信息披露工作。</w:t>
      </w:r>
    </w:p>
    <w:p>
      <w:pPr>
        <w:spacing w:line="248" w:lineRule="auto"/>
        <w:rPr>
          <w:rFonts w:ascii="Arial"/>
          <w:sz w:val="21"/>
        </w:rPr>
      </w:pPr>
    </w:p>
    <w:p>
      <w:pPr>
        <w:pStyle w:val="BodyText"/>
        <w:spacing w:before="78" w:line="228" w:lineRule="auto"/>
        <w:ind w:left="31"/>
      </w:pPr>
      <w:r>
        <w:rPr>
          <w:rFonts w:ascii="Corbel" w:eastAsia="Corbel" w:hAnsi="Corbel" w:cs="Corbel"/>
          <w:spacing w:val="-2"/>
        </w:rPr>
        <w:t>②</w:t>
      </w:r>
      <w:r>
        <w:rPr>
          <w:rFonts w:ascii="Corbel" w:eastAsia="Corbel" w:hAnsi="Corbel" w:cs="Corbel"/>
          <w:spacing w:val="17"/>
        </w:rPr>
        <w:t xml:space="preserve">  </w:t>
      </w:r>
      <w:r>
        <w:rPr>
          <w:spacing w:val="-2"/>
        </w:rPr>
        <w:t>专款专用：保障生物多样性保护披露工作</w:t>
      </w:r>
      <w:r>
        <w:rPr>
          <w:spacing w:val="-3"/>
        </w:rPr>
        <w:t>能够推进。</w:t>
      </w:r>
    </w:p>
    <w:p>
      <w:pPr>
        <w:pStyle w:val="BodyText"/>
        <w:spacing w:before="238" w:line="468" w:lineRule="exact"/>
        <w:ind w:left="22"/>
      </w:pPr>
      <w:r>
        <w:rPr>
          <w:rFonts w:ascii="Arial" w:eastAsia="Arial" w:hAnsi="Arial" w:cs="Arial"/>
          <w:b/>
          <w:bCs/>
          <w:spacing w:val="-6"/>
          <w:position w:val="17"/>
        </w:rPr>
        <w:t>5.1.3</w:t>
      </w:r>
      <w:r>
        <w:rPr>
          <w:rFonts w:ascii="Arial" w:eastAsia="Arial" w:hAnsi="Arial" w:cs="Arial"/>
          <w:b/>
          <w:bCs/>
          <w:spacing w:val="8"/>
          <w:position w:val="17"/>
        </w:rPr>
        <w:t xml:space="preserve">   </w:t>
      </w:r>
      <w:r>
        <w:rPr>
          <w:b/>
          <w:bCs/>
          <w:spacing w:val="-6"/>
          <w:position w:val="17"/>
        </w:rPr>
        <w:t>资源与环境</w:t>
      </w:r>
    </w:p>
    <w:p>
      <w:pPr>
        <w:pStyle w:val="BodyText"/>
        <w:spacing w:before="1" w:line="220" w:lineRule="auto"/>
        <w:ind w:left="27"/>
      </w:pPr>
      <w:r>
        <w:rPr>
          <w:b/>
          <w:bCs/>
          <w:spacing w:val="-4"/>
        </w:rPr>
        <w:t>（1）资源利用</w:t>
      </w:r>
    </w:p>
    <w:p>
      <w:pPr>
        <w:pStyle w:val="BodyText"/>
        <w:spacing w:before="182" w:line="220" w:lineRule="auto"/>
        <w:ind w:left="21"/>
      </w:pPr>
      <w:r>
        <w:rPr>
          <w:spacing w:val="-3"/>
        </w:rPr>
        <w:t>披露运营活动过程中的利用的自然资源情况，包括但不限于：</w:t>
      </w:r>
    </w:p>
    <w:p>
      <w:pPr>
        <w:pStyle w:val="BodyText"/>
        <w:spacing w:before="270" w:line="536" w:lineRule="exact"/>
        <w:ind w:left="31"/>
      </w:pPr>
      <w:r>
        <w:rPr>
          <w:rFonts w:ascii="Corbel" w:eastAsia="Corbel" w:hAnsi="Corbel" w:cs="Corbel"/>
          <w:spacing w:val="-9"/>
          <w:position w:val="22"/>
        </w:rPr>
        <w:t>①</w:t>
      </w:r>
      <w:r>
        <w:rPr>
          <w:spacing w:val="-9"/>
          <w:position w:val="22"/>
        </w:rPr>
        <w:t>土地资源：</w:t>
      </w:r>
      <w:r>
        <w:rPr>
          <w:spacing w:val="30"/>
          <w:position w:val="22"/>
        </w:rPr>
        <w:t xml:space="preserve"> </w:t>
      </w:r>
      <w:r>
        <w:rPr>
          <w:spacing w:val="-9"/>
          <w:position w:val="22"/>
        </w:rPr>
        <w:t>参照《中华人民共和国土地管理法》“三大类”以及GB/T</w:t>
      </w:r>
      <w:r>
        <w:rPr>
          <w:spacing w:val="-48"/>
          <w:position w:val="22"/>
        </w:rPr>
        <w:t xml:space="preserve"> </w:t>
      </w:r>
      <w:r>
        <w:rPr>
          <w:spacing w:val="-9"/>
          <w:position w:val="22"/>
        </w:rPr>
        <w:t>21010，</w:t>
      </w:r>
    </w:p>
    <w:p>
      <w:pPr>
        <w:pStyle w:val="BodyText"/>
        <w:spacing w:before="1" w:line="218" w:lineRule="auto"/>
        <w:ind w:left="21"/>
      </w:pPr>
      <w:r>
        <w:rPr>
          <w:spacing w:val="-2"/>
        </w:rPr>
        <w:t>披露各种生产经营活动所占用的土地类别，以及面积、空间分布等。</w:t>
      </w:r>
    </w:p>
    <w:p>
      <w:pPr>
        <w:pStyle w:val="BodyText"/>
        <w:spacing w:before="272" w:line="535" w:lineRule="exact"/>
        <w:ind w:left="31"/>
      </w:pPr>
      <w:r>
        <w:rPr>
          <w:rFonts w:ascii="Corbel" w:eastAsia="Corbel" w:hAnsi="Corbel" w:cs="Corbel"/>
          <w:position w:val="22"/>
        </w:rPr>
        <w:t>②</w:t>
      </w:r>
      <w:r>
        <w:rPr>
          <w:position w:val="22"/>
        </w:rPr>
        <w:t>生物资源：包括植物、动物、微生物等利用形式、数</w:t>
      </w:r>
      <w:r>
        <w:rPr>
          <w:spacing w:val="-1"/>
          <w:position w:val="22"/>
        </w:rPr>
        <w:t>量、来源等情况；对于</w:t>
      </w:r>
    </w:p>
    <w:p>
      <w:pPr>
        <w:pStyle w:val="BodyText"/>
        <w:spacing w:before="1" w:line="219" w:lineRule="auto"/>
        <w:ind w:left="23"/>
      </w:pPr>
      <w:r>
        <w:rPr>
          <w:spacing w:val="-2"/>
        </w:rPr>
        <w:t>涉及当地重要物种、关键物种、外来入侵种利用的，需特别说明。</w:t>
      </w:r>
    </w:p>
    <w:p>
      <w:pPr>
        <w:pStyle w:val="BodyText"/>
        <w:spacing w:before="272" w:line="228" w:lineRule="auto"/>
        <w:ind w:left="31"/>
      </w:pPr>
      <w:r>
        <w:rPr>
          <w:rFonts w:ascii="Corbel" w:eastAsia="Corbel" w:hAnsi="Corbel" w:cs="Corbel"/>
          <w:spacing w:val="-3"/>
        </w:rPr>
        <w:t>③</w:t>
      </w:r>
      <w:r>
        <w:rPr>
          <w:spacing w:val="-3"/>
        </w:rPr>
        <w:t>水资源：包括用水总量、同比节水量等。</w:t>
      </w:r>
    </w:p>
    <w:p>
      <w:pPr>
        <w:spacing w:line="248" w:lineRule="auto"/>
        <w:rPr>
          <w:rFonts w:ascii="Arial"/>
          <w:sz w:val="21"/>
        </w:rPr>
      </w:pPr>
    </w:p>
    <w:p>
      <w:pPr>
        <w:pStyle w:val="BodyText"/>
        <w:spacing w:before="78" w:line="228" w:lineRule="auto"/>
        <w:ind w:left="31"/>
      </w:pPr>
      <w:r>
        <w:rPr>
          <w:rFonts w:ascii="Corbel" w:eastAsia="Corbel" w:hAnsi="Corbel" w:cs="Corbel"/>
        </w:rPr>
        <w:t>④</w:t>
      </w:r>
      <w:r>
        <w:t>矿产资源：如生产活动中需要消耗矿产资源，披露开</w:t>
      </w:r>
      <w:r>
        <w:rPr>
          <w:spacing w:val="-1"/>
        </w:rPr>
        <w:t>采利用的矿产资源的种</w:t>
      </w:r>
    </w:p>
    <w:p>
      <w:pPr>
        <w:pStyle w:val="BodyText"/>
        <w:spacing w:before="239" w:line="219" w:lineRule="auto"/>
        <w:ind w:left="21"/>
      </w:pPr>
      <w:r>
        <w:rPr>
          <w:spacing w:val="-4"/>
        </w:rPr>
        <w:t>类、分布、开采量等。</w:t>
      </w:r>
    </w:p>
    <w:p>
      <w:pPr>
        <w:pStyle w:val="BodyText"/>
        <w:spacing w:before="183" w:line="468" w:lineRule="exact"/>
        <w:ind w:left="19"/>
      </w:pPr>
      <w:r>
        <w:rPr>
          <w:position w:val="17"/>
        </w:rPr>
        <w:t>⑤能源资源：按照可再生能源和非可再生能源分类，披露</w:t>
      </w:r>
      <w:r>
        <w:rPr>
          <w:spacing w:val="-1"/>
          <w:position w:val="17"/>
        </w:rPr>
        <w:t>生产经营活动中能源</w:t>
      </w:r>
    </w:p>
    <w:p>
      <w:pPr>
        <w:pStyle w:val="BodyText"/>
        <w:spacing w:before="1" w:line="219" w:lineRule="auto"/>
        <w:ind w:left="26"/>
        <w:sectPr>
          <w:headerReference w:type="default" r:id="rId28"/>
          <w:footerReference w:type="default" r:id="rId29"/>
          <w:pgSz w:w="11907" w:h="16839"/>
          <w:pgMar w:top="400" w:right="1785" w:bottom="1902" w:left="1785" w:header="0" w:footer="1740" w:gutter="0"/>
          <w:pgNumType w:start="13"/>
          <w:cols w:space="708"/>
        </w:sectPr>
      </w:pPr>
      <w:r>
        <w:rPr>
          <w:spacing w:val="-2"/>
        </w:rPr>
        <w:t>消耗情况，如用能总量、同比节能量等；阐述清洁能源使用情况等。</w:t>
      </w:r>
    </w:p>
    <w:p>
      <w:pPr>
        <w:spacing w:line="284" w:lineRule="auto"/>
        <w:rPr>
          <w:rFonts w:ascii="Arial"/>
          <w:sz w:val="21"/>
        </w:rPr>
      </w:pPr>
    </w:p>
    <w:p>
      <w:pPr>
        <w:spacing w:line="285" w:lineRule="auto"/>
        <w:rPr>
          <w:rFonts w:ascii="Arial"/>
          <w:sz w:val="21"/>
        </w:rPr>
      </w:pPr>
    </w:p>
    <w:p>
      <w:pPr>
        <w:pStyle w:val="BodyText"/>
        <w:spacing w:before="78" w:line="220" w:lineRule="auto"/>
        <w:ind w:left="63"/>
      </w:pPr>
      <w:r>
        <w:rPr>
          <w:b/>
          <w:bCs/>
          <w:spacing w:val="-9"/>
        </w:rPr>
        <w:t>(2)污染物防治</w:t>
      </w:r>
    </w:p>
    <w:p>
      <w:pPr>
        <w:pStyle w:val="BodyText"/>
        <w:spacing w:before="271" w:line="228" w:lineRule="auto"/>
        <w:ind w:left="31"/>
      </w:pPr>
      <w:r>
        <w:rPr>
          <w:rFonts w:ascii="Corbel" w:eastAsia="Corbel" w:hAnsi="Corbel" w:cs="Corbel"/>
          <w:spacing w:val="-3"/>
        </w:rPr>
        <w:t>①</w:t>
      </w:r>
      <w:r>
        <w:rPr>
          <w:rFonts w:ascii="Corbel" w:eastAsia="Corbel" w:hAnsi="Corbel" w:cs="Corbel"/>
          <w:spacing w:val="21"/>
        </w:rPr>
        <w:t xml:space="preserve">  </w:t>
      </w:r>
      <w:r>
        <w:rPr>
          <w:spacing w:val="-3"/>
        </w:rPr>
        <w:t>污染防治设施情况</w:t>
      </w:r>
    </w:p>
    <w:p>
      <w:pPr>
        <w:spacing w:line="228" w:lineRule="auto"/>
        <w:sectPr>
          <w:headerReference w:type="default" r:id="rId30"/>
          <w:footerReference w:type="default" r:id="rId31"/>
          <w:type w:val="nextPage"/>
          <w:pgSz w:w="11907" w:h="16839"/>
          <w:pgMar w:top="400" w:right="1785" w:bottom="1902" w:left="1785" w:header="0" w:footer="1740" w:gutter="0"/>
          <w:pgNumType w:start="14"/>
          <w:cols w:space="708"/>
          <w:titlePg w:val="0"/>
        </w:sect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BodyText"/>
        <w:spacing w:before="78" w:line="468" w:lineRule="exact"/>
        <w:ind w:left="23"/>
      </w:pPr>
      <w:r>
        <w:rPr>
          <w:spacing w:val="-1"/>
          <w:position w:val="17"/>
        </w:rPr>
        <w:t>按照</w:t>
      </w:r>
      <w:r>
        <w:rPr>
          <w:spacing w:val="-45"/>
          <w:position w:val="17"/>
        </w:rPr>
        <w:t xml:space="preserve"> </w:t>
      </w:r>
      <w:r>
        <w:rPr>
          <w:spacing w:val="-1"/>
          <w:position w:val="17"/>
        </w:rPr>
        <w:t>HJ 944、HJ 2300</w:t>
      </w:r>
      <w:r>
        <w:rPr>
          <w:spacing w:val="-47"/>
          <w:position w:val="17"/>
        </w:rPr>
        <w:t xml:space="preserve"> </w:t>
      </w:r>
      <w:r>
        <w:rPr>
          <w:spacing w:val="-1"/>
          <w:position w:val="17"/>
        </w:rPr>
        <w:t>或各行业污染防治标准阐述污染防治设施相关信息，包</w:t>
      </w:r>
    </w:p>
    <w:p>
      <w:pPr>
        <w:pStyle w:val="BodyText"/>
        <w:spacing w:line="222" w:lineRule="auto"/>
        <w:ind w:left="21"/>
      </w:pPr>
      <w:r>
        <w:rPr>
          <w:spacing w:val="-17"/>
        </w:rPr>
        <w:t>括：</w:t>
      </w:r>
    </w:p>
    <w:p>
      <w:pPr>
        <w:pStyle w:val="BodyText"/>
        <w:spacing w:before="178" w:line="468" w:lineRule="exact"/>
        <w:ind w:left="22"/>
      </w:pPr>
      <w:r>
        <w:rPr>
          <w:spacing w:val="-1"/>
          <w:position w:val="17"/>
        </w:rPr>
        <w:t>a</w:t>
      </w:r>
      <w:r>
        <w:rPr>
          <w:spacing w:val="-37"/>
          <w:position w:val="17"/>
        </w:rPr>
        <w:t xml:space="preserve"> </w:t>
      </w:r>
      <w:r>
        <w:rPr>
          <w:spacing w:val="-1"/>
          <w:position w:val="17"/>
        </w:rPr>
        <w:t>污染防治设施建设信息：包括污染防治设施的名称、对应的产污环节、处理</w:t>
      </w:r>
    </w:p>
    <w:p>
      <w:pPr>
        <w:pStyle w:val="BodyText"/>
        <w:spacing w:line="219" w:lineRule="auto"/>
        <w:ind w:left="41"/>
      </w:pPr>
      <w:r>
        <w:rPr>
          <w:spacing w:val="-5"/>
        </w:rPr>
        <w:t>的污染物、对应的排污口名称、编号等；</w:t>
      </w:r>
    </w:p>
    <w:p>
      <w:pPr>
        <w:pStyle w:val="BodyText"/>
        <w:spacing w:before="183" w:line="468" w:lineRule="exact"/>
        <w:ind w:left="17"/>
      </w:pPr>
      <w:r>
        <w:rPr>
          <w:spacing w:val="-1"/>
          <w:position w:val="17"/>
        </w:rPr>
        <w:t>b</w:t>
      </w:r>
      <w:r>
        <w:rPr>
          <w:spacing w:val="-33"/>
          <w:position w:val="17"/>
        </w:rPr>
        <w:t xml:space="preserve"> </w:t>
      </w:r>
      <w:r>
        <w:rPr>
          <w:spacing w:val="-1"/>
          <w:position w:val="17"/>
        </w:rPr>
        <w:t>污染防治设施运行情况：包括正常运行情况说明、异常运行情况说明，以及</w:t>
      </w:r>
    </w:p>
    <w:p>
      <w:pPr>
        <w:pStyle w:val="BodyText"/>
        <w:spacing w:before="1" w:line="219" w:lineRule="auto"/>
        <w:ind w:left="23"/>
      </w:pPr>
      <w:r>
        <w:rPr>
          <w:spacing w:val="-4"/>
        </w:rPr>
        <w:t>污染事故发生及处理等。</w:t>
      </w:r>
    </w:p>
    <w:p>
      <w:pPr>
        <w:pStyle w:val="BodyText"/>
        <w:spacing w:before="182" w:line="469" w:lineRule="exact"/>
        <w:ind w:left="26"/>
      </w:pPr>
      <w:r>
        <w:rPr>
          <w:spacing w:val="-8"/>
          <w:position w:val="17"/>
        </w:rPr>
        <w:t>正常运行情况包括有组织废气、无组织废气、废水等污染</w:t>
      </w:r>
      <w:r>
        <w:rPr>
          <w:spacing w:val="-9"/>
          <w:position w:val="17"/>
        </w:rPr>
        <w:t>防治设施的处理效率、</w:t>
      </w:r>
    </w:p>
    <w:p>
      <w:pPr>
        <w:pStyle w:val="BodyText"/>
        <w:spacing w:before="1" w:line="218" w:lineRule="auto"/>
        <w:ind w:left="24"/>
      </w:pPr>
      <w:r>
        <w:rPr>
          <w:spacing w:val="-1"/>
        </w:rPr>
        <w:t>药剂添加、催化剂更换、固废产生、副产物</w:t>
      </w:r>
      <w:r>
        <w:rPr>
          <w:spacing w:val="-2"/>
        </w:rPr>
        <w:t>产生、运行费用及维护情况等。</w:t>
      </w:r>
    </w:p>
    <w:p>
      <w:pPr>
        <w:pStyle w:val="BodyText"/>
        <w:spacing w:before="184" w:line="468" w:lineRule="exact"/>
        <w:ind w:left="24"/>
      </w:pPr>
      <w:r>
        <w:rPr>
          <w:position w:val="17"/>
        </w:rPr>
        <w:t>异常运行情况包括异常运行起止日期、故障或停</w:t>
      </w:r>
      <w:r>
        <w:rPr>
          <w:spacing w:val="-1"/>
          <w:position w:val="17"/>
        </w:rPr>
        <w:t>运原因、污染物排放以及采取</w:t>
      </w:r>
    </w:p>
    <w:p>
      <w:pPr>
        <w:pStyle w:val="BodyText"/>
        <w:spacing w:line="219" w:lineRule="auto"/>
        <w:ind w:left="41"/>
      </w:pPr>
      <w:r>
        <w:rPr>
          <w:spacing w:val="-11"/>
        </w:rPr>
        <w:t>的措施等。</w:t>
      </w:r>
    </w:p>
    <w:p>
      <w:pPr>
        <w:pStyle w:val="BodyText"/>
        <w:spacing w:before="183" w:line="468" w:lineRule="exact"/>
        <w:ind w:left="25"/>
      </w:pPr>
      <w:r>
        <w:rPr>
          <w:position w:val="17"/>
        </w:rPr>
        <w:t>如发生污染事故，说明事故发生次数、等级、</w:t>
      </w:r>
      <w:r>
        <w:rPr>
          <w:spacing w:val="-1"/>
          <w:position w:val="17"/>
        </w:rPr>
        <w:t>采取的措施、污染物排放及处理</w:t>
      </w:r>
    </w:p>
    <w:p>
      <w:pPr>
        <w:pStyle w:val="BodyText"/>
        <w:spacing w:before="1" w:line="219" w:lineRule="auto"/>
        <w:ind w:left="22"/>
      </w:pPr>
      <w:r>
        <w:rPr>
          <w:spacing w:val="-9"/>
        </w:rPr>
        <w:t>情况等。</w:t>
      </w:r>
    </w:p>
    <w:p>
      <w:pPr>
        <w:pStyle w:val="BodyText"/>
        <w:spacing w:before="271" w:line="228" w:lineRule="auto"/>
        <w:ind w:left="31"/>
      </w:pPr>
      <w:r>
        <w:rPr>
          <w:rFonts w:ascii="Corbel" w:eastAsia="Corbel" w:hAnsi="Corbel" w:cs="Corbel"/>
          <w:spacing w:val="-3"/>
        </w:rPr>
        <w:t>②</w:t>
      </w:r>
      <w:r>
        <w:rPr>
          <w:rFonts w:ascii="Corbel" w:eastAsia="Corbel" w:hAnsi="Corbel" w:cs="Corbel"/>
          <w:spacing w:val="17"/>
          <w:w w:val="101"/>
        </w:rPr>
        <w:t xml:space="preserve">  </w:t>
      </w:r>
      <w:r>
        <w:rPr>
          <w:spacing w:val="-3"/>
        </w:rPr>
        <w:t>废水废气防治</w:t>
      </w:r>
    </w:p>
    <w:p>
      <w:pPr>
        <w:pStyle w:val="BodyText"/>
        <w:spacing w:before="239" w:line="220" w:lineRule="auto"/>
        <w:ind w:left="25"/>
      </w:pPr>
      <w:r>
        <w:rPr>
          <w:spacing w:val="-2"/>
        </w:rPr>
        <w:t>企业披露水污染污染物、大气污染物排放的相关信息应包</w:t>
      </w:r>
      <w:r>
        <w:rPr>
          <w:spacing w:val="-3"/>
        </w:rPr>
        <w:t>括但不限于：</w:t>
      </w:r>
    </w:p>
    <w:p>
      <w:pPr>
        <w:pStyle w:val="BodyText"/>
        <w:spacing w:before="182" w:line="360" w:lineRule="auto"/>
        <w:ind w:left="20" w:right="162" w:firstLine="1"/>
      </w:pPr>
      <w:r>
        <w:rPr>
          <w:spacing w:val="-1"/>
        </w:rPr>
        <w:t>a</w:t>
      </w:r>
      <w:r>
        <w:rPr>
          <w:spacing w:val="-38"/>
        </w:rPr>
        <w:t xml:space="preserve"> </w:t>
      </w:r>
      <w:r>
        <w:rPr>
          <w:spacing w:val="-1"/>
        </w:rPr>
        <w:t>有组织排放情况：包括水污染物和大气污染物排污口数量、主要排污口各项</w:t>
      </w:r>
      <w:r>
        <w:t xml:space="preserve"> </w:t>
      </w:r>
      <w:r>
        <w:t>污染物的实际排放总量、水污染物日均浓度的年度平均</w:t>
      </w:r>
      <w:r>
        <w:rPr>
          <w:spacing w:val="-1"/>
        </w:rPr>
        <w:t>值、大气污染物小时浓</w:t>
      </w:r>
      <w:r>
        <w:t xml:space="preserve"> </w:t>
      </w:r>
      <w:r>
        <w:t>度的年度平均值；各排污口安装污染源在线自动监测设</w:t>
      </w:r>
      <w:r>
        <w:rPr>
          <w:spacing w:val="-1"/>
        </w:rPr>
        <w:t>备及与生态环境部门联</w:t>
      </w:r>
    </w:p>
    <w:p>
      <w:pPr>
        <w:pStyle w:val="BodyText"/>
        <w:spacing w:line="220" w:lineRule="auto"/>
        <w:ind w:left="40"/>
      </w:pPr>
      <w:r>
        <w:rPr>
          <w:spacing w:val="-16"/>
        </w:rPr>
        <w:t>网情况；</w:t>
      </w:r>
    </w:p>
    <w:p>
      <w:pPr>
        <w:pStyle w:val="BodyText"/>
        <w:spacing w:before="182" w:line="468" w:lineRule="exact"/>
        <w:ind w:left="17"/>
      </w:pPr>
      <w:r>
        <w:rPr>
          <w:spacing w:val="-1"/>
          <w:position w:val="17"/>
        </w:rPr>
        <w:t>b</w:t>
      </w:r>
      <w:r>
        <w:rPr>
          <w:spacing w:val="-33"/>
          <w:position w:val="17"/>
        </w:rPr>
        <w:t xml:space="preserve"> </w:t>
      </w:r>
      <w:r>
        <w:rPr>
          <w:spacing w:val="-1"/>
          <w:position w:val="17"/>
        </w:rPr>
        <w:t>无组织排放情况：包括无组织排放监测点位名称，各监测点位主要水污染物</w:t>
      </w:r>
    </w:p>
    <w:p>
      <w:pPr>
        <w:pStyle w:val="BodyText"/>
        <w:spacing w:line="220" w:lineRule="auto"/>
        <w:ind w:left="22"/>
      </w:pPr>
      <w:r>
        <w:rPr>
          <w:spacing w:val="-4"/>
        </w:rPr>
        <w:t>和大气污染物实际排放总量、实际排放浓度；</w:t>
      </w:r>
    </w:p>
    <w:p>
      <w:pPr>
        <w:pStyle w:val="BodyText"/>
        <w:spacing w:before="182" w:line="220" w:lineRule="auto"/>
        <w:ind w:left="22"/>
      </w:pPr>
      <w:r>
        <w:rPr>
          <w:spacing w:val="-2"/>
        </w:rPr>
        <w:t>其中，属于排污许可管理的企业还宜披露许可排放量、许可排</w:t>
      </w:r>
      <w:r>
        <w:rPr>
          <w:spacing w:val="-3"/>
        </w:rPr>
        <w:t>放浓度；</w:t>
      </w:r>
    </w:p>
    <w:p>
      <w:pPr>
        <w:pStyle w:val="BodyText"/>
        <w:spacing w:before="183" w:line="360" w:lineRule="auto"/>
        <w:ind w:left="22" w:right="162" w:firstLine="3"/>
        <w:jc w:val="both"/>
      </w:pPr>
      <w:r>
        <w:rPr>
          <w:spacing w:val="-2"/>
        </w:rPr>
        <w:t>c 自行监测情况：包括全年生产天数、自行监测天数（次数）、达标</w:t>
      </w:r>
      <w:r>
        <w:rPr>
          <w:spacing w:val="-3"/>
        </w:rPr>
        <w:t>次数、超</w:t>
      </w:r>
      <w:r>
        <w:t xml:space="preserve"> </w:t>
      </w:r>
      <w:r>
        <w:t>标次数；委托的第三方检（监）测机构进行自行监</w:t>
      </w:r>
      <w:r>
        <w:rPr>
          <w:spacing w:val="-1"/>
        </w:rPr>
        <w:t>测的，应当提供第三方机构</w:t>
      </w:r>
    </w:p>
    <w:p>
      <w:pPr>
        <w:pStyle w:val="BodyText"/>
        <w:spacing w:line="219" w:lineRule="auto"/>
        <w:ind w:left="24"/>
        <w:sectPr>
          <w:headerReference w:type="default" r:id="rId32"/>
          <w:footerReference w:type="default" r:id="rId33"/>
          <w:pgSz w:w="11907" w:h="16839"/>
          <w:pgMar w:top="400" w:right="1785" w:bottom="1904" w:left="1785" w:header="0" w:footer="1741" w:gutter="0"/>
          <w:pgNumType w:start="15"/>
          <w:cols w:space="708"/>
        </w:sectPr>
      </w:pPr>
      <w:r>
        <w:rPr>
          <w:spacing w:val="-4"/>
        </w:rPr>
        <w:t>名称、资质等相关信息。</w:t>
      </w:r>
    </w:p>
    <w:p>
      <w:pPr>
        <w:pStyle w:val="BodyText"/>
        <w:spacing w:before="183" w:line="468" w:lineRule="exact"/>
        <w:ind w:left="26"/>
      </w:pPr>
      <w:r>
        <w:rPr>
          <w:spacing w:val="-2"/>
          <w:position w:val="17"/>
        </w:rPr>
        <w:t>d</w:t>
      </w:r>
      <w:r>
        <w:rPr>
          <w:spacing w:val="-51"/>
          <w:position w:val="17"/>
        </w:rPr>
        <w:t xml:space="preserve"> </w:t>
      </w:r>
      <w:r>
        <w:rPr>
          <w:spacing w:val="-2"/>
          <w:position w:val="17"/>
        </w:rPr>
        <w:t>扬尘污染情况.企业应当披露施工扬尘、装卸</w:t>
      </w:r>
      <w:r>
        <w:rPr>
          <w:spacing w:val="-3"/>
          <w:position w:val="17"/>
        </w:rPr>
        <w:t>物料采取的防治扬尘污染的主要</w:t>
      </w:r>
    </w:p>
    <w:p>
      <w:pPr>
        <w:pStyle w:val="BodyText"/>
        <w:spacing w:line="220" w:lineRule="auto"/>
        <w:ind w:left="21"/>
      </w:pPr>
      <w:r>
        <w:rPr>
          <w:spacing w:val="-10"/>
        </w:rPr>
        <w:t>措施。</w:t>
      </w:r>
    </w:p>
    <w:p>
      <w:pPr>
        <w:pStyle w:val="BodyText"/>
        <w:spacing w:before="182" w:line="468" w:lineRule="exact"/>
        <w:ind w:left="27"/>
      </w:pPr>
      <w:r>
        <w:rPr>
          <w:spacing w:val="-1"/>
          <w:position w:val="17"/>
        </w:rPr>
        <w:t>e</w:t>
      </w:r>
      <w:r>
        <w:rPr>
          <w:spacing w:val="-50"/>
          <w:position w:val="17"/>
        </w:rPr>
        <w:t xml:space="preserve"> </w:t>
      </w:r>
      <w:r>
        <w:rPr>
          <w:spacing w:val="-1"/>
          <w:position w:val="17"/>
        </w:rPr>
        <w:t>排污许可管理信息：按照</w:t>
      </w:r>
      <w:r>
        <w:rPr>
          <w:spacing w:val="-56"/>
          <w:position w:val="17"/>
        </w:rPr>
        <w:t xml:space="preserve"> </w:t>
      </w:r>
      <w:r>
        <w:rPr>
          <w:spacing w:val="-1"/>
          <w:position w:val="17"/>
        </w:rPr>
        <w:t>HJ 944-2018</w:t>
      </w:r>
      <w:r>
        <w:rPr>
          <w:spacing w:val="-50"/>
          <w:position w:val="17"/>
        </w:rPr>
        <w:t xml:space="preserve"> </w:t>
      </w:r>
      <w:r>
        <w:rPr>
          <w:spacing w:val="-1"/>
          <w:position w:val="17"/>
        </w:rPr>
        <w:t>排污许可管理台账，阐述排污许可证</w:t>
      </w:r>
    </w:p>
    <w:p>
      <w:pPr>
        <w:pStyle w:val="BodyText"/>
        <w:spacing w:before="1" w:line="218" w:lineRule="auto"/>
        <w:ind w:left="21"/>
      </w:pPr>
      <w:r>
        <w:rPr>
          <w:spacing w:val="-2"/>
        </w:rPr>
        <w:t>执行报告编制的公开次数、实际编制公开的次数和发布信息。</w:t>
      </w:r>
    </w:p>
    <w:p>
      <w:pPr>
        <w:spacing w:line="218" w:lineRule="auto"/>
        <w:sectPr>
          <w:headerReference w:type="default" r:id="rId34"/>
          <w:footerReference w:type="default" r:id="rId35"/>
          <w:type w:val="nextPage"/>
          <w:pgSz w:w="11907" w:h="16839"/>
          <w:pgMar w:top="400" w:right="1785" w:bottom="1904" w:left="1785" w:header="0" w:footer="1741" w:gutter="0"/>
          <w:pgNumType w:start="16"/>
          <w:cols w:space="708"/>
          <w:titlePg w:val="0"/>
        </w:sectPr>
      </w:pPr>
    </w:p>
    <w:p>
      <w:pPr>
        <w:spacing w:line="289" w:lineRule="auto"/>
        <w:rPr>
          <w:rFonts w:ascii="Arial"/>
          <w:sz w:val="21"/>
        </w:rPr>
      </w:pP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pStyle w:val="BodyText"/>
        <w:spacing w:before="78" w:line="228" w:lineRule="auto"/>
        <w:ind w:left="31"/>
      </w:pPr>
      <w:r>
        <w:rPr>
          <w:rFonts w:ascii="Corbel" w:eastAsia="Corbel" w:hAnsi="Corbel" w:cs="Corbel"/>
          <w:spacing w:val="-4"/>
        </w:rPr>
        <w:t xml:space="preserve">③   </w:t>
      </w:r>
      <w:r>
        <w:rPr>
          <w:spacing w:val="-4"/>
        </w:rPr>
        <w:t>固体废物防治</w:t>
      </w:r>
    </w:p>
    <w:p>
      <w:pPr>
        <w:pStyle w:val="BodyText"/>
        <w:spacing w:before="238" w:line="360" w:lineRule="auto"/>
        <w:ind w:left="22" w:right="161"/>
        <w:jc w:val="both"/>
      </w:pPr>
      <w:r>
        <w:rPr>
          <w:spacing w:val="-1"/>
        </w:rPr>
        <w:t>a</w:t>
      </w:r>
      <w:r>
        <w:rPr>
          <w:spacing w:val="-38"/>
        </w:rPr>
        <w:t xml:space="preserve"> </w:t>
      </w:r>
      <w:r>
        <w:rPr>
          <w:spacing w:val="-1"/>
        </w:rPr>
        <w:t>塑料垃圾生产、使用、产生和处置情况：阐述生产经营活动中，各个环节所</w:t>
      </w:r>
      <w:r>
        <w:t xml:space="preserve"> </w:t>
      </w:r>
      <w:r>
        <w:t>有与塑料相关的活动，说明生产/使用/产生塑料的类</w:t>
      </w:r>
      <w:r>
        <w:rPr>
          <w:spacing w:val="-1"/>
        </w:rPr>
        <w:t>型、数量等信息，并说明</w:t>
      </w:r>
    </w:p>
    <w:p>
      <w:pPr>
        <w:pStyle w:val="BodyText"/>
        <w:spacing w:line="219" w:lineRule="auto"/>
        <w:ind w:left="26"/>
      </w:pPr>
      <w:r>
        <w:rPr>
          <w:spacing w:val="-3"/>
        </w:rPr>
        <w:t>处置塑料废物的方式、数量等信息。</w:t>
      </w:r>
    </w:p>
    <w:p>
      <w:pPr>
        <w:pStyle w:val="BodyText"/>
        <w:spacing w:before="183" w:line="360" w:lineRule="auto"/>
        <w:ind w:left="21" w:right="162" w:hanging="4"/>
      </w:pPr>
      <w:r>
        <w:rPr>
          <w:spacing w:val="-7"/>
        </w:rPr>
        <w:t>b</w:t>
      </w:r>
      <w:r>
        <w:rPr>
          <w:spacing w:val="-37"/>
        </w:rPr>
        <w:t xml:space="preserve"> </w:t>
      </w:r>
      <w:r>
        <w:rPr>
          <w:spacing w:val="-7"/>
        </w:rPr>
        <w:t>工业固体废物的产生、贮存、流向和利用处置信息。包括名称、种类、成分、</w:t>
      </w:r>
      <w:r>
        <w:t xml:space="preserve"> </w:t>
      </w:r>
      <w:r>
        <w:t>等级（一类或二类一般工业固体废物）；产生量、</w:t>
      </w:r>
      <w:r>
        <w:rPr>
          <w:spacing w:val="-1"/>
        </w:rPr>
        <w:t>贮存量、利用处置方式和利</w:t>
      </w:r>
      <w:r>
        <w:t xml:space="preserve"> </w:t>
      </w:r>
      <w:r>
        <w:rPr>
          <w:spacing w:val="-6"/>
        </w:rPr>
        <w:t>用处置量；</w:t>
      </w:r>
      <w:r>
        <w:rPr>
          <w:spacing w:val="37"/>
        </w:rPr>
        <w:t xml:space="preserve"> </w:t>
      </w:r>
      <w:r>
        <w:rPr>
          <w:spacing w:val="-6"/>
        </w:rPr>
        <w:t>一般工业固体废物贮存、处置场所或设施的类型（一类或二类）、</w:t>
      </w:r>
      <w:r>
        <w:t xml:space="preserve"> </w:t>
      </w:r>
      <w:r>
        <w:t>面积、累计贮存量和经纬度坐标等；委托他人利用</w:t>
      </w:r>
      <w:r>
        <w:rPr>
          <w:spacing w:val="-1"/>
        </w:rPr>
        <w:t>处置的，应当提供受托方名</w:t>
      </w:r>
    </w:p>
    <w:p>
      <w:pPr>
        <w:pStyle w:val="BodyText"/>
        <w:spacing w:line="219" w:lineRule="auto"/>
        <w:ind w:left="20"/>
      </w:pPr>
      <w:r>
        <w:rPr>
          <w:spacing w:val="-1"/>
        </w:rPr>
        <w:t>称、资格和技术能力，以及一般工业固体废</w:t>
      </w:r>
      <w:r>
        <w:rPr>
          <w:spacing w:val="-2"/>
        </w:rPr>
        <w:t>物运输、利用、处置情况。</w:t>
      </w:r>
    </w:p>
    <w:p>
      <w:pPr>
        <w:pStyle w:val="BodyText"/>
        <w:spacing w:before="183" w:line="360" w:lineRule="auto"/>
        <w:ind w:left="19" w:right="161" w:firstLine="6"/>
        <w:jc w:val="both"/>
      </w:pPr>
      <w:r>
        <w:rPr>
          <w:spacing w:val="-1"/>
        </w:rPr>
        <w:t>c</w:t>
      </w:r>
      <w:r>
        <w:rPr>
          <w:spacing w:val="-42"/>
        </w:rPr>
        <w:t xml:space="preserve"> </w:t>
      </w:r>
      <w:r>
        <w:rPr>
          <w:spacing w:val="-1"/>
        </w:rPr>
        <w:t>危险废物的产生和利用处置信息（包含企业自行利用处置危险废物和委托外</w:t>
      </w:r>
      <w:r>
        <w:t xml:space="preserve"> </w:t>
      </w:r>
      <w:r>
        <w:t>单位利用处置危险废物）：包括名称、废物代码、主要有</w:t>
      </w:r>
      <w:r>
        <w:rPr>
          <w:spacing w:val="-1"/>
        </w:rPr>
        <w:t>害成分、危险特性等</w:t>
      </w:r>
      <w:r>
        <w:t xml:space="preserve"> </w:t>
      </w:r>
      <w:r>
        <w:t>情况；产生量、贮存量、利用处置方式与利用处置量、累计</w:t>
      </w:r>
      <w:r>
        <w:rPr>
          <w:spacing w:val="-1"/>
        </w:rPr>
        <w:t>贮存量；贮存、处</w:t>
      </w:r>
      <w:r>
        <w:t xml:space="preserve"> </w:t>
      </w:r>
      <w:r>
        <w:t>置场所或设施的面积和经纬度坐标等；委托他人利用处置</w:t>
      </w:r>
      <w:r>
        <w:rPr>
          <w:spacing w:val="-1"/>
        </w:rPr>
        <w:t>的，应当提供受托方</w:t>
      </w:r>
    </w:p>
    <w:p>
      <w:pPr>
        <w:pStyle w:val="BodyText"/>
        <w:spacing w:line="220" w:lineRule="auto"/>
        <w:ind w:left="24"/>
      </w:pPr>
      <w:r>
        <w:rPr>
          <w:spacing w:val="-3"/>
        </w:rPr>
        <w:t>名称、资质以及危险废物转移联单。</w:t>
      </w:r>
    </w:p>
    <w:p>
      <w:pPr>
        <w:pStyle w:val="BodyText"/>
        <w:spacing w:before="182" w:line="360" w:lineRule="auto"/>
        <w:ind w:left="25" w:right="162"/>
        <w:jc w:val="both"/>
      </w:pPr>
      <w:r>
        <w:rPr>
          <w:spacing w:val="-1"/>
        </w:rPr>
        <w:t>d</w:t>
      </w:r>
      <w:r>
        <w:rPr>
          <w:spacing w:val="-42"/>
        </w:rPr>
        <w:t xml:space="preserve"> </w:t>
      </w:r>
      <w:r>
        <w:rPr>
          <w:spacing w:val="-1"/>
        </w:rPr>
        <w:t>有毒有害物质排放情况。依据《有毒有害大气污染物名录》《有毒有害水污</w:t>
      </w:r>
      <w:r>
        <w:t xml:space="preserve"> </w:t>
      </w:r>
      <w:r>
        <w:t>染物名录》《优先控制化学品名录》等，披</w:t>
      </w:r>
      <w:r>
        <w:rPr>
          <w:spacing w:val="-1"/>
        </w:rPr>
        <w:t>露排放的有毒有害物质的名称、形</w:t>
      </w:r>
    </w:p>
    <w:p>
      <w:pPr>
        <w:pStyle w:val="BodyText"/>
        <w:spacing w:before="1" w:line="219" w:lineRule="auto"/>
        <w:ind w:left="21"/>
      </w:pPr>
      <w:r>
        <w:rPr>
          <w:spacing w:val="-2"/>
        </w:rPr>
        <w:t>态（液体、气体、固体）、毒性、排放浓度、排放总量等情况。</w:t>
      </w:r>
    </w:p>
    <w:p>
      <w:pPr>
        <w:pStyle w:val="BodyText"/>
        <w:spacing w:before="271" w:line="228" w:lineRule="auto"/>
        <w:ind w:left="31"/>
      </w:pPr>
      <w:r>
        <w:rPr>
          <w:rFonts w:ascii="Corbel" w:eastAsia="Corbel" w:hAnsi="Corbel" w:cs="Corbel"/>
          <w:spacing w:val="-6"/>
        </w:rPr>
        <w:t>④</w:t>
      </w:r>
      <w:r>
        <w:rPr>
          <w:rFonts w:ascii="Corbel" w:eastAsia="Corbel" w:hAnsi="Corbel" w:cs="Corbel"/>
          <w:spacing w:val="22"/>
        </w:rPr>
        <w:t xml:space="preserve">  </w:t>
      </w:r>
      <w:r>
        <w:rPr>
          <w:spacing w:val="-6"/>
        </w:rPr>
        <w:t>噪声防治</w:t>
      </w:r>
    </w:p>
    <w:p>
      <w:pPr>
        <w:pStyle w:val="BodyText"/>
        <w:spacing w:before="239" w:line="468" w:lineRule="exact"/>
        <w:ind w:left="32"/>
      </w:pPr>
      <w:r>
        <w:rPr>
          <w:spacing w:val="-2"/>
          <w:position w:val="17"/>
        </w:rPr>
        <w:t>噪声排放监测点位名称、位置、执行标准、排放限值、实际排放值等信息。</w:t>
      </w:r>
    </w:p>
    <w:p>
      <w:pPr>
        <w:pStyle w:val="BodyText"/>
        <w:spacing w:line="217" w:lineRule="auto"/>
        <w:ind w:left="19"/>
      </w:pPr>
      <w:r>
        <w:rPr>
          <w:spacing w:val="-1"/>
        </w:rPr>
        <w:t>⑤ 核与辐射防治</w:t>
      </w:r>
    </w:p>
    <w:p>
      <w:pPr>
        <w:pStyle w:val="BodyText"/>
        <w:spacing w:before="186" w:line="468" w:lineRule="exact"/>
        <w:ind w:left="37"/>
      </w:pPr>
      <w:r>
        <w:rPr>
          <w:spacing w:val="-1"/>
          <w:position w:val="17"/>
        </w:rPr>
        <w:t>阐述核与辐射各类流出物实际排放量（吨</w:t>
      </w:r>
      <w:r>
        <w:rPr>
          <w:spacing w:val="3"/>
          <w:position w:val="17"/>
        </w:rPr>
        <w:t>），</w:t>
      </w:r>
      <w:r>
        <w:rPr>
          <w:spacing w:val="-1"/>
          <w:position w:val="17"/>
        </w:rPr>
        <w:t>监管部门有批复的，宜披露排放</w:t>
      </w:r>
    </w:p>
    <w:p>
      <w:pPr>
        <w:pStyle w:val="BodyText"/>
        <w:spacing w:before="1" w:line="219" w:lineRule="auto"/>
        <w:ind w:left="21"/>
      </w:pPr>
      <w:r>
        <w:rPr>
          <w:spacing w:val="-6"/>
        </w:rPr>
        <w:t>量限值（吨）。</w:t>
      </w:r>
    </w:p>
    <w:p>
      <w:pPr>
        <w:pStyle w:val="BodyText"/>
        <w:spacing w:before="183" w:line="221" w:lineRule="auto"/>
        <w:ind w:left="63"/>
      </w:pPr>
      <w:r>
        <w:rPr>
          <w:b/>
          <w:bCs/>
          <w:spacing w:val="-11"/>
        </w:rPr>
        <w:t>(3)</w:t>
      </w:r>
      <w:r>
        <w:rPr>
          <w:spacing w:val="13"/>
        </w:rPr>
        <w:t xml:space="preserve"> </w:t>
      </w:r>
      <w:r>
        <w:rPr>
          <w:b/>
          <w:bCs/>
          <w:spacing w:val="-11"/>
        </w:rPr>
        <w:t>温室气体</w:t>
      </w:r>
    </w:p>
    <w:p>
      <w:pPr>
        <w:pStyle w:val="BodyText"/>
        <w:spacing w:before="269" w:line="228" w:lineRule="auto"/>
        <w:ind w:left="31"/>
        <w:sectPr>
          <w:headerReference w:type="default" r:id="rId36"/>
          <w:footerReference w:type="default" r:id="rId37"/>
          <w:pgSz w:w="11907" w:h="16839"/>
          <w:pgMar w:top="400" w:right="1785" w:bottom="1904" w:left="1785" w:header="0" w:footer="1741" w:gutter="0"/>
          <w:pgNumType w:start="17"/>
          <w:cols w:space="708"/>
        </w:sectPr>
      </w:pPr>
      <w:r>
        <w:rPr>
          <w:rFonts w:ascii="Corbel" w:eastAsia="Corbel" w:hAnsi="Corbel" w:cs="Corbel"/>
          <w:spacing w:val="-2"/>
        </w:rPr>
        <w:t>①</w:t>
      </w:r>
      <w:r>
        <w:rPr>
          <w:rFonts w:ascii="Corbel" w:eastAsia="Corbel" w:hAnsi="Corbel" w:cs="Corbel"/>
          <w:spacing w:val="18"/>
          <w:w w:val="101"/>
        </w:rPr>
        <w:t xml:space="preserve">  </w:t>
      </w:r>
      <w:r>
        <w:rPr>
          <w:spacing w:val="-2"/>
        </w:rPr>
        <w:t>温室气体排放基本信息</w:t>
      </w:r>
    </w:p>
    <w:p>
      <w:pPr>
        <w:pStyle w:val="BodyText"/>
        <w:spacing w:before="239" w:line="360" w:lineRule="auto"/>
        <w:ind w:left="24" w:right="169" w:hanging="1"/>
      </w:pPr>
      <w:r>
        <w:rPr>
          <w:spacing w:val="-1"/>
        </w:rPr>
        <w:t>参考世界资源研究所（WRI）和世界可持续发展工商理事会（WBCSD）发布《温</w:t>
      </w:r>
      <w:r>
        <w:rPr>
          <w:spacing w:val="18"/>
        </w:rPr>
        <w:t xml:space="preserve"> </w:t>
      </w:r>
      <w:r>
        <w:t>室气体核算体系》，按照</w:t>
      </w:r>
      <w:r>
        <w:rPr>
          <w:spacing w:val="-53"/>
        </w:rPr>
        <w:t xml:space="preserve"> </w:t>
      </w:r>
      <w:r>
        <w:t>GB/T 32150、GB/T 32151.</w:t>
      </w:r>
      <w:r>
        <w:rPr>
          <w:spacing w:val="-1"/>
        </w:rPr>
        <w:t>2、GB/T 32151.1-2015、</w:t>
      </w:r>
    </w:p>
    <w:p>
      <w:pPr>
        <w:pStyle w:val="BodyText"/>
        <w:spacing w:before="1" w:line="224" w:lineRule="auto"/>
        <w:ind w:left="18"/>
      </w:pPr>
      <w:r>
        <w:t>GB/T 32151.3-2015、GB/T 32151.4-2015、GB/T 32151.5-2015</w:t>
      </w:r>
      <w:r>
        <w:rPr>
          <w:spacing w:val="-1"/>
        </w:rPr>
        <w:t>、GB/T</w:t>
      </w:r>
    </w:p>
    <w:p>
      <w:pPr>
        <w:spacing w:line="224" w:lineRule="auto"/>
        <w:sectPr>
          <w:headerReference w:type="default" r:id="rId38"/>
          <w:footerReference w:type="default" r:id="rId39"/>
          <w:type w:val="nextPage"/>
          <w:pgSz w:w="11907" w:h="16839"/>
          <w:pgMar w:top="400" w:right="1785" w:bottom="1904" w:left="1785" w:header="0" w:footer="1741" w:gutter="0"/>
          <w:pgNumType w:start="18"/>
          <w:cols w:space="708"/>
          <w:titlePg w:val="0"/>
        </w:sect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BodyText"/>
        <w:spacing w:before="78" w:line="360" w:lineRule="auto"/>
        <w:ind w:left="18" w:right="159" w:firstLine="7"/>
      </w:pPr>
      <w:r>
        <w:rPr>
          <w:spacing w:val="-3"/>
        </w:rPr>
        <w:t>32151.6-2015、GB/T</w:t>
      </w:r>
      <w:r>
        <w:rPr>
          <w:spacing w:val="-46"/>
        </w:rPr>
        <w:t xml:space="preserve"> </w:t>
      </w:r>
      <w:r>
        <w:rPr>
          <w:spacing w:val="-3"/>
        </w:rPr>
        <w:t>3215</w:t>
      </w:r>
      <w:r>
        <w:rPr>
          <w:spacing w:val="-4"/>
        </w:rPr>
        <w:t>1.7-2015、GB/T</w:t>
      </w:r>
      <w:r>
        <w:rPr>
          <w:spacing w:val="-46"/>
        </w:rPr>
        <w:t xml:space="preserve"> </w:t>
      </w:r>
      <w:r>
        <w:rPr>
          <w:spacing w:val="-4"/>
        </w:rPr>
        <w:t>32151.8-2015、GB/T</w:t>
      </w:r>
      <w:r>
        <w:rPr>
          <w:spacing w:val="-45"/>
        </w:rPr>
        <w:t xml:space="preserve"> </w:t>
      </w:r>
      <w:r>
        <w:rPr>
          <w:spacing w:val="-4"/>
        </w:rPr>
        <w:t>32151.9-2015、</w:t>
      </w:r>
      <w:r>
        <w:t xml:space="preserve"> </w:t>
      </w:r>
      <w:r>
        <w:rPr>
          <w:spacing w:val="-1"/>
        </w:rPr>
        <w:t>GB/T</w:t>
      </w:r>
      <w:r>
        <w:rPr>
          <w:spacing w:val="-38"/>
        </w:rPr>
        <w:t xml:space="preserve"> </w:t>
      </w:r>
      <w:r>
        <w:rPr>
          <w:spacing w:val="-1"/>
        </w:rPr>
        <w:t>32151.10-2015</w:t>
      </w:r>
      <w:r>
        <w:rPr>
          <w:spacing w:val="-47"/>
        </w:rPr>
        <w:t xml:space="preserve"> </w:t>
      </w:r>
      <w:r>
        <w:rPr>
          <w:spacing w:val="-1"/>
        </w:rPr>
        <w:t>或其他非工业企业温室气体排放核算方法、相关温室气体</w:t>
      </w:r>
      <w:r>
        <w:t xml:space="preserve"> </w:t>
      </w:r>
      <w:r>
        <w:rPr>
          <w:spacing w:val="-10"/>
        </w:rPr>
        <w:t>自愿减排项目方法，</w:t>
      </w:r>
      <w:r>
        <w:rPr>
          <w:spacing w:val="40"/>
        </w:rPr>
        <w:t xml:space="preserve"> </w:t>
      </w:r>
      <w:r>
        <w:rPr>
          <w:spacing w:val="-10"/>
        </w:rPr>
        <w:t>披露企业范围</w:t>
      </w:r>
      <w:r>
        <w:rPr>
          <w:spacing w:val="-33"/>
        </w:rPr>
        <w:t xml:space="preserve"> </w:t>
      </w:r>
      <w:r>
        <w:rPr>
          <w:spacing w:val="-10"/>
        </w:rPr>
        <w:t>1、范围</w:t>
      </w:r>
      <w:r>
        <w:rPr>
          <w:spacing w:val="-47"/>
        </w:rPr>
        <w:t xml:space="preserve"> </w:t>
      </w:r>
      <w:r>
        <w:rPr>
          <w:spacing w:val="-10"/>
        </w:rPr>
        <w:t>2、范围</w:t>
      </w:r>
      <w:r>
        <w:rPr>
          <w:spacing w:val="-46"/>
        </w:rPr>
        <w:t xml:space="preserve"> </w:t>
      </w:r>
      <w:r>
        <w:rPr>
          <w:spacing w:val="-10"/>
        </w:rPr>
        <w:t>3</w:t>
      </w:r>
      <w:r>
        <w:rPr>
          <w:spacing w:val="-49"/>
        </w:rPr>
        <w:t xml:space="preserve"> </w:t>
      </w:r>
      <w:r>
        <w:rPr>
          <w:spacing w:val="-10"/>
        </w:rPr>
        <w:t>温室气体排放源、排放设</w:t>
      </w:r>
    </w:p>
    <w:p>
      <w:pPr>
        <w:pStyle w:val="BodyText"/>
        <w:spacing w:line="219" w:lineRule="auto"/>
        <w:ind w:left="20"/>
      </w:pPr>
      <w:r>
        <w:rPr>
          <w:spacing w:val="-5"/>
        </w:rPr>
        <w:t>施、排放量等信息。</w:t>
      </w:r>
    </w:p>
    <w:p>
      <w:pPr>
        <w:pStyle w:val="BodyText"/>
        <w:spacing w:before="271" w:line="228" w:lineRule="auto"/>
        <w:ind w:left="31"/>
      </w:pPr>
      <w:r>
        <w:rPr>
          <w:rFonts w:ascii="Corbel" w:eastAsia="Corbel" w:hAnsi="Corbel" w:cs="Corbel"/>
          <w:spacing w:val="-4"/>
        </w:rPr>
        <w:t>②</w:t>
      </w:r>
      <w:r>
        <w:rPr>
          <w:rFonts w:ascii="Corbel" w:eastAsia="Corbel" w:hAnsi="Corbel" w:cs="Corbel"/>
          <w:spacing w:val="21"/>
        </w:rPr>
        <w:t xml:space="preserve">  </w:t>
      </w:r>
      <w:r>
        <w:rPr>
          <w:spacing w:val="-4"/>
        </w:rPr>
        <w:t>温室气体减排目标及实施情况。</w:t>
      </w:r>
    </w:p>
    <w:p>
      <w:pPr>
        <w:pStyle w:val="BodyText"/>
        <w:spacing w:before="238" w:line="220" w:lineRule="auto"/>
        <w:ind w:left="21"/>
      </w:pPr>
      <w:r>
        <w:rPr>
          <w:spacing w:val="-1"/>
        </w:rPr>
        <w:t>包括但不限于以下内容</w:t>
      </w:r>
    </w:p>
    <w:p>
      <w:pPr>
        <w:pStyle w:val="BodyText"/>
        <w:spacing w:before="183" w:line="220" w:lineRule="auto"/>
        <w:ind w:left="22"/>
      </w:pPr>
      <w:r>
        <w:rPr>
          <w:spacing w:val="-6"/>
        </w:rPr>
        <w:t>a</w:t>
      </w:r>
      <w:r>
        <w:rPr>
          <w:spacing w:val="-39"/>
        </w:rPr>
        <w:t xml:space="preserve"> </w:t>
      </w:r>
      <w:r>
        <w:rPr>
          <w:spacing w:val="-6"/>
        </w:rPr>
        <w:t>所设立的温室气体减排目标；</w:t>
      </w:r>
    </w:p>
    <w:p>
      <w:pPr>
        <w:pStyle w:val="BodyText"/>
        <w:spacing w:before="182" w:line="219" w:lineRule="auto"/>
        <w:ind w:left="17"/>
      </w:pPr>
      <w:r>
        <w:rPr>
          <w:spacing w:val="-3"/>
        </w:rPr>
        <w:t>b</w:t>
      </w:r>
      <w:r>
        <w:rPr>
          <w:spacing w:val="-45"/>
        </w:rPr>
        <w:t xml:space="preserve"> </w:t>
      </w:r>
      <w:r>
        <w:rPr>
          <w:spacing w:val="-3"/>
        </w:rPr>
        <w:t>为达到温室气体减排目标所采取的措施及取得的成效；</w:t>
      </w:r>
    </w:p>
    <w:p>
      <w:pPr>
        <w:pStyle w:val="BodyText"/>
        <w:spacing w:before="183" w:line="360" w:lineRule="auto"/>
        <w:ind w:left="21" w:right="162" w:firstLine="4"/>
        <w:jc w:val="both"/>
      </w:pPr>
      <w:r>
        <w:rPr>
          <w:spacing w:val="-1"/>
        </w:rPr>
        <w:t>c</w:t>
      </w:r>
      <w:r>
        <w:rPr>
          <w:spacing w:val="-42"/>
        </w:rPr>
        <w:t xml:space="preserve"> </w:t>
      </w:r>
      <w:r>
        <w:rPr>
          <w:spacing w:val="-1"/>
        </w:rPr>
        <w:t>对于纳入碳排放权交易市场配额管理的温室气体重点排放单位应当披露碳排</w:t>
      </w:r>
      <w:r>
        <w:t xml:space="preserve"> </w:t>
      </w:r>
      <w:r>
        <w:t>放相关信息，包括各个经营活动场所在全国碳排放权</w:t>
      </w:r>
      <w:r>
        <w:rPr>
          <w:spacing w:val="-1"/>
        </w:rPr>
        <w:t>交易市场的碳配额、实际</w:t>
      </w:r>
    </w:p>
    <w:p>
      <w:pPr>
        <w:pStyle w:val="BodyText"/>
        <w:spacing w:before="1" w:line="219" w:lineRule="auto"/>
        <w:ind w:left="21"/>
      </w:pPr>
      <w:r>
        <w:rPr>
          <w:spacing w:val="-1"/>
        </w:rPr>
        <w:t>碳排放量、超额排放量（吨）、配额清缴情况</w:t>
      </w:r>
      <w:r>
        <w:rPr>
          <w:spacing w:val="-2"/>
        </w:rPr>
        <w:t>、减排量交易情况等信息。</w:t>
      </w:r>
    </w:p>
    <w:p>
      <w:pPr>
        <w:pStyle w:val="BodyText"/>
        <w:spacing w:before="182" w:line="219" w:lineRule="auto"/>
        <w:ind w:left="63"/>
      </w:pPr>
      <w:r>
        <w:rPr>
          <w:b/>
          <w:bCs/>
          <w:spacing w:val="-10"/>
        </w:rPr>
        <w:t>(4)</w:t>
      </w:r>
      <w:r>
        <w:rPr>
          <w:spacing w:val="14"/>
        </w:rPr>
        <w:t xml:space="preserve"> </w:t>
      </w:r>
      <w:r>
        <w:rPr>
          <w:b/>
          <w:bCs/>
          <w:spacing w:val="-10"/>
        </w:rPr>
        <w:t>绿色供应链</w:t>
      </w:r>
    </w:p>
    <w:p>
      <w:pPr>
        <w:pStyle w:val="BodyText"/>
        <w:spacing w:before="184" w:line="220" w:lineRule="auto"/>
        <w:ind w:left="21"/>
      </w:pPr>
      <w:r>
        <w:rPr>
          <w:spacing w:val="-8"/>
        </w:rPr>
        <w:t>包括但不限于：</w:t>
      </w:r>
    </w:p>
    <w:p>
      <w:pPr>
        <w:pStyle w:val="BodyText"/>
        <w:spacing w:before="293" w:line="228" w:lineRule="auto"/>
        <w:ind w:left="31"/>
      </w:pPr>
      <w:r>
        <w:rPr>
          <w:rFonts w:ascii="Corbel" w:eastAsia="Corbel" w:hAnsi="Corbel" w:cs="Corbel"/>
          <w:spacing w:val="-4"/>
        </w:rPr>
        <w:t>①</w:t>
      </w:r>
      <w:r>
        <w:rPr>
          <w:rFonts w:ascii="Corbel" w:eastAsia="Corbel" w:hAnsi="Corbel" w:cs="Corbel"/>
          <w:spacing w:val="2"/>
        </w:rPr>
        <w:t xml:space="preserve">     </w:t>
      </w:r>
      <w:r>
        <w:rPr>
          <w:spacing w:val="-4"/>
        </w:rPr>
        <w:t>绿色设计</w:t>
      </w:r>
    </w:p>
    <w:p>
      <w:pPr>
        <w:pStyle w:val="BodyText"/>
        <w:spacing w:before="216" w:line="220" w:lineRule="auto"/>
        <w:ind w:left="23"/>
      </w:pPr>
      <w:r>
        <w:rPr>
          <w:spacing w:val="-1"/>
        </w:rPr>
        <w:t>绿色物料选用、可回收性、节能性等绿色设计相关的信息</w:t>
      </w:r>
    </w:p>
    <w:p>
      <w:pPr>
        <w:pStyle w:val="BodyText"/>
        <w:spacing w:before="293" w:line="228" w:lineRule="auto"/>
        <w:ind w:left="31"/>
      </w:pPr>
      <w:r>
        <w:rPr>
          <w:rFonts w:ascii="Corbel" w:eastAsia="Corbel" w:hAnsi="Corbel" w:cs="Corbel"/>
          <w:spacing w:val="-4"/>
        </w:rPr>
        <w:t>②</w:t>
      </w:r>
      <w:r>
        <w:rPr>
          <w:rFonts w:ascii="Corbel" w:eastAsia="Corbel" w:hAnsi="Corbel" w:cs="Corbel"/>
          <w:spacing w:val="2"/>
        </w:rPr>
        <w:t xml:space="preserve">     </w:t>
      </w:r>
      <w:r>
        <w:rPr>
          <w:spacing w:val="-4"/>
        </w:rPr>
        <w:t>绿色采购</w:t>
      </w:r>
    </w:p>
    <w:p>
      <w:pPr>
        <w:pStyle w:val="BodyText"/>
        <w:spacing w:before="217" w:line="219" w:lineRule="auto"/>
        <w:ind w:left="21"/>
      </w:pPr>
      <w:r>
        <w:rPr>
          <w:spacing w:val="-1"/>
        </w:rPr>
        <w:t>供应商的污染防治、节能减排、循环利用等绿色信息</w:t>
      </w:r>
    </w:p>
    <w:p>
      <w:pPr>
        <w:pStyle w:val="BodyText"/>
        <w:spacing w:before="294" w:line="228" w:lineRule="auto"/>
        <w:ind w:left="31"/>
      </w:pPr>
      <w:r>
        <w:rPr>
          <w:rFonts w:ascii="Corbel" w:eastAsia="Corbel" w:hAnsi="Corbel" w:cs="Corbel"/>
          <w:spacing w:val="-4"/>
        </w:rPr>
        <w:t>③</w:t>
      </w:r>
      <w:r>
        <w:rPr>
          <w:rFonts w:ascii="Corbel" w:eastAsia="Corbel" w:hAnsi="Corbel" w:cs="Corbel"/>
          <w:spacing w:val="2"/>
        </w:rPr>
        <w:t xml:space="preserve">     </w:t>
      </w:r>
      <w:r>
        <w:rPr>
          <w:spacing w:val="-4"/>
        </w:rPr>
        <w:t>绿色生产</w:t>
      </w:r>
    </w:p>
    <w:p>
      <w:pPr>
        <w:pStyle w:val="BodyText"/>
        <w:spacing w:before="217" w:line="469" w:lineRule="exact"/>
        <w:ind w:left="24"/>
      </w:pPr>
      <w:r>
        <w:rPr>
          <w:position w:val="17"/>
        </w:rPr>
        <w:t>指生产过程中相关的绿色信息，如工艺辅料消耗</w:t>
      </w:r>
      <w:r>
        <w:rPr>
          <w:spacing w:val="-1"/>
          <w:position w:val="17"/>
        </w:rPr>
        <w:t>、能源消耗、水资源消耗，污</w:t>
      </w:r>
    </w:p>
    <w:p>
      <w:pPr>
        <w:pStyle w:val="BodyText"/>
        <w:spacing w:before="1" w:line="219" w:lineRule="auto"/>
        <w:ind w:left="25"/>
      </w:pPr>
      <w:r>
        <w:rPr>
          <w:spacing w:val="-11"/>
        </w:rPr>
        <w:t>染物产生、控制及排放， 温室气体排放、物料回收</w:t>
      </w:r>
      <w:r>
        <w:rPr>
          <w:spacing w:val="-12"/>
        </w:rPr>
        <w:t>、水资源回收、能量回收等。</w:t>
      </w:r>
    </w:p>
    <w:p>
      <w:pPr>
        <w:pStyle w:val="BodyText"/>
        <w:spacing w:before="293" w:line="228" w:lineRule="auto"/>
        <w:ind w:left="31"/>
      </w:pPr>
      <w:r>
        <w:rPr>
          <w:rFonts w:ascii="Corbel" w:eastAsia="Corbel" w:hAnsi="Corbel" w:cs="Corbel"/>
          <w:spacing w:val="-4"/>
        </w:rPr>
        <w:t>④</w:t>
      </w:r>
      <w:r>
        <w:rPr>
          <w:rFonts w:ascii="Corbel" w:eastAsia="Corbel" w:hAnsi="Corbel" w:cs="Corbel"/>
          <w:spacing w:val="2"/>
        </w:rPr>
        <w:t xml:space="preserve">     </w:t>
      </w:r>
      <w:r>
        <w:rPr>
          <w:spacing w:val="-4"/>
        </w:rPr>
        <w:t>绿色流通</w:t>
      </w:r>
    </w:p>
    <w:p>
      <w:pPr>
        <w:pStyle w:val="BodyText"/>
        <w:spacing w:before="216" w:line="220" w:lineRule="auto"/>
        <w:ind w:left="21"/>
      </w:pPr>
      <w:r>
        <w:rPr>
          <w:spacing w:val="-2"/>
        </w:rPr>
        <w:t>包括储存、运输、包装、配送等过程中的绿色信息，包括但</w:t>
      </w:r>
      <w:r>
        <w:rPr>
          <w:spacing w:val="-3"/>
        </w:rPr>
        <w:t>不限于：</w:t>
      </w:r>
    </w:p>
    <w:p>
      <w:pPr>
        <w:pStyle w:val="BodyText"/>
        <w:spacing w:before="183" w:line="468" w:lineRule="exact"/>
        <w:ind w:left="22"/>
      </w:pPr>
      <w:r>
        <w:rPr>
          <w:spacing w:val="-10"/>
          <w:position w:val="17"/>
        </w:rPr>
        <w:t>a</w:t>
      </w:r>
      <w:r>
        <w:rPr>
          <w:spacing w:val="-43"/>
          <w:position w:val="17"/>
        </w:rPr>
        <w:t xml:space="preserve"> </w:t>
      </w:r>
      <w:r>
        <w:rPr>
          <w:spacing w:val="-10"/>
          <w:position w:val="17"/>
        </w:rPr>
        <w:t>包装方面：</w:t>
      </w:r>
      <w:r>
        <w:rPr>
          <w:spacing w:val="-32"/>
          <w:position w:val="17"/>
        </w:rPr>
        <w:t xml:space="preserve"> </w:t>
      </w:r>
      <w:r>
        <w:rPr>
          <w:spacing w:val="-10"/>
          <w:position w:val="17"/>
        </w:rPr>
        <w:t>包括包装方案、包装材料、包装使用等与包装相关的绿色性阐述，</w:t>
      </w:r>
    </w:p>
    <w:p>
      <w:pPr>
        <w:pStyle w:val="BodyText"/>
        <w:spacing w:line="219" w:lineRule="auto"/>
        <w:ind w:left="25"/>
        <w:sectPr>
          <w:headerReference w:type="default" r:id="rId40"/>
          <w:footerReference w:type="default" r:id="rId41"/>
          <w:pgSz w:w="11907" w:h="16839"/>
          <w:pgMar w:top="400" w:right="1785" w:bottom="1904" w:left="1785" w:header="0" w:footer="1741" w:gutter="0"/>
          <w:pgNumType w:start="19"/>
          <w:cols w:space="708"/>
        </w:sectPr>
      </w:pPr>
      <w:r>
        <w:rPr>
          <w:spacing w:val="-3"/>
        </w:rPr>
        <w:t>如节约性、可回收性、环境友好性等。</w:t>
      </w:r>
    </w:p>
    <w:p>
      <w:pPr>
        <w:pStyle w:val="BodyText"/>
        <w:spacing w:before="183" w:line="468" w:lineRule="exact"/>
        <w:ind w:left="17"/>
      </w:pPr>
      <w:r>
        <w:rPr>
          <w:spacing w:val="-9"/>
          <w:position w:val="17"/>
        </w:rPr>
        <w:t>b</w:t>
      </w:r>
      <w:r>
        <w:rPr>
          <w:spacing w:val="-50"/>
          <w:position w:val="17"/>
        </w:rPr>
        <w:t xml:space="preserve"> </w:t>
      </w:r>
      <w:r>
        <w:rPr>
          <w:spacing w:val="-9"/>
          <w:position w:val="17"/>
        </w:rPr>
        <w:t>物流方面（含逆向物流</w:t>
      </w:r>
      <w:r>
        <w:rPr>
          <w:spacing w:val="-17"/>
          <w:position w:val="17"/>
        </w:rPr>
        <w:t>）</w:t>
      </w:r>
      <w:r>
        <w:rPr>
          <w:spacing w:val="-20"/>
          <w:position w:val="17"/>
        </w:rPr>
        <w:t xml:space="preserve"> </w:t>
      </w:r>
      <w:r>
        <w:rPr>
          <w:spacing w:val="-17"/>
          <w:position w:val="17"/>
        </w:rPr>
        <w:t>：</w:t>
      </w:r>
      <w:r>
        <w:rPr>
          <w:spacing w:val="-9"/>
          <w:position w:val="17"/>
        </w:rPr>
        <w:t>如储存、物流方案、运输等环节中考虑环境影响、</w:t>
      </w:r>
    </w:p>
    <w:p>
      <w:pPr>
        <w:pStyle w:val="BodyText"/>
        <w:spacing w:before="1" w:line="218" w:lineRule="auto"/>
        <w:ind w:left="30"/>
      </w:pPr>
      <w:r>
        <w:rPr>
          <w:spacing w:val="-4"/>
        </w:rPr>
        <w:t>能源消耗、成本、回收利用性等方面的因素；</w:t>
      </w:r>
    </w:p>
    <w:p>
      <w:pPr>
        <w:spacing w:line="218" w:lineRule="auto"/>
        <w:sectPr>
          <w:headerReference w:type="default" r:id="rId42"/>
          <w:footerReference w:type="default" r:id="rId43"/>
          <w:type w:val="nextPage"/>
          <w:pgSz w:w="11907" w:h="16839"/>
          <w:pgMar w:top="400" w:right="1785" w:bottom="1904" w:left="1785" w:header="0" w:footer="1741" w:gutter="0"/>
          <w:pgNumType w:start="20"/>
          <w:cols w:space="708"/>
          <w:titlePg w:val="0"/>
        </w:sectPr>
      </w:pPr>
    </w:p>
    <w:p>
      <w:pPr>
        <w:spacing w:line="294" w:lineRule="auto"/>
        <w:rPr>
          <w:rFonts w:ascii="Arial"/>
          <w:sz w:val="21"/>
        </w:r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pStyle w:val="BodyText"/>
        <w:spacing w:before="78" w:line="228" w:lineRule="auto"/>
        <w:ind w:left="31"/>
      </w:pPr>
      <w:r>
        <w:rPr>
          <w:rFonts w:ascii="Corbel" w:eastAsia="Corbel" w:hAnsi="Corbel" w:cs="Corbel"/>
          <w:spacing w:val="-4"/>
        </w:rPr>
        <w:t>⑤</w:t>
      </w:r>
      <w:r>
        <w:rPr>
          <w:rFonts w:ascii="Corbel" w:eastAsia="Corbel" w:hAnsi="Corbel" w:cs="Corbel"/>
          <w:spacing w:val="6"/>
        </w:rPr>
        <w:t xml:space="preserve">     </w:t>
      </w:r>
      <w:r>
        <w:rPr>
          <w:spacing w:val="-4"/>
        </w:rPr>
        <w:t>回收利用及末端处理</w:t>
      </w:r>
    </w:p>
    <w:p>
      <w:pPr>
        <w:pStyle w:val="BodyText"/>
        <w:spacing w:before="216" w:line="468" w:lineRule="exact"/>
        <w:ind w:left="22"/>
      </w:pPr>
      <w:r>
        <w:rPr>
          <w:spacing w:val="-1"/>
          <w:position w:val="17"/>
        </w:rPr>
        <w:t>a</w:t>
      </w:r>
      <w:r>
        <w:rPr>
          <w:spacing w:val="-27"/>
          <w:position w:val="17"/>
        </w:rPr>
        <w:t xml:space="preserve"> </w:t>
      </w:r>
      <w:r>
        <w:rPr>
          <w:spacing w:val="-1"/>
          <w:position w:val="17"/>
        </w:rPr>
        <w:t>回收利用：如产品及包装物、废弃物等回收再利用方</w:t>
      </w:r>
      <w:r>
        <w:rPr>
          <w:spacing w:val="-2"/>
          <w:position w:val="17"/>
        </w:rPr>
        <w:t>案，实施情况，以及可</w:t>
      </w:r>
    </w:p>
    <w:p>
      <w:pPr>
        <w:pStyle w:val="BodyText"/>
        <w:spacing w:line="219" w:lineRule="auto"/>
        <w:ind w:left="44"/>
      </w:pPr>
      <w:r>
        <w:rPr>
          <w:spacing w:val="-3"/>
        </w:rPr>
        <w:t>回收利用率、实际回收利用率等</w:t>
      </w:r>
    </w:p>
    <w:p>
      <w:pPr>
        <w:pStyle w:val="BodyText"/>
        <w:spacing w:before="183" w:line="218" w:lineRule="auto"/>
        <w:ind w:left="17"/>
      </w:pPr>
      <w:r>
        <w:rPr>
          <w:spacing w:val="-2"/>
        </w:rPr>
        <w:t>b</w:t>
      </w:r>
      <w:r>
        <w:rPr>
          <w:spacing w:val="-51"/>
        </w:rPr>
        <w:t xml:space="preserve"> </w:t>
      </w:r>
      <w:r>
        <w:rPr>
          <w:spacing w:val="-2"/>
        </w:rPr>
        <w:t>末端处置：对于没有再利用价值的废弃物的无害化处理情况，如处置方案，</w:t>
      </w:r>
    </w:p>
    <w:p>
      <w:pPr>
        <w:pStyle w:val="BodyText"/>
        <w:spacing w:before="184" w:line="468" w:lineRule="exact"/>
        <w:ind w:left="26"/>
      </w:pPr>
      <w:r>
        <w:rPr>
          <w:spacing w:val="-1"/>
          <w:position w:val="17"/>
        </w:rPr>
        <w:t>处置数量等，并提供一般固体废弃物处置相关记录，危险废弃物处置合同、处</w:t>
      </w:r>
    </w:p>
    <w:p>
      <w:pPr>
        <w:pStyle w:val="BodyText"/>
        <w:spacing w:before="1" w:line="219" w:lineRule="auto"/>
        <w:ind w:left="19"/>
      </w:pPr>
      <w:r>
        <w:rPr>
          <w:spacing w:val="-3"/>
        </w:rPr>
        <w:t>置单位资质、转移联单等资料。</w:t>
      </w:r>
    </w:p>
    <w:p>
      <w:pPr>
        <w:spacing w:line="257" w:lineRule="auto"/>
        <w:rPr>
          <w:rFonts w:ascii="Arial"/>
          <w:sz w:val="21"/>
        </w:rPr>
      </w:pPr>
    </w:p>
    <w:p>
      <w:pPr>
        <w:spacing w:line="257" w:lineRule="auto"/>
        <w:rPr>
          <w:rFonts w:ascii="Arial"/>
          <w:sz w:val="21"/>
        </w:rPr>
      </w:pPr>
    </w:p>
    <w:p>
      <w:pPr>
        <w:pStyle w:val="BodyText"/>
        <w:spacing w:before="79" w:line="389" w:lineRule="exact"/>
        <w:ind w:left="22"/>
      </w:pPr>
      <w:r>
        <w:rPr>
          <w:rFonts w:ascii="Arial" w:eastAsia="Arial" w:hAnsi="Arial" w:cs="Arial"/>
          <w:b/>
          <w:bCs/>
          <w:spacing w:val="-3"/>
          <w:position w:val="11"/>
        </w:rPr>
        <w:t xml:space="preserve">5.1.4   </w:t>
      </w:r>
      <w:r>
        <w:rPr>
          <w:b/>
          <w:bCs/>
          <w:spacing w:val="-3"/>
          <w:position w:val="11"/>
        </w:rPr>
        <w:t>监测与评估</w:t>
      </w:r>
    </w:p>
    <w:p>
      <w:pPr>
        <w:pStyle w:val="BodyText"/>
        <w:spacing w:line="220" w:lineRule="auto"/>
        <w:ind w:left="63"/>
      </w:pPr>
      <w:r>
        <w:rPr>
          <w:b/>
          <w:bCs/>
          <w:spacing w:val="-11"/>
        </w:rPr>
        <w:t>(1)</w:t>
      </w:r>
      <w:r>
        <w:rPr>
          <w:spacing w:val="13"/>
        </w:rPr>
        <w:t xml:space="preserve"> </w:t>
      </w:r>
      <w:r>
        <w:rPr>
          <w:b/>
          <w:bCs/>
          <w:spacing w:val="-11"/>
        </w:rPr>
        <w:t>物种监测</w:t>
      </w:r>
    </w:p>
    <w:p>
      <w:pPr>
        <w:pStyle w:val="BodyText"/>
        <w:spacing w:before="182" w:line="468" w:lineRule="exact"/>
        <w:ind w:left="501"/>
      </w:pPr>
      <w:r>
        <w:rPr>
          <w:spacing w:val="-2"/>
          <w:position w:val="17"/>
        </w:rPr>
        <w:t>物种的多样性是维护生态平衡和生物多样性的关键因素。</w:t>
      </w:r>
    </w:p>
    <w:p>
      <w:pPr>
        <w:pStyle w:val="BodyText"/>
        <w:spacing w:line="217" w:lineRule="auto"/>
        <w:ind w:left="20"/>
      </w:pPr>
      <w:r>
        <w:rPr>
          <w:spacing w:val="-2"/>
        </w:rPr>
        <w:t>① 濒危物种</w:t>
      </w:r>
    </w:p>
    <w:p>
      <w:pPr>
        <w:pStyle w:val="BodyText"/>
        <w:spacing w:before="183" w:line="359" w:lineRule="auto"/>
        <w:ind w:left="27" w:right="162" w:firstLine="472"/>
        <w:jc w:val="both"/>
      </w:pPr>
      <w:r>
        <w:t>濒危物种在生态系统中扮演着重要的角色，与其他</w:t>
      </w:r>
      <w:r>
        <w:rPr>
          <w:spacing w:val="-1"/>
        </w:rPr>
        <w:t>物种间存在相互依存的</w:t>
      </w:r>
      <w:r>
        <w:t xml:space="preserve"> </w:t>
      </w:r>
      <w:r>
        <w:rPr>
          <w:spacing w:val="-1"/>
        </w:rPr>
        <w:t>复杂关系。当一个濒危物种灭绝将会破坏食物链，造成生态系统的不稳定，最</w:t>
      </w:r>
    </w:p>
    <w:p>
      <w:pPr>
        <w:pStyle w:val="BodyText"/>
        <w:spacing w:before="1" w:line="219" w:lineRule="auto"/>
        <w:ind w:left="25"/>
      </w:pPr>
      <w:r>
        <w:rPr>
          <w:spacing w:val="-3"/>
        </w:rPr>
        <w:t>终对整个生态系统造成不可逆的破坏。</w:t>
      </w:r>
    </w:p>
    <w:p>
      <w:pPr>
        <w:pStyle w:val="BodyText"/>
        <w:spacing w:before="183" w:line="466" w:lineRule="exact"/>
        <w:ind w:left="503"/>
      </w:pPr>
      <w:r>
        <w:rPr>
          <w:spacing w:val="-2"/>
          <w:position w:val="17"/>
        </w:rPr>
        <w:t>识别是否危及濒危物种，监测影响范围内的濒危物种栖息或生长的地点、</w:t>
      </w:r>
    </w:p>
    <w:p>
      <w:pPr>
        <w:pStyle w:val="BodyText"/>
        <w:spacing w:before="1" w:line="218" w:lineRule="auto"/>
        <w:ind w:left="24"/>
      </w:pPr>
      <w:r>
        <w:rPr>
          <w:spacing w:val="-6"/>
        </w:rPr>
        <w:t>分布和数量等。</w:t>
      </w:r>
    </w:p>
    <w:p>
      <w:pPr>
        <w:pStyle w:val="BodyText"/>
        <w:spacing w:before="184" w:line="217" w:lineRule="auto"/>
        <w:ind w:left="19"/>
      </w:pPr>
      <w:r>
        <w:rPr>
          <w:spacing w:val="-4"/>
        </w:rPr>
        <w:t>②</w:t>
      </w:r>
      <w:r>
        <w:rPr>
          <w:spacing w:val="14"/>
        </w:rPr>
        <w:t xml:space="preserve"> </w:t>
      </w:r>
      <w:r>
        <w:rPr>
          <w:spacing w:val="-4"/>
        </w:rPr>
        <w:t>指示物种</w:t>
      </w:r>
    </w:p>
    <w:p>
      <w:pPr>
        <w:pStyle w:val="BodyText"/>
        <w:spacing w:before="182" w:line="220" w:lineRule="auto"/>
        <w:ind w:left="504"/>
      </w:pPr>
      <w:r>
        <w:rPr>
          <w:spacing w:val="-2"/>
        </w:rPr>
        <w:t>指示物种对特定环境条件敏感，能够反映生态系统的状态和环境变化。</w:t>
      </w:r>
    </w:p>
    <w:p>
      <w:pPr>
        <w:pStyle w:val="BodyText"/>
        <w:spacing w:before="182" w:line="220" w:lineRule="auto"/>
        <w:ind w:left="503"/>
      </w:pPr>
      <w:r>
        <w:rPr>
          <w:spacing w:val="-2"/>
        </w:rPr>
        <w:t>识别是否影响指示物种，监测影响范围内的指示物种栖息或生长的地点、</w:t>
      </w:r>
    </w:p>
    <w:p>
      <w:pPr>
        <w:pStyle w:val="BodyText"/>
        <w:spacing w:before="180" w:line="469" w:lineRule="exact"/>
        <w:ind w:left="24"/>
      </w:pPr>
      <w:r>
        <w:rPr>
          <w:spacing w:val="-6"/>
          <w:position w:val="17"/>
        </w:rPr>
        <w:t>分布和数量等。</w:t>
      </w:r>
    </w:p>
    <w:p>
      <w:pPr>
        <w:pStyle w:val="BodyText"/>
        <w:spacing w:line="217" w:lineRule="auto"/>
        <w:ind w:left="19"/>
      </w:pPr>
      <w:r>
        <w:rPr>
          <w:spacing w:val="-4"/>
        </w:rPr>
        <w:t>③</w:t>
      </w:r>
      <w:r>
        <w:rPr>
          <w:spacing w:val="5"/>
        </w:rPr>
        <w:t xml:space="preserve">  </w:t>
      </w:r>
      <w:r>
        <w:rPr>
          <w:spacing w:val="-4"/>
        </w:rPr>
        <w:t>特有种</w:t>
      </w:r>
    </w:p>
    <w:p>
      <w:pPr>
        <w:pStyle w:val="BodyText"/>
        <w:spacing w:before="183" w:line="468" w:lineRule="exact"/>
        <w:ind w:left="501"/>
      </w:pPr>
      <w:r>
        <w:rPr>
          <w:position w:val="17"/>
        </w:rPr>
        <w:t>特有种具有极高生物多样性价值和生态系统稳定</w:t>
      </w:r>
      <w:r>
        <w:rPr>
          <w:spacing w:val="-1"/>
          <w:position w:val="17"/>
        </w:rPr>
        <w:t>价值，是生物多样性保护</w:t>
      </w:r>
    </w:p>
    <w:p>
      <w:pPr>
        <w:pStyle w:val="BodyText"/>
        <w:spacing w:before="1" w:line="222" w:lineRule="auto"/>
        <w:ind w:left="41"/>
        <w:sectPr>
          <w:headerReference w:type="default" r:id="rId44"/>
          <w:footerReference w:type="default" r:id="rId45"/>
          <w:pgSz w:w="11907" w:h="16839"/>
          <w:pgMar w:top="400" w:right="1785" w:bottom="1902" w:left="1785" w:header="0" w:footer="1696" w:gutter="0"/>
          <w:pgNumType w:start="21"/>
          <w:cols w:space="708"/>
        </w:sectPr>
      </w:pPr>
      <w:r>
        <w:rPr>
          <w:spacing w:val="-12"/>
        </w:rPr>
        <w:t>的重点。</w:t>
      </w:r>
    </w:p>
    <w:p>
      <w:pPr>
        <w:pStyle w:val="BodyText"/>
        <w:spacing w:before="176" w:line="468" w:lineRule="exact"/>
        <w:ind w:left="503"/>
      </w:pPr>
      <w:r>
        <w:rPr>
          <w:position w:val="17"/>
        </w:rPr>
        <w:t>识别是否影响特有种的生长繁衍，监测特有种</w:t>
      </w:r>
      <w:r>
        <w:rPr>
          <w:spacing w:val="-1"/>
          <w:position w:val="17"/>
        </w:rPr>
        <w:t>栖息或生长的地点、分布和</w:t>
      </w:r>
    </w:p>
    <w:p>
      <w:pPr>
        <w:pStyle w:val="BodyText"/>
        <w:spacing w:before="1" w:line="219" w:lineRule="auto"/>
        <w:ind w:left="23"/>
      </w:pPr>
      <w:r>
        <w:rPr>
          <w:spacing w:val="-9"/>
        </w:rPr>
        <w:t>数量等。</w:t>
      </w:r>
    </w:p>
    <w:p>
      <w:pPr>
        <w:pStyle w:val="BodyText"/>
        <w:spacing w:before="326" w:line="198" w:lineRule="auto"/>
        <w:ind w:left="19"/>
        <w:rPr>
          <w:rFonts w:ascii="Microsoft YaHei" w:eastAsia="Microsoft YaHei" w:hAnsi="Microsoft YaHei" w:cs="Microsoft YaHei"/>
        </w:rPr>
      </w:pPr>
      <w:r>
        <w:rPr>
          <w:spacing w:val="-2"/>
        </w:rPr>
        <w:t>④</w:t>
      </w:r>
      <w:r>
        <w:rPr>
          <w:rFonts w:ascii="Microsoft YaHei" w:eastAsia="Microsoft YaHei" w:hAnsi="Microsoft YaHei" w:cs="Microsoft YaHei"/>
          <w:spacing w:val="-2"/>
        </w:rPr>
        <w:t>植物丰富度</w:t>
      </w:r>
    </w:p>
    <w:p>
      <w:pPr>
        <w:pStyle w:val="BodyText"/>
        <w:spacing w:before="218" w:line="468" w:lineRule="exact"/>
        <w:ind w:left="502"/>
      </w:pPr>
      <w:r>
        <w:rPr>
          <w:spacing w:val="-1"/>
          <w:position w:val="17"/>
        </w:rPr>
        <w:t>植物丰富度是衡量物种多样性的最直接指标之一。</w:t>
      </w:r>
    </w:p>
    <w:p>
      <w:pPr>
        <w:pStyle w:val="BodyText"/>
        <w:spacing w:before="1" w:line="219" w:lineRule="auto"/>
        <w:ind w:left="502"/>
      </w:pPr>
      <w:r>
        <w:rPr>
          <w:spacing w:val="-3"/>
        </w:rPr>
        <w:t>测量栖息地面积，统计物种种类、数量。</w:t>
      </w:r>
    </w:p>
    <w:p>
      <w:pPr>
        <w:spacing w:line="219"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6" w:history="1">
        <w:r>
          <w:rPr>
            <w:rFonts w:ascii="SimSun" w:eastAsia="SimSun" w:hAnsi="SimSun" w:cs="SimSun"/>
            <w:b/>
            <w:bCs/>
            <w:noProof w:val="0"/>
            <w:snapToGrid/>
            <w:color w:val="0000EE"/>
            <w:kern w:val="0"/>
            <w:sz w:val="30"/>
            <w:szCs w:val="30"/>
            <w:u w:val="single" w:color="0000EE"/>
          </w:rPr>
          <w:t>https://d.book118.com/577005144124006040</w:t>
        </w:r>
      </w:hyperlink>
    </w:p>
    <w:p>
      <w:pPr>
        <w:spacing w:line="219" w:lineRule="auto"/>
      </w:pPr>
    </w:p>
    <w:sectPr>
      <w:headerReference w:type="default" r:id="rId47"/>
      <w:footerReference w:type="default" r:id="rId48"/>
      <w:type w:val="nextPage"/>
      <w:pgSz w:w="11907" w:h="16839"/>
      <w:pgMar w:top="400" w:right="1785" w:bottom="1902" w:left="1785" w:header="0" w:footer="1696" w:gutter="0"/>
      <w:pgNumType w:start="2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129"/>
      <w:rPr>
        <w:rFonts w:ascii="Arial" w:eastAsia="Arial" w:hAnsi="Arial" w:cs="Arial"/>
        <w:sz w:val="18"/>
        <w:szCs w:val="18"/>
      </w:rPr>
    </w:pPr>
    <w:r>
      <w:rPr>
        <w:rFonts w:ascii="Arial" w:eastAsia="Arial" w:hAnsi="Arial" w:cs="Arial"/>
        <w:sz w:val="18"/>
        <w:szCs w:val="18"/>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129"/>
      <w:rPr>
        <w:rFonts w:ascii="Arial" w:eastAsia="Arial" w:hAnsi="Arial" w:cs="Arial"/>
        <w:sz w:val="18"/>
        <w:szCs w:val="18"/>
      </w:rPr>
    </w:pPr>
    <w:r>
      <w:rPr>
        <w:rFonts w:ascii="Arial" w:eastAsia="Arial" w:hAnsi="Arial" w:cs="Arial"/>
        <w:sz w:val="18"/>
        <w:szCs w:val="18"/>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127"/>
      <w:rPr>
        <w:rFonts w:ascii="Arial" w:eastAsia="Arial" w:hAnsi="Arial" w:cs="Arial"/>
        <w:sz w:val="18"/>
        <w:szCs w:val="18"/>
      </w:rPr>
    </w:pPr>
    <w:r>
      <w:rPr>
        <w:rFonts w:ascii="Arial" w:eastAsia="Arial" w:hAnsi="Arial" w:cs="Arial"/>
        <w:sz w:val="18"/>
        <w:szCs w:val="18"/>
      </w:rP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127"/>
      <w:rPr>
        <w:rFonts w:ascii="Arial" w:eastAsia="Arial" w:hAnsi="Arial" w:cs="Arial"/>
        <w:sz w:val="18"/>
        <w:szCs w:val="18"/>
      </w:rPr>
    </w:pPr>
    <w:r>
      <w:rPr>
        <w:rFonts w:ascii="Arial" w:eastAsia="Arial" w:hAnsi="Arial" w:cs="Arial"/>
        <w:sz w:val="18"/>
        <w:szCs w:val="18"/>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127"/>
      <w:rPr>
        <w:rFonts w:ascii="Arial" w:eastAsia="Arial" w:hAnsi="Arial" w:cs="Arial"/>
        <w:sz w:val="18"/>
        <w:szCs w:val="18"/>
      </w:rPr>
    </w:pPr>
    <w:r>
      <w:rPr>
        <w:rFonts w:ascii="Arial" w:eastAsia="Arial" w:hAnsi="Arial" w:cs="Arial"/>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127"/>
      <w:rPr>
        <w:rFonts w:ascii="Arial" w:eastAsia="Arial" w:hAnsi="Arial" w:cs="Arial"/>
        <w:sz w:val="18"/>
        <w:szCs w:val="18"/>
      </w:rPr>
    </w:pPr>
    <w:r>
      <w:rPr>
        <w:rFonts w:ascii="Arial" w:eastAsia="Arial" w:hAnsi="Arial" w:cs="Arial"/>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3"/>
      <w:rPr>
        <w:rFonts w:ascii="Arial" w:eastAsia="Arial" w:hAnsi="Arial" w:cs="Arial"/>
        <w:sz w:val="18"/>
        <w:szCs w:val="18"/>
      </w:rPr>
    </w:pPr>
    <w:r>
      <w:rPr>
        <w:rFonts w:ascii="Arial" w:eastAsia="Arial" w:hAnsi="Arial" w:cs="Arial"/>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3"/>
      <w:rPr>
        <w:rFonts w:ascii="Arial" w:eastAsia="Arial" w:hAnsi="Arial" w:cs="Arial"/>
        <w:sz w:val="18"/>
        <w:szCs w:val="18"/>
      </w:rPr>
    </w:pPr>
    <w:r>
      <w:rPr>
        <w:rFonts w:ascii="Arial" w:eastAsia="Arial" w:hAnsi="Arial" w:cs="Arial"/>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129"/>
      <w:rPr>
        <w:rFonts w:ascii="Arial" w:eastAsia="Arial" w:hAnsi="Arial" w:cs="Arial"/>
        <w:sz w:val="18"/>
        <w:szCs w:val="18"/>
      </w:rPr>
    </w:pPr>
    <w:r>
      <w:rPr>
        <w:rFonts w:ascii="Arial" w:eastAsia="Arial" w:hAnsi="Arial" w:cs="Arial"/>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129"/>
      <w:rPr>
        <w:rFonts w:ascii="Arial" w:eastAsia="Arial" w:hAnsi="Arial" w:cs="Arial"/>
        <w:sz w:val="18"/>
        <w:szCs w:val="18"/>
      </w:rPr>
    </w:pPr>
    <w:r>
      <w:rPr>
        <w:rFonts w:ascii="Arial" w:eastAsia="Arial" w:hAnsi="Arial" w:cs="Arial"/>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129"/>
      <w:rPr>
        <w:rFonts w:ascii="Arial" w:eastAsia="Arial" w:hAnsi="Arial" w:cs="Arial"/>
        <w:sz w:val="18"/>
        <w:szCs w:val="18"/>
      </w:rPr>
    </w:pPr>
    <w:r>
      <w:rPr>
        <w:rFonts w:ascii="Arial" w:eastAsia="Arial" w:hAnsi="Arial" w:cs="Arial"/>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129"/>
      <w:rPr>
        <w:rFonts w:ascii="Arial" w:eastAsia="Arial" w:hAnsi="Arial" w:cs="Arial"/>
        <w:sz w:val="18"/>
        <w:szCs w:val="18"/>
      </w:rPr>
    </w:pPr>
    <w:r>
      <w:rPr>
        <w:rFonts w:ascii="Arial" w:eastAsia="Arial" w:hAnsi="Arial" w:cs="Arial"/>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8"/>
      <w:rPr>
        <w:rFonts w:ascii="Arial" w:eastAsia="Arial" w:hAnsi="Arial" w:cs="Arial"/>
        <w:sz w:val="18"/>
        <w:szCs w:val="18"/>
      </w:rPr>
    </w:pPr>
    <w:r>
      <w:rPr>
        <w:rFonts w:ascii="Arial" w:eastAsia="Arial" w:hAnsi="Arial" w:cs="Arial"/>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8"/>
      <w:rPr>
        <w:rFonts w:ascii="Arial" w:eastAsia="Arial" w:hAnsi="Arial" w:cs="Arial"/>
        <w:sz w:val="18"/>
        <w:szCs w:val="18"/>
      </w:rPr>
    </w:pPr>
    <w:r>
      <w:rPr>
        <w:rFonts w:ascii="Arial" w:eastAsia="Arial" w:hAnsi="Arial" w:cs="Arial"/>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128"/>
      <w:rPr>
        <w:rFonts w:ascii="Arial" w:eastAsia="Arial" w:hAnsi="Arial" w:cs="Arial"/>
        <w:sz w:val="18"/>
        <w:szCs w:val="18"/>
      </w:rPr>
    </w:pPr>
    <w:r>
      <w:rPr>
        <w:rFonts w:ascii="Arial" w:eastAsia="Arial" w:hAnsi="Arial" w:cs="Arial"/>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128"/>
      <w:rPr>
        <w:rFonts w:ascii="Arial" w:eastAsia="Arial" w:hAnsi="Arial" w:cs="Arial"/>
        <w:sz w:val="18"/>
        <w:szCs w:val="18"/>
      </w:rPr>
    </w:pPr>
    <w:r>
      <w:rPr>
        <w:rFonts w:ascii="Arial" w:eastAsia="Arial" w:hAnsi="Arial" w:cs="Arial"/>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128"/>
      <w:rPr>
        <w:rFonts w:ascii="Arial" w:eastAsia="Arial" w:hAnsi="Arial" w:cs="Arial"/>
        <w:sz w:val="18"/>
        <w:szCs w:val="18"/>
      </w:rPr>
    </w:pPr>
    <w:r>
      <w:rPr>
        <w:rFonts w:ascii="Arial" w:eastAsia="Arial" w:hAnsi="Arial" w:cs="Arial"/>
        <w:sz w:val="18"/>
        <w:szCs w:val="18"/>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128"/>
      <w:rPr>
        <w:rFonts w:ascii="Arial" w:eastAsia="Arial" w:hAnsi="Arial" w:cs="Arial"/>
        <w:sz w:val="18"/>
        <w:szCs w:val="18"/>
      </w:rPr>
    </w:pPr>
    <w:r>
      <w:rPr>
        <w:rFonts w:ascii="Arial" w:eastAsia="Arial" w:hAnsi="Arial" w:cs="Arial"/>
        <w:sz w:val="18"/>
        <w:szCs w:val="18"/>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087"/>
      <w:rPr>
        <w:rFonts w:ascii="Arial" w:eastAsia="Arial" w:hAnsi="Arial" w:cs="Arial"/>
        <w:sz w:val="18"/>
        <w:szCs w:val="18"/>
      </w:rPr>
    </w:pPr>
    <w:r>
      <w:rPr>
        <w:rFonts w:ascii="Arial" w:eastAsia="Arial" w:hAnsi="Arial" w:cs="Arial"/>
        <w:spacing w:val="-6"/>
        <w:sz w:val="18"/>
        <w:szCs w:val="18"/>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087"/>
      <w:rPr>
        <w:rFonts w:ascii="Arial" w:eastAsia="Arial" w:hAnsi="Arial" w:cs="Arial"/>
        <w:sz w:val="18"/>
        <w:szCs w:val="18"/>
      </w:rPr>
    </w:pPr>
    <w:r>
      <w:rPr>
        <w:rFonts w:ascii="Arial" w:eastAsia="Arial" w:hAnsi="Arial" w:cs="Arial"/>
        <w:spacing w:val="-6"/>
        <w:sz w:val="18"/>
        <w:szCs w:val="18"/>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exact"/>
      <w:ind w:left="4087"/>
      <w:rPr>
        <w:rFonts w:ascii="Microsoft YaHei" w:eastAsia="Microsoft YaHei" w:hAnsi="Microsoft YaHei" w:cs="Microsoft YaHei"/>
        <w:sz w:val="18"/>
        <w:szCs w:val="18"/>
      </w:rPr>
    </w:pPr>
    <w:r>
      <w:rPr>
        <w:rFonts w:ascii="Microsoft YaHei" w:eastAsia="Microsoft YaHei" w:hAnsi="Microsoft YaHei" w:cs="Microsoft YaHei"/>
        <w:spacing w:val="-9"/>
        <w:position w:val="-1"/>
        <w:sz w:val="18"/>
        <w:szCs w:val="18"/>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exact"/>
      <w:ind w:left="4087"/>
      <w:rPr>
        <w:rFonts w:ascii="Microsoft YaHei" w:eastAsia="Microsoft YaHei" w:hAnsi="Microsoft YaHei" w:cs="Microsoft YaHei"/>
        <w:sz w:val="18"/>
        <w:szCs w:val="18"/>
      </w:rPr>
    </w:pPr>
    <w:r>
      <w:rPr>
        <w:rFonts w:ascii="Microsoft YaHei" w:eastAsia="Microsoft YaHei" w:hAnsi="Microsoft YaHei" w:cs="Microsoft YaHei"/>
        <w:spacing w:val="-9"/>
        <w:position w:val="-1"/>
        <w:sz w:val="18"/>
        <w:szCs w:val="18"/>
      </w:rPr>
      <w:t>11</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400.5pt;height:394.1pt;margin-top:210.97pt;margin-left:97.85pt;mso-position-horizontal-relative:page;mso-position-vertical-relative:page;position:absolute;z-index:-251658240" o:allowincell="f" filled="f" stroked="f">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400.5pt;height:394.1pt;margin-top:210.97pt;margin-left:97.85pt;mso-position-horizontal-relative:page;mso-position-vertical-relative:page;position:absolute;z-index:-251657216" o:allowincell="f" filled="f" stroked="f">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400.5pt;height:394.1pt;margin-top:210.97pt;margin-left:97.85pt;mso-position-horizontal-relative:page;mso-position-vertical-relative:page;position:absolute;z-index:-251656192" o:allowincell="f" filled="f" stroked="f">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400.5pt;height:394.1pt;margin-top:210.97pt;margin-left:97.85pt;mso-position-horizontal-relative:page;mso-position-vertical-relative:page;position:absolute;z-index:-251655168" o:allowincell="f" filled="f" stroked="f">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400.5pt;height:394.1pt;margin-top:210.97pt;margin-left:97.85pt;mso-position-horizontal-relative:page;mso-position-vertical-relative:page;position:absolute;z-index:-251654144" o:allowincell="f" filled="f" stroked="f">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400.5pt;height:394.1pt;margin-top:210.97pt;margin-left:97.85pt;mso-position-horizontal-relative:page;mso-position-vertical-relative:page;position:absolute;z-index:-251653120" o:allowincell="f" filled="f" stroked="f">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400.5pt;height:394.1pt;margin-top:210.97pt;margin-left:97.85pt;mso-position-horizontal-relative:page;mso-position-vertical-relative:page;position:absolute;z-index:-251652096" o:allowincell="f" filled="f" stroked="f">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400.5pt;height:394.1pt;margin-top:210.97pt;margin-left:97.85pt;mso-position-horizontal-relative:page;mso-position-vertical-relative:page;position:absolute;z-index:-251651072" o:allowincell="f" filled="f" stroked="f">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400.5pt;height:394.1pt;margin-top:210.97pt;margin-left:97.85pt;mso-position-horizontal-relative:page;mso-position-vertical-relative:page;position:absolute;z-index:-251650048" o:allowincell="f" filled="f" stroked="f">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400.5pt;height:394.1pt;margin-top:210.97pt;margin-left:97.85pt;mso-position-horizontal-relative:page;mso-position-vertical-relative:page;position:absolute;z-index:-251649024" o:allowincell="f" filled="f" stroked="f">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400.5pt;height:394.1pt;margin-top:210.97pt;margin-left:97.85pt;mso-position-horizontal-relative:page;mso-position-vertical-relative:page;position:absolute;z-index:-251648000" o:allowincell="f" filled="f" stroked="f">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400.5pt;height:394.1pt;margin-top:210.97pt;margin-left:97.85pt;mso-position-horizontal-relative:page;mso-position-vertical-relative:page;position:absolute;z-index:-251646976" o:allowincell="f" filled="f" stroked="f">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400.5pt;height:394.1pt;margin-top:210.97pt;margin-left:97.85pt;mso-position-horizontal-relative:page;mso-position-vertical-relative:page;position:absolute;z-index:-251645952" o:allowincell="f" filled="f" stroked="f">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400.5pt;height:394.1pt;margin-top:210.97pt;margin-left:97.85pt;mso-position-horizontal-relative:page;mso-position-vertical-relative:page;position:absolute;z-index:-251644928" o:allowincell="f" filled="f" stroked="f">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400.5pt;height:394.1pt;margin-top:210.97pt;margin-left:97.85pt;mso-position-horizontal-relative:page;mso-position-vertical-relative:page;position:absolute;z-index:-251643904" o:allowincell="f" filled="f" stroked="f">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400.5pt;height:394.1pt;margin-top:210.97pt;margin-left:97.85pt;mso-position-horizontal-relative:page;mso-position-vertical-relative:page;position:absolute;z-index:-251642880" o:allowincell="f" filled="f" stroked="f">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400.5pt;height:394.1pt;margin-top:210.97pt;margin-left:97.85pt;mso-position-horizontal-relative:page;mso-position-vertical-relative:page;position:absolute;z-index:-251641856" o:allowincell="f" filled="f" stroked="f">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400.5pt;height:394.1pt;margin-top:210.97pt;margin-left:97.85pt;mso-position-horizontal-relative:page;mso-position-vertical-relative:page;position:absolute;z-index:-251640832" o:allowincell="f" filled="f" stroked="f">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400.5pt;height:394.1pt;margin-top:210.97pt;margin-left:97.85pt;mso-position-horizontal-relative:page;mso-position-vertical-relative:page;position:absolute;z-index:-251639808" o:allowincell="f" filled="f" stroked="f">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400.5pt;height:394.1pt;margin-top:210.97pt;margin-left:97.85pt;mso-position-horizontal-relative:page;mso-position-vertical-relative:page;position:absolute;z-index:-251638784" o:allowincell="f" filled="f" stroked="f">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400.5pt;height:394.1pt;margin-top:210.97pt;margin-left:97.85pt;mso-position-horizontal-relative:page;mso-position-vertical-relative:page;position:absolute;z-index:-251637760" o:allowincell="f" filled="f" stroked="f">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400.5pt;height:394.1pt;margin-top:210.97pt;margin-left:97.85pt;mso-position-horizontal-relative:page;mso-position-vertical-relative:page;position:absolute;z-index:-251636736" o:allowincell="f" filled="f" stroked="f">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577005144124006040" TargetMode="Externa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theme" Target="theme/theme1.xml" /><Relationship Id="rId5" Type="http://schemas.openxmlformats.org/officeDocument/2006/relationships/footer" Target="footer1.xml" /><Relationship Id="rId50"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2024-02-07T20:54:44Z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2024-02-07T20:54:48Z</vt:filetime>
  </property>
  <property fmtid="{D5CDD505-2E9C-101B-9397-08002B2CF9AE}" pid="3" name="CRO">
    <vt:lpwstr>wqlLaW5nc29mdCBQREYgdG8gV1BTIDkw</vt:lpwstr>
  </property>
  <property fmtid="{D5CDD505-2E9C-101B-9397-08002B2CF9AE}" pid="4" name="UsrData">
    <vt:lpwstr>65c37d939d6e4a001f3a716awl</vt:lpwstr>
  </property>
</Properties>
</file>