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IPTV运营行业相关公司设立可行性研究报告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_Toc27548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1" w:history="1">
        <w:r>
          <w:rPr>
            <w:rFonts w:ascii="仿宋" w:eastAsia="仿宋" w:hAnsi="仿宋" w:cs="仿宋" w:hint="eastAsia"/>
            <w:lang w:eastAsia="zh-CN"/>
          </w:rPr>
          <w:t>(一)、IPTV运营项目选址原则</w:t>
        </w:r>
        <w:r>
          <w:tab/>
        </w:r>
        <w:r>
          <w:fldChar w:fldCharType="begin"/>
        </w:r>
        <w:r>
          <w:instrText xml:space="preserve"> PAGEREF _Toc11791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(五)、IPTV运营项目选址综合评价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(七)、IPTV运营项目建设必要性分析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(一)、IPTV运营项目背景分析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(二)、IPTV运营项目建设必要性分析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八、IPTV运营项目风险分析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(一)、IPTV运营项目风险分析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(二)、IPTV运营项目风险对策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(五)、IPTV运营项目总投资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_Toc30663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十、IPTV运营项目经济效益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3" w:history="1">
        <w:r>
          <w:rPr>
            <w:rFonts w:ascii="仿宋" w:eastAsia="仿宋" w:hAnsi="仿宋" w:cs="仿宋" w:hint="eastAsia"/>
            <w:lang w:eastAsia="zh-CN"/>
          </w:rPr>
          <w:t>(三)、IPTV运营项目盈利能力分析</w:t>
        </w:r>
        <w:r>
          <w:tab/>
        </w:r>
        <w:r>
          <w:fldChar w:fldCharType="begin"/>
        </w:r>
        <w:r>
          <w:instrText xml:space="preserve"> PAGEREF _Toc25163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8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76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https://d.book118.com/577016160063006032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16160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2023-12-31T20:16:00Z</dcterms:created>
  <dcterms:modified xsi:type="dcterms:W3CDTF">2023-12-31T20:17:05Z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B8430A5269FF46008D480564509A09B4_11</vt:lpwstr>
  </property>
  <property fmtid="{D5CDD505-2E9C-101B-9397-08002B2CF9AE}" pid="3" name="KSOProductBuildVer">
    <vt:lpwstr>2052-12.1.0.16120</vt:lpwstr>
  </property>
</Properties>
</file>