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智能配电终端相关行业公司成立方案及可行性研究报告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四、智能配电终端项目概况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(二)、智能配电终端项目提出的理由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(三)、智能配电终端项目选址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(六)、智能配电终端项目投资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(七)、智能配电终端项目进度规划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(九)、智能配电终端项目综合评价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(五)、智能配电终端项目总投资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(一)、智能配电终端项目进度安排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(二)、智能配电终端项目实施保障措施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八、智能配电终端项目经济效益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eastAsia="zh-CN"/>
          </w:rPr>
          <w:t>(三)、智能配电终端项目盈利能力分析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_Toc7405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(一)、社会责任智能配电终端项目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_Toc24366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_Toc29778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十三、智能配电终端项目总结分析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_Toc11955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(二)、合作智能配电终端项目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7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https://d.book118.com/577020155064006032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20155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2024-01-01T10:56:00Z</dcterms:created>
  <dcterms:modified xsi:type="dcterms:W3CDTF">2024-01-01T10:57:03Z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1DDEE87DAFE546D29E340A9B25843BC6_11</vt:lpwstr>
  </property>
  <property fmtid="{D5CDD505-2E9C-101B-9397-08002B2CF9AE}" pid="3" name="KSOProductBuildVer">
    <vt:lpwstr>2052-12.1.0.16120</vt:lpwstr>
  </property>
</Properties>
</file>