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6" w:beforeLines="50" w:after="156" w:afterLines="50" w:line="360" w:lineRule="auto"/>
        <w:jc w:val="center"/>
        <w:rPr>
          <w:b/>
          <w:sz w:val="36"/>
          <w:szCs w:val="36"/>
        </w:rPr>
      </w:pPr>
      <w:r>
        <w:rPr>
          <w:b/>
          <w:sz w:val="36"/>
          <w:szCs w:val="36"/>
        </w:rPr>
        <w:t>目录</w:t>
      </w:r>
    </w:p>
    <w:p>
      <w:pPr>
        <w:pStyle w:val="TOC1"/>
        <w:tabs>
          <w:tab w:val="right" w:leader="dot" w:pos="8720"/>
        </w:tabs>
        <w:spacing w:line="360" w:lineRule="auto"/>
        <w:rPr>
          <w:rFonts w:ascii="Times New Roman" w:eastAsia="等线" w:hAnsi="Times New Roman"/>
          <w:lang w:val="en-US" w:eastAsia="zh-CN"/>
        </w:rPr>
      </w:pP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hyperlink w:anchor="_Toc46132533" w:history="1">
        <w:r>
          <w:rPr>
            <w:rStyle w:val="Hyperlink"/>
            <w:rFonts w:ascii="Times New Roman" w:hAnsi="Times New Roman"/>
          </w:rPr>
          <w:t>1．设计依据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_Toc46132533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34" w:history="1">
        <w:r>
          <w:rPr>
            <w:rStyle w:val="Hyperlink"/>
            <w:rFonts w:ascii="Times New Roman" w:hAnsi="Times New Roman"/>
            <w:sz w:val="28"/>
            <w:szCs w:val="28"/>
          </w:rPr>
          <w:t>1.1建设项目依据的批准文件</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_Toc46132534 \h </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35" w:history="1">
        <w:r>
          <w:rPr>
            <w:rStyle w:val="Hyperlink"/>
            <w:rFonts w:ascii="Times New Roman" w:hAnsi="Times New Roman"/>
            <w:sz w:val="28"/>
            <w:szCs w:val="28"/>
          </w:rPr>
          <w:t>1.2有关法律、法规、规章、规范性文件</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_Toc46132535 \h </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36" w:history="1">
        <w:r>
          <w:rPr>
            <w:rStyle w:val="Hyperlink"/>
            <w:rFonts w:ascii="Times New Roman" w:hAnsi="Times New Roman"/>
            <w:sz w:val="28"/>
            <w:szCs w:val="28"/>
          </w:rPr>
          <w:t>1.3其他设计依据</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_Toc46132536 \h </w:instrText>
        </w:r>
        <w:r>
          <w:rPr>
            <w:rFonts w:ascii="Times New Roman" w:hAnsi="Times New Roman"/>
            <w:sz w:val="28"/>
            <w:szCs w:val="28"/>
          </w:rPr>
          <w:fldChar w:fldCharType="separate"/>
        </w:r>
        <w:r>
          <w:rPr>
            <w:rFonts w:ascii="Times New Roman" w:hAnsi="Times New Roman"/>
            <w:sz w:val="28"/>
            <w:szCs w:val="28"/>
          </w:rPr>
          <w:t>6</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37" w:history="1">
        <w:r>
          <w:rPr>
            <w:rStyle w:val="Hyperlink"/>
            <w:rFonts w:ascii="Times New Roman" w:hAnsi="Times New Roman"/>
          </w:rPr>
          <w:t>2．建设项目概述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_Toc46132537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38" w:history="1">
        <w:r>
          <w:rPr>
            <w:rStyle w:val="Hyperlink"/>
            <w:rFonts w:ascii="Times New Roman" w:hAnsi="Times New Roman"/>
            <w:sz w:val="28"/>
            <w:szCs w:val="28"/>
          </w:rPr>
          <w:t>2.1工程性质及设计内容</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_Toc46132538 \h </w:instrText>
        </w:r>
        <w:r>
          <w:rPr>
            <w:rFonts w:ascii="Times New Roman" w:hAnsi="Times New Roman"/>
            <w:sz w:val="28"/>
            <w:szCs w:val="28"/>
          </w:rPr>
          <w:fldChar w:fldCharType="separate"/>
        </w:r>
        <w:r>
          <w:rPr>
            <w:rFonts w:ascii="Times New Roman" w:hAnsi="Times New Roman"/>
            <w:sz w:val="28"/>
            <w:szCs w:val="28"/>
          </w:rPr>
          <w:t>7</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39" w:history="1">
        <w:r>
          <w:rPr>
            <w:rStyle w:val="Hyperlink"/>
            <w:rFonts w:ascii="Times New Roman" w:hAnsi="Times New Roman"/>
            <w:sz w:val="28"/>
            <w:szCs w:val="28"/>
          </w:rPr>
          <w:t>2.2项目基本概况</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_Toc46132539 \h </w:instrText>
        </w:r>
        <w:r>
          <w:rPr>
            <w:rFonts w:ascii="Times New Roman" w:hAnsi="Times New Roman"/>
            <w:sz w:val="28"/>
            <w:szCs w:val="28"/>
          </w:rPr>
          <w:fldChar w:fldCharType="separate"/>
        </w:r>
        <w:r>
          <w:rPr>
            <w:rFonts w:ascii="Times New Roman" w:hAnsi="Times New Roman"/>
            <w:sz w:val="28"/>
            <w:szCs w:val="28"/>
          </w:rPr>
          <w:t>8</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0" w:history="1">
        <w:r>
          <w:rPr>
            <w:rStyle w:val="Hyperlink"/>
            <w:rFonts w:ascii="Times New Roman" w:hAnsi="Times New Roman"/>
            <w:sz w:val="28"/>
            <w:szCs w:val="28"/>
          </w:rPr>
          <w:t>2.3项目所在地的自然条件</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_Toc46132540 \h </w:instrText>
        </w:r>
        <w:r>
          <w:rPr>
            <w:rFonts w:ascii="Times New Roman" w:hAnsi="Times New Roman"/>
            <w:sz w:val="28"/>
            <w:szCs w:val="28"/>
          </w:rPr>
          <w:fldChar w:fldCharType="separate"/>
        </w:r>
        <w:r>
          <w:rPr>
            <w:rFonts w:ascii="Times New Roman" w:hAnsi="Times New Roman"/>
            <w:sz w:val="28"/>
            <w:szCs w:val="28"/>
          </w:rPr>
          <w:t>15</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41" w:history="1">
        <w:r>
          <w:rPr>
            <w:rStyle w:val="Hyperlink"/>
            <w:rFonts w:ascii="Times New Roman" w:hAnsi="Times New Roman"/>
          </w:rPr>
          <w:t>3．建设项目危险、有害因素及危险、有害程度分析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_Toc46132541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2" w:history="1">
        <w:r>
          <w:rPr>
            <w:rStyle w:val="Hyperlink"/>
            <w:rFonts w:ascii="Times New Roman" w:eastAsia="楷体" w:hAnsi="Times New Roman"/>
            <w:sz w:val="28"/>
            <w:szCs w:val="28"/>
          </w:rPr>
          <w:t>3.1  物质危险性</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_Toc46132542 \h </w:instrText>
        </w:r>
        <w:r>
          <w:rPr>
            <w:rFonts w:ascii="Times New Roman" w:hAnsi="Times New Roman"/>
            <w:sz w:val="28"/>
            <w:szCs w:val="28"/>
          </w:rPr>
          <w:fldChar w:fldCharType="separate"/>
        </w:r>
        <w:r>
          <w:rPr>
            <w:rFonts w:ascii="Times New Roman" w:hAnsi="Times New Roman"/>
            <w:sz w:val="28"/>
            <w:szCs w:val="28"/>
          </w:rPr>
          <w:t>17</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3" w:history="1">
        <w:r>
          <w:rPr>
            <w:rStyle w:val="Hyperlink"/>
            <w:rFonts w:ascii="Times New Roman" w:eastAsia="楷体" w:hAnsi="Times New Roman"/>
            <w:sz w:val="28"/>
            <w:szCs w:val="28"/>
          </w:rPr>
          <w:t>3.2  危险和有害因素辨识与分析</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_Toc46132543 \h </w:instrText>
        </w:r>
        <w:r>
          <w:rPr>
            <w:rFonts w:ascii="Times New Roman" w:hAnsi="Times New Roman"/>
            <w:sz w:val="28"/>
            <w:szCs w:val="28"/>
          </w:rPr>
          <w:fldChar w:fldCharType="separate"/>
        </w:r>
        <w:r>
          <w:rPr>
            <w:rFonts w:ascii="Times New Roman" w:hAnsi="Times New Roman"/>
            <w:sz w:val="28"/>
            <w:szCs w:val="28"/>
          </w:rPr>
          <w:t>27</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4" w:history="1">
        <w:r>
          <w:rPr>
            <w:rStyle w:val="Hyperlink"/>
            <w:rFonts w:ascii="Times New Roman" w:eastAsia="楷体" w:hAnsi="Times New Roman"/>
            <w:sz w:val="28"/>
            <w:szCs w:val="28"/>
          </w:rPr>
          <w:t>3.3  生产经营过程危险、有害因素辨识结果</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_Toc46132544 \h </w:instrText>
        </w:r>
        <w:r>
          <w:rPr>
            <w:rFonts w:ascii="Times New Roman" w:hAnsi="Times New Roman"/>
            <w:sz w:val="28"/>
            <w:szCs w:val="28"/>
          </w:rPr>
          <w:fldChar w:fldCharType="separate"/>
        </w:r>
        <w:r>
          <w:rPr>
            <w:rFonts w:ascii="Times New Roman" w:hAnsi="Times New Roman"/>
            <w:sz w:val="28"/>
            <w:szCs w:val="28"/>
          </w:rPr>
          <w:t>30</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5" w:history="1">
        <w:r>
          <w:rPr>
            <w:rStyle w:val="Hyperlink"/>
            <w:rFonts w:ascii="Times New Roman" w:eastAsia="楷体" w:hAnsi="Times New Roman"/>
            <w:sz w:val="28"/>
            <w:szCs w:val="28"/>
          </w:rPr>
          <w:t>3.4  危险有害因素分布</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_Toc46132545 \h </w:instrText>
        </w:r>
        <w:r>
          <w:rPr>
            <w:rFonts w:ascii="Times New Roman" w:hAnsi="Times New Roman"/>
            <w:sz w:val="28"/>
            <w:szCs w:val="28"/>
          </w:rPr>
          <w:fldChar w:fldCharType="separate"/>
        </w:r>
        <w:r>
          <w:rPr>
            <w:rFonts w:ascii="Times New Roman" w:hAnsi="Times New Roman"/>
            <w:sz w:val="28"/>
            <w:szCs w:val="28"/>
          </w:rPr>
          <w:t>38</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6" w:history="1">
        <w:r>
          <w:rPr>
            <w:rStyle w:val="Hyperlink"/>
            <w:rFonts w:ascii="Times New Roman" w:eastAsia="楷体" w:hAnsi="Times New Roman"/>
            <w:sz w:val="28"/>
            <w:szCs w:val="28"/>
          </w:rPr>
          <w:t>3.5  重大危险源辨识</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_Toc46132546 \h </w:instrText>
        </w:r>
        <w:r>
          <w:rPr>
            <w:rFonts w:ascii="Times New Roman" w:hAnsi="Times New Roman"/>
            <w:sz w:val="28"/>
            <w:szCs w:val="28"/>
          </w:rPr>
          <w:fldChar w:fldCharType="separate"/>
        </w:r>
        <w:r>
          <w:rPr>
            <w:rFonts w:ascii="Times New Roman" w:hAnsi="Times New Roman"/>
            <w:sz w:val="28"/>
            <w:szCs w:val="28"/>
          </w:rPr>
          <w:t>39</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47" w:history="1">
        <w:r>
          <w:rPr>
            <w:rStyle w:val="Hyperlink"/>
            <w:rFonts w:ascii="Times New Roman" w:hAnsi="Times New Roman"/>
          </w:rPr>
          <w:t>4．安全预评价报告中安全对策措施与建议的采纳情况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_Toc46132547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48" w:history="1">
        <w:r>
          <w:rPr>
            <w:rStyle w:val="Hyperlink"/>
            <w:rFonts w:ascii="Times New Roman" w:hAnsi="Times New Roman"/>
          </w:rPr>
          <w:t>5．安全设施设计中采取的防范措施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_Toc46132548 \h </w:instrText>
        </w:r>
        <w:r>
          <w:rPr>
            <w:rFonts w:ascii="Times New Roman" w:hAnsi="Times New Roman"/>
          </w:rPr>
          <w:fldChar w:fldCharType="separate"/>
        </w:r>
        <w:r>
          <w:rPr>
            <w:rFonts w:ascii="Times New Roman" w:hAnsi="Times New Roman"/>
          </w:rPr>
          <w:t>45</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49" w:history="1">
        <w:r>
          <w:rPr>
            <w:rStyle w:val="Hyperlink"/>
            <w:rFonts w:ascii="Times New Roman" w:hAnsi="Times New Roman"/>
            <w:sz w:val="28"/>
            <w:szCs w:val="28"/>
          </w:rPr>
          <w:t>5.1危险物料防范措施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_Toc46132549 \h </w:instrText>
        </w:r>
        <w:r>
          <w:rPr>
            <w:rFonts w:ascii="Times New Roman" w:hAnsi="Times New Roman"/>
            <w:sz w:val="28"/>
            <w:szCs w:val="28"/>
          </w:rPr>
          <w:fldChar w:fldCharType="separate"/>
        </w:r>
        <w:r>
          <w:rPr>
            <w:rFonts w:ascii="Times New Roman" w:hAnsi="Times New Roman"/>
            <w:sz w:val="28"/>
            <w:szCs w:val="28"/>
          </w:rPr>
          <w:t>45</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0" w:history="1">
        <w:r>
          <w:rPr>
            <w:rStyle w:val="Hyperlink"/>
            <w:rFonts w:ascii="Times New Roman" w:hAnsi="Times New Roman"/>
            <w:sz w:val="28"/>
            <w:szCs w:val="28"/>
          </w:rPr>
          <w:t>5.2周边环境危险因素防范措施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_Toc46132550 \h </w:instrText>
        </w:r>
        <w:r>
          <w:rPr>
            <w:rFonts w:ascii="Times New Roman" w:hAnsi="Times New Roman"/>
            <w:sz w:val="28"/>
            <w:szCs w:val="28"/>
          </w:rPr>
          <w:fldChar w:fldCharType="separate"/>
        </w:r>
        <w:r>
          <w:rPr>
            <w:rFonts w:ascii="Times New Roman" w:hAnsi="Times New Roman"/>
            <w:sz w:val="28"/>
            <w:szCs w:val="28"/>
          </w:rPr>
          <w:t>46</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1" w:history="1">
        <w:r>
          <w:rPr>
            <w:rStyle w:val="Hyperlink"/>
            <w:rFonts w:ascii="Times New Roman" w:hAnsi="Times New Roman"/>
            <w:sz w:val="28"/>
            <w:szCs w:val="28"/>
          </w:rPr>
          <w:t>5.3总平面布置和建筑设计安全防范措施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_Toc46132551 \h </w:instrText>
        </w:r>
        <w:r>
          <w:rPr>
            <w:rFonts w:ascii="Times New Roman" w:hAnsi="Times New Roman"/>
            <w:sz w:val="28"/>
            <w:szCs w:val="28"/>
          </w:rPr>
          <w:fldChar w:fldCharType="separate"/>
        </w:r>
        <w:r>
          <w:rPr>
            <w:rFonts w:ascii="Times New Roman" w:hAnsi="Times New Roman"/>
            <w:sz w:val="28"/>
            <w:szCs w:val="28"/>
          </w:rPr>
          <w:t>47</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sectPr>
          <w:headerReference w:type="default" r:id="rId4"/>
          <w:footerReference w:type="even" r:id="rId5"/>
          <w:footerReference w:type="default" r:id="rId6"/>
          <w:pgSz w:w="11906" w:h="16838"/>
          <w:pgMar w:top="1440" w:right="1418" w:bottom="1440" w:left="1418" w:header="851" w:footer="992" w:gutter="0"/>
          <w:pgNumType w:fmt="upperRoman"/>
          <w:cols w:space="708"/>
          <w:docGrid w:type="lines" w:linePitch="312"/>
        </w:sectPr>
      </w:pPr>
      <w:hyperlink w:anchor="_Toc46132552" w:history="1">
        <w:r>
          <w:rPr>
            <w:rStyle w:val="Hyperlink"/>
            <w:rFonts w:ascii="Times New Roman" w:hAnsi="Times New Roman"/>
            <w:sz w:val="28"/>
            <w:szCs w:val="28"/>
          </w:rPr>
          <w:t>5.4工艺、设备作业过程安全防范措施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_Toc46132552 \h </w:instrText>
        </w:r>
        <w:r>
          <w:rPr>
            <w:rFonts w:ascii="Times New Roman" w:hAnsi="Times New Roman"/>
            <w:sz w:val="28"/>
            <w:szCs w:val="28"/>
          </w:rPr>
          <w:fldChar w:fldCharType="separate"/>
        </w:r>
        <w:r>
          <w:rPr>
            <w:rFonts w:ascii="Times New Roman" w:hAnsi="Times New Roman"/>
            <w:sz w:val="28"/>
            <w:szCs w:val="28"/>
          </w:rPr>
          <w:t>49</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3" w:history="1">
        <w:r>
          <w:rPr>
            <w:rStyle w:val="Hyperlink"/>
            <w:rFonts w:ascii="Times New Roman" w:hAnsi="Times New Roman"/>
            <w:sz w:val="28"/>
            <w:szCs w:val="28"/>
          </w:rPr>
          <w:t>5.5电气安全防范措施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_Toc46132553 \h </w:instrText>
        </w:r>
        <w:r>
          <w:rPr>
            <w:rFonts w:ascii="Times New Roman" w:hAnsi="Times New Roman"/>
            <w:sz w:val="28"/>
            <w:szCs w:val="28"/>
          </w:rPr>
          <w:fldChar w:fldCharType="separate"/>
        </w:r>
        <w:r>
          <w:rPr>
            <w:rFonts w:ascii="Times New Roman" w:hAnsi="Times New Roman"/>
            <w:sz w:val="28"/>
            <w:szCs w:val="28"/>
          </w:rPr>
          <w:t>53</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4" w:history="1">
        <w:r>
          <w:rPr>
            <w:rStyle w:val="Hyperlink"/>
            <w:rFonts w:ascii="Times New Roman" w:hAnsi="Times New Roman"/>
            <w:sz w:val="28"/>
            <w:szCs w:val="28"/>
          </w:rPr>
          <w:t>5.6自控系统防范措施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_Toc46132554 \h </w:instrText>
        </w:r>
        <w:r>
          <w:rPr>
            <w:rFonts w:ascii="Times New Roman" w:hAnsi="Times New Roman"/>
            <w:sz w:val="28"/>
            <w:szCs w:val="28"/>
          </w:rPr>
          <w:fldChar w:fldCharType="separate"/>
        </w:r>
        <w:r>
          <w:rPr>
            <w:rFonts w:ascii="Times New Roman" w:hAnsi="Times New Roman"/>
            <w:sz w:val="28"/>
            <w:szCs w:val="28"/>
          </w:rPr>
          <w:t>56</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5" w:history="1">
        <w:r>
          <w:rPr>
            <w:rStyle w:val="Hyperlink"/>
            <w:rFonts w:ascii="Times New Roman" w:hAnsi="Times New Roman"/>
            <w:sz w:val="28"/>
            <w:szCs w:val="28"/>
          </w:rPr>
          <w:t>5.7消防安全防范措施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_Toc46132555 \h </w:instrText>
        </w:r>
        <w:r>
          <w:rPr>
            <w:rFonts w:ascii="Times New Roman" w:hAnsi="Times New Roman"/>
            <w:sz w:val="28"/>
            <w:szCs w:val="28"/>
          </w:rPr>
          <w:fldChar w:fldCharType="separate"/>
        </w:r>
        <w:r>
          <w:rPr>
            <w:rFonts w:ascii="Times New Roman" w:hAnsi="Times New Roman"/>
            <w:sz w:val="28"/>
            <w:szCs w:val="28"/>
          </w:rPr>
          <w:t>56</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6" w:history="1">
        <w:r>
          <w:rPr>
            <w:rStyle w:val="Hyperlink"/>
            <w:rFonts w:ascii="Times New Roman" w:hAnsi="Times New Roman"/>
            <w:sz w:val="28"/>
            <w:szCs w:val="28"/>
          </w:rPr>
          <w:t>5.8职业危害因素控制措施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_Toc46132556 \h </w:instrText>
        </w:r>
        <w:r>
          <w:rPr>
            <w:rFonts w:ascii="Times New Roman" w:hAnsi="Times New Roman"/>
            <w:sz w:val="28"/>
            <w:szCs w:val="28"/>
          </w:rPr>
          <w:fldChar w:fldCharType="separate"/>
        </w:r>
        <w:r>
          <w:rPr>
            <w:rFonts w:ascii="Times New Roman" w:hAnsi="Times New Roman"/>
            <w:sz w:val="28"/>
            <w:szCs w:val="28"/>
          </w:rPr>
          <w:t>57</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7" w:history="1">
        <w:r>
          <w:rPr>
            <w:rStyle w:val="Hyperlink"/>
            <w:rFonts w:ascii="Times New Roman" w:hAnsi="Times New Roman"/>
            <w:sz w:val="28"/>
            <w:szCs w:val="28"/>
          </w:rPr>
          <w:t>5.9其它安全防范措施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_Toc46132557 \h </w:instrText>
        </w:r>
        <w:r>
          <w:rPr>
            <w:rFonts w:ascii="Times New Roman" w:hAnsi="Times New Roman"/>
            <w:sz w:val="28"/>
            <w:szCs w:val="28"/>
          </w:rPr>
          <w:fldChar w:fldCharType="separate"/>
        </w:r>
        <w:r>
          <w:rPr>
            <w:rFonts w:ascii="Times New Roman" w:hAnsi="Times New Roman"/>
            <w:sz w:val="28"/>
            <w:szCs w:val="28"/>
          </w:rPr>
          <w:t>60</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58" w:history="1">
        <w:r>
          <w:rPr>
            <w:rStyle w:val="Hyperlink"/>
            <w:rFonts w:ascii="Times New Roman" w:hAnsi="Times New Roman"/>
            <w:sz w:val="28"/>
            <w:szCs w:val="28"/>
          </w:rPr>
          <w:t>5.10安全设施一览表</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_Toc46132558 \h </w:instrText>
        </w:r>
        <w:r>
          <w:rPr>
            <w:rFonts w:ascii="Times New Roman" w:hAnsi="Times New Roman"/>
            <w:sz w:val="28"/>
            <w:szCs w:val="28"/>
          </w:rPr>
          <w:fldChar w:fldCharType="separate"/>
        </w:r>
        <w:r>
          <w:rPr>
            <w:rFonts w:ascii="Times New Roman" w:hAnsi="Times New Roman"/>
            <w:sz w:val="28"/>
            <w:szCs w:val="28"/>
          </w:rPr>
          <w:t>62</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59" w:history="1">
        <w:r>
          <w:rPr>
            <w:rStyle w:val="Hyperlink"/>
            <w:rFonts w:ascii="Times New Roman" w:hAnsi="Times New Roman"/>
          </w:rPr>
          <w:t>6．事故预防及应急救援措施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_Toc46132559 \h </w:instrText>
        </w:r>
        <w:r>
          <w:rPr>
            <w:rFonts w:ascii="Times New Roman" w:hAnsi="Times New Roman"/>
          </w:rPr>
          <w:fldChar w:fldCharType="separate"/>
        </w:r>
        <w:r>
          <w:rPr>
            <w:rFonts w:ascii="Times New Roman" w:hAnsi="Times New Roman"/>
          </w:rPr>
          <w:t>64</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0" w:history="1">
        <w:r>
          <w:rPr>
            <w:rStyle w:val="Hyperlink"/>
            <w:rFonts w:ascii="Times New Roman" w:hAnsi="Times New Roman"/>
            <w:sz w:val="28"/>
            <w:szCs w:val="28"/>
          </w:rPr>
          <w:t>6.1事故风险分析</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_Toc46132560 \h </w:instrText>
        </w:r>
        <w:r>
          <w:rPr>
            <w:rFonts w:ascii="Times New Roman" w:hAnsi="Times New Roman"/>
            <w:sz w:val="28"/>
            <w:szCs w:val="28"/>
          </w:rPr>
          <w:fldChar w:fldCharType="separate"/>
        </w:r>
        <w:r>
          <w:rPr>
            <w:rFonts w:ascii="Times New Roman" w:hAnsi="Times New Roman"/>
            <w:sz w:val="28"/>
            <w:szCs w:val="28"/>
          </w:rPr>
          <w:t>64</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1" w:history="1">
        <w:r>
          <w:rPr>
            <w:rStyle w:val="Hyperlink"/>
            <w:rFonts w:ascii="Times New Roman" w:hAnsi="Times New Roman"/>
            <w:sz w:val="28"/>
            <w:szCs w:val="28"/>
          </w:rPr>
          <w:t>6.2事故预防及应急救援措施</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_Toc46132561 \h </w:instrText>
        </w:r>
        <w:r>
          <w:rPr>
            <w:rFonts w:ascii="Times New Roman" w:hAnsi="Times New Roman"/>
            <w:sz w:val="28"/>
            <w:szCs w:val="28"/>
          </w:rPr>
          <w:fldChar w:fldCharType="separate"/>
        </w:r>
        <w:r>
          <w:rPr>
            <w:rFonts w:ascii="Times New Roman" w:hAnsi="Times New Roman"/>
            <w:sz w:val="28"/>
            <w:szCs w:val="28"/>
          </w:rPr>
          <w:t>64</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62" w:history="1">
        <w:r>
          <w:rPr>
            <w:rStyle w:val="Hyperlink"/>
            <w:rFonts w:ascii="Times New Roman" w:hAnsi="Times New Roman"/>
          </w:rPr>
          <w:t>7.安全管理措施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_Toc46132562 \h </w:instrText>
        </w:r>
        <w:r>
          <w:rPr>
            <w:rFonts w:ascii="Times New Roman" w:hAnsi="Times New Roman"/>
          </w:rPr>
          <w:fldChar w:fldCharType="separate"/>
        </w:r>
        <w:r>
          <w:rPr>
            <w:rFonts w:ascii="Times New Roman" w:hAnsi="Times New Roman"/>
          </w:rPr>
          <w:t>68</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3" w:history="1">
        <w:r>
          <w:rPr>
            <w:rStyle w:val="Hyperlink"/>
            <w:rFonts w:ascii="Times New Roman" w:hAnsi="Times New Roman"/>
            <w:sz w:val="28"/>
            <w:szCs w:val="28"/>
          </w:rPr>
          <w:t>7.1安全管理机构设置及安全管理人员配备</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_Toc46132563 \h </w:instrText>
        </w:r>
        <w:r>
          <w:rPr>
            <w:rFonts w:ascii="Times New Roman" w:hAnsi="Times New Roman"/>
            <w:sz w:val="28"/>
            <w:szCs w:val="28"/>
          </w:rPr>
          <w:fldChar w:fldCharType="separate"/>
        </w:r>
        <w:r>
          <w:rPr>
            <w:rFonts w:ascii="Times New Roman" w:hAnsi="Times New Roman"/>
            <w:sz w:val="28"/>
            <w:szCs w:val="28"/>
          </w:rPr>
          <w:t>68</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4" w:history="1">
        <w:r>
          <w:rPr>
            <w:rStyle w:val="Hyperlink"/>
            <w:rFonts w:ascii="Times New Roman" w:hAnsi="Times New Roman"/>
            <w:sz w:val="28"/>
            <w:szCs w:val="28"/>
          </w:rPr>
          <w:t>7.2从业人员安全教育培训</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_Toc46132564 \h </w:instrText>
        </w:r>
        <w:r>
          <w:rPr>
            <w:rFonts w:ascii="Times New Roman" w:hAnsi="Times New Roman"/>
            <w:sz w:val="28"/>
            <w:szCs w:val="28"/>
          </w:rPr>
          <w:fldChar w:fldCharType="separate"/>
        </w:r>
        <w:r>
          <w:rPr>
            <w:rFonts w:ascii="Times New Roman" w:hAnsi="Times New Roman"/>
            <w:sz w:val="28"/>
            <w:szCs w:val="28"/>
          </w:rPr>
          <w:t>69</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5" w:history="1">
        <w:r>
          <w:rPr>
            <w:rStyle w:val="Hyperlink"/>
            <w:rFonts w:ascii="Times New Roman" w:hAnsi="Times New Roman"/>
            <w:sz w:val="28"/>
            <w:szCs w:val="28"/>
          </w:rPr>
          <w:t>7.3安全教育、培训设施与器材</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_Toc46132565 \h </w:instrText>
        </w:r>
        <w:r>
          <w:rPr>
            <w:rFonts w:ascii="Times New Roman" w:hAnsi="Times New Roman"/>
            <w:sz w:val="28"/>
            <w:szCs w:val="28"/>
          </w:rPr>
          <w:fldChar w:fldCharType="separate"/>
        </w:r>
        <w:r>
          <w:rPr>
            <w:rFonts w:ascii="Times New Roman" w:hAnsi="Times New Roman"/>
            <w:sz w:val="28"/>
            <w:szCs w:val="28"/>
          </w:rPr>
          <w:t>70</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6" w:history="1">
        <w:r>
          <w:rPr>
            <w:rStyle w:val="Hyperlink"/>
            <w:rFonts w:ascii="Times New Roman" w:hAnsi="Times New Roman"/>
            <w:sz w:val="28"/>
            <w:szCs w:val="28"/>
          </w:rPr>
          <w:t>7.4其它日常安全管理</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_Toc46132566 \h </w:instrText>
        </w:r>
        <w:r>
          <w:rPr>
            <w:rFonts w:ascii="Times New Roman" w:hAnsi="Times New Roman"/>
            <w:sz w:val="28"/>
            <w:szCs w:val="28"/>
          </w:rPr>
          <w:fldChar w:fldCharType="separate"/>
        </w:r>
        <w:r>
          <w:rPr>
            <w:rFonts w:ascii="Times New Roman" w:hAnsi="Times New Roman"/>
            <w:sz w:val="28"/>
            <w:szCs w:val="28"/>
          </w:rPr>
          <w:t>70</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67" w:history="1">
        <w:r>
          <w:rPr>
            <w:rStyle w:val="Hyperlink"/>
            <w:rFonts w:ascii="Times New Roman" w:hAnsi="Times New Roman"/>
          </w:rPr>
          <w:t>8．结论和建议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_Toc46132567 \h </w:instrText>
        </w:r>
        <w:r>
          <w:rPr>
            <w:rFonts w:ascii="Times New Roman" w:hAnsi="Times New Roman"/>
          </w:rPr>
          <w:fldChar w:fldCharType="separate"/>
        </w:r>
        <w:r>
          <w:rPr>
            <w:rFonts w:ascii="Times New Roman" w:hAnsi="Times New Roman"/>
          </w:rPr>
          <w:t>73</w:t>
        </w:r>
        <w:r>
          <w:rPr>
            <w:rFonts w:ascii="Times New Roman" w:hAnsi="Times New Roman"/>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8" w:history="1">
        <w:r>
          <w:rPr>
            <w:rStyle w:val="Hyperlink"/>
            <w:rFonts w:ascii="Times New Roman" w:hAnsi="Times New Roman"/>
            <w:sz w:val="28"/>
            <w:szCs w:val="28"/>
          </w:rPr>
          <w:t>8.1结论及预期效果</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_Toc46132568 \h </w:instrText>
        </w:r>
        <w:r>
          <w:rPr>
            <w:rFonts w:ascii="Times New Roman" w:hAnsi="Times New Roman"/>
            <w:sz w:val="28"/>
            <w:szCs w:val="28"/>
          </w:rPr>
          <w:fldChar w:fldCharType="separate"/>
        </w:r>
        <w:r>
          <w:rPr>
            <w:rFonts w:ascii="Times New Roman" w:hAnsi="Times New Roman"/>
            <w:sz w:val="28"/>
            <w:szCs w:val="28"/>
          </w:rPr>
          <w:t>73</w:t>
        </w:r>
        <w:r>
          <w:rPr>
            <w:rFonts w:ascii="Times New Roman" w:hAnsi="Times New Roman"/>
            <w:sz w:val="28"/>
            <w:szCs w:val="28"/>
          </w:rPr>
          <w:fldChar w:fldCharType="end"/>
        </w:r>
      </w:hyperlink>
    </w:p>
    <w:p>
      <w:pPr>
        <w:pStyle w:val="TOC2"/>
        <w:tabs>
          <w:tab w:val="left" w:pos="635"/>
          <w:tab w:val="right" w:leader="dot" w:pos="9060"/>
        </w:tabs>
        <w:spacing w:line="360" w:lineRule="auto"/>
        <w:ind w:right="840"/>
        <w:rPr>
          <w:rFonts w:ascii="Times New Roman" w:eastAsia="等线" w:hAnsi="Times New Roman"/>
          <w:sz w:val="28"/>
          <w:szCs w:val="28"/>
        </w:rPr>
      </w:pPr>
      <w:hyperlink w:anchor="_Toc46132569" w:history="1">
        <w:r>
          <w:rPr>
            <w:rStyle w:val="Hyperlink"/>
            <w:rFonts w:ascii="Times New Roman" w:hAnsi="Times New Roman"/>
            <w:sz w:val="28"/>
            <w:szCs w:val="28"/>
          </w:rPr>
          <w:t>8.2存在的问题与建议</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_Toc46132569 \h </w:instrText>
        </w:r>
        <w:r>
          <w:rPr>
            <w:rFonts w:ascii="Times New Roman" w:hAnsi="Times New Roman"/>
            <w:sz w:val="28"/>
            <w:szCs w:val="28"/>
          </w:rPr>
          <w:fldChar w:fldCharType="separate"/>
        </w:r>
        <w:r>
          <w:rPr>
            <w:rFonts w:ascii="Times New Roman" w:hAnsi="Times New Roman"/>
            <w:sz w:val="28"/>
            <w:szCs w:val="28"/>
          </w:rPr>
          <w:t>74</w:t>
        </w:r>
        <w:r>
          <w:rPr>
            <w:rFonts w:ascii="Times New Roman" w:hAnsi="Times New Roman"/>
            <w:sz w:val="28"/>
            <w:szCs w:val="28"/>
          </w:rPr>
          <w:fldChar w:fldCharType="end"/>
        </w:r>
      </w:hyperlink>
    </w:p>
    <w:p>
      <w:pPr>
        <w:pStyle w:val="TOC1"/>
        <w:tabs>
          <w:tab w:val="right" w:leader="dot" w:pos="8720"/>
        </w:tabs>
        <w:spacing w:line="360" w:lineRule="auto"/>
        <w:rPr>
          <w:rFonts w:ascii="Times New Roman" w:eastAsia="等线" w:hAnsi="Times New Roman"/>
          <w:lang w:val="en-US" w:eastAsia="zh-CN"/>
        </w:rPr>
      </w:pPr>
      <w:hyperlink w:anchor="_Toc46132570" w:history="1">
        <w:r>
          <w:rPr>
            <w:rStyle w:val="Hyperlink"/>
            <w:rFonts w:ascii="Times New Roman" w:hAnsi="Times New Roman"/>
          </w:rPr>
          <w:t>附件和附图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_Toc46132570 \h </w:instrText>
        </w:r>
        <w:r>
          <w:rPr>
            <w:rFonts w:ascii="Times New Roman" w:hAnsi="Times New Roman"/>
          </w:rPr>
          <w:fldChar w:fldCharType="separate"/>
        </w:r>
        <w:r>
          <w:rPr>
            <w:rFonts w:ascii="Times New Roman" w:hAnsi="Times New Roman"/>
          </w:rPr>
          <w:t>75</w:t>
        </w:r>
        <w:r>
          <w:rPr>
            <w:rFonts w:ascii="Times New Roman" w:hAnsi="Times New Roman"/>
          </w:rPr>
          <w:fldChar w:fldCharType="end"/>
        </w:r>
      </w:hyperlink>
    </w:p>
    <w:p>
      <w:pPr>
        <w:pStyle w:val="TOC1"/>
        <w:tabs>
          <w:tab w:val="right" w:leader="dot" w:pos="8720"/>
        </w:tabs>
        <w:spacing w:line="500" w:lineRule="exact"/>
        <w:jc w:val="both"/>
        <w:rPr>
          <w:rFonts w:ascii="Times New Roman" w:hAnsi="Times New Roman"/>
          <w:lang w:val="en-US" w:eastAsia="zh-CN"/>
        </w:rPr>
      </w:pPr>
      <w:r>
        <w:rPr>
          <w:rFonts w:ascii="Times New Roman" w:hAnsi="Times New Roman"/>
        </w:rPr>
        <w:fldChar w:fldCharType="end"/>
      </w: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p>
    <w:p>
      <w:pPr>
        <w:pStyle w:val="TOC1"/>
        <w:tabs>
          <w:tab w:val="right" w:leader="dot" w:pos="8720"/>
        </w:tabs>
        <w:rPr>
          <w:rFonts w:ascii="Times New Roman" w:hAnsi="Times New Roman"/>
          <w:lang w:val="en-US" w:eastAsia="zh-CN"/>
        </w:rPr>
      </w:pPr>
    </w:p>
    <w:p>
      <w:pPr>
        <w:pStyle w:val="TOC1"/>
        <w:tabs>
          <w:tab w:val="right" w:leader="dot" w:pos="8720"/>
        </w:tabs>
        <w:spacing w:line="500" w:lineRule="exact"/>
        <w:jc w:val="both"/>
        <w:rPr>
          <w:rFonts w:ascii="Times New Roman" w:hAnsi="Times New Roman"/>
        </w:rPr>
        <w:sectPr>
          <w:headerReference w:type="default" r:id="rId7"/>
          <w:footerReference w:type="even" r:id="rId8"/>
          <w:footerReference w:type="default" r:id="rId9"/>
          <w:type w:val="nextPage"/>
          <w:pgSz w:w="11906" w:h="16838"/>
          <w:pgMar w:top="1440" w:right="1418" w:bottom="1440" w:left="1418" w:header="851" w:footer="992" w:gutter="0"/>
          <w:pgNumType w:fmt="upperRoman" w:start="2"/>
          <w:cols w:space="708"/>
          <w:titlePg w:val="0"/>
          <w:docGrid w:type="lines" w:linePitch="312"/>
        </w:sectPr>
      </w:pPr>
      <w:r>
        <w:rPr>
          <w:rFonts w:ascii="Times New Roman" w:hAnsi="Times New Roman"/>
        </w:rPr>
        <w:fldChar w:fldCharType="end"/>
      </w:r>
    </w:p>
    <w:p>
      <w:pPr>
        <w:pStyle w:val="Heading1"/>
        <w:spacing w:line="500" w:lineRule="exact"/>
        <w:jc w:val="center"/>
        <w:rPr>
          <w:sz w:val="32"/>
          <w:szCs w:val="32"/>
        </w:rPr>
      </w:pPr>
      <w:bookmarkStart w:id="0" w:name="_Toc46132533"/>
      <w:bookmarkStart w:id="1" w:name="_Toc17646649"/>
      <w:r>
        <w:rPr>
          <w:sz w:val="32"/>
          <w:szCs w:val="32"/>
        </w:rPr>
        <w:t>1．设计依据</w:t>
      </w:r>
      <w:bookmarkEnd w:id="0"/>
      <w:bookmarkEnd w:id="1"/>
    </w:p>
    <w:p>
      <w:pPr>
        <w:pStyle w:val="Heading2"/>
        <w:numPr>
          <w:ilvl w:val="1"/>
          <w:numId w:val="0"/>
        </w:numPr>
        <w:tabs>
          <w:tab w:val="left" w:pos="720"/>
        </w:tabs>
        <w:spacing w:before="312" w:after="156" w:line="500" w:lineRule="exact"/>
        <w:rPr>
          <w:rFonts w:ascii="Times New Roman" w:hAnsi="Times New Roman"/>
          <w:sz w:val="30"/>
          <w:szCs w:val="30"/>
        </w:rPr>
      </w:pPr>
      <w:bookmarkStart w:id="2" w:name="_Toc46132534"/>
      <w:bookmarkStart w:id="3" w:name="_Toc17646650"/>
      <w:r>
        <w:rPr>
          <w:rFonts w:ascii="Times New Roman" w:hAnsi="Times New Roman"/>
          <w:sz w:val="30"/>
          <w:szCs w:val="30"/>
        </w:rPr>
        <w:t>1.1建设项目依据的批准文件</w:t>
      </w:r>
      <w:bookmarkEnd w:id="2"/>
      <w:bookmarkEnd w:id="3"/>
    </w:p>
    <w:p>
      <w:pPr>
        <w:ind w:firstLine="560" w:firstLineChars="200"/>
        <w:rPr>
          <w:sz w:val="28"/>
          <w:szCs w:val="28"/>
        </w:rPr>
      </w:pPr>
      <w:r>
        <w:rPr>
          <w:sz w:val="28"/>
          <w:szCs w:val="28"/>
        </w:rPr>
        <w:t>1.《营业执照》统一社会信用代码916104</w:t>
      </w:r>
      <w:r>
        <w:rPr>
          <w:rFonts w:hint="eastAsia"/>
          <w:sz w:val="28"/>
          <w:szCs w:val="28"/>
        </w:rPr>
        <w:t>22</w:t>
      </w:r>
      <w:r>
        <w:rPr>
          <w:sz w:val="28"/>
          <w:szCs w:val="28"/>
        </w:rPr>
        <w:t>MA6X</w:t>
      </w:r>
      <w:r>
        <w:rPr>
          <w:rFonts w:hint="eastAsia"/>
          <w:sz w:val="28"/>
          <w:szCs w:val="28"/>
        </w:rPr>
        <w:t>W0NL0X</w:t>
      </w:r>
    </w:p>
    <w:p>
      <w:pPr>
        <w:ind w:firstLine="560" w:firstLineChars="200"/>
        <w:rPr>
          <w:sz w:val="28"/>
          <w:szCs w:val="28"/>
        </w:rPr>
      </w:pPr>
      <w:r>
        <w:rPr>
          <w:rFonts w:hint="eastAsia"/>
          <w:sz w:val="28"/>
          <w:szCs w:val="28"/>
        </w:rPr>
        <w:t>2</w:t>
      </w:r>
      <w:r>
        <w:rPr>
          <w:sz w:val="28"/>
          <w:szCs w:val="28"/>
        </w:rPr>
        <w:t>.</w:t>
      </w:r>
      <w:r>
        <w:rPr>
          <w:rFonts w:hint="eastAsia"/>
          <w:sz w:val="28"/>
          <w:szCs w:val="28"/>
          <w:lang w:eastAsia="zh-CN"/>
        </w:rPr>
        <w:t>XX</w:t>
      </w:r>
      <w:r>
        <w:rPr>
          <w:sz w:val="28"/>
          <w:szCs w:val="28"/>
        </w:rPr>
        <w:t>县</w:t>
      </w:r>
      <w:r>
        <w:rPr>
          <w:rFonts w:hint="eastAsia"/>
          <w:sz w:val="28"/>
          <w:szCs w:val="28"/>
        </w:rPr>
        <w:t>发展和改革局</w:t>
      </w:r>
      <w:r>
        <w:rPr>
          <w:sz w:val="28"/>
          <w:szCs w:val="28"/>
        </w:rPr>
        <w:t>《关于</w:t>
      </w:r>
      <w:r>
        <w:rPr>
          <w:rFonts w:hint="eastAsia"/>
          <w:sz w:val="28"/>
          <w:szCs w:val="28"/>
        </w:rPr>
        <w:t>印发年产10万件机械零部件生产线建设项目备案确认书的通知</w:t>
      </w:r>
      <w:r>
        <w:rPr>
          <w:sz w:val="28"/>
          <w:szCs w:val="28"/>
        </w:rPr>
        <w:t>》</w:t>
      </w:r>
    </w:p>
    <w:p>
      <w:pPr>
        <w:pStyle w:val="Heading2"/>
        <w:numPr>
          <w:ilvl w:val="1"/>
          <w:numId w:val="0"/>
        </w:numPr>
        <w:tabs>
          <w:tab w:val="left" w:pos="720"/>
        </w:tabs>
        <w:spacing w:before="312" w:after="156" w:line="500" w:lineRule="exact"/>
        <w:rPr>
          <w:rFonts w:ascii="Times New Roman" w:hAnsi="Times New Roman"/>
          <w:sz w:val="30"/>
          <w:szCs w:val="30"/>
        </w:rPr>
      </w:pPr>
      <w:bookmarkStart w:id="4" w:name="_Toc17646651"/>
      <w:bookmarkStart w:id="5" w:name="_Toc46132535"/>
      <w:r>
        <w:rPr>
          <w:rFonts w:ascii="Times New Roman" w:hAnsi="Times New Roman"/>
          <w:sz w:val="30"/>
          <w:szCs w:val="30"/>
        </w:rPr>
        <w:t>1.2有关法律、法规、规章、规范性文件</w:t>
      </w:r>
      <w:bookmarkEnd w:id="4"/>
      <w:bookmarkEnd w:id="5"/>
    </w:p>
    <w:p>
      <w:pPr>
        <w:pStyle w:val="Heading3"/>
        <w:numPr>
          <w:ilvl w:val="2"/>
          <w:numId w:val="0"/>
        </w:numPr>
        <w:tabs>
          <w:tab w:val="left" w:pos="720"/>
        </w:tabs>
        <w:spacing w:before="156" w:line="500" w:lineRule="exact"/>
        <w:rPr>
          <w:rFonts w:ascii="Times New Roman" w:hAnsi="Times New Roman"/>
          <w:spacing w:val="16"/>
          <w:szCs w:val="28"/>
        </w:rPr>
      </w:pPr>
      <w:bookmarkStart w:id="6" w:name="_Toc347345643"/>
      <w:bookmarkStart w:id="7" w:name="_Toc350720451"/>
      <w:r>
        <w:rPr>
          <w:rFonts w:ascii="Times New Roman" w:hAnsi="Times New Roman"/>
          <w:spacing w:val="16"/>
          <w:szCs w:val="28"/>
        </w:rPr>
        <w:t>1.2.1法律、法规</w:t>
      </w:r>
      <w:bookmarkStart w:id="8" w:name="_Toc350720452"/>
      <w:bookmarkStart w:id="9" w:name="_Toc326015127"/>
      <w:bookmarkStart w:id="10" w:name="_Toc347345644"/>
      <w:bookmarkEnd w:id="6"/>
      <w:bookmarkEnd w:id="7"/>
    </w:p>
    <w:p>
      <w:pPr>
        <w:ind w:left="561" w:leftChars="267"/>
        <w:rPr>
          <w:sz w:val="28"/>
          <w:szCs w:val="28"/>
        </w:rPr>
      </w:pPr>
      <w:r>
        <w:rPr>
          <w:sz w:val="28"/>
          <w:szCs w:val="28"/>
        </w:rPr>
        <w:t>中华人民共和国主席令[2014]第十三号《中华人民共和国安全生产法》；中华人民共和国主席令[2014]第九号《中华人民共和国环境保护法》；</w:t>
      </w:r>
    </w:p>
    <w:p>
      <w:pPr>
        <w:ind w:firstLine="560" w:firstLineChars="200"/>
        <w:rPr>
          <w:sz w:val="28"/>
          <w:szCs w:val="28"/>
        </w:rPr>
      </w:pPr>
      <w:r>
        <w:rPr>
          <w:sz w:val="28"/>
          <w:szCs w:val="28"/>
        </w:rPr>
        <w:t>中华人民共和国主席令[2018]第二十</w:t>
      </w:r>
      <w:r>
        <w:rPr>
          <w:rFonts w:hint="eastAsia"/>
          <w:sz w:val="28"/>
          <w:szCs w:val="28"/>
        </w:rPr>
        <w:t>四</w:t>
      </w:r>
      <w:r>
        <w:rPr>
          <w:sz w:val="28"/>
          <w:szCs w:val="28"/>
        </w:rPr>
        <w:t>号《中华人民共和国劳动法》</w:t>
      </w:r>
      <w:r>
        <w:rPr>
          <w:rFonts w:hint="eastAsia"/>
          <w:sz w:val="28"/>
          <w:szCs w:val="28"/>
        </w:rPr>
        <w:t>；</w:t>
      </w:r>
    </w:p>
    <w:p>
      <w:pPr>
        <w:ind w:firstLine="560" w:firstLineChars="200"/>
        <w:rPr>
          <w:sz w:val="28"/>
          <w:szCs w:val="28"/>
        </w:rPr>
      </w:pPr>
      <w:r>
        <w:rPr>
          <w:sz w:val="28"/>
          <w:szCs w:val="28"/>
        </w:rPr>
        <w:t>中华人民共和国主席令[2012]第</w:t>
      </w:r>
      <w:r>
        <w:rPr>
          <w:rFonts w:hint="eastAsia"/>
          <w:sz w:val="28"/>
          <w:szCs w:val="28"/>
        </w:rPr>
        <w:t>七十三</w:t>
      </w:r>
      <w:r>
        <w:rPr>
          <w:sz w:val="28"/>
          <w:szCs w:val="28"/>
        </w:rPr>
        <w:t>号《中华人民共和国劳动合同法》；</w:t>
      </w:r>
    </w:p>
    <w:p>
      <w:pPr>
        <w:ind w:firstLine="560" w:firstLineChars="200"/>
        <w:rPr>
          <w:sz w:val="28"/>
          <w:szCs w:val="28"/>
        </w:rPr>
      </w:pPr>
      <w:r>
        <w:rPr>
          <w:sz w:val="28"/>
          <w:szCs w:val="28"/>
        </w:rPr>
        <w:t>中华人民共和国主席令[2019]第</w:t>
      </w:r>
      <w:r>
        <w:rPr>
          <w:rFonts w:hint="eastAsia"/>
          <w:sz w:val="28"/>
          <w:szCs w:val="28"/>
        </w:rPr>
        <w:t>二十九</w:t>
      </w:r>
      <w:r>
        <w:rPr>
          <w:sz w:val="28"/>
          <w:szCs w:val="28"/>
        </w:rPr>
        <w:t>号《中华人民共和国消防法》；</w:t>
      </w:r>
    </w:p>
    <w:p>
      <w:pPr>
        <w:ind w:firstLine="560" w:firstLineChars="200"/>
        <w:rPr>
          <w:sz w:val="28"/>
          <w:szCs w:val="28"/>
        </w:rPr>
      </w:pPr>
      <w:r>
        <w:rPr>
          <w:sz w:val="28"/>
          <w:szCs w:val="28"/>
        </w:rPr>
        <w:t>中华人民共和国主席令[2018]第</w:t>
      </w:r>
      <w:r>
        <w:rPr>
          <w:rFonts w:hint="eastAsia"/>
          <w:sz w:val="28"/>
          <w:szCs w:val="28"/>
        </w:rPr>
        <w:t>二十四</w:t>
      </w:r>
      <w:r>
        <w:rPr>
          <w:sz w:val="28"/>
          <w:szCs w:val="28"/>
        </w:rPr>
        <w:t>号《中华人民共和国职业病防治法》；</w:t>
      </w:r>
    </w:p>
    <w:p>
      <w:pPr>
        <w:ind w:firstLine="560" w:firstLineChars="200"/>
        <w:rPr>
          <w:sz w:val="28"/>
          <w:szCs w:val="28"/>
        </w:rPr>
      </w:pPr>
      <w:r>
        <w:rPr>
          <w:sz w:val="28"/>
          <w:szCs w:val="28"/>
        </w:rPr>
        <w:t>国务院令[2004]第397号(2014版)《安全生产许可证条例》；</w:t>
      </w:r>
    </w:p>
    <w:p>
      <w:pPr>
        <w:ind w:firstLine="560" w:firstLineChars="200"/>
        <w:rPr>
          <w:sz w:val="28"/>
          <w:szCs w:val="28"/>
        </w:rPr>
      </w:pPr>
      <w:r>
        <w:rPr>
          <w:sz w:val="28"/>
          <w:szCs w:val="28"/>
        </w:rPr>
        <w:t>国务院令[2011]第586号《工伤保险条例》；</w:t>
      </w:r>
    </w:p>
    <w:p>
      <w:pPr>
        <w:ind w:firstLine="560" w:firstLineChars="200"/>
        <w:rPr>
          <w:sz w:val="28"/>
          <w:szCs w:val="28"/>
        </w:rPr>
      </w:pPr>
      <w:r>
        <w:rPr>
          <w:sz w:val="28"/>
          <w:szCs w:val="28"/>
        </w:rPr>
        <w:t>国务院令[2011]第591号《危险化学品安全管理条例》；</w:t>
      </w:r>
    </w:p>
    <w:p>
      <w:pPr>
        <w:ind w:firstLine="560" w:firstLineChars="200"/>
        <w:rPr>
          <w:sz w:val="28"/>
          <w:szCs w:val="28"/>
        </w:rPr>
      </w:pPr>
      <w:r>
        <w:rPr>
          <w:sz w:val="28"/>
          <w:szCs w:val="28"/>
        </w:rPr>
        <w:t>国务院令[2011]第593号《公路安全保护条例》；</w:t>
      </w:r>
    </w:p>
    <w:p>
      <w:pPr>
        <w:ind w:firstLine="560" w:firstLineChars="200"/>
        <w:rPr>
          <w:sz w:val="28"/>
          <w:szCs w:val="28"/>
        </w:rPr>
      </w:pPr>
      <w:r>
        <w:rPr>
          <w:sz w:val="28"/>
          <w:szCs w:val="28"/>
        </w:rPr>
        <w:t>国发〔2010〕23号《国务院关于进一步加强企业安全生产工作的通知》；</w:t>
      </w:r>
    </w:p>
    <w:p>
      <w:pPr>
        <w:ind w:firstLine="560" w:firstLineChars="200"/>
        <w:rPr>
          <w:sz w:val="28"/>
          <w:szCs w:val="28"/>
        </w:rPr>
      </w:pPr>
      <w:r>
        <w:rPr>
          <w:sz w:val="28"/>
          <w:szCs w:val="28"/>
        </w:rPr>
        <w:t>国家安全生产监督管理总局令[2010]第36号第77号修正《建设项目安全设施“三同时”监督管理办法》；</w:t>
      </w:r>
    </w:p>
    <w:p>
      <w:pPr>
        <w:ind w:firstLine="560" w:firstLineChars="200"/>
        <w:rPr>
          <w:sz w:val="28"/>
          <w:szCs w:val="28"/>
        </w:rPr>
        <w:sectPr>
          <w:headerReference w:type="default" r:id="rId10"/>
          <w:footerReference w:type="even" r:id="rId11"/>
          <w:footerReference w:type="default" r:id="rId12"/>
          <w:pgSz w:w="11906" w:h="16838"/>
          <w:pgMar w:top="1440" w:right="1418" w:bottom="1440" w:left="1418" w:header="851" w:footer="992" w:gutter="0"/>
          <w:pgNumType w:start="1"/>
          <w:cols w:space="708"/>
          <w:docGrid w:type="lines" w:linePitch="312"/>
        </w:sectPr>
      </w:pPr>
    </w:p>
    <w:p>
      <w:pPr>
        <w:ind w:firstLine="560" w:firstLineChars="200"/>
        <w:rPr>
          <w:sz w:val="28"/>
          <w:szCs w:val="28"/>
        </w:rPr>
      </w:pPr>
      <w:r>
        <w:rPr>
          <w:sz w:val="28"/>
          <w:szCs w:val="28"/>
        </w:rPr>
        <w:t>国家安全生产监督管理总局令[2011]第47号《工作场所职业卫生监督管理规定》；</w:t>
      </w:r>
    </w:p>
    <w:p>
      <w:pPr>
        <w:ind w:firstLine="560" w:firstLineChars="200"/>
        <w:rPr>
          <w:sz w:val="28"/>
          <w:szCs w:val="28"/>
        </w:rPr>
      </w:pPr>
      <w:r>
        <w:rPr>
          <w:sz w:val="28"/>
          <w:szCs w:val="28"/>
        </w:rPr>
        <w:t>国家安全生产监督管理总局令[2012]第51号《建设项目职业卫生“三同时”监督管理暂行办法》；</w:t>
      </w:r>
    </w:p>
    <w:p>
      <w:pPr>
        <w:ind w:firstLine="560" w:firstLineChars="200"/>
        <w:rPr>
          <w:sz w:val="28"/>
          <w:szCs w:val="28"/>
        </w:rPr>
      </w:pPr>
      <w:r>
        <w:rPr>
          <w:sz w:val="28"/>
          <w:szCs w:val="28"/>
        </w:rPr>
        <w:t>国家质量监督检验检疫总局令第92号《起重机械安全监察规定》；</w:t>
      </w:r>
    </w:p>
    <w:p>
      <w:pPr>
        <w:ind w:firstLine="560" w:firstLineChars="200"/>
        <w:rPr>
          <w:sz w:val="28"/>
          <w:szCs w:val="28"/>
        </w:rPr>
      </w:pPr>
      <w:r>
        <w:rPr>
          <w:sz w:val="28"/>
          <w:szCs w:val="28"/>
        </w:rPr>
        <w:t>安监总厅管四〔2011〕205号《关于印发机械纺织卷烟造纸白酒建设项目初步设计安全专篇编写提纲的通知》；</w:t>
      </w:r>
    </w:p>
    <w:p>
      <w:pPr>
        <w:ind w:firstLine="560" w:firstLineChars="200"/>
        <w:rPr>
          <w:sz w:val="28"/>
          <w:szCs w:val="28"/>
        </w:rPr>
      </w:pPr>
      <w:r>
        <w:rPr>
          <w:sz w:val="28"/>
          <w:szCs w:val="28"/>
        </w:rPr>
        <w:t>安监总厅管三[2011]95号《关于公布首批重点监管的危险化学品名录的通知》；</w:t>
      </w:r>
    </w:p>
    <w:p>
      <w:pPr>
        <w:ind w:firstLine="560" w:firstLineChars="200"/>
        <w:rPr>
          <w:sz w:val="28"/>
          <w:szCs w:val="28"/>
        </w:rPr>
      </w:pPr>
      <w:r>
        <w:rPr>
          <w:sz w:val="28"/>
          <w:szCs w:val="28"/>
        </w:rPr>
        <w:t>安监总厅管三[2011]142号《首批重点监管的危险化学品安全措施和应急处置原则》；</w:t>
      </w:r>
    </w:p>
    <w:p>
      <w:pPr>
        <w:ind w:firstLine="560" w:firstLineChars="200"/>
        <w:rPr>
          <w:sz w:val="28"/>
          <w:szCs w:val="28"/>
        </w:rPr>
      </w:pPr>
      <w:r>
        <w:rPr>
          <w:sz w:val="28"/>
          <w:szCs w:val="28"/>
        </w:rPr>
        <w:t>安监总管三[2013]12号《国家安全监管总局关于公布第二批重点监管危险化学品名录的通知》；</w:t>
      </w:r>
    </w:p>
    <w:p>
      <w:pPr>
        <w:ind w:firstLine="560" w:firstLineChars="200"/>
        <w:rPr>
          <w:sz w:val="28"/>
          <w:szCs w:val="28"/>
        </w:rPr>
      </w:pPr>
      <w:r>
        <w:rPr>
          <w:sz w:val="28"/>
          <w:szCs w:val="28"/>
        </w:rPr>
        <w:t>安监总局令第3号（2015年修订）《生产经营单位安全培训规定》</w:t>
      </w:r>
    </w:p>
    <w:p>
      <w:pPr>
        <w:ind w:firstLine="560" w:firstLineChars="200"/>
        <w:rPr>
          <w:sz w:val="28"/>
          <w:szCs w:val="28"/>
        </w:rPr>
      </w:pPr>
      <w:r>
        <w:rPr>
          <w:sz w:val="28"/>
          <w:szCs w:val="28"/>
        </w:rPr>
        <w:t>安监总局令第16号[2007]《安全生产事故隐患排查治理暂行规定》</w:t>
      </w:r>
    </w:p>
    <w:p>
      <w:pPr>
        <w:ind w:firstLine="560" w:firstLineChars="200"/>
        <w:rPr>
          <w:sz w:val="28"/>
          <w:szCs w:val="28"/>
        </w:rPr>
      </w:pPr>
      <w:r>
        <w:rPr>
          <w:sz w:val="28"/>
          <w:szCs w:val="28"/>
        </w:rPr>
        <w:t>安监总局令第42号[2011]安监总局令第42号[2011]《生产安全事故报告和调查处理条例》</w:t>
      </w:r>
    </w:p>
    <w:p>
      <w:pPr>
        <w:ind w:firstLine="560" w:firstLineChars="200"/>
        <w:rPr>
          <w:sz w:val="28"/>
          <w:szCs w:val="28"/>
        </w:rPr>
      </w:pPr>
      <w:r>
        <w:rPr>
          <w:sz w:val="28"/>
          <w:szCs w:val="28"/>
        </w:rPr>
        <w:t>安监总局令第59号[2013]《工贸企业有限空间作业安全管理与监督暂行规定》</w:t>
      </w:r>
    </w:p>
    <w:p>
      <w:pPr>
        <w:ind w:firstLine="560" w:firstLineChars="200"/>
        <w:rPr>
          <w:sz w:val="28"/>
          <w:szCs w:val="28"/>
        </w:rPr>
      </w:pPr>
      <w:r>
        <w:rPr>
          <w:rFonts w:hint="eastAsia"/>
          <w:sz w:val="28"/>
          <w:szCs w:val="28"/>
        </w:rPr>
        <w:t>应急管理部</w:t>
      </w:r>
      <w:r>
        <w:rPr>
          <w:sz w:val="28"/>
          <w:szCs w:val="28"/>
        </w:rPr>
        <w:t>令第2号[2019]《生产安全事故应急预案管理办法》</w:t>
      </w:r>
    </w:p>
    <w:p>
      <w:pPr>
        <w:ind w:firstLine="560" w:firstLineChars="200"/>
        <w:rPr>
          <w:sz w:val="28"/>
          <w:szCs w:val="28"/>
        </w:rPr>
      </w:pPr>
      <w:r>
        <w:rPr>
          <w:sz w:val="28"/>
          <w:szCs w:val="28"/>
        </w:rPr>
        <w:t>公安部令第61号[2001]《机关、团体、企业、事业单位消防安全管理规定》</w:t>
      </w:r>
    </w:p>
    <w:p>
      <w:pPr>
        <w:ind w:firstLine="560" w:firstLineChars="200"/>
        <w:rPr>
          <w:sz w:val="28"/>
          <w:szCs w:val="28"/>
        </w:rPr>
      </w:pPr>
      <w:r>
        <w:rPr>
          <w:sz w:val="28"/>
          <w:szCs w:val="28"/>
        </w:rPr>
        <w:t>公安部令第119号[2012]《建设工程消防监督管理规定》</w:t>
      </w:r>
    </w:p>
    <w:p>
      <w:pPr>
        <w:ind w:firstLine="560" w:firstLineChars="200"/>
        <w:rPr>
          <w:sz w:val="28"/>
          <w:szCs w:val="28"/>
        </w:rPr>
      </w:pPr>
      <w:r>
        <w:rPr>
          <w:sz w:val="28"/>
          <w:szCs w:val="28"/>
        </w:rPr>
        <w:t>中国气象局令第24号[2013]《防雷减灾管理办法》</w:t>
      </w:r>
    </w:p>
    <w:p>
      <w:pPr>
        <w:ind w:firstLine="560" w:firstLineChars="200"/>
        <w:rPr>
          <w:sz w:val="28"/>
          <w:szCs w:val="28"/>
        </w:rPr>
      </w:pPr>
      <w:r>
        <w:rPr>
          <w:sz w:val="28"/>
          <w:szCs w:val="28"/>
        </w:rPr>
        <w:t>中国气象局令第11号[2005]《防雷装置设计审核和竣工验收规定》</w:t>
      </w:r>
    </w:p>
    <w:p>
      <w:pPr>
        <w:ind w:firstLine="560" w:firstLineChars="200"/>
        <w:rPr>
          <w:sz w:val="28"/>
          <w:szCs w:val="28"/>
        </w:rPr>
        <w:sectPr>
          <w:headerReference w:type="default" r:id="rId13"/>
          <w:footerReference w:type="even" r:id="rId14"/>
          <w:footerReference w:type="default" r:id="rId15"/>
          <w:type w:val="nextPage"/>
          <w:pgSz w:w="11906" w:h="16838"/>
          <w:pgMar w:top="1440" w:right="1418" w:bottom="1440" w:left="1418" w:header="851" w:footer="992" w:gutter="0"/>
          <w:pgNumType w:start="2"/>
          <w:cols w:space="708"/>
          <w:titlePg w:val="0"/>
          <w:docGrid w:type="lines" w:linePitch="312"/>
        </w:sectPr>
      </w:pPr>
      <w:r>
        <w:rPr>
          <w:sz w:val="28"/>
          <w:szCs w:val="28"/>
        </w:rPr>
        <w:t>国家质量检验检疫总局令第140号[2011]《特种设备作业人员监督管理办法》</w:t>
      </w:r>
    </w:p>
    <w:p>
      <w:pPr>
        <w:ind w:firstLine="560" w:firstLineChars="200"/>
        <w:rPr>
          <w:sz w:val="28"/>
          <w:szCs w:val="28"/>
        </w:rPr>
      </w:pPr>
      <w:r>
        <w:rPr>
          <w:sz w:val="28"/>
          <w:szCs w:val="28"/>
        </w:rPr>
        <w:t>国发[2004]2号《国务院关于进一步加强安全生产工作的决定》</w:t>
      </w:r>
    </w:p>
    <w:p>
      <w:pPr>
        <w:ind w:left="561" w:leftChars="267"/>
        <w:rPr>
          <w:sz w:val="28"/>
          <w:szCs w:val="28"/>
        </w:rPr>
      </w:pPr>
      <w:r>
        <w:rPr>
          <w:sz w:val="28"/>
          <w:szCs w:val="28"/>
        </w:rPr>
        <w:t>国发〔2011〕40号《国务院关于坚持科学发展安全发展促进安全生产形势持续稳定好转的意见》</w:t>
      </w:r>
    </w:p>
    <w:p>
      <w:pPr>
        <w:ind w:firstLine="560" w:firstLineChars="200"/>
        <w:rPr>
          <w:sz w:val="28"/>
          <w:szCs w:val="28"/>
        </w:rPr>
      </w:pPr>
      <w:r>
        <w:rPr>
          <w:sz w:val="28"/>
          <w:szCs w:val="28"/>
        </w:rPr>
        <w:t>安监总办〔2015〕27号《国家安全监管总局关于印发企业安全生产责任体系五落实五到位规定的通知》</w:t>
      </w:r>
    </w:p>
    <w:p>
      <w:pPr>
        <w:ind w:firstLine="560" w:firstLineChars="200"/>
        <w:rPr>
          <w:sz w:val="28"/>
          <w:szCs w:val="28"/>
        </w:rPr>
      </w:pPr>
      <w:r>
        <w:rPr>
          <w:sz w:val="28"/>
          <w:szCs w:val="28"/>
        </w:rPr>
        <w:t>《中共中央、国务院关于推进安全生产领域改革发展的意见》（2016年12月9日）</w:t>
      </w:r>
    </w:p>
    <w:p>
      <w:pPr>
        <w:ind w:firstLine="560" w:firstLineChars="200"/>
        <w:rPr>
          <w:sz w:val="28"/>
          <w:szCs w:val="28"/>
        </w:rPr>
      </w:pPr>
      <w:r>
        <w:rPr>
          <w:sz w:val="28"/>
          <w:szCs w:val="28"/>
        </w:rPr>
        <w:t>《国务院关于优化建设工程防雷许可的决定》（国发[2016]39号）</w:t>
      </w:r>
    </w:p>
    <w:p>
      <w:pPr>
        <w:ind w:firstLine="560" w:firstLineChars="200"/>
        <w:rPr>
          <w:sz w:val="28"/>
          <w:szCs w:val="28"/>
        </w:rPr>
      </w:pPr>
      <w:r>
        <w:rPr>
          <w:sz w:val="28"/>
          <w:szCs w:val="28"/>
        </w:rPr>
        <w:t>《国家安全监管总局关于加强冶金有色建材机械轻工纺织烟草商贸等行业安全生产工作的通知》（安监总管四〔2009〕52号）</w:t>
      </w:r>
    </w:p>
    <w:p>
      <w:pPr>
        <w:ind w:firstLine="560" w:firstLineChars="200"/>
        <w:rPr>
          <w:sz w:val="28"/>
          <w:szCs w:val="28"/>
        </w:rPr>
      </w:pPr>
      <w:r>
        <w:rPr>
          <w:sz w:val="28"/>
          <w:szCs w:val="28"/>
        </w:rPr>
        <w:t>《国家安全监管总局关于冶金、有色、建材、机械、轻工、纺织、烟草、商贸等行业企业贯彻落实国务院&lt;通知&gt;的指导意见》（安监总管四〔2010〕169号</w:t>
      </w:r>
    </w:p>
    <w:p>
      <w:pPr>
        <w:ind w:firstLine="560" w:firstLineChars="200"/>
        <w:rPr>
          <w:sz w:val="28"/>
          <w:szCs w:val="28"/>
        </w:rPr>
      </w:pPr>
      <w:r>
        <w:rPr>
          <w:sz w:val="28"/>
          <w:szCs w:val="28"/>
        </w:rPr>
        <w:t>《国家安全监管总局办公厅关于印发用人单位劳动防护用品管理规范的通知》（安监总厅安健〔2015〕124号）</w:t>
      </w:r>
    </w:p>
    <w:p>
      <w:pPr>
        <w:ind w:firstLine="560" w:firstLineChars="200"/>
        <w:rPr>
          <w:sz w:val="28"/>
          <w:szCs w:val="28"/>
        </w:rPr>
      </w:pPr>
      <w:r>
        <w:rPr>
          <w:sz w:val="28"/>
          <w:szCs w:val="28"/>
        </w:rPr>
        <w:t>《关于机械、轻工、纺织、烟草、商贸、军工、公路、水运、轨道交通、电力等行业建设项目安全监管有关问题的通知》（陕安监〔2015〕189号）</w:t>
      </w:r>
    </w:p>
    <w:p>
      <w:pPr>
        <w:ind w:firstLine="560" w:firstLineChars="200"/>
        <w:rPr>
          <w:sz w:val="28"/>
          <w:szCs w:val="28"/>
        </w:rPr>
      </w:pPr>
      <w:r>
        <w:rPr>
          <w:sz w:val="28"/>
          <w:szCs w:val="28"/>
        </w:rPr>
        <w:t>《关于公路水运轨道交通电力军工等行业建设项目安全设施“三同时”审查和安全评价等有关问题的补充通知》（陕安监〔2016〕110号）</w:t>
      </w:r>
    </w:p>
    <w:p>
      <w:pPr>
        <w:ind w:firstLine="560" w:firstLineChars="200"/>
        <w:rPr>
          <w:sz w:val="28"/>
          <w:szCs w:val="28"/>
        </w:rPr>
      </w:pPr>
      <w:r>
        <w:rPr>
          <w:rFonts w:hint="eastAsia"/>
          <w:sz w:val="28"/>
          <w:szCs w:val="28"/>
          <w:lang w:eastAsia="zh-CN"/>
        </w:rPr>
        <w:t>XX</w:t>
      </w:r>
      <w:r>
        <w:rPr>
          <w:sz w:val="28"/>
          <w:szCs w:val="28"/>
        </w:rPr>
        <w:t>省人民代表大会常务委员会公告第四十二号《</w:t>
      </w:r>
      <w:r>
        <w:rPr>
          <w:rFonts w:hint="eastAsia"/>
          <w:sz w:val="28"/>
          <w:szCs w:val="28"/>
          <w:lang w:eastAsia="zh-CN"/>
        </w:rPr>
        <w:t>XX</w:t>
      </w:r>
      <w:r>
        <w:rPr>
          <w:sz w:val="28"/>
          <w:szCs w:val="28"/>
        </w:rPr>
        <w:t>省安全生产条例》；</w:t>
      </w:r>
    </w:p>
    <w:p>
      <w:pPr>
        <w:ind w:firstLine="560" w:firstLineChars="200"/>
        <w:rPr>
          <w:sz w:val="28"/>
          <w:szCs w:val="28"/>
        </w:rPr>
      </w:pPr>
      <w:r>
        <w:rPr>
          <w:sz w:val="28"/>
          <w:szCs w:val="28"/>
        </w:rPr>
        <w:t>陕安监管发〔2008〕35号《</w:t>
      </w:r>
      <w:r>
        <w:rPr>
          <w:rFonts w:hint="eastAsia"/>
          <w:sz w:val="28"/>
          <w:szCs w:val="28"/>
          <w:lang w:eastAsia="zh-CN"/>
        </w:rPr>
        <w:t>XX</w:t>
      </w:r>
      <w:r>
        <w:rPr>
          <w:sz w:val="28"/>
          <w:szCs w:val="28"/>
        </w:rPr>
        <w:t>省安全生产监督管理局关于认真贯彻落实&lt;安全生产事故隐患排查治理暂行规定&gt;的通知》；</w:t>
      </w:r>
    </w:p>
    <w:p>
      <w:pPr>
        <w:ind w:firstLine="560" w:firstLineChars="200"/>
        <w:rPr>
          <w:sz w:val="28"/>
          <w:szCs w:val="28"/>
        </w:rPr>
        <w:sectPr>
          <w:headerReference w:type="default" r:id="rId16"/>
          <w:footerReference w:type="even" r:id="rId17"/>
          <w:footerReference w:type="default" r:id="rId18"/>
          <w:type w:val="nextPage"/>
          <w:pgSz w:w="11906" w:h="16838"/>
          <w:pgMar w:top="1440" w:right="1418" w:bottom="1440" w:left="1418" w:header="851" w:footer="992" w:gutter="0"/>
          <w:pgNumType w:start="3"/>
          <w:cols w:space="708"/>
          <w:titlePg w:val="0"/>
          <w:docGrid w:type="lines" w:linePitch="312"/>
        </w:sectPr>
      </w:pPr>
      <w:r>
        <w:rPr>
          <w:bCs/>
          <w:sz w:val="28"/>
          <w:szCs w:val="28"/>
        </w:rPr>
        <w:t>《工贸行业重大生产安全事故隐患判定标准(2017版)》</w:t>
      </w:r>
      <w:r>
        <w:rPr>
          <w:sz w:val="28"/>
          <w:szCs w:val="28"/>
        </w:rPr>
        <w:t>安监总管四〔2017〕129号</w:t>
      </w:r>
    </w:p>
    <w:p>
      <w:pPr>
        <w:pStyle w:val="Heading3"/>
        <w:numPr>
          <w:ilvl w:val="2"/>
          <w:numId w:val="0"/>
        </w:numPr>
        <w:tabs>
          <w:tab w:val="left" w:pos="720"/>
        </w:tabs>
        <w:spacing w:before="156" w:line="500" w:lineRule="exact"/>
        <w:rPr>
          <w:rFonts w:ascii="Times New Roman" w:hAnsi="Times New Roman"/>
          <w:spacing w:val="16"/>
          <w:szCs w:val="28"/>
        </w:rPr>
      </w:pPr>
      <w:r>
        <w:rPr>
          <w:rFonts w:ascii="Times New Roman" w:hAnsi="Times New Roman"/>
          <w:spacing w:val="16"/>
          <w:szCs w:val="28"/>
        </w:rPr>
        <w:t>1.2.2</w:t>
      </w:r>
      <w:bookmarkStart w:id="11" w:name="_Toc347345645"/>
      <w:bookmarkStart w:id="12" w:name="_Toc350720453"/>
      <w:bookmarkEnd w:id="8"/>
      <w:bookmarkEnd w:id="9"/>
      <w:bookmarkEnd w:id="10"/>
      <w:r>
        <w:rPr>
          <w:rFonts w:ascii="Times New Roman" w:hAnsi="Times New Roman"/>
          <w:spacing w:val="16"/>
          <w:szCs w:val="28"/>
        </w:rPr>
        <w:t>标准、规范</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jc w:val="center"/>
        </w:trPr>
        <w:tc>
          <w:tcPr>
            <w:tcW w:w="481" w:type="pct"/>
            <w:vAlign w:val="center"/>
          </w:tcPr>
          <w:p>
            <w:pPr>
              <w:spacing w:line="240" w:lineRule="auto"/>
              <w:jc w:val="center"/>
              <w:rPr>
                <w:szCs w:val="21"/>
              </w:rPr>
            </w:pPr>
            <w:bookmarkEnd w:id="11"/>
            <w:bookmarkEnd w:id="12"/>
            <w:r>
              <w:rPr>
                <w:szCs w:val="21"/>
              </w:rPr>
              <w:t>序号</w:t>
            </w:r>
          </w:p>
        </w:tc>
        <w:tc>
          <w:tcPr>
            <w:tcW w:w="3005" w:type="pct"/>
            <w:vAlign w:val="center"/>
          </w:tcPr>
          <w:p>
            <w:pPr>
              <w:spacing w:line="240" w:lineRule="auto"/>
              <w:rPr>
                <w:szCs w:val="21"/>
              </w:rPr>
            </w:pPr>
            <w:r>
              <w:rPr>
                <w:szCs w:val="21"/>
              </w:rPr>
              <w:t>名称</w:t>
            </w:r>
          </w:p>
        </w:tc>
        <w:tc>
          <w:tcPr>
            <w:tcW w:w="1514" w:type="pct"/>
            <w:vAlign w:val="center"/>
          </w:tcPr>
          <w:p>
            <w:pPr>
              <w:spacing w:line="240" w:lineRule="auto"/>
              <w:rPr>
                <w:szCs w:val="21"/>
              </w:rPr>
            </w:pPr>
            <w:r>
              <w:rPr>
                <w:szCs w:val="21"/>
              </w:rPr>
              <w:t>标准号</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w:t>
            </w:r>
          </w:p>
        </w:tc>
        <w:tc>
          <w:tcPr>
            <w:tcW w:w="3005" w:type="pct"/>
            <w:vAlign w:val="center"/>
          </w:tcPr>
          <w:p>
            <w:pPr>
              <w:spacing w:line="240" w:lineRule="auto"/>
              <w:rPr>
                <w:szCs w:val="21"/>
              </w:rPr>
            </w:pPr>
            <w:r>
              <w:rPr>
                <w:szCs w:val="21"/>
              </w:rPr>
              <w:t>《工业企业总平面设计规范》</w:t>
            </w:r>
          </w:p>
        </w:tc>
        <w:tc>
          <w:tcPr>
            <w:tcW w:w="1514" w:type="pct"/>
            <w:vAlign w:val="center"/>
          </w:tcPr>
          <w:p>
            <w:pPr>
              <w:spacing w:line="240" w:lineRule="auto"/>
              <w:rPr>
                <w:szCs w:val="21"/>
              </w:rPr>
            </w:pPr>
            <w:r>
              <w:rPr>
                <w:szCs w:val="21"/>
              </w:rPr>
              <w:t>GB50187-2012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w:t>
            </w:r>
          </w:p>
        </w:tc>
        <w:tc>
          <w:tcPr>
            <w:tcW w:w="3005" w:type="pct"/>
            <w:vAlign w:val="center"/>
          </w:tcPr>
          <w:p>
            <w:pPr>
              <w:spacing w:line="240" w:lineRule="auto"/>
              <w:rPr>
                <w:szCs w:val="21"/>
              </w:rPr>
            </w:pPr>
            <w:r>
              <w:rPr>
                <w:szCs w:val="28"/>
              </w:rPr>
              <w:t>《有色金属企业总图运输设计规范</w:t>
            </w:r>
            <w:bookmarkStart w:id="13" w:name="1"/>
            <w:bookmarkEnd w:id="13"/>
            <w:r>
              <w:rPr>
                <w:szCs w:val="28"/>
              </w:rPr>
              <w:t>》</w:t>
            </w:r>
          </w:p>
        </w:tc>
        <w:tc>
          <w:tcPr>
            <w:tcW w:w="1514" w:type="pct"/>
            <w:vAlign w:val="center"/>
          </w:tcPr>
          <w:p>
            <w:pPr>
              <w:spacing w:line="240" w:lineRule="auto"/>
              <w:rPr>
                <w:szCs w:val="21"/>
              </w:rPr>
            </w:pPr>
            <w:r>
              <w:rPr>
                <w:szCs w:val="28"/>
              </w:rPr>
              <w:t>GB 50544-2009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w:t>
            </w:r>
          </w:p>
        </w:tc>
        <w:tc>
          <w:tcPr>
            <w:tcW w:w="3005" w:type="pct"/>
            <w:vAlign w:val="center"/>
          </w:tcPr>
          <w:p>
            <w:pPr>
              <w:spacing w:line="240" w:lineRule="auto"/>
              <w:rPr>
                <w:szCs w:val="21"/>
              </w:rPr>
            </w:pPr>
            <w:r>
              <w:rPr>
                <w:szCs w:val="21"/>
              </w:rPr>
              <w:t>《建筑设计防火规范》</w:t>
            </w:r>
          </w:p>
        </w:tc>
        <w:tc>
          <w:tcPr>
            <w:tcW w:w="1514" w:type="pct"/>
            <w:vAlign w:val="center"/>
          </w:tcPr>
          <w:p>
            <w:pPr>
              <w:spacing w:line="240" w:lineRule="auto"/>
              <w:rPr>
                <w:szCs w:val="21"/>
              </w:rPr>
            </w:pPr>
            <w:r>
              <w:rPr>
                <w:szCs w:val="21"/>
              </w:rPr>
              <w:t>GB50016-2014（2018版）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w:t>
            </w:r>
          </w:p>
        </w:tc>
        <w:tc>
          <w:tcPr>
            <w:tcW w:w="3005" w:type="pct"/>
            <w:vAlign w:val="center"/>
          </w:tcPr>
          <w:p>
            <w:pPr>
              <w:spacing w:line="240" w:lineRule="auto"/>
              <w:rPr>
                <w:szCs w:val="21"/>
              </w:rPr>
            </w:pPr>
            <w:r>
              <w:rPr>
                <w:szCs w:val="21"/>
              </w:rPr>
              <w:t>《机械工业厂房建筑设计规范》</w:t>
            </w:r>
          </w:p>
        </w:tc>
        <w:tc>
          <w:tcPr>
            <w:tcW w:w="1514" w:type="pct"/>
            <w:vAlign w:val="center"/>
          </w:tcPr>
          <w:p>
            <w:pPr>
              <w:spacing w:line="240" w:lineRule="auto"/>
              <w:rPr>
                <w:szCs w:val="21"/>
              </w:rPr>
            </w:pPr>
            <w:r>
              <w:rPr>
                <w:szCs w:val="21"/>
              </w:rPr>
              <w:t>GB50681-2011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w:t>
            </w:r>
          </w:p>
        </w:tc>
        <w:tc>
          <w:tcPr>
            <w:tcW w:w="3005" w:type="pct"/>
            <w:vAlign w:val="center"/>
          </w:tcPr>
          <w:p>
            <w:pPr>
              <w:spacing w:line="240" w:lineRule="auto"/>
              <w:rPr>
                <w:szCs w:val="21"/>
              </w:rPr>
            </w:pPr>
            <w:r>
              <w:rPr>
                <w:szCs w:val="21"/>
              </w:rPr>
              <w:t>《机械工程建设项目职业安全卫生设计规范》</w:t>
            </w:r>
          </w:p>
        </w:tc>
        <w:tc>
          <w:tcPr>
            <w:tcW w:w="1514" w:type="pct"/>
            <w:vAlign w:val="center"/>
          </w:tcPr>
          <w:p>
            <w:pPr>
              <w:spacing w:line="240" w:lineRule="auto"/>
              <w:rPr>
                <w:szCs w:val="21"/>
              </w:rPr>
            </w:pPr>
            <w:r>
              <w:rPr>
                <w:szCs w:val="21"/>
              </w:rPr>
              <w:t>GB51155-2016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6</w:t>
            </w:r>
          </w:p>
        </w:tc>
        <w:tc>
          <w:tcPr>
            <w:tcW w:w="3005" w:type="pct"/>
            <w:vAlign w:val="center"/>
          </w:tcPr>
          <w:p>
            <w:pPr>
              <w:spacing w:line="240" w:lineRule="auto"/>
              <w:rPr>
                <w:szCs w:val="21"/>
              </w:rPr>
            </w:pPr>
            <w:r>
              <w:rPr>
                <w:szCs w:val="21"/>
              </w:rPr>
              <w:t>《机械工业职业安全卫生设计规范》删除</w:t>
            </w:r>
          </w:p>
        </w:tc>
        <w:tc>
          <w:tcPr>
            <w:tcW w:w="1514" w:type="pct"/>
            <w:vAlign w:val="center"/>
          </w:tcPr>
          <w:p>
            <w:pPr>
              <w:spacing w:line="240" w:lineRule="auto"/>
              <w:rPr>
                <w:szCs w:val="21"/>
              </w:rPr>
            </w:pPr>
            <w:r>
              <w:rPr>
                <w:szCs w:val="21"/>
              </w:rPr>
              <w:t>JBJ18-2000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7</w:t>
            </w:r>
          </w:p>
        </w:tc>
        <w:tc>
          <w:tcPr>
            <w:tcW w:w="3005" w:type="pct"/>
            <w:vAlign w:val="center"/>
          </w:tcPr>
          <w:p>
            <w:pPr>
              <w:spacing w:line="240" w:lineRule="auto"/>
              <w:rPr>
                <w:szCs w:val="21"/>
              </w:rPr>
            </w:pPr>
            <w:r>
              <w:rPr>
                <w:szCs w:val="21"/>
              </w:rPr>
              <w:t>《建筑地基基础设计规范》</w:t>
            </w:r>
          </w:p>
        </w:tc>
        <w:tc>
          <w:tcPr>
            <w:tcW w:w="1514" w:type="pct"/>
            <w:vAlign w:val="center"/>
          </w:tcPr>
          <w:p>
            <w:pPr>
              <w:spacing w:line="240" w:lineRule="auto"/>
              <w:rPr>
                <w:szCs w:val="21"/>
              </w:rPr>
            </w:pPr>
            <w:r>
              <w:rPr>
                <w:szCs w:val="21"/>
              </w:rPr>
              <w:t>GB50007-2011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8</w:t>
            </w:r>
          </w:p>
        </w:tc>
        <w:tc>
          <w:tcPr>
            <w:tcW w:w="3005" w:type="pct"/>
            <w:vAlign w:val="center"/>
          </w:tcPr>
          <w:p>
            <w:pPr>
              <w:spacing w:line="240" w:lineRule="auto"/>
              <w:rPr>
                <w:szCs w:val="21"/>
              </w:rPr>
            </w:pPr>
            <w:r>
              <w:rPr>
                <w:szCs w:val="21"/>
              </w:rPr>
              <w:t>《建筑工程抗震设防分类标准》</w:t>
            </w:r>
          </w:p>
        </w:tc>
        <w:tc>
          <w:tcPr>
            <w:tcW w:w="1514" w:type="pct"/>
            <w:vAlign w:val="center"/>
          </w:tcPr>
          <w:p>
            <w:pPr>
              <w:spacing w:line="240" w:lineRule="auto"/>
              <w:rPr>
                <w:szCs w:val="21"/>
              </w:rPr>
            </w:pPr>
            <w:r>
              <w:rPr>
                <w:szCs w:val="21"/>
              </w:rPr>
              <w:t>GB50223-2008</w:t>
            </w:r>
          </w:p>
        </w:tc>
      </w:tr>
      <w:tr>
        <w:tblPrEx>
          <w:tblW w:w="5000" w:type="pct"/>
          <w:jc w:val="center"/>
          <w:tblCellMar>
            <w:top w:w="0" w:type="dxa"/>
            <w:left w:w="108" w:type="dxa"/>
            <w:bottom w:w="0" w:type="dxa"/>
            <w:right w:w="108" w:type="dxa"/>
          </w:tblCellMar>
          <w:tblLook w:val="0000"/>
        </w:tblPrEx>
        <w:trPr>
          <w:trHeight w:val="414"/>
          <w:jc w:val="center"/>
        </w:trPr>
        <w:tc>
          <w:tcPr>
            <w:tcW w:w="481" w:type="pct"/>
            <w:vAlign w:val="center"/>
          </w:tcPr>
          <w:p>
            <w:pPr>
              <w:spacing w:line="240" w:lineRule="auto"/>
              <w:jc w:val="center"/>
              <w:rPr>
                <w:szCs w:val="21"/>
              </w:rPr>
            </w:pPr>
            <w:r>
              <w:rPr>
                <w:szCs w:val="21"/>
              </w:rPr>
              <w:t>9</w:t>
            </w:r>
          </w:p>
        </w:tc>
        <w:tc>
          <w:tcPr>
            <w:tcW w:w="3005" w:type="pct"/>
            <w:vAlign w:val="center"/>
          </w:tcPr>
          <w:p>
            <w:pPr>
              <w:spacing w:line="240" w:lineRule="auto"/>
              <w:rPr>
                <w:szCs w:val="21"/>
              </w:rPr>
            </w:pPr>
            <w:r>
              <w:rPr>
                <w:szCs w:val="21"/>
              </w:rPr>
              <w:t>《建筑抗震设计规范》</w:t>
            </w:r>
          </w:p>
        </w:tc>
        <w:tc>
          <w:tcPr>
            <w:tcW w:w="1514" w:type="pct"/>
            <w:vAlign w:val="center"/>
          </w:tcPr>
          <w:p>
            <w:pPr>
              <w:spacing w:line="240" w:lineRule="auto"/>
              <w:rPr>
                <w:szCs w:val="21"/>
              </w:rPr>
            </w:pPr>
            <w:r>
              <w:rPr>
                <w:szCs w:val="21"/>
              </w:rPr>
              <w:t>GB50011-2010，2016局部修订版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10</w:t>
            </w:r>
          </w:p>
        </w:tc>
        <w:tc>
          <w:tcPr>
            <w:tcW w:w="3005" w:type="pct"/>
            <w:vAlign w:val="center"/>
          </w:tcPr>
          <w:p>
            <w:pPr>
              <w:spacing w:line="240" w:lineRule="auto"/>
              <w:rPr>
                <w:szCs w:val="21"/>
              </w:rPr>
            </w:pPr>
            <w:r>
              <w:rPr>
                <w:szCs w:val="21"/>
              </w:rPr>
              <w:t>《建筑物防雷设计规范》</w:t>
            </w:r>
          </w:p>
        </w:tc>
        <w:tc>
          <w:tcPr>
            <w:tcW w:w="1514" w:type="pct"/>
            <w:vAlign w:val="center"/>
          </w:tcPr>
          <w:p>
            <w:pPr>
              <w:spacing w:line="240" w:lineRule="auto"/>
              <w:rPr>
                <w:szCs w:val="21"/>
              </w:rPr>
            </w:pPr>
            <w:r>
              <w:rPr>
                <w:szCs w:val="21"/>
              </w:rPr>
              <w:t>GB50057-2010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11</w:t>
            </w:r>
          </w:p>
        </w:tc>
        <w:tc>
          <w:tcPr>
            <w:tcW w:w="3005" w:type="pct"/>
            <w:vAlign w:val="center"/>
          </w:tcPr>
          <w:p>
            <w:pPr>
              <w:spacing w:line="240" w:lineRule="auto"/>
              <w:rPr>
                <w:szCs w:val="21"/>
              </w:rPr>
            </w:pPr>
            <w:r>
              <w:rPr>
                <w:szCs w:val="21"/>
              </w:rPr>
              <w:t>《建筑照明设计规范》</w:t>
            </w:r>
          </w:p>
        </w:tc>
        <w:tc>
          <w:tcPr>
            <w:tcW w:w="1514" w:type="pct"/>
            <w:vAlign w:val="center"/>
          </w:tcPr>
          <w:p>
            <w:pPr>
              <w:spacing w:line="240" w:lineRule="auto"/>
              <w:rPr>
                <w:szCs w:val="21"/>
              </w:rPr>
            </w:pPr>
            <w:r>
              <w:rPr>
                <w:szCs w:val="21"/>
              </w:rPr>
              <w:t>GB50034-2013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12</w:t>
            </w:r>
          </w:p>
        </w:tc>
        <w:tc>
          <w:tcPr>
            <w:tcW w:w="3005" w:type="pct"/>
            <w:vAlign w:val="center"/>
          </w:tcPr>
          <w:p>
            <w:pPr>
              <w:spacing w:line="240" w:lineRule="auto"/>
              <w:rPr>
                <w:szCs w:val="21"/>
              </w:rPr>
            </w:pPr>
            <w:r>
              <w:rPr>
                <w:szCs w:val="21"/>
              </w:rPr>
              <w:t>《建筑给水排水设计规范》</w:t>
            </w:r>
          </w:p>
        </w:tc>
        <w:tc>
          <w:tcPr>
            <w:tcW w:w="1514" w:type="pct"/>
            <w:vAlign w:val="center"/>
          </w:tcPr>
          <w:p>
            <w:pPr>
              <w:spacing w:line="240" w:lineRule="auto"/>
              <w:rPr>
                <w:szCs w:val="21"/>
              </w:rPr>
            </w:pPr>
            <w:r>
              <w:rPr>
                <w:szCs w:val="21"/>
              </w:rPr>
              <w:t>GB50015-2003，2009版</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13</w:t>
            </w:r>
          </w:p>
        </w:tc>
        <w:tc>
          <w:tcPr>
            <w:tcW w:w="3005" w:type="pct"/>
            <w:vAlign w:val="center"/>
          </w:tcPr>
          <w:p>
            <w:pPr>
              <w:spacing w:line="240" w:lineRule="auto"/>
              <w:rPr>
                <w:szCs w:val="21"/>
              </w:rPr>
            </w:pPr>
            <w:r>
              <w:rPr>
                <w:szCs w:val="21"/>
              </w:rPr>
              <w:t>《工业建筑采暖通风与空气调节设计规范》</w:t>
            </w:r>
          </w:p>
        </w:tc>
        <w:tc>
          <w:tcPr>
            <w:tcW w:w="1514" w:type="pct"/>
            <w:vAlign w:val="center"/>
          </w:tcPr>
          <w:p>
            <w:pPr>
              <w:spacing w:line="240" w:lineRule="auto"/>
              <w:rPr>
                <w:szCs w:val="21"/>
              </w:rPr>
            </w:pPr>
            <w:r>
              <w:rPr>
                <w:szCs w:val="21"/>
              </w:rPr>
              <w:t>GB50019-2015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14</w:t>
            </w:r>
          </w:p>
        </w:tc>
        <w:tc>
          <w:tcPr>
            <w:tcW w:w="3005" w:type="pct"/>
            <w:vAlign w:val="center"/>
          </w:tcPr>
          <w:p>
            <w:pPr>
              <w:spacing w:line="240" w:lineRule="auto"/>
              <w:rPr>
                <w:szCs w:val="21"/>
              </w:rPr>
            </w:pPr>
            <w:r>
              <w:rPr>
                <w:szCs w:val="21"/>
              </w:rPr>
              <w:t>《民用建筑供暖通风与空气调节设计规范》</w:t>
            </w:r>
          </w:p>
        </w:tc>
        <w:tc>
          <w:tcPr>
            <w:tcW w:w="1514" w:type="pct"/>
            <w:vAlign w:val="center"/>
          </w:tcPr>
          <w:p>
            <w:pPr>
              <w:spacing w:line="240" w:lineRule="auto"/>
              <w:rPr>
                <w:szCs w:val="21"/>
              </w:rPr>
            </w:pPr>
            <w:r>
              <w:rPr>
                <w:szCs w:val="21"/>
              </w:rPr>
              <w:t>GB50736-2012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15</w:t>
            </w:r>
          </w:p>
        </w:tc>
        <w:tc>
          <w:tcPr>
            <w:tcW w:w="3005" w:type="pct"/>
            <w:vAlign w:val="center"/>
          </w:tcPr>
          <w:p>
            <w:pPr>
              <w:spacing w:line="240" w:lineRule="auto"/>
              <w:rPr>
                <w:szCs w:val="21"/>
              </w:rPr>
            </w:pPr>
            <w:r>
              <w:rPr>
                <w:szCs w:val="21"/>
              </w:rPr>
              <w:t>《湿陷性黄土地区建筑规范》</w:t>
            </w:r>
          </w:p>
        </w:tc>
        <w:tc>
          <w:tcPr>
            <w:tcW w:w="1514" w:type="pct"/>
            <w:vAlign w:val="center"/>
          </w:tcPr>
          <w:p>
            <w:pPr>
              <w:spacing w:line="240" w:lineRule="auto"/>
              <w:rPr>
                <w:szCs w:val="21"/>
              </w:rPr>
            </w:pPr>
            <w:r>
              <w:rPr>
                <w:szCs w:val="21"/>
              </w:rPr>
              <w:t>GB50025-2018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16</w:t>
            </w:r>
          </w:p>
        </w:tc>
        <w:tc>
          <w:tcPr>
            <w:tcW w:w="3005" w:type="pct"/>
            <w:vAlign w:val="center"/>
          </w:tcPr>
          <w:p>
            <w:pPr>
              <w:spacing w:line="240" w:lineRule="auto"/>
              <w:rPr>
                <w:szCs w:val="21"/>
              </w:rPr>
            </w:pPr>
            <w:r>
              <w:rPr>
                <w:szCs w:val="21"/>
              </w:rPr>
              <w:t>《建筑施工安全技术统一规范》</w:t>
            </w:r>
          </w:p>
        </w:tc>
        <w:tc>
          <w:tcPr>
            <w:tcW w:w="1514" w:type="pct"/>
            <w:vAlign w:val="center"/>
          </w:tcPr>
          <w:p>
            <w:pPr>
              <w:spacing w:line="240" w:lineRule="auto"/>
              <w:rPr>
                <w:szCs w:val="21"/>
              </w:rPr>
            </w:pPr>
            <w:r>
              <w:rPr>
                <w:szCs w:val="21"/>
              </w:rPr>
              <w:t>GB50870-2013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17</w:t>
            </w:r>
          </w:p>
        </w:tc>
        <w:tc>
          <w:tcPr>
            <w:tcW w:w="3005" w:type="pct"/>
            <w:vAlign w:val="center"/>
          </w:tcPr>
          <w:p>
            <w:pPr>
              <w:spacing w:line="240" w:lineRule="auto"/>
              <w:rPr>
                <w:szCs w:val="21"/>
              </w:rPr>
            </w:pPr>
            <w:r>
              <w:rPr>
                <w:szCs w:val="21"/>
              </w:rPr>
              <w:t>《湿陷性黄土地区建筑基坑工程安全技术规程》</w:t>
            </w:r>
          </w:p>
        </w:tc>
        <w:tc>
          <w:tcPr>
            <w:tcW w:w="1514" w:type="pct"/>
            <w:vAlign w:val="center"/>
          </w:tcPr>
          <w:p>
            <w:pPr>
              <w:spacing w:line="240" w:lineRule="auto"/>
              <w:rPr>
                <w:szCs w:val="21"/>
              </w:rPr>
            </w:pPr>
            <w:r>
              <w:rPr>
                <w:szCs w:val="21"/>
              </w:rPr>
              <w:t>JGJ167-2009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18</w:t>
            </w:r>
          </w:p>
        </w:tc>
        <w:tc>
          <w:tcPr>
            <w:tcW w:w="3005" w:type="pct"/>
            <w:vAlign w:val="center"/>
          </w:tcPr>
          <w:p>
            <w:pPr>
              <w:spacing w:line="240" w:lineRule="auto"/>
              <w:rPr>
                <w:szCs w:val="21"/>
              </w:rPr>
            </w:pPr>
            <w:r>
              <w:rPr>
                <w:szCs w:val="21"/>
              </w:rPr>
              <w:t>《供配电系统设计规范》</w:t>
            </w:r>
          </w:p>
        </w:tc>
        <w:tc>
          <w:tcPr>
            <w:tcW w:w="1514" w:type="pct"/>
            <w:vAlign w:val="center"/>
          </w:tcPr>
          <w:p>
            <w:pPr>
              <w:spacing w:line="240" w:lineRule="auto"/>
              <w:rPr>
                <w:szCs w:val="21"/>
              </w:rPr>
            </w:pPr>
            <w:r>
              <w:rPr>
                <w:szCs w:val="21"/>
              </w:rPr>
              <w:t>GB50052-2009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19</w:t>
            </w:r>
          </w:p>
        </w:tc>
        <w:tc>
          <w:tcPr>
            <w:tcW w:w="3005" w:type="pct"/>
            <w:vAlign w:val="center"/>
          </w:tcPr>
          <w:p>
            <w:pPr>
              <w:spacing w:line="240" w:lineRule="auto"/>
              <w:rPr>
                <w:szCs w:val="21"/>
              </w:rPr>
            </w:pPr>
            <w:r>
              <w:rPr>
                <w:szCs w:val="21"/>
              </w:rPr>
              <w:t>《低压配电设计规范》</w:t>
            </w:r>
          </w:p>
        </w:tc>
        <w:tc>
          <w:tcPr>
            <w:tcW w:w="1514" w:type="pct"/>
            <w:vAlign w:val="center"/>
          </w:tcPr>
          <w:p>
            <w:pPr>
              <w:spacing w:line="240" w:lineRule="auto"/>
              <w:rPr>
                <w:szCs w:val="21"/>
              </w:rPr>
            </w:pPr>
            <w:r>
              <w:rPr>
                <w:szCs w:val="21"/>
              </w:rPr>
              <w:t>GB50054-2011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20</w:t>
            </w:r>
          </w:p>
        </w:tc>
        <w:tc>
          <w:tcPr>
            <w:tcW w:w="3005" w:type="pct"/>
            <w:vAlign w:val="center"/>
          </w:tcPr>
          <w:p>
            <w:pPr>
              <w:spacing w:line="240" w:lineRule="auto"/>
              <w:rPr>
                <w:szCs w:val="21"/>
              </w:rPr>
            </w:pPr>
            <w:r>
              <w:rPr>
                <w:szCs w:val="21"/>
              </w:rPr>
              <w:t>《通用用电设备配电设计规范》</w:t>
            </w:r>
          </w:p>
        </w:tc>
        <w:tc>
          <w:tcPr>
            <w:tcW w:w="1514" w:type="pct"/>
            <w:vAlign w:val="center"/>
          </w:tcPr>
          <w:p>
            <w:pPr>
              <w:spacing w:line="240" w:lineRule="auto"/>
              <w:rPr>
                <w:szCs w:val="21"/>
              </w:rPr>
            </w:pPr>
            <w:r>
              <w:rPr>
                <w:szCs w:val="21"/>
              </w:rPr>
              <w:t>GB50055-2011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21</w:t>
            </w:r>
          </w:p>
        </w:tc>
        <w:tc>
          <w:tcPr>
            <w:tcW w:w="3005" w:type="pct"/>
            <w:vAlign w:val="center"/>
          </w:tcPr>
          <w:p>
            <w:pPr>
              <w:spacing w:line="240" w:lineRule="auto"/>
              <w:rPr>
                <w:szCs w:val="21"/>
              </w:rPr>
            </w:pPr>
            <w:r>
              <w:rPr>
                <w:szCs w:val="21"/>
              </w:rPr>
              <w:t>《消防给水及消火栓系统技术规范》</w:t>
            </w:r>
          </w:p>
        </w:tc>
        <w:tc>
          <w:tcPr>
            <w:tcW w:w="1514" w:type="pct"/>
            <w:vAlign w:val="center"/>
          </w:tcPr>
          <w:p>
            <w:pPr>
              <w:spacing w:line="240" w:lineRule="auto"/>
              <w:rPr>
                <w:szCs w:val="21"/>
              </w:rPr>
            </w:pPr>
            <w:r>
              <w:rPr>
                <w:szCs w:val="21"/>
              </w:rPr>
              <w:t>GB50974-2014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22</w:t>
            </w:r>
          </w:p>
        </w:tc>
        <w:tc>
          <w:tcPr>
            <w:tcW w:w="3005" w:type="pct"/>
            <w:vAlign w:val="center"/>
          </w:tcPr>
          <w:p>
            <w:pPr>
              <w:spacing w:line="240" w:lineRule="auto"/>
              <w:rPr>
                <w:szCs w:val="21"/>
              </w:rPr>
            </w:pPr>
            <w:r>
              <w:rPr>
                <w:szCs w:val="21"/>
              </w:rPr>
              <w:t>《火灾自动报警系统设计规范》</w:t>
            </w:r>
          </w:p>
        </w:tc>
        <w:tc>
          <w:tcPr>
            <w:tcW w:w="1514" w:type="pct"/>
            <w:vAlign w:val="center"/>
          </w:tcPr>
          <w:p>
            <w:pPr>
              <w:spacing w:line="240" w:lineRule="auto"/>
              <w:rPr>
                <w:szCs w:val="21"/>
              </w:rPr>
            </w:pPr>
            <w:r>
              <w:rPr>
                <w:szCs w:val="21"/>
              </w:rPr>
              <w:t>GB50116-2013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23</w:t>
            </w:r>
          </w:p>
        </w:tc>
        <w:tc>
          <w:tcPr>
            <w:tcW w:w="3005" w:type="pct"/>
            <w:vAlign w:val="center"/>
          </w:tcPr>
          <w:p>
            <w:pPr>
              <w:spacing w:line="240" w:lineRule="auto"/>
              <w:rPr>
                <w:szCs w:val="21"/>
              </w:rPr>
            </w:pPr>
            <w:r>
              <w:rPr>
                <w:szCs w:val="21"/>
              </w:rPr>
              <w:t>《建筑灭火器配置设计规范》</w:t>
            </w:r>
          </w:p>
        </w:tc>
        <w:tc>
          <w:tcPr>
            <w:tcW w:w="1514" w:type="pct"/>
            <w:vAlign w:val="center"/>
          </w:tcPr>
          <w:p>
            <w:pPr>
              <w:spacing w:line="240" w:lineRule="auto"/>
              <w:rPr>
                <w:szCs w:val="21"/>
              </w:rPr>
            </w:pPr>
            <w:r>
              <w:rPr>
                <w:szCs w:val="21"/>
              </w:rPr>
              <w:t>GB50140-2005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24</w:t>
            </w:r>
          </w:p>
        </w:tc>
        <w:tc>
          <w:tcPr>
            <w:tcW w:w="3005" w:type="pct"/>
            <w:vAlign w:val="center"/>
          </w:tcPr>
          <w:p>
            <w:pPr>
              <w:spacing w:line="240" w:lineRule="auto"/>
              <w:rPr>
                <w:szCs w:val="21"/>
              </w:rPr>
            </w:pPr>
            <w:r>
              <w:rPr>
                <w:szCs w:val="21"/>
              </w:rPr>
              <w:t>《消防安全疏散标志设置标准》</w:t>
            </w:r>
          </w:p>
        </w:tc>
        <w:tc>
          <w:tcPr>
            <w:tcW w:w="1514" w:type="pct"/>
            <w:vAlign w:val="center"/>
          </w:tcPr>
          <w:p>
            <w:pPr>
              <w:spacing w:line="240" w:lineRule="auto"/>
              <w:rPr>
                <w:szCs w:val="21"/>
              </w:rPr>
            </w:pPr>
            <w:r>
              <w:rPr>
                <w:szCs w:val="21"/>
              </w:rPr>
              <w:t>GB15630-1995</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25</w:t>
            </w:r>
          </w:p>
        </w:tc>
        <w:tc>
          <w:tcPr>
            <w:tcW w:w="3005" w:type="pct"/>
            <w:vAlign w:val="center"/>
          </w:tcPr>
          <w:p>
            <w:pPr>
              <w:spacing w:line="240" w:lineRule="auto"/>
              <w:rPr>
                <w:szCs w:val="21"/>
              </w:rPr>
            </w:pPr>
            <w:r>
              <w:rPr>
                <w:szCs w:val="21"/>
              </w:rPr>
              <w:t>《防止静电事故通用导则》</w:t>
            </w:r>
          </w:p>
        </w:tc>
        <w:tc>
          <w:tcPr>
            <w:tcW w:w="1514" w:type="pct"/>
            <w:vAlign w:val="center"/>
          </w:tcPr>
          <w:p>
            <w:pPr>
              <w:spacing w:line="240" w:lineRule="auto"/>
              <w:rPr>
                <w:szCs w:val="21"/>
              </w:rPr>
            </w:pPr>
            <w:r>
              <w:rPr>
                <w:szCs w:val="21"/>
              </w:rPr>
              <w:t>GB12158-2006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26</w:t>
            </w:r>
          </w:p>
        </w:tc>
        <w:tc>
          <w:tcPr>
            <w:tcW w:w="3005" w:type="pct"/>
            <w:vAlign w:val="center"/>
          </w:tcPr>
          <w:p>
            <w:pPr>
              <w:spacing w:line="240" w:lineRule="auto"/>
              <w:rPr>
                <w:szCs w:val="21"/>
              </w:rPr>
            </w:pPr>
            <w:r>
              <w:rPr>
                <w:szCs w:val="21"/>
              </w:rPr>
              <w:t>《压缩空气站设计规范》</w:t>
            </w:r>
          </w:p>
        </w:tc>
        <w:tc>
          <w:tcPr>
            <w:tcW w:w="1514" w:type="pct"/>
            <w:vAlign w:val="center"/>
          </w:tcPr>
          <w:p>
            <w:pPr>
              <w:spacing w:line="240" w:lineRule="auto"/>
              <w:rPr>
                <w:szCs w:val="21"/>
              </w:rPr>
            </w:pPr>
            <w:r>
              <w:rPr>
                <w:szCs w:val="21"/>
              </w:rPr>
              <w:t>GB50029-2014</w:t>
            </w:r>
          </w:p>
        </w:tc>
      </w:tr>
    </w:tbl>
    <w:p>
      <w:pPr>
        <w:sectPr>
          <w:headerReference w:type="default" r:id="rId19"/>
          <w:footerReference w:type="even" r:id="rId20"/>
          <w:footerReference w:type="default" r:id="rId21"/>
          <w:type w:val="nextPage"/>
          <w:pgSz w:w="11906" w:h="16838"/>
          <w:pgMar w:top="1440" w:right="1418" w:bottom="1440" w:left="1418" w:header="851" w:footer="992" w:gutter="0"/>
          <w:pgNumType w:start="4"/>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27</w:t>
            </w:r>
          </w:p>
        </w:tc>
        <w:tc>
          <w:tcPr>
            <w:tcW w:w="3005" w:type="pct"/>
            <w:vAlign w:val="center"/>
          </w:tcPr>
          <w:p>
            <w:pPr>
              <w:spacing w:line="240" w:lineRule="auto"/>
              <w:rPr>
                <w:szCs w:val="21"/>
              </w:rPr>
            </w:pPr>
            <w:r>
              <w:rPr>
                <w:szCs w:val="21"/>
              </w:rPr>
              <w:t>《固定式压力容器安全技术监察规程》</w:t>
            </w:r>
          </w:p>
        </w:tc>
        <w:tc>
          <w:tcPr>
            <w:tcW w:w="1514" w:type="pct"/>
            <w:vAlign w:val="center"/>
          </w:tcPr>
          <w:p>
            <w:pPr>
              <w:spacing w:line="240" w:lineRule="auto"/>
              <w:rPr>
                <w:szCs w:val="21"/>
              </w:rPr>
            </w:pPr>
            <w:r>
              <w:rPr>
                <w:szCs w:val="21"/>
              </w:rPr>
              <w:t>TSG21-2016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28</w:t>
            </w:r>
          </w:p>
        </w:tc>
        <w:tc>
          <w:tcPr>
            <w:tcW w:w="3005" w:type="pct"/>
            <w:vAlign w:val="center"/>
          </w:tcPr>
          <w:p>
            <w:pPr>
              <w:spacing w:line="240" w:lineRule="auto"/>
              <w:rPr>
                <w:szCs w:val="21"/>
              </w:rPr>
            </w:pPr>
            <w:r>
              <w:rPr>
                <w:szCs w:val="21"/>
              </w:rPr>
              <w:t>《压力管道安全技术监察规程-工业管道》</w:t>
            </w:r>
          </w:p>
        </w:tc>
        <w:tc>
          <w:tcPr>
            <w:tcW w:w="1514" w:type="pct"/>
            <w:vAlign w:val="center"/>
          </w:tcPr>
          <w:p>
            <w:pPr>
              <w:spacing w:line="240" w:lineRule="auto"/>
              <w:rPr>
                <w:szCs w:val="21"/>
              </w:rPr>
            </w:pPr>
            <w:r>
              <w:rPr>
                <w:szCs w:val="21"/>
              </w:rPr>
              <w:t>TSG D0001-2009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29</w:t>
            </w:r>
          </w:p>
        </w:tc>
        <w:tc>
          <w:tcPr>
            <w:tcW w:w="3005" w:type="pct"/>
            <w:vAlign w:val="center"/>
          </w:tcPr>
          <w:p>
            <w:pPr>
              <w:spacing w:line="240" w:lineRule="auto"/>
              <w:rPr>
                <w:szCs w:val="21"/>
              </w:rPr>
            </w:pPr>
            <w:r>
              <w:rPr>
                <w:szCs w:val="21"/>
              </w:rPr>
              <w:t>《起重机械安全规程第1部分：总则》</w:t>
            </w:r>
          </w:p>
        </w:tc>
        <w:tc>
          <w:tcPr>
            <w:tcW w:w="1514" w:type="pct"/>
            <w:vAlign w:val="center"/>
          </w:tcPr>
          <w:p>
            <w:pPr>
              <w:spacing w:line="240" w:lineRule="auto"/>
              <w:rPr>
                <w:szCs w:val="21"/>
              </w:rPr>
            </w:pPr>
            <w:r>
              <w:rPr>
                <w:szCs w:val="21"/>
              </w:rPr>
              <w:t>GB6067.1-2010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30</w:t>
            </w:r>
          </w:p>
        </w:tc>
        <w:tc>
          <w:tcPr>
            <w:tcW w:w="3005" w:type="pct"/>
            <w:vAlign w:val="center"/>
          </w:tcPr>
          <w:p>
            <w:pPr>
              <w:spacing w:line="240" w:lineRule="auto"/>
              <w:rPr>
                <w:szCs w:val="21"/>
              </w:rPr>
            </w:pPr>
            <w:r>
              <w:rPr>
                <w:szCs w:val="21"/>
              </w:rPr>
              <w:t>《金属切削机床安装工程施工及验收规范》</w:t>
            </w:r>
          </w:p>
        </w:tc>
        <w:tc>
          <w:tcPr>
            <w:tcW w:w="1514" w:type="pct"/>
            <w:vAlign w:val="center"/>
          </w:tcPr>
          <w:p>
            <w:pPr>
              <w:spacing w:line="240" w:lineRule="auto"/>
              <w:rPr>
                <w:szCs w:val="21"/>
              </w:rPr>
            </w:pPr>
            <w:r>
              <w:rPr>
                <w:szCs w:val="21"/>
              </w:rPr>
              <w:t>GB50271-2009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31</w:t>
            </w:r>
          </w:p>
        </w:tc>
        <w:tc>
          <w:tcPr>
            <w:tcW w:w="3005" w:type="pct"/>
            <w:vAlign w:val="center"/>
          </w:tcPr>
          <w:p>
            <w:pPr>
              <w:spacing w:line="240" w:lineRule="auto"/>
              <w:rPr>
                <w:szCs w:val="21"/>
              </w:rPr>
            </w:pPr>
            <w:r>
              <w:rPr>
                <w:szCs w:val="21"/>
              </w:rPr>
              <w:t>《金属切削机床安全防护通用技术条件》</w:t>
            </w:r>
          </w:p>
        </w:tc>
        <w:tc>
          <w:tcPr>
            <w:tcW w:w="1514" w:type="pct"/>
            <w:vAlign w:val="center"/>
          </w:tcPr>
          <w:p>
            <w:pPr>
              <w:spacing w:line="240" w:lineRule="auto"/>
              <w:rPr>
                <w:szCs w:val="21"/>
              </w:rPr>
            </w:pPr>
            <w:r>
              <w:rPr>
                <w:szCs w:val="21"/>
              </w:rPr>
              <w:t>GB15760-2004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32</w:t>
            </w:r>
          </w:p>
        </w:tc>
        <w:tc>
          <w:tcPr>
            <w:tcW w:w="3005" w:type="pct"/>
            <w:vAlign w:val="center"/>
          </w:tcPr>
          <w:p>
            <w:pPr>
              <w:spacing w:line="240" w:lineRule="auto"/>
              <w:rPr>
                <w:szCs w:val="21"/>
              </w:rPr>
            </w:pPr>
            <w:r>
              <w:rPr>
                <w:szCs w:val="21"/>
              </w:rPr>
              <w:t>《机械安全固定式直梯的安全设计规范》</w:t>
            </w:r>
          </w:p>
        </w:tc>
        <w:tc>
          <w:tcPr>
            <w:tcW w:w="1514" w:type="pct"/>
            <w:vAlign w:val="center"/>
          </w:tcPr>
          <w:p>
            <w:pPr>
              <w:spacing w:line="240" w:lineRule="auto"/>
              <w:rPr>
                <w:szCs w:val="21"/>
              </w:rPr>
            </w:pPr>
            <w:r>
              <w:rPr>
                <w:szCs w:val="21"/>
              </w:rPr>
              <w:t>GB/T31254-2014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33</w:t>
            </w:r>
          </w:p>
        </w:tc>
        <w:tc>
          <w:tcPr>
            <w:tcW w:w="3005" w:type="pct"/>
            <w:vAlign w:val="center"/>
          </w:tcPr>
          <w:p>
            <w:pPr>
              <w:spacing w:line="240" w:lineRule="auto"/>
              <w:rPr>
                <w:szCs w:val="21"/>
              </w:rPr>
            </w:pPr>
            <w:r>
              <w:rPr>
                <w:szCs w:val="21"/>
              </w:rPr>
              <w:t>《机械安全工业楼梯、工作平台和通道的安全设计规范》</w:t>
            </w:r>
          </w:p>
        </w:tc>
        <w:tc>
          <w:tcPr>
            <w:tcW w:w="1514" w:type="pct"/>
            <w:vAlign w:val="center"/>
          </w:tcPr>
          <w:p>
            <w:pPr>
              <w:spacing w:line="240" w:lineRule="auto"/>
              <w:rPr>
                <w:szCs w:val="21"/>
              </w:rPr>
            </w:pPr>
            <w:r>
              <w:rPr>
                <w:szCs w:val="21"/>
              </w:rPr>
              <w:t>GB/T31255-2014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34</w:t>
            </w:r>
          </w:p>
        </w:tc>
        <w:tc>
          <w:tcPr>
            <w:tcW w:w="3005" w:type="pct"/>
            <w:vAlign w:val="center"/>
          </w:tcPr>
          <w:p>
            <w:pPr>
              <w:spacing w:line="240" w:lineRule="auto"/>
              <w:rPr>
                <w:szCs w:val="21"/>
              </w:rPr>
            </w:pPr>
            <w:r>
              <w:rPr>
                <w:szCs w:val="21"/>
              </w:rPr>
              <w:t>《工业企业设计卫生标准》</w:t>
            </w:r>
          </w:p>
        </w:tc>
        <w:tc>
          <w:tcPr>
            <w:tcW w:w="1514" w:type="pct"/>
            <w:vAlign w:val="center"/>
          </w:tcPr>
          <w:p>
            <w:pPr>
              <w:spacing w:line="240" w:lineRule="auto"/>
              <w:rPr>
                <w:szCs w:val="21"/>
              </w:rPr>
            </w:pPr>
            <w:r>
              <w:rPr>
                <w:szCs w:val="21"/>
              </w:rPr>
              <w:t>GBZ 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35</w:t>
            </w:r>
          </w:p>
        </w:tc>
        <w:tc>
          <w:tcPr>
            <w:tcW w:w="3005" w:type="pct"/>
            <w:vAlign w:val="center"/>
          </w:tcPr>
          <w:p>
            <w:pPr>
              <w:spacing w:line="240" w:lineRule="auto"/>
              <w:rPr>
                <w:szCs w:val="21"/>
              </w:rPr>
            </w:pPr>
            <w:r>
              <w:rPr>
                <w:szCs w:val="21"/>
              </w:rPr>
              <w:t>《工作场所有害因素职业接触限值 第1部分：化学有害因素》</w:t>
            </w:r>
          </w:p>
        </w:tc>
        <w:tc>
          <w:tcPr>
            <w:tcW w:w="1514" w:type="pct"/>
            <w:vAlign w:val="center"/>
          </w:tcPr>
          <w:p>
            <w:pPr>
              <w:spacing w:line="240" w:lineRule="auto"/>
              <w:rPr>
                <w:szCs w:val="21"/>
              </w:rPr>
            </w:pPr>
            <w:r>
              <w:rPr>
                <w:szCs w:val="21"/>
              </w:rPr>
              <w:t>GBZ2.1-2007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36</w:t>
            </w:r>
          </w:p>
        </w:tc>
        <w:tc>
          <w:tcPr>
            <w:tcW w:w="3005" w:type="pct"/>
            <w:vAlign w:val="center"/>
          </w:tcPr>
          <w:p>
            <w:pPr>
              <w:spacing w:line="240" w:lineRule="auto"/>
              <w:rPr>
                <w:szCs w:val="21"/>
              </w:rPr>
            </w:pPr>
            <w:r>
              <w:rPr>
                <w:szCs w:val="21"/>
              </w:rPr>
              <w:t>《工作场所有害因素职业接触限值 第2部分：物理因素》</w:t>
            </w:r>
          </w:p>
        </w:tc>
        <w:tc>
          <w:tcPr>
            <w:tcW w:w="1514" w:type="pct"/>
            <w:vAlign w:val="center"/>
          </w:tcPr>
          <w:p>
            <w:pPr>
              <w:spacing w:line="240" w:lineRule="auto"/>
              <w:rPr>
                <w:szCs w:val="21"/>
              </w:rPr>
            </w:pPr>
            <w:r>
              <w:rPr>
                <w:szCs w:val="21"/>
              </w:rPr>
              <w:t>GBZ2.2-2007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37</w:t>
            </w:r>
          </w:p>
        </w:tc>
        <w:tc>
          <w:tcPr>
            <w:tcW w:w="3005" w:type="pct"/>
            <w:vAlign w:val="center"/>
          </w:tcPr>
          <w:p>
            <w:pPr>
              <w:spacing w:line="240" w:lineRule="auto"/>
              <w:rPr>
                <w:szCs w:val="21"/>
              </w:rPr>
            </w:pPr>
            <w:r>
              <w:rPr>
                <w:szCs w:val="21"/>
              </w:rPr>
              <w:t>《生产过程安全卫生要求总则》</w:t>
            </w:r>
          </w:p>
        </w:tc>
        <w:tc>
          <w:tcPr>
            <w:tcW w:w="1514" w:type="pct"/>
            <w:vAlign w:val="center"/>
          </w:tcPr>
          <w:p>
            <w:pPr>
              <w:spacing w:line="240" w:lineRule="auto"/>
              <w:rPr>
                <w:szCs w:val="21"/>
              </w:rPr>
            </w:pPr>
            <w:r>
              <w:rPr>
                <w:szCs w:val="21"/>
              </w:rPr>
              <w:t>GB/T12801-2008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38</w:t>
            </w:r>
          </w:p>
        </w:tc>
        <w:tc>
          <w:tcPr>
            <w:tcW w:w="3005" w:type="pct"/>
            <w:vAlign w:val="center"/>
          </w:tcPr>
          <w:p>
            <w:pPr>
              <w:spacing w:line="240" w:lineRule="auto"/>
              <w:rPr>
                <w:szCs w:val="21"/>
              </w:rPr>
            </w:pPr>
            <w:r>
              <w:rPr>
                <w:szCs w:val="21"/>
              </w:rPr>
              <w:t>《生产过程危险和有害因素分类与代码》</w:t>
            </w:r>
          </w:p>
        </w:tc>
        <w:tc>
          <w:tcPr>
            <w:tcW w:w="1514" w:type="pct"/>
            <w:vAlign w:val="center"/>
          </w:tcPr>
          <w:p>
            <w:pPr>
              <w:spacing w:line="240" w:lineRule="auto"/>
              <w:rPr>
                <w:szCs w:val="21"/>
              </w:rPr>
            </w:pPr>
            <w:r>
              <w:rPr>
                <w:szCs w:val="21"/>
              </w:rPr>
              <w:t>GB/T13861-2009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39</w:t>
            </w:r>
          </w:p>
        </w:tc>
        <w:tc>
          <w:tcPr>
            <w:tcW w:w="3005" w:type="pct"/>
            <w:vAlign w:val="center"/>
          </w:tcPr>
          <w:p>
            <w:pPr>
              <w:spacing w:line="240" w:lineRule="auto"/>
              <w:rPr>
                <w:szCs w:val="21"/>
              </w:rPr>
            </w:pPr>
            <w:r>
              <w:rPr>
                <w:szCs w:val="21"/>
              </w:rPr>
              <w:t>《个体防护装备选用规范》</w:t>
            </w:r>
          </w:p>
        </w:tc>
        <w:tc>
          <w:tcPr>
            <w:tcW w:w="1514" w:type="pct"/>
            <w:vAlign w:val="center"/>
          </w:tcPr>
          <w:p>
            <w:pPr>
              <w:spacing w:line="240" w:lineRule="auto"/>
              <w:rPr>
                <w:szCs w:val="21"/>
              </w:rPr>
            </w:pPr>
            <w:r>
              <w:rPr>
                <w:szCs w:val="21"/>
              </w:rPr>
              <w:t>GB/T11651-2008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40</w:t>
            </w:r>
          </w:p>
        </w:tc>
        <w:tc>
          <w:tcPr>
            <w:tcW w:w="3005" w:type="pct"/>
            <w:vAlign w:val="center"/>
          </w:tcPr>
          <w:p>
            <w:pPr>
              <w:spacing w:line="240" w:lineRule="auto"/>
              <w:rPr>
                <w:szCs w:val="21"/>
              </w:rPr>
            </w:pPr>
            <w:r>
              <w:rPr>
                <w:szCs w:val="21"/>
              </w:rPr>
              <w:t>《企业职工伤亡事故分类》</w:t>
            </w:r>
          </w:p>
        </w:tc>
        <w:tc>
          <w:tcPr>
            <w:tcW w:w="1514" w:type="pct"/>
            <w:vAlign w:val="center"/>
          </w:tcPr>
          <w:p>
            <w:pPr>
              <w:spacing w:line="240" w:lineRule="auto"/>
              <w:rPr>
                <w:szCs w:val="21"/>
              </w:rPr>
            </w:pPr>
            <w:r>
              <w:rPr>
                <w:szCs w:val="21"/>
              </w:rPr>
              <w:t>GB6441-1986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41</w:t>
            </w:r>
          </w:p>
        </w:tc>
        <w:tc>
          <w:tcPr>
            <w:tcW w:w="3005" w:type="pct"/>
            <w:vAlign w:val="center"/>
          </w:tcPr>
          <w:p>
            <w:pPr>
              <w:spacing w:line="240" w:lineRule="auto"/>
              <w:rPr>
                <w:szCs w:val="21"/>
              </w:rPr>
            </w:pPr>
            <w:r>
              <w:rPr>
                <w:szCs w:val="21"/>
              </w:rPr>
              <w:t>《安全色》</w:t>
            </w:r>
          </w:p>
        </w:tc>
        <w:tc>
          <w:tcPr>
            <w:tcW w:w="1514" w:type="pct"/>
            <w:vAlign w:val="center"/>
          </w:tcPr>
          <w:p>
            <w:pPr>
              <w:spacing w:line="240" w:lineRule="auto"/>
              <w:rPr>
                <w:szCs w:val="21"/>
              </w:rPr>
            </w:pPr>
            <w:r>
              <w:rPr>
                <w:szCs w:val="21"/>
              </w:rPr>
              <w:t>GB2893-2008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42</w:t>
            </w:r>
          </w:p>
        </w:tc>
        <w:tc>
          <w:tcPr>
            <w:tcW w:w="3005" w:type="pct"/>
            <w:vAlign w:val="center"/>
          </w:tcPr>
          <w:p>
            <w:pPr>
              <w:spacing w:line="240" w:lineRule="auto"/>
              <w:rPr>
                <w:szCs w:val="21"/>
              </w:rPr>
            </w:pPr>
            <w:r>
              <w:rPr>
                <w:szCs w:val="21"/>
              </w:rPr>
              <w:t>《安全标志及其使用导则》</w:t>
            </w:r>
          </w:p>
        </w:tc>
        <w:tc>
          <w:tcPr>
            <w:tcW w:w="1514" w:type="pct"/>
            <w:vAlign w:val="center"/>
          </w:tcPr>
          <w:p>
            <w:pPr>
              <w:spacing w:line="240" w:lineRule="auto"/>
              <w:rPr>
                <w:szCs w:val="21"/>
              </w:rPr>
            </w:pPr>
            <w:r>
              <w:rPr>
                <w:szCs w:val="21"/>
              </w:rPr>
              <w:t>GB2894-2008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43</w:t>
            </w:r>
          </w:p>
        </w:tc>
        <w:tc>
          <w:tcPr>
            <w:tcW w:w="3005" w:type="pct"/>
            <w:vAlign w:val="center"/>
          </w:tcPr>
          <w:p>
            <w:pPr>
              <w:spacing w:line="240" w:lineRule="auto"/>
              <w:rPr>
                <w:szCs w:val="21"/>
              </w:rPr>
            </w:pPr>
            <w:r>
              <w:rPr>
                <w:szCs w:val="21"/>
              </w:rPr>
              <w:t>《工业管道的基本识别色、识别符号和安全标识》</w:t>
            </w:r>
          </w:p>
        </w:tc>
        <w:tc>
          <w:tcPr>
            <w:tcW w:w="1514" w:type="pct"/>
            <w:vAlign w:val="center"/>
          </w:tcPr>
          <w:p>
            <w:pPr>
              <w:spacing w:line="240" w:lineRule="auto"/>
              <w:rPr>
                <w:szCs w:val="21"/>
              </w:rPr>
            </w:pPr>
            <w:r>
              <w:rPr>
                <w:szCs w:val="21"/>
              </w:rPr>
              <w:t>GB7231-2003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44</w:t>
            </w:r>
          </w:p>
        </w:tc>
        <w:tc>
          <w:tcPr>
            <w:tcW w:w="3005" w:type="pct"/>
            <w:vAlign w:val="center"/>
          </w:tcPr>
          <w:p>
            <w:pPr>
              <w:spacing w:line="240" w:lineRule="auto"/>
              <w:rPr>
                <w:szCs w:val="21"/>
              </w:rPr>
            </w:pPr>
            <w:r>
              <w:rPr>
                <w:szCs w:val="21"/>
              </w:rPr>
              <w:t>《生产经营单位生产安全事故应急预案编制导则》</w:t>
            </w:r>
          </w:p>
        </w:tc>
        <w:tc>
          <w:tcPr>
            <w:tcW w:w="1514" w:type="pct"/>
            <w:vAlign w:val="center"/>
          </w:tcPr>
          <w:p>
            <w:pPr>
              <w:spacing w:line="240" w:lineRule="auto"/>
              <w:rPr>
                <w:szCs w:val="21"/>
              </w:rPr>
            </w:pPr>
            <w:r>
              <w:rPr>
                <w:szCs w:val="21"/>
              </w:rPr>
              <w:t>GB/T29639-2013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45</w:t>
            </w:r>
          </w:p>
        </w:tc>
        <w:tc>
          <w:tcPr>
            <w:tcW w:w="3005" w:type="pct"/>
            <w:vAlign w:val="center"/>
          </w:tcPr>
          <w:p>
            <w:pPr>
              <w:spacing w:line="240" w:lineRule="auto"/>
              <w:rPr>
                <w:szCs w:val="21"/>
              </w:rPr>
            </w:pPr>
            <w:r>
              <w:rPr>
                <w:szCs w:val="28"/>
              </w:rPr>
              <w:t>《台式钻床  第4部分：技术条件》</w:t>
            </w:r>
          </w:p>
        </w:tc>
        <w:tc>
          <w:tcPr>
            <w:tcW w:w="1514" w:type="pct"/>
            <w:vAlign w:val="center"/>
          </w:tcPr>
          <w:p>
            <w:pPr>
              <w:spacing w:line="240" w:lineRule="auto"/>
              <w:rPr>
                <w:szCs w:val="21"/>
              </w:rPr>
            </w:pPr>
            <w:r>
              <w:rPr>
                <w:szCs w:val="28"/>
              </w:rPr>
              <w:t>JBT5245.4-2017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46</w:t>
            </w:r>
          </w:p>
        </w:tc>
        <w:tc>
          <w:tcPr>
            <w:tcW w:w="3005" w:type="pct"/>
            <w:vAlign w:val="center"/>
          </w:tcPr>
          <w:p>
            <w:pPr>
              <w:spacing w:line="240" w:lineRule="auto"/>
              <w:rPr>
                <w:szCs w:val="21"/>
              </w:rPr>
            </w:pPr>
            <w:r>
              <w:rPr>
                <w:szCs w:val="28"/>
              </w:rPr>
              <w:t>《金属切削机床  安全防护通用技术条件》</w:t>
            </w:r>
          </w:p>
        </w:tc>
        <w:tc>
          <w:tcPr>
            <w:tcW w:w="1514" w:type="pct"/>
            <w:vAlign w:val="center"/>
          </w:tcPr>
          <w:p>
            <w:pPr>
              <w:spacing w:line="240" w:lineRule="auto"/>
              <w:rPr>
                <w:szCs w:val="21"/>
              </w:rPr>
            </w:pPr>
            <w:r>
              <w:rPr>
                <w:szCs w:val="28"/>
              </w:rPr>
              <w:t>GB15760-2004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47</w:t>
            </w:r>
          </w:p>
        </w:tc>
        <w:tc>
          <w:tcPr>
            <w:tcW w:w="3005" w:type="pct"/>
            <w:vAlign w:val="center"/>
          </w:tcPr>
          <w:p>
            <w:pPr>
              <w:spacing w:line="240" w:lineRule="auto"/>
              <w:rPr>
                <w:szCs w:val="21"/>
              </w:rPr>
            </w:pPr>
            <w:r>
              <w:rPr>
                <w:szCs w:val="28"/>
              </w:rPr>
              <w:t>《液压机  安全技术要求》</w:t>
            </w:r>
          </w:p>
        </w:tc>
        <w:tc>
          <w:tcPr>
            <w:tcW w:w="1514" w:type="pct"/>
            <w:vAlign w:val="center"/>
          </w:tcPr>
          <w:p>
            <w:pPr>
              <w:spacing w:line="240" w:lineRule="auto"/>
              <w:rPr>
                <w:szCs w:val="21"/>
              </w:rPr>
            </w:pPr>
            <w:r>
              <w:rPr>
                <w:szCs w:val="28"/>
              </w:rPr>
              <w:t>GB28241-2012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48</w:t>
            </w:r>
          </w:p>
        </w:tc>
        <w:tc>
          <w:tcPr>
            <w:tcW w:w="3005" w:type="pct"/>
            <w:vAlign w:val="center"/>
          </w:tcPr>
          <w:p>
            <w:pPr>
              <w:spacing w:line="240" w:lineRule="auto"/>
              <w:rPr>
                <w:szCs w:val="21"/>
              </w:rPr>
            </w:pPr>
            <w:r>
              <w:rPr>
                <w:szCs w:val="28"/>
              </w:rPr>
              <w:t>《金属锯床  安全防护技术要求》</w:t>
            </w:r>
          </w:p>
        </w:tc>
        <w:tc>
          <w:tcPr>
            <w:tcW w:w="1514" w:type="pct"/>
            <w:vAlign w:val="center"/>
          </w:tcPr>
          <w:p>
            <w:pPr>
              <w:spacing w:line="240" w:lineRule="auto"/>
              <w:rPr>
                <w:szCs w:val="21"/>
              </w:rPr>
            </w:pPr>
            <w:r>
              <w:rPr>
                <w:szCs w:val="28"/>
              </w:rPr>
              <w:t>GB16454-2008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49</w:t>
            </w:r>
          </w:p>
        </w:tc>
        <w:tc>
          <w:tcPr>
            <w:tcW w:w="3005" w:type="pct"/>
            <w:vAlign w:val="center"/>
          </w:tcPr>
          <w:p>
            <w:pPr>
              <w:spacing w:line="240" w:lineRule="auto"/>
              <w:rPr>
                <w:szCs w:val="21"/>
              </w:rPr>
            </w:pPr>
            <w:r>
              <w:rPr>
                <w:szCs w:val="28"/>
              </w:rPr>
              <w:t>《剪板机  安全技术要求》</w:t>
            </w:r>
          </w:p>
        </w:tc>
        <w:tc>
          <w:tcPr>
            <w:tcW w:w="1514" w:type="pct"/>
            <w:vAlign w:val="center"/>
          </w:tcPr>
          <w:p>
            <w:pPr>
              <w:spacing w:line="240" w:lineRule="auto"/>
              <w:rPr>
                <w:szCs w:val="21"/>
              </w:rPr>
            </w:pPr>
            <w:r>
              <w:rPr>
                <w:szCs w:val="28"/>
              </w:rPr>
              <w:t>GB28240-2012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50</w:t>
            </w:r>
          </w:p>
        </w:tc>
        <w:tc>
          <w:tcPr>
            <w:tcW w:w="3005" w:type="pct"/>
            <w:vAlign w:val="center"/>
          </w:tcPr>
          <w:p>
            <w:pPr>
              <w:spacing w:line="240" w:lineRule="auto"/>
              <w:rPr>
                <w:szCs w:val="21"/>
              </w:rPr>
            </w:pPr>
            <w:r>
              <w:rPr>
                <w:szCs w:val="28"/>
              </w:rPr>
              <w:t>《数控剪板机》</w:t>
            </w:r>
          </w:p>
        </w:tc>
        <w:tc>
          <w:tcPr>
            <w:tcW w:w="1514" w:type="pct"/>
            <w:vAlign w:val="center"/>
          </w:tcPr>
          <w:p>
            <w:pPr>
              <w:spacing w:line="240" w:lineRule="auto"/>
              <w:rPr>
                <w:szCs w:val="21"/>
              </w:rPr>
            </w:pPr>
            <w:r>
              <w:rPr>
                <w:szCs w:val="28"/>
              </w:rPr>
              <w:t>GB/T28762-2012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51</w:t>
            </w:r>
          </w:p>
        </w:tc>
        <w:tc>
          <w:tcPr>
            <w:tcW w:w="3005" w:type="pct"/>
            <w:vAlign w:val="center"/>
          </w:tcPr>
          <w:p>
            <w:pPr>
              <w:spacing w:line="240" w:lineRule="auto"/>
              <w:rPr>
                <w:szCs w:val="21"/>
              </w:rPr>
            </w:pPr>
            <w:r>
              <w:rPr>
                <w:szCs w:val="28"/>
              </w:rPr>
              <w:t>《液压板料折弯机  安全技术要求》</w:t>
            </w:r>
          </w:p>
        </w:tc>
        <w:tc>
          <w:tcPr>
            <w:tcW w:w="1514" w:type="pct"/>
            <w:vAlign w:val="center"/>
          </w:tcPr>
          <w:p>
            <w:pPr>
              <w:spacing w:line="240" w:lineRule="auto"/>
              <w:rPr>
                <w:szCs w:val="21"/>
              </w:rPr>
            </w:pPr>
            <w:r>
              <w:rPr>
                <w:szCs w:val="28"/>
              </w:rPr>
              <w:t>GB28243-2012</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52</w:t>
            </w:r>
          </w:p>
        </w:tc>
        <w:tc>
          <w:tcPr>
            <w:tcW w:w="3005" w:type="pct"/>
            <w:vAlign w:val="center"/>
          </w:tcPr>
          <w:p>
            <w:pPr>
              <w:spacing w:line="240" w:lineRule="auto"/>
              <w:rPr>
                <w:szCs w:val="21"/>
              </w:rPr>
            </w:pPr>
            <w:r>
              <w:rPr>
                <w:szCs w:val="28"/>
              </w:rPr>
              <w:t>《磨削机械安全规程》</w:t>
            </w:r>
          </w:p>
        </w:tc>
        <w:tc>
          <w:tcPr>
            <w:tcW w:w="1514" w:type="pct"/>
            <w:vAlign w:val="center"/>
          </w:tcPr>
          <w:p>
            <w:pPr>
              <w:spacing w:line="240" w:lineRule="auto"/>
              <w:rPr>
                <w:szCs w:val="21"/>
              </w:rPr>
            </w:pPr>
            <w:r>
              <w:rPr>
                <w:szCs w:val="28"/>
              </w:rPr>
              <w:t>GB4674-2009</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53</w:t>
            </w:r>
          </w:p>
        </w:tc>
        <w:tc>
          <w:tcPr>
            <w:tcW w:w="3005" w:type="pct"/>
            <w:vAlign w:val="center"/>
          </w:tcPr>
          <w:p>
            <w:pPr>
              <w:spacing w:line="240" w:lineRule="auto"/>
              <w:rPr>
                <w:szCs w:val="21"/>
              </w:rPr>
            </w:pPr>
            <w:r>
              <w:rPr>
                <w:szCs w:val="28"/>
              </w:rPr>
              <w:t>《焊接与切割安全》</w:t>
            </w:r>
          </w:p>
        </w:tc>
        <w:tc>
          <w:tcPr>
            <w:tcW w:w="1514" w:type="pct"/>
            <w:vAlign w:val="center"/>
          </w:tcPr>
          <w:p>
            <w:pPr>
              <w:spacing w:line="240" w:lineRule="auto"/>
              <w:rPr>
                <w:szCs w:val="21"/>
              </w:rPr>
            </w:pPr>
            <w:r>
              <w:rPr>
                <w:szCs w:val="28"/>
              </w:rPr>
              <w:t>GB9448-1999</w:t>
            </w:r>
          </w:p>
        </w:tc>
      </w:tr>
    </w:tbl>
    <w:p>
      <w:pPr>
        <w:sectPr>
          <w:headerReference w:type="default" r:id="rId22"/>
          <w:footerReference w:type="even" r:id="rId23"/>
          <w:footerReference w:type="default" r:id="rId24"/>
          <w:type w:val="nextPage"/>
          <w:pgSz w:w="11906" w:h="16838"/>
          <w:pgMar w:top="1440" w:right="1418" w:bottom="1440" w:left="1418" w:header="851" w:footer="992" w:gutter="0"/>
          <w:pgNumType w:start="5"/>
          <w:cols w:space="708"/>
          <w:titlePg w:val="0"/>
          <w:docGrid w:type="lines" w:linePitch="312"/>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93"/>
        <w:gridCol w:w="5581"/>
        <w:gridCol w:w="281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54</w:t>
            </w:r>
          </w:p>
        </w:tc>
        <w:tc>
          <w:tcPr>
            <w:tcW w:w="3005" w:type="pct"/>
            <w:vAlign w:val="center"/>
          </w:tcPr>
          <w:p>
            <w:pPr>
              <w:spacing w:line="240" w:lineRule="auto"/>
              <w:rPr>
                <w:szCs w:val="21"/>
              </w:rPr>
            </w:pPr>
            <w:r>
              <w:rPr>
                <w:szCs w:val="28"/>
              </w:rPr>
              <w:t>《焊工防护手套》</w:t>
            </w:r>
          </w:p>
        </w:tc>
        <w:tc>
          <w:tcPr>
            <w:tcW w:w="1514" w:type="pct"/>
            <w:vAlign w:val="center"/>
          </w:tcPr>
          <w:p>
            <w:pPr>
              <w:spacing w:line="240" w:lineRule="auto"/>
              <w:rPr>
                <w:szCs w:val="21"/>
              </w:rPr>
            </w:pPr>
            <w:r>
              <w:rPr>
                <w:szCs w:val="28"/>
              </w:rPr>
              <w:t>AQ6103-2007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55</w:t>
            </w:r>
          </w:p>
        </w:tc>
        <w:tc>
          <w:tcPr>
            <w:tcW w:w="3005" w:type="pct"/>
            <w:vAlign w:val="center"/>
          </w:tcPr>
          <w:p>
            <w:pPr>
              <w:spacing w:line="240" w:lineRule="auto"/>
              <w:rPr>
                <w:szCs w:val="28"/>
              </w:rPr>
            </w:pPr>
            <w:r>
              <w:rPr>
                <w:szCs w:val="28"/>
              </w:rPr>
              <w:t>《通用桥式起重机》</w:t>
            </w:r>
          </w:p>
        </w:tc>
        <w:tc>
          <w:tcPr>
            <w:tcW w:w="1514" w:type="pct"/>
            <w:vAlign w:val="center"/>
          </w:tcPr>
          <w:p>
            <w:pPr>
              <w:spacing w:line="240" w:lineRule="auto"/>
              <w:rPr>
                <w:szCs w:val="28"/>
              </w:rPr>
            </w:pPr>
            <w:r>
              <w:rPr>
                <w:szCs w:val="28"/>
              </w:rPr>
              <w:t>GB/T14405-2011</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56</w:t>
            </w:r>
          </w:p>
        </w:tc>
        <w:tc>
          <w:tcPr>
            <w:tcW w:w="3005" w:type="pct"/>
            <w:vAlign w:val="center"/>
          </w:tcPr>
          <w:p>
            <w:pPr>
              <w:spacing w:line="240" w:lineRule="auto"/>
              <w:rPr>
                <w:szCs w:val="28"/>
              </w:rPr>
            </w:pPr>
            <w:r>
              <w:rPr>
                <w:szCs w:val="28"/>
              </w:rPr>
              <w:t>《起重机械安全技术监察规程--桥式起重机》</w:t>
            </w:r>
          </w:p>
        </w:tc>
        <w:tc>
          <w:tcPr>
            <w:tcW w:w="1514" w:type="pct"/>
            <w:vAlign w:val="center"/>
          </w:tcPr>
          <w:p>
            <w:pPr>
              <w:spacing w:line="240" w:lineRule="auto"/>
              <w:rPr>
                <w:szCs w:val="28"/>
              </w:rPr>
            </w:pPr>
            <w:r>
              <w:rPr>
                <w:szCs w:val="28"/>
              </w:rPr>
              <w:t>TSGQ0002-2008</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57</w:t>
            </w:r>
          </w:p>
        </w:tc>
        <w:tc>
          <w:tcPr>
            <w:tcW w:w="3005" w:type="pct"/>
            <w:vAlign w:val="center"/>
          </w:tcPr>
          <w:p>
            <w:pPr>
              <w:spacing w:line="240" w:lineRule="auto"/>
              <w:rPr>
                <w:szCs w:val="28"/>
              </w:rPr>
            </w:pPr>
            <w:r>
              <w:rPr>
                <w:szCs w:val="28"/>
              </w:rPr>
              <w:t>《起重机械安全规程  第1部分：总则》</w:t>
            </w:r>
          </w:p>
        </w:tc>
        <w:tc>
          <w:tcPr>
            <w:tcW w:w="1514" w:type="pct"/>
            <w:vAlign w:val="center"/>
          </w:tcPr>
          <w:p>
            <w:pPr>
              <w:spacing w:line="240" w:lineRule="auto"/>
              <w:rPr>
                <w:szCs w:val="28"/>
              </w:rPr>
            </w:pPr>
            <w:r>
              <w:rPr>
                <w:szCs w:val="28"/>
              </w:rPr>
              <w:t>GB6067.1-2010</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58</w:t>
            </w:r>
          </w:p>
        </w:tc>
        <w:tc>
          <w:tcPr>
            <w:tcW w:w="3005" w:type="pct"/>
            <w:vAlign w:val="center"/>
          </w:tcPr>
          <w:p>
            <w:pPr>
              <w:spacing w:line="240" w:lineRule="auto"/>
              <w:rPr>
                <w:szCs w:val="28"/>
              </w:rPr>
            </w:pPr>
            <w:r>
              <w:rPr>
                <w:szCs w:val="28"/>
              </w:rPr>
              <w:t>《起重机械安全规程  第5部分：桥式和门式起重机》</w:t>
            </w:r>
          </w:p>
        </w:tc>
        <w:tc>
          <w:tcPr>
            <w:tcW w:w="1514" w:type="pct"/>
            <w:vAlign w:val="center"/>
          </w:tcPr>
          <w:p>
            <w:pPr>
              <w:spacing w:line="240" w:lineRule="auto"/>
              <w:rPr>
                <w:szCs w:val="28"/>
              </w:rPr>
            </w:pPr>
            <w:r>
              <w:rPr>
                <w:szCs w:val="28"/>
              </w:rPr>
              <w:t>GB6067.5-2014</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59</w:t>
            </w:r>
          </w:p>
        </w:tc>
        <w:tc>
          <w:tcPr>
            <w:tcW w:w="3005" w:type="pct"/>
            <w:vAlign w:val="center"/>
          </w:tcPr>
          <w:p>
            <w:pPr>
              <w:spacing w:line="240" w:lineRule="auto"/>
              <w:rPr>
                <w:szCs w:val="28"/>
              </w:rPr>
            </w:pPr>
            <w:r>
              <w:rPr>
                <w:szCs w:val="28"/>
              </w:rPr>
              <w:t>《固定式压力容器安全技术监察规程》</w:t>
            </w:r>
          </w:p>
        </w:tc>
        <w:tc>
          <w:tcPr>
            <w:tcW w:w="1514" w:type="pct"/>
            <w:vAlign w:val="center"/>
          </w:tcPr>
          <w:p>
            <w:pPr>
              <w:spacing w:line="240" w:lineRule="auto"/>
              <w:rPr>
                <w:szCs w:val="28"/>
              </w:rPr>
            </w:pPr>
            <w:r>
              <w:rPr>
                <w:szCs w:val="28"/>
              </w:rPr>
              <w:t>TSG 21-2016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60</w:t>
            </w:r>
          </w:p>
        </w:tc>
        <w:tc>
          <w:tcPr>
            <w:tcW w:w="3005" w:type="pct"/>
            <w:vAlign w:val="center"/>
          </w:tcPr>
          <w:p>
            <w:pPr>
              <w:spacing w:line="240" w:lineRule="auto"/>
              <w:rPr>
                <w:szCs w:val="28"/>
              </w:rPr>
            </w:pPr>
            <w:r>
              <w:rPr>
                <w:szCs w:val="28"/>
              </w:rPr>
              <w:t>《特种设备使用管理规则》</w:t>
            </w:r>
          </w:p>
        </w:tc>
        <w:tc>
          <w:tcPr>
            <w:tcW w:w="1514" w:type="pct"/>
            <w:vAlign w:val="center"/>
          </w:tcPr>
          <w:p>
            <w:pPr>
              <w:spacing w:line="240" w:lineRule="auto"/>
              <w:rPr>
                <w:szCs w:val="28"/>
              </w:rPr>
            </w:pPr>
            <w:r>
              <w:rPr>
                <w:szCs w:val="28"/>
              </w:rPr>
              <w:t>TSG 08-2017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61</w:t>
            </w:r>
          </w:p>
        </w:tc>
        <w:tc>
          <w:tcPr>
            <w:tcW w:w="3005" w:type="pct"/>
            <w:vAlign w:val="center"/>
          </w:tcPr>
          <w:p>
            <w:pPr>
              <w:spacing w:line="240" w:lineRule="auto"/>
              <w:rPr>
                <w:szCs w:val="28"/>
              </w:rPr>
            </w:pPr>
            <w:r>
              <w:t>《腐蚀性商品储存养护技术条件</w:t>
            </w:r>
            <w:r>
              <w:rPr>
                <w:szCs w:val="28"/>
              </w:rPr>
              <w:t>》</w:t>
            </w:r>
          </w:p>
        </w:tc>
        <w:tc>
          <w:tcPr>
            <w:tcW w:w="1514" w:type="pct"/>
            <w:vAlign w:val="center"/>
          </w:tcPr>
          <w:p>
            <w:pPr>
              <w:spacing w:line="240" w:lineRule="auto"/>
              <w:rPr>
                <w:szCs w:val="28"/>
              </w:rPr>
            </w:pPr>
            <w:r>
              <w:rPr>
                <w:szCs w:val="28"/>
              </w:rPr>
              <w:t>GB 17915-2013</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62</w:t>
            </w:r>
          </w:p>
        </w:tc>
        <w:tc>
          <w:tcPr>
            <w:tcW w:w="3005" w:type="pct"/>
            <w:vAlign w:val="center"/>
          </w:tcPr>
          <w:p>
            <w:pPr>
              <w:spacing w:line="240" w:lineRule="auto"/>
              <w:rPr>
                <w:szCs w:val="28"/>
              </w:rPr>
            </w:pPr>
            <w:r>
              <w:rPr>
                <w:szCs w:val="28"/>
              </w:rPr>
              <w:t>《钛及钛合金板材》</w:t>
            </w:r>
          </w:p>
        </w:tc>
        <w:tc>
          <w:tcPr>
            <w:tcW w:w="1514" w:type="pct"/>
            <w:vAlign w:val="center"/>
          </w:tcPr>
          <w:p>
            <w:pPr>
              <w:spacing w:line="240" w:lineRule="auto"/>
              <w:rPr>
                <w:szCs w:val="28"/>
              </w:rPr>
            </w:pPr>
            <w:r>
              <w:rPr>
                <w:szCs w:val="28"/>
              </w:rPr>
              <w:t>GB/T3621-2007</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63</w:t>
            </w:r>
          </w:p>
        </w:tc>
        <w:tc>
          <w:tcPr>
            <w:tcW w:w="3005" w:type="pct"/>
            <w:vAlign w:val="center"/>
          </w:tcPr>
          <w:p>
            <w:pPr>
              <w:spacing w:line="240" w:lineRule="auto"/>
              <w:rPr>
                <w:szCs w:val="28"/>
              </w:rPr>
            </w:pPr>
            <w:r>
              <w:t>《企业安全生产标准化基本规范》</w:t>
            </w:r>
          </w:p>
        </w:tc>
        <w:tc>
          <w:tcPr>
            <w:tcW w:w="1514" w:type="pct"/>
            <w:vAlign w:val="center"/>
          </w:tcPr>
          <w:p>
            <w:pPr>
              <w:spacing w:line="240" w:lineRule="auto"/>
              <w:rPr>
                <w:szCs w:val="28"/>
              </w:rPr>
            </w:pPr>
            <w:r>
              <w:rPr>
                <w:szCs w:val="28"/>
              </w:rPr>
              <w:t>GB/T 33000-2016</w:t>
            </w:r>
          </w:p>
        </w:tc>
      </w:tr>
      <w:tr>
        <w:tblPrEx>
          <w:tblW w:w="5000" w:type="pct"/>
          <w:jc w:val="center"/>
          <w:tblCellMar>
            <w:top w:w="0" w:type="dxa"/>
            <w:left w:w="108" w:type="dxa"/>
            <w:bottom w:w="0" w:type="dxa"/>
            <w:right w:w="108" w:type="dxa"/>
          </w:tblCellMar>
          <w:tblLook w:val="0000"/>
        </w:tblPrEx>
        <w:trPr>
          <w:trHeight w:val="454"/>
          <w:jc w:val="center"/>
        </w:trPr>
        <w:tc>
          <w:tcPr>
            <w:tcW w:w="481" w:type="pct"/>
            <w:vAlign w:val="center"/>
          </w:tcPr>
          <w:p>
            <w:pPr>
              <w:spacing w:line="240" w:lineRule="auto"/>
              <w:jc w:val="center"/>
              <w:rPr>
                <w:szCs w:val="21"/>
              </w:rPr>
            </w:pPr>
            <w:r>
              <w:rPr>
                <w:szCs w:val="21"/>
              </w:rPr>
              <w:t>64</w:t>
            </w:r>
          </w:p>
        </w:tc>
        <w:tc>
          <w:tcPr>
            <w:tcW w:w="3005" w:type="pct"/>
            <w:vAlign w:val="center"/>
          </w:tcPr>
          <w:p>
            <w:pPr>
              <w:spacing w:line="240" w:lineRule="auto"/>
              <w:rPr>
                <w:szCs w:val="28"/>
              </w:rPr>
            </w:pPr>
            <w:r>
              <w:rPr>
                <w:rFonts w:hAnsi="宋体"/>
              </w:rPr>
              <w:t>《重大火灾隐患判定方法》</w:t>
            </w:r>
          </w:p>
        </w:tc>
        <w:tc>
          <w:tcPr>
            <w:tcW w:w="1514" w:type="pct"/>
            <w:vAlign w:val="center"/>
          </w:tcPr>
          <w:p>
            <w:pPr>
              <w:spacing w:line="240" w:lineRule="auto"/>
              <w:rPr>
                <w:szCs w:val="28"/>
              </w:rPr>
            </w:pPr>
            <w:r>
              <w:rPr>
                <w:szCs w:val="28"/>
              </w:rPr>
              <w:t>GB 35181-2017</w:t>
            </w:r>
          </w:p>
        </w:tc>
      </w:tr>
    </w:tbl>
    <w:p>
      <w:pPr>
        <w:pStyle w:val="Heading2"/>
        <w:numPr>
          <w:ilvl w:val="1"/>
          <w:numId w:val="0"/>
        </w:numPr>
        <w:tabs>
          <w:tab w:val="left" w:pos="720"/>
        </w:tabs>
        <w:spacing w:before="312" w:after="156" w:line="500" w:lineRule="exact"/>
        <w:rPr>
          <w:rFonts w:ascii="Times New Roman" w:hAnsi="Times New Roman"/>
          <w:sz w:val="30"/>
          <w:szCs w:val="30"/>
        </w:rPr>
      </w:pPr>
      <w:bookmarkStart w:id="14" w:name="_Toc46132536"/>
      <w:bookmarkStart w:id="15" w:name="_Toc17646652"/>
      <w:r>
        <w:rPr>
          <w:rFonts w:ascii="Times New Roman" w:hAnsi="Times New Roman"/>
          <w:sz w:val="30"/>
          <w:szCs w:val="30"/>
        </w:rPr>
        <w:t>1.3其他设计依据</w:t>
      </w:r>
      <w:bookmarkEnd w:id="14"/>
      <w:bookmarkEnd w:id="15"/>
    </w:p>
    <w:p>
      <w:pPr>
        <w:ind w:firstLine="560" w:firstLineChars="200"/>
        <w:rPr>
          <w:sz w:val="28"/>
          <w:szCs w:val="28"/>
        </w:rPr>
        <w:sectPr>
          <w:headerReference w:type="default" r:id="rId25"/>
          <w:footerReference w:type="even" r:id="rId26"/>
          <w:footerReference w:type="default" r:id="rId27"/>
          <w:type w:val="nextPage"/>
          <w:pgSz w:w="11906" w:h="16838"/>
          <w:pgMar w:top="1440" w:right="1418" w:bottom="1440" w:left="1418" w:header="851" w:footer="992" w:gutter="0"/>
          <w:pgNumType w:start="6"/>
          <w:cols w:space="708"/>
          <w:titlePg w:val="0"/>
          <w:docGrid w:type="lines" w:linePitch="312"/>
        </w:sectPr>
      </w:pPr>
      <w:r>
        <w:rPr>
          <w:rFonts w:hint="eastAsia"/>
          <w:sz w:val="28"/>
          <w:szCs w:val="28"/>
        </w:rPr>
        <w:t>1</w:t>
      </w:r>
      <w:r>
        <w:rPr>
          <w:sz w:val="28"/>
          <w:szCs w:val="28"/>
        </w:rPr>
        <w:t>.建设单位提供的其他有关资料</w:t>
      </w:r>
      <w:r>
        <w:rPr>
          <w:rFonts w:hint="eastAsia"/>
          <w:sz w:val="28"/>
          <w:szCs w:val="28"/>
        </w:rPr>
        <w:t>。</w:t>
      </w:r>
    </w:p>
    <w:p>
      <w:pPr>
        <w:pStyle w:val="Heading1"/>
        <w:spacing w:line="500" w:lineRule="exact"/>
        <w:jc w:val="center"/>
        <w:rPr>
          <w:sz w:val="32"/>
          <w:szCs w:val="32"/>
        </w:rPr>
      </w:pPr>
      <w:bookmarkStart w:id="16" w:name="_Toc17646653"/>
      <w:bookmarkStart w:id="17" w:name="_Toc46132537"/>
      <w:r>
        <w:rPr>
          <w:sz w:val="32"/>
          <w:szCs w:val="32"/>
        </w:rPr>
        <w:t>2．建设项目概述</w:t>
      </w:r>
      <w:bookmarkEnd w:id="16"/>
      <w:bookmarkEnd w:id="17"/>
    </w:p>
    <w:p>
      <w:pPr>
        <w:pStyle w:val="Heading2"/>
        <w:numPr>
          <w:ilvl w:val="1"/>
          <w:numId w:val="0"/>
        </w:numPr>
        <w:tabs>
          <w:tab w:val="left" w:pos="720"/>
        </w:tabs>
        <w:spacing w:before="312" w:after="156" w:line="500" w:lineRule="exact"/>
        <w:jc w:val="center"/>
        <w:rPr>
          <w:rFonts w:ascii="Times New Roman" w:hAnsi="Times New Roman"/>
          <w:sz w:val="30"/>
          <w:szCs w:val="30"/>
        </w:rPr>
      </w:pPr>
      <w:bookmarkStart w:id="18" w:name="_Toc17646654"/>
      <w:bookmarkStart w:id="19" w:name="_Toc46132538"/>
      <w:r>
        <w:rPr>
          <w:rFonts w:ascii="Times New Roman" w:hAnsi="Times New Roman"/>
          <w:sz w:val="30"/>
          <w:szCs w:val="30"/>
        </w:rPr>
        <w:t>2.1工程性质及设计内容</w:t>
      </w:r>
      <w:bookmarkEnd w:id="18"/>
      <w:bookmarkEnd w:id="19"/>
    </w:p>
    <w:p>
      <w:pPr>
        <w:pStyle w:val="Heading3"/>
        <w:numPr>
          <w:ilvl w:val="2"/>
          <w:numId w:val="0"/>
        </w:numPr>
        <w:tabs>
          <w:tab w:val="left" w:pos="720"/>
        </w:tabs>
        <w:spacing w:before="156" w:line="500" w:lineRule="exact"/>
        <w:rPr>
          <w:rFonts w:ascii="Times New Roman" w:hAnsi="Times New Roman"/>
          <w:spacing w:val="16"/>
          <w:szCs w:val="28"/>
        </w:rPr>
      </w:pPr>
      <w:bookmarkStart w:id="20" w:name="_Toc21572698"/>
      <w:bookmarkStart w:id="21" w:name="_Toc237134638"/>
      <w:bookmarkStart w:id="22" w:name="_Toc246998346"/>
      <w:bookmarkStart w:id="23" w:name="_Toc265877650"/>
      <w:bookmarkStart w:id="24" w:name="_Toc298856084"/>
      <w:bookmarkStart w:id="25" w:name="_Toc350720457"/>
      <w:bookmarkStart w:id="26" w:name="_Toc134349467"/>
      <w:bookmarkStart w:id="27" w:name="_Toc195355030"/>
      <w:r>
        <w:rPr>
          <w:rFonts w:ascii="Times New Roman" w:hAnsi="Times New Roman"/>
          <w:spacing w:val="16"/>
          <w:szCs w:val="28"/>
        </w:rPr>
        <w:t>2.1.1</w:t>
      </w:r>
      <w:bookmarkEnd w:id="20"/>
      <w:r>
        <w:rPr>
          <w:rFonts w:ascii="Times New Roman" w:hAnsi="Times New Roman"/>
          <w:spacing w:val="16"/>
          <w:szCs w:val="28"/>
        </w:rPr>
        <w:t>建设单位基本情况</w:t>
      </w:r>
      <w:bookmarkEnd w:id="21"/>
      <w:bookmarkEnd w:id="22"/>
      <w:bookmarkEnd w:id="23"/>
      <w:bookmarkEnd w:id="24"/>
      <w:bookmarkEnd w:id="25"/>
    </w:p>
    <w:p>
      <w:pPr>
        <w:ind w:firstLine="560" w:firstLineChars="200"/>
        <w:rPr>
          <w:sz w:val="28"/>
          <w:szCs w:val="28"/>
        </w:rPr>
      </w:pPr>
      <w:bookmarkEnd w:id="26"/>
      <w:bookmarkEnd w:id="27"/>
      <w:r>
        <w:rPr>
          <w:sz w:val="28"/>
          <w:szCs w:val="28"/>
        </w:rPr>
        <w:t>企业名称：</w:t>
      </w:r>
      <w:r>
        <w:rPr>
          <w:rFonts w:hint="eastAsia"/>
          <w:sz w:val="28"/>
          <w:szCs w:val="28"/>
          <w:lang w:eastAsia="zh-CN"/>
        </w:rPr>
        <w:t>XX机电设备有限公司</w:t>
      </w:r>
      <w:r>
        <w:rPr>
          <w:sz w:val="28"/>
          <w:szCs w:val="28"/>
        </w:rPr>
        <w:t>；</w:t>
      </w:r>
    </w:p>
    <w:p>
      <w:pPr>
        <w:ind w:firstLine="560" w:firstLineChars="200"/>
        <w:rPr>
          <w:sz w:val="28"/>
          <w:szCs w:val="28"/>
        </w:rPr>
      </w:pPr>
      <w:r>
        <w:rPr>
          <w:sz w:val="28"/>
          <w:szCs w:val="28"/>
        </w:rPr>
        <w:t>企业类型：有限责任公司（自然人投资或控股）；</w:t>
      </w:r>
    </w:p>
    <w:p>
      <w:pPr>
        <w:ind w:firstLine="560" w:firstLineChars="200"/>
        <w:rPr>
          <w:sz w:val="28"/>
          <w:szCs w:val="28"/>
        </w:rPr>
      </w:pPr>
      <w:r>
        <w:rPr>
          <w:sz w:val="28"/>
          <w:szCs w:val="28"/>
        </w:rPr>
        <w:t>成立时间：201</w:t>
      </w:r>
      <w:r>
        <w:rPr>
          <w:rFonts w:hint="eastAsia"/>
          <w:sz w:val="28"/>
          <w:szCs w:val="28"/>
        </w:rPr>
        <w:t>9</w:t>
      </w:r>
      <w:r>
        <w:rPr>
          <w:sz w:val="28"/>
          <w:szCs w:val="28"/>
        </w:rPr>
        <w:t>年</w:t>
      </w:r>
      <w:r>
        <w:rPr>
          <w:rFonts w:hint="eastAsia"/>
          <w:sz w:val="28"/>
          <w:szCs w:val="28"/>
        </w:rPr>
        <w:t>5</w:t>
      </w:r>
      <w:r>
        <w:rPr>
          <w:sz w:val="28"/>
          <w:szCs w:val="28"/>
        </w:rPr>
        <w:t>月2</w:t>
      </w:r>
      <w:r>
        <w:rPr>
          <w:rFonts w:hint="eastAsia"/>
          <w:sz w:val="28"/>
          <w:szCs w:val="28"/>
        </w:rPr>
        <w:t>8</w:t>
      </w:r>
      <w:r>
        <w:rPr>
          <w:sz w:val="28"/>
          <w:szCs w:val="28"/>
        </w:rPr>
        <w:t>日；</w:t>
      </w:r>
    </w:p>
    <w:p>
      <w:pPr>
        <w:ind w:firstLine="560" w:firstLineChars="200"/>
        <w:rPr>
          <w:rFonts w:hint="eastAsia"/>
          <w:sz w:val="28"/>
          <w:szCs w:val="28"/>
        </w:rPr>
      </w:pPr>
      <w:r>
        <w:rPr>
          <w:sz w:val="28"/>
          <w:szCs w:val="28"/>
        </w:rPr>
        <w:t>企业地址：</w:t>
      </w:r>
      <w:r>
        <w:rPr>
          <w:rFonts w:hint="eastAsia"/>
          <w:sz w:val="28"/>
          <w:szCs w:val="28"/>
          <w:lang w:eastAsia="zh-CN"/>
        </w:rPr>
        <w:t>XX</w:t>
      </w:r>
      <w:r>
        <w:rPr>
          <w:sz w:val="28"/>
          <w:szCs w:val="28"/>
        </w:rPr>
        <w:t>省</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rFonts w:hint="eastAsia"/>
          <w:sz w:val="28"/>
          <w:szCs w:val="28"/>
        </w:rPr>
        <w:t>108号；</w:t>
      </w:r>
    </w:p>
    <w:p>
      <w:pPr>
        <w:spacing w:line="520" w:lineRule="exact"/>
        <w:ind w:firstLine="560" w:firstLineChars="200"/>
        <w:rPr>
          <w:rFonts w:hint="eastAsia"/>
          <w:sz w:val="28"/>
          <w:szCs w:val="28"/>
        </w:rPr>
      </w:pPr>
      <w:r>
        <w:rPr>
          <w:sz w:val="28"/>
          <w:szCs w:val="28"/>
        </w:rPr>
        <w:t>经营范围：</w:t>
      </w:r>
      <w:r>
        <w:rPr>
          <w:rFonts w:hint="eastAsia"/>
          <w:sz w:val="28"/>
          <w:szCs w:val="28"/>
        </w:rPr>
        <w:t>机电产品及零配件的加工及销售；、五金交电、橡胶产品、办公设备、建筑装饰材料的销售。</w:t>
      </w:r>
    </w:p>
    <w:p>
      <w:pPr>
        <w:spacing w:line="520" w:lineRule="exact"/>
        <w:ind w:firstLine="560" w:firstLineChars="200"/>
        <w:rPr>
          <w:sz w:val="28"/>
          <w:szCs w:val="28"/>
        </w:rPr>
      </w:pPr>
      <w:r>
        <w:rPr>
          <w:sz w:val="28"/>
          <w:szCs w:val="28"/>
        </w:rPr>
        <w:t>该公司租赁</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w:t>
      </w:r>
      <w:r>
        <w:rPr>
          <w:sz w:val="28"/>
          <w:szCs w:val="28"/>
        </w:rPr>
        <w:t>刘赛东个人场地</w:t>
      </w:r>
      <w:r>
        <w:rPr>
          <w:rFonts w:hint="eastAsia"/>
          <w:sz w:val="28"/>
          <w:szCs w:val="28"/>
        </w:rPr>
        <w:t>进行生产。</w:t>
      </w:r>
    </w:p>
    <w:p>
      <w:pPr>
        <w:pStyle w:val="Heading3"/>
        <w:numPr>
          <w:ilvl w:val="2"/>
          <w:numId w:val="0"/>
        </w:numPr>
        <w:tabs>
          <w:tab w:val="left" w:pos="720"/>
        </w:tabs>
        <w:spacing w:before="156" w:line="500" w:lineRule="exact"/>
        <w:rPr>
          <w:rFonts w:ascii="Times New Roman" w:hAnsi="Times New Roman"/>
          <w:spacing w:val="16"/>
          <w:szCs w:val="28"/>
        </w:rPr>
      </w:pPr>
      <w:r>
        <w:rPr>
          <w:rFonts w:ascii="Times New Roman" w:hAnsi="Times New Roman"/>
          <w:spacing w:val="16"/>
          <w:szCs w:val="28"/>
        </w:rPr>
        <w:t>2.1.</w:t>
      </w:r>
      <w:r>
        <w:rPr>
          <w:rFonts w:ascii="Times New Roman" w:hAnsi="Times New Roman"/>
          <w:spacing w:val="16"/>
          <w:szCs w:val="28"/>
          <w:lang w:eastAsia="zh-CN"/>
        </w:rPr>
        <w:t>3建设项目</w:t>
      </w:r>
      <w:r>
        <w:rPr>
          <w:rFonts w:ascii="Times New Roman" w:hAnsi="Times New Roman"/>
          <w:spacing w:val="16"/>
          <w:szCs w:val="28"/>
        </w:rPr>
        <w:t>内容</w:t>
      </w:r>
    </w:p>
    <w:p>
      <w:pPr>
        <w:ind w:firstLine="560" w:firstLineChars="200"/>
        <w:rPr>
          <w:sz w:val="28"/>
          <w:szCs w:val="28"/>
        </w:rPr>
      </w:pPr>
      <w:r>
        <w:rPr>
          <w:sz w:val="28"/>
          <w:szCs w:val="28"/>
        </w:rPr>
        <w:t>建设项目名称：</w:t>
      </w:r>
      <w:r>
        <w:rPr>
          <w:rFonts w:hint="eastAsia"/>
          <w:sz w:val="28"/>
          <w:szCs w:val="28"/>
          <w:lang w:eastAsia="zh-CN"/>
        </w:rPr>
        <w:t>XX机电设备有限公司</w:t>
      </w:r>
      <w:r>
        <w:rPr>
          <w:sz w:val="28"/>
          <w:szCs w:val="28"/>
        </w:rPr>
        <w:t>年产10万件机械零部件生产线建设项目</w:t>
      </w:r>
    </w:p>
    <w:p>
      <w:pPr>
        <w:ind w:firstLine="560" w:firstLineChars="200"/>
        <w:rPr>
          <w:rFonts w:eastAsia="宋体" w:hint="eastAsia"/>
          <w:sz w:val="28"/>
          <w:szCs w:val="28"/>
        </w:rPr>
      </w:pPr>
      <w:r>
        <w:rPr>
          <w:sz w:val="28"/>
          <w:szCs w:val="28"/>
        </w:rPr>
        <w:t>项目建设单位：</w:t>
      </w:r>
      <w:r>
        <w:rPr>
          <w:rFonts w:hint="eastAsia"/>
          <w:sz w:val="28"/>
          <w:szCs w:val="28"/>
          <w:lang w:eastAsia="zh-CN"/>
        </w:rPr>
        <w:t>XX机电设备有限公司</w:t>
      </w:r>
    </w:p>
    <w:p>
      <w:pPr>
        <w:ind w:firstLine="560" w:firstLineChars="200"/>
        <w:rPr>
          <w:sz w:val="28"/>
          <w:szCs w:val="28"/>
        </w:rPr>
      </w:pPr>
      <w:r>
        <w:rPr>
          <w:sz w:val="28"/>
          <w:szCs w:val="28"/>
        </w:rPr>
        <w:t>项目建设地点：</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rFonts w:hint="eastAsia"/>
          <w:sz w:val="28"/>
          <w:szCs w:val="28"/>
        </w:rPr>
        <w:t>108号</w:t>
      </w:r>
    </w:p>
    <w:p>
      <w:pPr>
        <w:ind w:firstLine="560" w:firstLineChars="200"/>
        <w:rPr>
          <w:sz w:val="28"/>
          <w:szCs w:val="28"/>
        </w:rPr>
      </w:pPr>
      <w:r>
        <w:rPr>
          <w:sz w:val="28"/>
          <w:szCs w:val="28"/>
        </w:rPr>
        <w:t>建设项目性质：</w:t>
      </w:r>
      <w:r>
        <w:rPr>
          <w:rFonts w:hint="eastAsia"/>
          <w:sz w:val="28"/>
          <w:szCs w:val="28"/>
        </w:rPr>
        <w:t>新建</w:t>
      </w:r>
    </w:p>
    <w:p>
      <w:pPr>
        <w:ind w:firstLine="560" w:firstLineChars="200"/>
        <w:rPr>
          <w:rFonts w:hint="eastAsia"/>
          <w:sz w:val="28"/>
          <w:szCs w:val="28"/>
        </w:rPr>
      </w:pPr>
      <w:r>
        <w:rPr>
          <w:sz w:val="28"/>
          <w:szCs w:val="28"/>
        </w:rPr>
        <w:t>项目建设内容：项目占地1466.7m</w:t>
      </w:r>
      <w:r>
        <w:rPr>
          <w:sz w:val="28"/>
          <w:szCs w:val="28"/>
          <w:vertAlign w:val="superscript"/>
        </w:rPr>
        <w:t>2</w:t>
      </w:r>
      <w:r>
        <w:rPr>
          <w:sz w:val="28"/>
          <w:szCs w:val="28"/>
        </w:rPr>
        <w:t>，总建筑面积1350m</w:t>
      </w:r>
      <w:r>
        <w:rPr>
          <w:sz w:val="28"/>
          <w:szCs w:val="28"/>
          <w:vertAlign w:val="superscript"/>
        </w:rPr>
        <w:t>2</w:t>
      </w:r>
      <w:r>
        <w:rPr>
          <w:sz w:val="28"/>
          <w:szCs w:val="28"/>
        </w:rPr>
        <w:t>，主要建设生产车间1250m</w:t>
      </w:r>
      <w:r>
        <w:rPr>
          <w:sz w:val="28"/>
          <w:szCs w:val="28"/>
          <w:vertAlign w:val="superscript"/>
        </w:rPr>
        <w:t>2</w:t>
      </w:r>
      <w:r>
        <w:rPr>
          <w:sz w:val="28"/>
          <w:szCs w:val="28"/>
        </w:rPr>
        <w:t>，宿办用房100m</w:t>
      </w:r>
      <w:r>
        <w:rPr>
          <w:sz w:val="28"/>
          <w:szCs w:val="28"/>
          <w:vertAlign w:val="superscript"/>
        </w:rPr>
        <w:t>2</w:t>
      </w:r>
      <w:r>
        <w:rPr>
          <w:sz w:val="28"/>
          <w:szCs w:val="28"/>
        </w:rPr>
        <w:t>及其他附属设施，购买设备10台，项目建成后可年产机械零部件10万件。</w:t>
      </w:r>
      <w:r>
        <w:rPr>
          <w:rFonts w:hint="eastAsia"/>
          <w:sz w:val="28"/>
          <w:szCs w:val="28"/>
        </w:rPr>
        <w:t>项目平面布置见附图。项目主要内容见下表。</w:t>
      </w:r>
    </w:p>
    <w:p>
      <w:pPr>
        <w:spacing w:before="91"/>
        <w:ind w:left="21"/>
        <w:jc w:val="center"/>
        <w:rPr>
          <w:rFonts w:eastAsia="黑体" w:hint="eastAsia"/>
          <w:b/>
          <w:bCs/>
          <w:spacing w:val="-6"/>
          <w:sz w:val="24"/>
        </w:rPr>
      </w:pPr>
      <w:r>
        <w:rPr>
          <w:rFonts w:eastAsia="黑体"/>
          <w:b/>
          <w:bCs/>
          <w:sz w:val="24"/>
        </w:rPr>
        <w:t>表</w:t>
      </w:r>
      <w:r>
        <w:rPr>
          <w:rFonts w:eastAsia="黑体"/>
          <w:b/>
          <w:bCs/>
          <w:spacing w:val="-2"/>
          <w:sz w:val="24"/>
        </w:rPr>
        <w:t>2.1</w:t>
      </w:r>
      <w:r>
        <w:rPr>
          <w:rFonts w:eastAsia="黑体"/>
          <w:b/>
          <w:bCs/>
          <w:spacing w:val="-21"/>
          <w:sz w:val="24"/>
        </w:rPr>
        <w:t>-1</w:t>
      </w:r>
      <w:r>
        <w:rPr>
          <w:rFonts w:eastAsia="黑体"/>
          <w:b/>
          <w:bCs/>
          <w:spacing w:val="-6"/>
          <w:sz w:val="24"/>
        </w:rPr>
        <w:t>主要</w:t>
      </w:r>
      <w:r>
        <w:rPr>
          <w:rFonts w:eastAsia="黑体" w:hint="eastAsia"/>
          <w:b/>
          <w:bCs/>
          <w:spacing w:val="-6"/>
          <w:sz w:val="24"/>
        </w:rPr>
        <w:t>建设内容</w:t>
      </w:r>
      <w:r>
        <w:rPr>
          <w:rFonts w:eastAsia="黑体"/>
          <w:b/>
          <w:bCs/>
          <w:spacing w:val="-6"/>
          <w:sz w:val="24"/>
        </w:rPr>
        <w:t>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8" w:type="dxa"/>
          <w:bottom w:w="28" w:type="dxa"/>
          <w:right w:w="108" w:type="dxa"/>
        </w:tblCellMar>
        <w:tblLook w:val="0000"/>
      </w:tblPr>
      <w:tblGrid>
        <w:gridCol w:w="729"/>
        <w:gridCol w:w="1357"/>
        <w:gridCol w:w="6255"/>
        <w:gridCol w:w="67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8" w:type="dxa"/>
            <w:bottom w:w="28" w:type="dxa"/>
            <w:right w:w="108" w:type="dxa"/>
          </w:tblCellMar>
          <w:tblLook w:val="0000"/>
        </w:tblPrEx>
        <w:trPr>
          <w:trHeight w:val="44"/>
          <w:jc w:val="center"/>
        </w:trPr>
        <w:tc>
          <w:tcPr>
            <w:tcW w:w="729" w:type="dxa"/>
            <w:vAlign w:val="center"/>
          </w:tcPr>
          <w:p>
            <w:pPr>
              <w:pStyle w:val="a24"/>
              <w:spacing w:line="240" w:lineRule="auto"/>
              <w:jc w:val="center"/>
              <w:rPr>
                <w:szCs w:val="21"/>
              </w:rPr>
            </w:pPr>
            <w:r>
              <w:rPr>
                <w:szCs w:val="21"/>
              </w:rPr>
              <w:t>项目组成</w:t>
            </w:r>
          </w:p>
        </w:tc>
        <w:tc>
          <w:tcPr>
            <w:tcW w:w="7612" w:type="dxa"/>
            <w:gridSpan w:val="2"/>
            <w:vAlign w:val="center"/>
          </w:tcPr>
          <w:p>
            <w:pPr>
              <w:pStyle w:val="a24"/>
              <w:spacing w:line="240" w:lineRule="auto"/>
              <w:jc w:val="center"/>
              <w:rPr>
                <w:szCs w:val="21"/>
              </w:rPr>
            </w:pPr>
            <w:r>
              <w:rPr>
                <w:szCs w:val="21"/>
              </w:rPr>
              <w:t>主要建设内容</w:t>
            </w:r>
          </w:p>
        </w:tc>
        <w:tc>
          <w:tcPr>
            <w:tcW w:w="674" w:type="dxa"/>
            <w:vAlign w:val="center"/>
          </w:tcPr>
          <w:p>
            <w:pPr>
              <w:pStyle w:val="a24"/>
              <w:spacing w:line="240" w:lineRule="auto"/>
              <w:rPr>
                <w:szCs w:val="21"/>
              </w:rPr>
            </w:pPr>
            <w:r>
              <w:rPr>
                <w:szCs w:val="21"/>
              </w:rPr>
              <w:t>备注</w:t>
            </w:r>
          </w:p>
        </w:tc>
      </w:tr>
      <w:tr>
        <w:tblPrEx>
          <w:tblW w:w="0" w:type="auto"/>
          <w:jc w:val="center"/>
          <w:tblLayout w:type="fixed"/>
          <w:tblCellMar>
            <w:top w:w="28" w:type="dxa"/>
            <w:left w:w="108" w:type="dxa"/>
            <w:bottom w:w="28" w:type="dxa"/>
            <w:right w:w="108" w:type="dxa"/>
          </w:tblCellMar>
          <w:tblLook w:val="0000"/>
        </w:tblPrEx>
        <w:trPr>
          <w:trHeight w:val="600"/>
          <w:jc w:val="center"/>
        </w:trPr>
        <w:tc>
          <w:tcPr>
            <w:tcW w:w="729" w:type="dxa"/>
            <w:vAlign w:val="center"/>
          </w:tcPr>
          <w:p>
            <w:pPr>
              <w:pStyle w:val="a24"/>
              <w:spacing w:line="240" w:lineRule="auto"/>
              <w:rPr>
                <w:szCs w:val="21"/>
              </w:rPr>
            </w:pPr>
            <w:r>
              <w:rPr>
                <w:szCs w:val="21"/>
              </w:rPr>
              <w:t>主体工程</w:t>
            </w:r>
          </w:p>
        </w:tc>
        <w:tc>
          <w:tcPr>
            <w:tcW w:w="1357" w:type="dxa"/>
            <w:vAlign w:val="center"/>
          </w:tcPr>
          <w:p>
            <w:pPr>
              <w:pStyle w:val="a24"/>
              <w:spacing w:line="240" w:lineRule="auto"/>
              <w:rPr>
                <w:szCs w:val="21"/>
              </w:rPr>
            </w:pPr>
            <w:r>
              <w:rPr>
                <w:szCs w:val="21"/>
              </w:rPr>
              <w:t>生产车间</w:t>
            </w:r>
          </w:p>
        </w:tc>
        <w:tc>
          <w:tcPr>
            <w:tcW w:w="6255" w:type="dxa"/>
            <w:vAlign w:val="center"/>
          </w:tcPr>
          <w:p>
            <w:pPr>
              <w:pStyle w:val="a24"/>
              <w:spacing w:line="240" w:lineRule="auto"/>
              <w:rPr>
                <w:rFonts w:hint="eastAsia"/>
                <w:szCs w:val="21"/>
                <w:lang w:val="en-US" w:eastAsia="zh-CN"/>
              </w:rPr>
            </w:pPr>
            <w:r>
              <w:rPr>
                <w:szCs w:val="21"/>
              </w:rPr>
              <w:t>1层1幢，彩钢结构，建筑面积</w:t>
            </w:r>
            <w:r>
              <w:rPr>
                <w:rFonts w:hint="eastAsia"/>
                <w:szCs w:val="21"/>
                <w:lang w:eastAsia="zh-CN"/>
              </w:rPr>
              <w:t>约</w:t>
            </w:r>
            <w:r>
              <w:rPr>
                <w:szCs w:val="21"/>
              </w:rPr>
              <w:t>1250m</w:t>
            </w:r>
            <w:r>
              <w:rPr>
                <w:szCs w:val="21"/>
                <w:vertAlign w:val="superscript"/>
              </w:rPr>
              <w:t>2</w:t>
            </w:r>
            <w:r>
              <w:rPr>
                <w:szCs w:val="21"/>
              </w:rPr>
              <w:t>，高9m，地面硬化，主要布置有切割</w:t>
            </w:r>
            <w:r>
              <w:rPr>
                <w:rFonts w:hint="eastAsia"/>
                <w:szCs w:val="21"/>
                <w:lang w:eastAsia="zh-CN"/>
              </w:rPr>
              <w:t>机</w:t>
            </w:r>
            <w:r>
              <w:rPr>
                <w:szCs w:val="21"/>
              </w:rPr>
              <w:t>、</w:t>
            </w:r>
            <w:r>
              <w:rPr>
                <w:rFonts w:hint="eastAsia"/>
                <w:szCs w:val="21"/>
                <w:lang w:eastAsia="zh-CN"/>
              </w:rPr>
              <w:t>二保焊机</w:t>
            </w:r>
            <w:r>
              <w:rPr>
                <w:szCs w:val="21"/>
              </w:rPr>
              <w:t>、折弯</w:t>
            </w:r>
            <w:r>
              <w:rPr>
                <w:rFonts w:hint="eastAsia"/>
                <w:szCs w:val="21"/>
                <w:lang w:eastAsia="zh-CN"/>
              </w:rPr>
              <w:t>机</w:t>
            </w:r>
            <w:r>
              <w:rPr>
                <w:szCs w:val="21"/>
              </w:rPr>
              <w:t>、</w:t>
            </w:r>
            <w:r>
              <w:rPr>
                <w:rFonts w:hint="eastAsia"/>
                <w:szCs w:val="21"/>
                <w:lang w:eastAsia="zh-CN"/>
              </w:rPr>
              <w:t>角磨机</w:t>
            </w:r>
            <w:r>
              <w:rPr>
                <w:szCs w:val="21"/>
              </w:rPr>
              <w:t>，主要用于机械零部件加工生产</w:t>
            </w:r>
            <w:r>
              <w:rPr>
                <w:rFonts w:hint="eastAsia"/>
                <w:szCs w:val="21"/>
                <w:lang w:eastAsia="zh-CN"/>
              </w:rPr>
              <w:t>，同时设</w:t>
            </w:r>
            <w:r>
              <w:rPr>
                <w:szCs w:val="21"/>
              </w:rPr>
              <w:t>原料区</w:t>
            </w:r>
            <w:r>
              <w:rPr>
                <w:rFonts w:hint="eastAsia"/>
                <w:szCs w:val="21"/>
                <w:lang w:eastAsia="zh-CN"/>
              </w:rPr>
              <w:t>、成品区，用于原料、成品储存</w:t>
            </w:r>
          </w:p>
        </w:tc>
        <w:tc>
          <w:tcPr>
            <w:tcW w:w="674" w:type="dxa"/>
            <w:vAlign w:val="center"/>
          </w:tcPr>
          <w:p>
            <w:pPr>
              <w:pStyle w:val="a24"/>
              <w:spacing w:line="240" w:lineRule="auto"/>
              <w:rPr>
                <w:rFonts w:hint="eastAsia"/>
                <w:szCs w:val="21"/>
                <w:lang w:eastAsia="zh-CN"/>
              </w:rPr>
            </w:pPr>
            <w:r>
              <w:rPr>
                <w:rFonts w:hint="eastAsia"/>
                <w:szCs w:val="21"/>
                <w:lang w:eastAsia="zh-CN"/>
              </w:rPr>
              <w:t>厂房利旧</w:t>
            </w:r>
          </w:p>
        </w:tc>
      </w:tr>
    </w:tbl>
    <w:p>
      <w:pPr>
        <w:sectPr>
          <w:headerReference w:type="default" r:id="rId28"/>
          <w:footerReference w:type="even" r:id="rId29"/>
          <w:footerReference w:type="default" r:id="rId30"/>
          <w:pgSz w:w="11906" w:h="16838"/>
          <w:pgMar w:top="1440" w:right="1418" w:bottom="1440" w:left="1418" w:header="851" w:footer="992" w:gutter="0"/>
          <w:pgNumType w:start="7"/>
          <w:cols w:space="708"/>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8" w:type="dxa"/>
          <w:bottom w:w="28" w:type="dxa"/>
          <w:right w:w="108" w:type="dxa"/>
        </w:tblCellMar>
        <w:tblLook w:val="0000"/>
      </w:tblPr>
      <w:tblGrid>
        <w:gridCol w:w="729"/>
        <w:gridCol w:w="1357"/>
        <w:gridCol w:w="6255"/>
        <w:gridCol w:w="67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108" w:type="dxa"/>
            <w:bottom w:w="28" w:type="dxa"/>
            <w:right w:w="108" w:type="dxa"/>
          </w:tblCellMar>
          <w:tblLook w:val="0000"/>
        </w:tblPrEx>
        <w:trPr>
          <w:trHeight w:val="77"/>
          <w:jc w:val="center"/>
        </w:trPr>
        <w:tc>
          <w:tcPr>
            <w:tcW w:w="729" w:type="dxa"/>
            <w:vMerge w:val="restart"/>
            <w:vAlign w:val="center"/>
          </w:tcPr>
          <w:p>
            <w:pPr>
              <w:pStyle w:val="a24"/>
              <w:spacing w:line="240" w:lineRule="auto"/>
              <w:rPr>
                <w:szCs w:val="21"/>
              </w:rPr>
            </w:pPr>
            <w:r>
              <w:rPr>
                <w:szCs w:val="21"/>
              </w:rPr>
              <w:t>储运工程</w:t>
            </w:r>
          </w:p>
        </w:tc>
        <w:tc>
          <w:tcPr>
            <w:tcW w:w="1357" w:type="dxa"/>
            <w:vAlign w:val="center"/>
          </w:tcPr>
          <w:p>
            <w:pPr>
              <w:pStyle w:val="a24"/>
              <w:spacing w:line="240" w:lineRule="auto"/>
              <w:rPr>
                <w:szCs w:val="21"/>
              </w:rPr>
            </w:pPr>
            <w:r>
              <w:rPr>
                <w:szCs w:val="21"/>
              </w:rPr>
              <w:t>成品储存</w:t>
            </w:r>
          </w:p>
        </w:tc>
        <w:tc>
          <w:tcPr>
            <w:tcW w:w="6255" w:type="dxa"/>
            <w:vAlign w:val="center"/>
          </w:tcPr>
          <w:p>
            <w:pPr>
              <w:pStyle w:val="a24"/>
              <w:spacing w:line="240" w:lineRule="auto"/>
              <w:rPr>
                <w:szCs w:val="21"/>
              </w:rPr>
            </w:pPr>
            <w:r>
              <w:rPr>
                <w:szCs w:val="21"/>
              </w:rPr>
              <w:t>生产车间内部设有成品区，占地面积</w:t>
            </w:r>
            <w:r>
              <w:rPr>
                <w:rFonts w:hint="eastAsia"/>
                <w:szCs w:val="21"/>
                <w:lang w:eastAsia="zh-CN"/>
              </w:rPr>
              <w:t>约</w:t>
            </w:r>
            <w:r>
              <w:rPr>
                <w:szCs w:val="21"/>
              </w:rPr>
              <w:t>250m</w:t>
            </w:r>
            <w:r>
              <w:rPr>
                <w:szCs w:val="21"/>
                <w:vertAlign w:val="superscript"/>
              </w:rPr>
              <w:t>2</w:t>
            </w:r>
          </w:p>
        </w:tc>
        <w:tc>
          <w:tcPr>
            <w:tcW w:w="674" w:type="dxa"/>
            <w:vAlign w:val="center"/>
          </w:tcPr>
          <w:p>
            <w:pPr>
              <w:pStyle w:val="a24"/>
              <w:spacing w:line="240" w:lineRule="auto"/>
              <w:rPr>
                <w:rFonts w:hint="eastAsia"/>
                <w:szCs w:val="21"/>
                <w:lang w:eastAsia="zh-CN"/>
              </w:rPr>
            </w:pPr>
            <w:r>
              <w:rPr>
                <w:rFonts w:hint="eastAsia"/>
                <w:szCs w:val="21"/>
                <w:lang w:eastAsia="zh-CN"/>
              </w:rPr>
              <w:t>利旧</w:t>
            </w:r>
          </w:p>
        </w:tc>
      </w:tr>
      <w:tr>
        <w:tblPrEx>
          <w:tblW w:w="0" w:type="auto"/>
          <w:jc w:val="center"/>
          <w:tblLayout w:type="fixed"/>
          <w:tblCellMar>
            <w:top w:w="28" w:type="dxa"/>
            <w:left w:w="108" w:type="dxa"/>
            <w:bottom w:w="28" w:type="dxa"/>
            <w:right w:w="108" w:type="dxa"/>
          </w:tblCellMar>
          <w:tblLook w:val="0000"/>
        </w:tblPrEx>
        <w:trPr>
          <w:trHeight w:val="77"/>
          <w:jc w:val="center"/>
        </w:trPr>
        <w:tc>
          <w:tcPr>
            <w:tcW w:w="729" w:type="dxa"/>
            <w:vMerge/>
            <w:vAlign w:val="center"/>
          </w:tcPr>
          <w:p>
            <w:pPr>
              <w:pStyle w:val="a24"/>
              <w:spacing w:line="240" w:lineRule="auto"/>
              <w:rPr>
                <w:szCs w:val="21"/>
              </w:rPr>
            </w:pPr>
          </w:p>
        </w:tc>
        <w:tc>
          <w:tcPr>
            <w:tcW w:w="1357" w:type="dxa"/>
            <w:vAlign w:val="center"/>
          </w:tcPr>
          <w:p>
            <w:pPr>
              <w:pStyle w:val="a24"/>
              <w:spacing w:line="240" w:lineRule="auto"/>
              <w:rPr>
                <w:szCs w:val="21"/>
              </w:rPr>
            </w:pPr>
            <w:r>
              <w:rPr>
                <w:szCs w:val="21"/>
              </w:rPr>
              <w:t>原料储存</w:t>
            </w:r>
          </w:p>
        </w:tc>
        <w:tc>
          <w:tcPr>
            <w:tcW w:w="6255" w:type="dxa"/>
            <w:vAlign w:val="center"/>
          </w:tcPr>
          <w:p>
            <w:pPr>
              <w:pStyle w:val="a24"/>
              <w:spacing w:line="240" w:lineRule="auto"/>
              <w:rPr>
                <w:szCs w:val="21"/>
              </w:rPr>
            </w:pPr>
            <w:r>
              <w:rPr>
                <w:szCs w:val="21"/>
              </w:rPr>
              <w:t>生产车间内部设有原料区，占地面积</w:t>
            </w:r>
            <w:r>
              <w:rPr>
                <w:rFonts w:hint="eastAsia"/>
                <w:szCs w:val="21"/>
                <w:lang w:eastAsia="zh-CN"/>
              </w:rPr>
              <w:t>约</w:t>
            </w:r>
            <w:r>
              <w:rPr>
                <w:szCs w:val="21"/>
              </w:rPr>
              <w:t>100m</w:t>
            </w:r>
            <w:r>
              <w:rPr>
                <w:szCs w:val="21"/>
                <w:vertAlign w:val="superscript"/>
              </w:rPr>
              <w:t>2</w:t>
            </w:r>
          </w:p>
        </w:tc>
        <w:tc>
          <w:tcPr>
            <w:tcW w:w="674" w:type="dxa"/>
            <w:vAlign w:val="center"/>
          </w:tcPr>
          <w:p>
            <w:pPr>
              <w:pStyle w:val="a24"/>
              <w:spacing w:line="240" w:lineRule="auto"/>
              <w:rPr>
                <w:rFonts w:hint="eastAsia"/>
                <w:szCs w:val="21"/>
                <w:lang w:eastAsia="zh-CN"/>
              </w:rPr>
            </w:pPr>
            <w:r>
              <w:rPr>
                <w:rFonts w:hint="eastAsia"/>
                <w:szCs w:val="21"/>
                <w:lang w:eastAsia="zh-CN"/>
              </w:rPr>
              <w:t>利旧</w:t>
            </w:r>
          </w:p>
        </w:tc>
      </w:tr>
      <w:tr>
        <w:tblPrEx>
          <w:tblW w:w="0" w:type="auto"/>
          <w:jc w:val="center"/>
          <w:tblLayout w:type="fixed"/>
          <w:tblCellMar>
            <w:top w:w="28" w:type="dxa"/>
            <w:left w:w="108" w:type="dxa"/>
            <w:bottom w:w="28" w:type="dxa"/>
            <w:right w:w="108" w:type="dxa"/>
          </w:tblCellMar>
          <w:tblLook w:val="0000"/>
        </w:tblPrEx>
        <w:trPr>
          <w:trHeight w:val="380"/>
          <w:jc w:val="center"/>
        </w:trPr>
        <w:tc>
          <w:tcPr>
            <w:tcW w:w="729" w:type="dxa"/>
            <w:vAlign w:val="center"/>
          </w:tcPr>
          <w:p>
            <w:pPr>
              <w:pStyle w:val="a24"/>
              <w:spacing w:line="240" w:lineRule="auto"/>
              <w:rPr>
                <w:szCs w:val="21"/>
              </w:rPr>
            </w:pPr>
            <w:r>
              <w:rPr>
                <w:szCs w:val="21"/>
              </w:rPr>
              <w:t>辅助工程</w:t>
            </w:r>
          </w:p>
        </w:tc>
        <w:tc>
          <w:tcPr>
            <w:tcW w:w="1357" w:type="dxa"/>
            <w:vAlign w:val="center"/>
          </w:tcPr>
          <w:p>
            <w:pPr>
              <w:pStyle w:val="a24"/>
              <w:spacing w:line="240" w:lineRule="auto"/>
              <w:rPr>
                <w:spacing w:val="-20"/>
                <w:szCs w:val="21"/>
              </w:rPr>
            </w:pPr>
            <w:r>
              <w:rPr>
                <w:szCs w:val="21"/>
              </w:rPr>
              <w:t>宿办用房</w:t>
            </w:r>
          </w:p>
        </w:tc>
        <w:tc>
          <w:tcPr>
            <w:tcW w:w="6255" w:type="dxa"/>
            <w:vAlign w:val="center"/>
          </w:tcPr>
          <w:p>
            <w:pPr>
              <w:pStyle w:val="a24"/>
              <w:spacing w:line="240" w:lineRule="auto"/>
              <w:rPr>
                <w:szCs w:val="21"/>
              </w:rPr>
            </w:pPr>
            <w:r>
              <w:rPr>
                <w:rFonts w:hint="eastAsia"/>
                <w:szCs w:val="21"/>
                <w:lang w:eastAsia="zh-CN"/>
              </w:rPr>
              <w:t>3</w:t>
            </w:r>
            <w:r>
              <w:rPr>
                <w:szCs w:val="21"/>
              </w:rPr>
              <w:t>层1幢，砖混结构，建筑面积100m</w:t>
            </w:r>
            <w:r>
              <w:rPr>
                <w:szCs w:val="21"/>
                <w:vertAlign w:val="superscript"/>
              </w:rPr>
              <w:t>2</w:t>
            </w:r>
            <w:r>
              <w:rPr>
                <w:szCs w:val="21"/>
              </w:rPr>
              <w:t>，主要用于办公、休息</w:t>
            </w:r>
          </w:p>
        </w:tc>
        <w:tc>
          <w:tcPr>
            <w:tcW w:w="674" w:type="dxa"/>
            <w:vAlign w:val="center"/>
          </w:tcPr>
          <w:p>
            <w:pPr>
              <w:pStyle w:val="a24"/>
              <w:spacing w:line="240" w:lineRule="auto"/>
              <w:rPr>
                <w:szCs w:val="21"/>
              </w:rPr>
            </w:pPr>
            <w:r>
              <w:rPr>
                <w:rFonts w:hint="eastAsia"/>
                <w:szCs w:val="21"/>
                <w:lang w:eastAsia="zh-CN"/>
              </w:rPr>
              <w:t>利旧</w:t>
            </w:r>
          </w:p>
        </w:tc>
      </w:tr>
      <w:tr>
        <w:tblPrEx>
          <w:tblW w:w="0" w:type="auto"/>
          <w:jc w:val="center"/>
          <w:tblLayout w:type="fixed"/>
          <w:tblCellMar>
            <w:top w:w="28" w:type="dxa"/>
            <w:left w:w="108" w:type="dxa"/>
            <w:bottom w:w="28" w:type="dxa"/>
            <w:right w:w="108" w:type="dxa"/>
          </w:tblCellMar>
          <w:tblLook w:val="0000"/>
        </w:tblPrEx>
        <w:trPr>
          <w:trHeight w:val="299"/>
          <w:jc w:val="center"/>
        </w:trPr>
        <w:tc>
          <w:tcPr>
            <w:tcW w:w="729" w:type="dxa"/>
            <w:vMerge w:val="restart"/>
            <w:vAlign w:val="center"/>
          </w:tcPr>
          <w:p>
            <w:pPr>
              <w:pStyle w:val="a24"/>
              <w:spacing w:line="240" w:lineRule="auto"/>
              <w:rPr>
                <w:szCs w:val="21"/>
              </w:rPr>
            </w:pPr>
            <w:r>
              <w:rPr>
                <w:szCs w:val="21"/>
              </w:rPr>
              <w:t>公用工程</w:t>
            </w:r>
          </w:p>
        </w:tc>
        <w:tc>
          <w:tcPr>
            <w:tcW w:w="1357" w:type="dxa"/>
            <w:vAlign w:val="center"/>
          </w:tcPr>
          <w:p>
            <w:pPr>
              <w:pStyle w:val="a24"/>
              <w:spacing w:line="240" w:lineRule="auto"/>
              <w:rPr>
                <w:szCs w:val="21"/>
              </w:rPr>
            </w:pPr>
            <w:r>
              <w:rPr>
                <w:szCs w:val="21"/>
              </w:rPr>
              <w:t>供水</w:t>
            </w:r>
          </w:p>
        </w:tc>
        <w:tc>
          <w:tcPr>
            <w:tcW w:w="6255" w:type="dxa"/>
            <w:vAlign w:val="center"/>
          </w:tcPr>
          <w:p>
            <w:pPr>
              <w:pStyle w:val="a24"/>
              <w:spacing w:line="240" w:lineRule="auto"/>
              <w:rPr>
                <w:szCs w:val="21"/>
              </w:rPr>
            </w:pPr>
            <w:r>
              <w:rPr>
                <w:szCs w:val="21"/>
              </w:rPr>
              <w:t>依托</w:t>
            </w:r>
            <w:r>
              <w:rPr>
                <w:rFonts w:hint="eastAsia"/>
                <w:szCs w:val="21"/>
                <w:lang w:eastAsia="zh-CN"/>
              </w:rPr>
              <w:t>东刘</w:t>
            </w:r>
            <w:r>
              <w:rPr>
                <w:szCs w:val="21"/>
              </w:rPr>
              <w:t>供水工程</w:t>
            </w:r>
          </w:p>
        </w:tc>
        <w:tc>
          <w:tcPr>
            <w:tcW w:w="674" w:type="dxa"/>
            <w:vAlign w:val="center"/>
          </w:tcPr>
          <w:p>
            <w:pPr>
              <w:pStyle w:val="a24"/>
              <w:spacing w:line="240" w:lineRule="auto"/>
              <w:rPr>
                <w:rFonts w:hint="eastAsia"/>
                <w:szCs w:val="21"/>
                <w:lang w:eastAsia="zh-CN"/>
              </w:rPr>
            </w:pPr>
            <w:r>
              <w:rPr>
                <w:rFonts w:hint="eastAsia"/>
                <w:szCs w:val="21"/>
                <w:lang w:eastAsia="zh-CN"/>
              </w:rPr>
              <w:t>利旧</w:t>
            </w:r>
          </w:p>
        </w:tc>
      </w:tr>
      <w:tr>
        <w:tblPrEx>
          <w:tblW w:w="0" w:type="auto"/>
          <w:jc w:val="center"/>
          <w:tblLayout w:type="fixed"/>
          <w:tblCellMar>
            <w:top w:w="28" w:type="dxa"/>
            <w:left w:w="108" w:type="dxa"/>
            <w:bottom w:w="28" w:type="dxa"/>
            <w:right w:w="108" w:type="dxa"/>
          </w:tblCellMar>
          <w:tblLook w:val="0000"/>
        </w:tblPrEx>
        <w:trPr>
          <w:trHeight w:val="299"/>
          <w:jc w:val="center"/>
        </w:trPr>
        <w:tc>
          <w:tcPr>
            <w:tcW w:w="729" w:type="dxa"/>
            <w:vMerge/>
            <w:vAlign w:val="center"/>
          </w:tcPr>
          <w:p>
            <w:pPr>
              <w:pStyle w:val="a24"/>
              <w:spacing w:line="240" w:lineRule="auto"/>
              <w:rPr>
                <w:szCs w:val="21"/>
              </w:rPr>
            </w:pPr>
          </w:p>
        </w:tc>
        <w:tc>
          <w:tcPr>
            <w:tcW w:w="1357" w:type="dxa"/>
            <w:vAlign w:val="center"/>
          </w:tcPr>
          <w:p>
            <w:pPr>
              <w:pStyle w:val="a24"/>
              <w:spacing w:line="240" w:lineRule="auto"/>
              <w:rPr>
                <w:spacing w:val="-20"/>
                <w:szCs w:val="21"/>
              </w:rPr>
            </w:pPr>
            <w:r>
              <w:rPr>
                <w:szCs w:val="21"/>
              </w:rPr>
              <w:t>排水</w:t>
            </w:r>
          </w:p>
        </w:tc>
        <w:tc>
          <w:tcPr>
            <w:tcW w:w="6255" w:type="dxa"/>
            <w:vAlign w:val="center"/>
          </w:tcPr>
          <w:p>
            <w:pPr>
              <w:pStyle w:val="a24"/>
              <w:spacing w:line="240" w:lineRule="auto"/>
              <w:rPr>
                <w:szCs w:val="21"/>
              </w:rPr>
            </w:pPr>
            <w:r>
              <w:rPr>
                <w:szCs w:val="21"/>
              </w:rPr>
              <w:t>采用雨污分流制，雨水流入附近农田。生产用水循环使用，不外排。生活污水厂区</w:t>
            </w:r>
            <w:r>
              <w:rPr>
                <w:rFonts w:hint="eastAsia"/>
                <w:szCs w:val="21"/>
                <w:lang w:eastAsia="zh-CN"/>
              </w:rPr>
              <w:t>洒水</w:t>
            </w:r>
            <w:r>
              <w:rPr>
                <w:szCs w:val="21"/>
              </w:rPr>
              <w:t>抑尘，项目区设旱厕，定期清掏，外运肥田。</w:t>
            </w:r>
          </w:p>
        </w:tc>
        <w:tc>
          <w:tcPr>
            <w:tcW w:w="674" w:type="dxa"/>
            <w:vAlign w:val="center"/>
          </w:tcPr>
          <w:p>
            <w:pPr>
              <w:pStyle w:val="a24"/>
              <w:spacing w:line="240" w:lineRule="auto"/>
              <w:rPr>
                <w:rFonts w:hint="eastAsia"/>
                <w:szCs w:val="21"/>
                <w:lang w:eastAsia="zh-CN"/>
              </w:rPr>
            </w:pPr>
            <w:r>
              <w:rPr>
                <w:rFonts w:hint="eastAsia"/>
                <w:szCs w:val="21"/>
                <w:lang w:eastAsia="zh-CN"/>
              </w:rPr>
              <w:t>利旧</w:t>
            </w:r>
          </w:p>
        </w:tc>
      </w:tr>
      <w:tr>
        <w:tblPrEx>
          <w:tblW w:w="0" w:type="auto"/>
          <w:jc w:val="center"/>
          <w:tblLayout w:type="fixed"/>
          <w:tblCellMar>
            <w:top w:w="28" w:type="dxa"/>
            <w:left w:w="108" w:type="dxa"/>
            <w:bottom w:w="28" w:type="dxa"/>
            <w:right w:w="108" w:type="dxa"/>
          </w:tblCellMar>
          <w:tblLook w:val="0000"/>
        </w:tblPrEx>
        <w:trPr>
          <w:trHeight w:val="299"/>
          <w:jc w:val="center"/>
        </w:trPr>
        <w:tc>
          <w:tcPr>
            <w:tcW w:w="729" w:type="dxa"/>
            <w:vMerge/>
            <w:vAlign w:val="center"/>
          </w:tcPr>
          <w:p>
            <w:pPr>
              <w:pStyle w:val="a24"/>
              <w:spacing w:line="240" w:lineRule="auto"/>
              <w:rPr>
                <w:szCs w:val="21"/>
              </w:rPr>
            </w:pPr>
          </w:p>
        </w:tc>
        <w:tc>
          <w:tcPr>
            <w:tcW w:w="1357" w:type="dxa"/>
            <w:vAlign w:val="center"/>
          </w:tcPr>
          <w:p>
            <w:pPr>
              <w:pStyle w:val="a24"/>
              <w:spacing w:line="240" w:lineRule="auto"/>
              <w:rPr>
                <w:szCs w:val="21"/>
              </w:rPr>
            </w:pPr>
            <w:r>
              <w:rPr>
                <w:szCs w:val="21"/>
              </w:rPr>
              <w:t>供配电</w:t>
            </w:r>
          </w:p>
        </w:tc>
        <w:tc>
          <w:tcPr>
            <w:tcW w:w="6255" w:type="dxa"/>
            <w:vAlign w:val="center"/>
          </w:tcPr>
          <w:p>
            <w:pPr>
              <w:pStyle w:val="a24"/>
              <w:spacing w:line="240" w:lineRule="auto"/>
              <w:rPr>
                <w:szCs w:val="21"/>
              </w:rPr>
            </w:pPr>
            <w:r>
              <w:rPr>
                <w:bCs/>
                <w:szCs w:val="21"/>
              </w:rPr>
              <w:t>由当地供电局供电</w:t>
            </w:r>
            <w:r>
              <w:rPr>
                <w:szCs w:val="21"/>
              </w:rPr>
              <w:t>，电力供应充足稳定，可满足项目运营期的用电需求</w:t>
            </w:r>
          </w:p>
        </w:tc>
        <w:tc>
          <w:tcPr>
            <w:tcW w:w="674" w:type="dxa"/>
            <w:vAlign w:val="center"/>
          </w:tcPr>
          <w:p>
            <w:pPr>
              <w:pStyle w:val="a24"/>
              <w:spacing w:line="240" w:lineRule="auto"/>
              <w:rPr>
                <w:rFonts w:hint="eastAsia"/>
                <w:szCs w:val="21"/>
                <w:lang w:eastAsia="zh-CN"/>
              </w:rPr>
            </w:pPr>
            <w:r>
              <w:rPr>
                <w:rFonts w:hint="eastAsia"/>
                <w:szCs w:val="21"/>
                <w:lang w:eastAsia="zh-CN"/>
              </w:rPr>
              <w:t>利旧</w:t>
            </w:r>
          </w:p>
        </w:tc>
      </w:tr>
      <w:tr>
        <w:tblPrEx>
          <w:tblW w:w="0" w:type="auto"/>
          <w:jc w:val="center"/>
          <w:tblLayout w:type="fixed"/>
          <w:tblCellMar>
            <w:top w:w="28" w:type="dxa"/>
            <w:left w:w="108" w:type="dxa"/>
            <w:bottom w:w="28" w:type="dxa"/>
            <w:right w:w="108" w:type="dxa"/>
          </w:tblCellMar>
          <w:tblLook w:val="0000"/>
        </w:tblPrEx>
        <w:trPr>
          <w:trHeight w:val="381"/>
          <w:jc w:val="center"/>
        </w:trPr>
        <w:tc>
          <w:tcPr>
            <w:tcW w:w="729" w:type="dxa"/>
            <w:vMerge/>
            <w:vAlign w:val="center"/>
          </w:tcPr>
          <w:p>
            <w:pPr>
              <w:pStyle w:val="a24"/>
              <w:spacing w:line="240" w:lineRule="auto"/>
              <w:rPr>
                <w:szCs w:val="21"/>
              </w:rPr>
            </w:pPr>
          </w:p>
        </w:tc>
        <w:tc>
          <w:tcPr>
            <w:tcW w:w="1357" w:type="dxa"/>
            <w:vAlign w:val="center"/>
          </w:tcPr>
          <w:p>
            <w:pPr>
              <w:pStyle w:val="a24"/>
              <w:spacing w:line="240" w:lineRule="auto"/>
              <w:rPr>
                <w:szCs w:val="21"/>
              </w:rPr>
            </w:pPr>
            <w:r>
              <w:rPr>
                <w:szCs w:val="21"/>
              </w:rPr>
              <w:t>供暖制冷</w:t>
            </w:r>
          </w:p>
        </w:tc>
        <w:tc>
          <w:tcPr>
            <w:tcW w:w="6255" w:type="dxa"/>
            <w:vAlign w:val="center"/>
          </w:tcPr>
          <w:p>
            <w:pPr>
              <w:pStyle w:val="a24"/>
              <w:spacing w:line="240" w:lineRule="auto"/>
              <w:rPr>
                <w:szCs w:val="21"/>
              </w:rPr>
            </w:pPr>
            <w:r>
              <w:rPr>
                <w:szCs w:val="21"/>
              </w:rPr>
              <w:t>产车间无需供暖制冷，办公区供暖、制冷采用分体空调</w:t>
            </w:r>
          </w:p>
        </w:tc>
        <w:tc>
          <w:tcPr>
            <w:tcW w:w="674" w:type="dxa"/>
            <w:vAlign w:val="center"/>
          </w:tcPr>
          <w:p>
            <w:pPr>
              <w:pStyle w:val="a24"/>
              <w:spacing w:line="240" w:lineRule="auto"/>
              <w:rPr>
                <w:szCs w:val="21"/>
              </w:rPr>
            </w:pPr>
            <w:r>
              <w:rPr>
                <w:rFonts w:hint="eastAsia"/>
                <w:szCs w:val="21"/>
                <w:lang w:eastAsia="zh-CN"/>
              </w:rPr>
              <w:t>利旧</w:t>
            </w:r>
          </w:p>
        </w:tc>
      </w:tr>
    </w:tbl>
    <w:p>
      <w:pPr>
        <w:pStyle w:val="Heading3"/>
        <w:numPr>
          <w:ilvl w:val="2"/>
          <w:numId w:val="0"/>
        </w:numPr>
        <w:tabs>
          <w:tab w:val="left" w:pos="720"/>
        </w:tabs>
        <w:spacing w:before="156" w:line="500" w:lineRule="exact"/>
        <w:rPr>
          <w:rFonts w:ascii="Times New Roman" w:hAnsi="Times New Roman"/>
          <w:spacing w:val="16"/>
          <w:szCs w:val="28"/>
        </w:rPr>
      </w:pPr>
      <w:bookmarkStart w:id="28" w:name="_Toc350720460"/>
      <w:r>
        <w:rPr>
          <w:rFonts w:ascii="Times New Roman" w:hAnsi="Times New Roman"/>
          <w:spacing w:val="16"/>
          <w:szCs w:val="28"/>
        </w:rPr>
        <w:t>2.1.</w:t>
      </w:r>
      <w:r>
        <w:rPr>
          <w:rFonts w:ascii="Times New Roman" w:hAnsi="Times New Roman"/>
          <w:spacing w:val="16"/>
          <w:szCs w:val="28"/>
          <w:lang w:eastAsia="zh-CN"/>
        </w:rPr>
        <w:t>4</w:t>
      </w:r>
      <w:r>
        <w:rPr>
          <w:rFonts w:ascii="Times New Roman" w:hAnsi="Times New Roman"/>
          <w:spacing w:val="16"/>
          <w:szCs w:val="28"/>
        </w:rPr>
        <w:t>安全设施设计内容</w:t>
      </w:r>
    </w:p>
    <w:p>
      <w:pPr>
        <w:ind w:firstLine="538" w:firstLineChars="192"/>
        <w:rPr>
          <w:sz w:val="28"/>
          <w:szCs w:val="28"/>
        </w:rPr>
      </w:pPr>
      <w:r>
        <w:rPr>
          <w:sz w:val="28"/>
          <w:szCs w:val="28"/>
        </w:rPr>
        <w:t>本项目安全设施设计专篇的对象为</w:t>
      </w:r>
      <w:r>
        <w:rPr>
          <w:rFonts w:hint="eastAsia"/>
          <w:sz w:val="28"/>
          <w:szCs w:val="28"/>
          <w:lang w:eastAsia="zh-CN"/>
        </w:rPr>
        <w:t>XX机电设备有限公司</w:t>
      </w:r>
      <w:r>
        <w:rPr>
          <w:sz w:val="28"/>
          <w:szCs w:val="28"/>
        </w:rPr>
        <w:t>年产10万件机械零部件生产线建设项目。设计范围为与本项目相关的</w:t>
      </w:r>
      <w:r>
        <w:rPr>
          <w:bCs/>
          <w:sz w:val="28"/>
          <w:szCs w:val="28"/>
        </w:rPr>
        <w:t>总平面布置、建(构)筑物、生产工艺及装置、公用工程及辅助设施等，其他与本项目无关的建构筑物及设备设施不在本次设计范围内。</w:t>
      </w:r>
    </w:p>
    <w:p>
      <w:pPr>
        <w:pStyle w:val="Heading2"/>
        <w:numPr>
          <w:ilvl w:val="1"/>
          <w:numId w:val="0"/>
        </w:numPr>
        <w:tabs>
          <w:tab w:val="left" w:pos="720"/>
        </w:tabs>
        <w:spacing w:before="312" w:after="156" w:line="500" w:lineRule="exact"/>
        <w:jc w:val="center"/>
        <w:rPr>
          <w:rFonts w:ascii="Times New Roman" w:hAnsi="Times New Roman"/>
          <w:sz w:val="30"/>
          <w:szCs w:val="30"/>
        </w:rPr>
      </w:pPr>
      <w:bookmarkStart w:id="29" w:name="_Toc17646655"/>
      <w:bookmarkStart w:id="30" w:name="_Toc46132539"/>
      <w:r>
        <w:rPr>
          <w:rFonts w:ascii="Times New Roman" w:hAnsi="Times New Roman"/>
          <w:sz w:val="30"/>
          <w:szCs w:val="30"/>
        </w:rPr>
        <w:t>2.2</w:t>
      </w:r>
      <w:bookmarkEnd w:id="28"/>
      <w:r>
        <w:rPr>
          <w:rFonts w:ascii="Times New Roman" w:hAnsi="Times New Roman"/>
          <w:sz w:val="30"/>
          <w:szCs w:val="30"/>
        </w:rPr>
        <w:t>项目基本概况</w:t>
      </w:r>
      <w:bookmarkEnd w:id="29"/>
      <w:bookmarkEnd w:id="30"/>
    </w:p>
    <w:p>
      <w:pPr>
        <w:pStyle w:val="Heading3"/>
        <w:numPr>
          <w:ilvl w:val="2"/>
          <w:numId w:val="0"/>
        </w:numPr>
        <w:tabs>
          <w:tab w:val="left" w:pos="720"/>
        </w:tabs>
        <w:spacing w:before="156" w:line="500" w:lineRule="exact"/>
        <w:rPr>
          <w:rFonts w:ascii="Times New Roman" w:hAnsi="Times New Roman"/>
          <w:spacing w:val="16"/>
          <w:szCs w:val="28"/>
          <w:lang w:eastAsia="zh-CN"/>
        </w:rPr>
      </w:pPr>
      <w:r>
        <w:rPr>
          <w:rFonts w:ascii="Times New Roman" w:hAnsi="Times New Roman"/>
          <w:spacing w:val="16"/>
          <w:szCs w:val="28"/>
        </w:rPr>
        <w:t>2.2.1项目位置</w:t>
      </w:r>
    </w:p>
    <w:p>
      <w:pPr>
        <w:spacing w:line="520" w:lineRule="exact"/>
        <w:ind w:firstLine="560" w:firstLineChars="200"/>
        <w:rPr>
          <w:rStyle w:val="CharChar5"/>
          <w:sz w:val="28"/>
        </w:rPr>
      </w:pPr>
      <w:r>
        <w:rPr>
          <w:rStyle w:val="CharChar5"/>
          <w:sz w:val="28"/>
        </w:rPr>
        <w:t>本项目位于</w:t>
      </w:r>
      <w:r>
        <w:rPr>
          <w:rStyle w:val="CharChar5"/>
          <w:rFonts w:hint="eastAsia"/>
          <w:sz w:val="28"/>
        </w:rPr>
        <w:t>XX</w:t>
      </w:r>
      <w:r>
        <w:rPr>
          <w:rStyle w:val="CharChar5"/>
          <w:sz w:val="28"/>
        </w:rPr>
        <w:t>省</w:t>
      </w:r>
      <w:r>
        <w:rPr>
          <w:rStyle w:val="CharChar5"/>
          <w:rFonts w:hint="eastAsia"/>
          <w:sz w:val="28"/>
        </w:rPr>
        <w:t>XX</w:t>
      </w:r>
      <w:r>
        <w:rPr>
          <w:rStyle w:val="CharChar5"/>
          <w:sz w:val="28"/>
        </w:rPr>
        <w:t>县</w:t>
      </w:r>
      <w:r>
        <w:rPr>
          <w:rFonts w:eastAsia="宋体" w:hint="eastAsia"/>
          <w:sz w:val="28"/>
          <w:szCs w:val="28"/>
          <w:lang w:eastAsia="zh-CN"/>
        </w:rPr>
        <w:t>XX</w:t>
      </w:r>
      <w:r>
        <w:rPr>
          <w:sz w:val="28"/>
          <w:szCs w:val="28"/>
        </w:rPr>
        <w:t>镇</w:t>
      </w:r>
      <w:r>
        <w:rPr>
          <w:rFonts w:hint="eastAsia"/>
          <w:sz w:val="28"/>
          <w:szCs w:val="28"/>
          <w:lang w:eastAsia="zh-CN"/>
        </w:rPr>
        <w:t>XXXX</w:t>
      </w:r>
      <w:r>
        <w:rPr>
          <w:rFonts w:hint="eastAsia"/>
          <w:sz w:val="28"/>
          <w:szCs w:val="28"/>
        </w:rPr>
        <w:t>108号</w:t>
      </w:r>
      <w:r>
        <w:rPr>
          <w:rStyle w:val="CharChar5"/>
          <w:sz w:val="28"/>
        </w:rPr>
        <w:t>。</w:t>
      </w:r>
      <w:r>
        <w:rPr>
          <w:rStyle w:val="CharChar5"/>
          <w:rFonts w:hint="eastAsia"/>
          <w:sz w:val="28"/>
        </w:rPr>
        <w:t>XX</w:t>
      </w:r>
      <w:r>
        <w:rPr>
          <w:rStyle w:val="CharChar5"/>
          <w:sz w:val="28"/>
        </w:rPr>
        <w:t>镇位于</w:t>
      </w:r>
      <w:r>
        <w:rPr>
          <w:rStyle w:val="CharChar5"/>
          <w:rFonts w:hint="eastAsia"/>
          <w:sz w:val="28"/>
        </w:rPr>
        <w:t>XX</w:t>
      </w:r>
      <w:r>
        <w:rPr>
          <w:rStyle w:val="CharChar5"/>
          <w:sz w:val="28"/>
        </w:rPr>
        <w:t>县城东15km处，东接西安市临潼区，南邻</w:t>
      </w:r>
      <w:r>
        <w:rPr>
          <w:rStyle w:val="CharChar5"/>
          <w:rFonts w:hint="eastAsia"/>
          <w:sz w:val="28"/>
        </w:rPr>
        <w:t>XX</w:t>
      </w:r>
      <w:r>
        <w:rPr>
          <w:rStyle w:val="CharChar5"/>
          <w:sz w:val="28"/>
        </w:rPr>
        <w:t>县，周陂路、安陂路连接西(安)三(原)一级路直达镇中，西韩线过境4.7km，横贯南北，西闫高速公路穿境而过。基本形成了以国省干道为纽带、县乡公路为骨架、村级公路为支脉，纵横交错、四通八达的公路网络。</w:t>
      </w:r>
    </w:p>
    <w:p>
      <w:pPr>
        <w:ind w:firstLine="538" w:firstLineChars="192"/>
        <w:rPr>
          <w:rFonts w:hint="eastAsia"/>
          <w:sz w:val="28"/>
          <w:szCs w:val="28"/>
        </w:rPr>
      </w:pPr>
      <w:r>
        <w:rPr>
          <w:sz w:val="28"/>
          <w:szCs w:val="28"/>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723" o:spid="_x0000_s1025" type="#_x0000_t61" style="width:93.4pt;height:31.8pt;margin-top:137.35pt;margin-left:-367.15pt;mso-wrap-style:square;position:absolute;z-index:251658240" adj="32631,34845" filled="t" fillcolor="#f79646" stroked="f" strokecolor="#f2f2f2" strokeweight="3pt">
            <v:stroke linestyle="single"/>
            <v:shadow on="t" type="perspective" color="#974706" opacity="0.5" offset="1pt" offset2="-1pt"/>
            <v:textbox>
              <w:txbxContent>
                <w:p>
                  <w:pPr>
                    <w:rPr>
                      <w:sz w:val="28"/>
                    </w:rPr>
                  </w:pPr>
                  <w:r>
                    <w:rPr>
                      <w:rFonts w:hint="eastAsia"/>
                      <w:sz w:val="28"/>
                    </w:rPr>
                    <w:t>项目所在地</w:t>
                  </w:r>
                </w:p>
              </w:txbxContent>
            </v:textbox>
          </v:shape>
        </w:pict>
      </w:r>
      <w:r>
        <w:rPr>
          <w:rFonts w:hint="eastAsia"/>
          <w:sz w:val="28"/>
          <w:szCs w:val="28"/>
          <w:lang w:eastAsia="zh-CN"/>
        </w:rPr>
        <w:t>XX</w:t>
      </w:r>
      <w:r>
        <w:rPr>
          <w:sz w:val="28"/>
          <w:szCs w:val="28"/>
        </w:rPr>
        <w:t>县地理坐标介于东经108°46′21″～109°10′35″，北纬34°33′49″～34°50′24″之间。东西长37km，南北宽30km，总面积576.69km</w:t>
      </w:r>
      <w:r>
        <w:rPr>
          <w:sz w:val="28"/>
          <w:szCs w:val="28"/>
          <w:vertAlign w:val="superscript"/>
        </w:rPr>
        <w:t>2</w:t>
      </w:r>
      <w:r>
        <w:rPr>
          <w:sz w:val="28"/>
          <w:szCs w:val="28"/>
        </w:rPr>
        <w:t>。</w:t>
      </w:r>
      <w:r>
        <w:rPr>
          <w:rFonts w:hint="eastAsia"/>
          <w:sz w:val="28"/>
          <w:szCs w:val="28"/>
          <w:lang w:eastAsia="zh-CN"/>
        </w:rPr>
        <w:t>XX</w:t>
      </w:r>
      <w:r>
        <w:rPr>
          <w:sz w:val="28"/>
          <w:szCs w:val="28"/>
        </w:rPr>
        <w:t>县位于</w:t>
      </w:r>
      <w:r>
        <w:rPr>
          <w:rFonts w:hint="eastAsia"/>
          <w:sz w:val="28"/>
          <w:szCs w:val="28"/>
          <w:lang w:eastAsia="zh-CN"/>
        </w:rPr>
        <w:t>XX</w:t>
      </w:r>
      <w:r>
        <w:rPr>
          <w:sz w:val="28"/>
          <w:szCs w:val="28"/>
        </w:rPr>
        <w:t>关中平原中部，渭河以北，为省会西安市的北大门，距西安约36km，</w:t>
      </w:r>
      <w:r>
        <w:rPr>
          <w:rFonts w:hint="eastAsia"/>
          <w:sz w:val="28"/>
          <w:szCs w:val="28"/>
          <w:lang w:eastAsia="zh-CN"/>
        </w:rPr>
        <w:t>XX</w:t>
      </w:r>
      <w:r>
        <w:rPr>
          <w:sz w:val="28"/>
          <w:szCs w:val="28"/>
        </w:rPr>
        <w:t>约40km，距</w:t>
      </w:r>
      <w:r>
        <w:rPr>
          <w:rFonts w:hint="eastAsia"/>
          <w:sz w:val="28"/>
          <w:szCs w:val="28"/>
          <w:lang w:eastAsia="zh-CN"/>
        </w:rPr>
        <w:t>XX</w:t>
      </w:r>
      <w:r>
        <w:rPr>
          <w:sz w:val="28"/>
          <w:szCs w:val="28"/>
        </w:rPr>
        <w:t>国际机场22km。</w:t>
      </w:r>
    </w:p>
    <w:p>
      <w:pPr>
        <w:ind w:firstLine="538" w:firstLineChars="192"/>
        <w:rPr>
          <w:sz w:val="28"/>
          <w:szCs w:val="28"/>
        </w:rPr>
      </w:pPr>
    </w:p>
    <w:p>
      <w:pPr>
        <w:spacing w:line="240" w:lineRule="auto"/>
        <w:ind w:firstLine="403" w:firstLineChars="192"/>
        <w:jc w:val="center"/>
        <w:rPr>
          <w:rFonts w:hint="eastAsia"/>
        </w:rPr>
        <w:sectPr>
          <w:headerReference w:type="default" r:id="rId31"/>
          <w:footerReference w:type="even" r:id="rId32"/>
          <w:footerReference w:type="default" r:id="rId33"/>
          <w:type w:val="nextPage"/>
          <w:pgSz w:w="11906" w:h="16838"/>
          <w:pgMar w:top="1440" w:right="1418" w:bottom="1440" w:left="1418" w:header="851" w:footer="992" w:gutter="0"/>
          <w:pgNumType w:start="8"/>
          <w:cols w:space="708"/>
          <w:titlePg w:val="0"/>
          <w:docGrid w:type="lines" w:linePitch="312"/>
        </w:sectPr>
      </w:pPr>
      <w: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自选图形 739" o:spid="_x0000_s1026" type="#_x0000_t62" style="width:84.15pt;height:30.85pt;margin-top:69.6pt;margin-left:195.35pt;mso-wrap-style:square;position:absolute;z-index:251659264" adj="-10075,46036" filled="f" fillcolor="#f79646" stroked="t" strokecolor="red" strokeweight="1.5pt">
            <v:stroke linestyle="single"/>
            <v:shadow type="perspective" color="#974706" opacity="0.5" offset="1pt" offset2="-1pt"/>
            <v:textbox>
              <w:txbxContent>
                <w:p>
                  <w:pPr>
                    <w:rPr>
                      <w:b/>
                      <w:sz w:val="24"/>
                    </w:rPr>
                  </w:pPr>
                  <w:r>
                    <w:rPr>
                      <w:rFonts w:hint="eastAsia"/>
                      <w:b/>
                      <w:sz w:val="24"/>
                    </w:rPr>
                    <w:t>项目所在地</w:t>
                  </w:r>
                </w:p>
              </w:txbxContent>
            </v:textbox>
          </v:shape>
        </w:pict>
      </w:r>
      <w:r>
        <w:rPr>
          <w:b/>
          <w:bCs/>
          <w:spacing w:val="-5"/>
          <w:kern w:val="0"/>
          <w:szCs w:val="21"/>
        </w:rPr>
        <w:t>图2.1项目地理位置图</w:t>
      </w:r>
      <w:r>
        <w:rPr>
          <w:rFonts w:hint="eastAsia"/>
          <w:b/>
          <w:bCs/>
        </w:rPr>
        <w:t xml:space="preserve"> </w:t>
      </w:r>
    </w:p>
    <w:p>
      <w:pPr>
        <w:pStyle w:val="Heading3"/>
        <w:numPr>
          <w:ilvl w:val="2"/>
          <w:numId w:val="0"/>
        </w:numPr>
        <w:tabs>
          <w:tab w:val="left" w:pos="720"/>
        </w:tabs>
        <w:spacing w:before="156" w:line="720" w:lineRule="auto"/>
        <w:rPr>
          <w:rFonts w:ascii="Times New Roman" w:hAnsi="Times New Roman"/>
          <w:spacing w:val="16"/>
          <w:szCs w:val="28"/>
        </w:rPr>
      </w:pPr>
      <w:r>
        <w:rPr>
          <w:rFonts w:ascii="Times New Roman" w:hAnsi="Times New Roman"/>
          <w:spacing w:val="16"/>
          <w:szCs w:val="28"/>
        </w:rPr>
        <w:t>2.2.</w:t>
      </w:r>
      <w:r>
        <w:rPr>
          <w:rFonts w:ascii="Times New Roman" w:hAnsi="Times New Roman"/>
          <w:spacing w:val="16"/>
          <w:szCs w:val="28"/>
          <w:lang w:eastAsia="zh-CN"/>
        </w:rPr>
        <w:t>2</w:t>
      </w:r>
      <w:r>
        <w:rPr>
          <w:rFonts w:ascii="Times New Roman" w:hAnsi="Times New Roman"/>
          <w:spacing w:val="16"/>
          <w:szCs w:val="28"/>
        </w:rPr>
        <w:t>周边环境</w:t>
      </w:r>
    </w:p>
    <w:p>
      <w:pPr>
        <w:ind w:firstLine="538" w:firstLineChars="192"/>
        <w:rPr>
          <w:sz w:val="28"/>
          <w:szCs w:val="28"/>
        </w:rPr>
      </w:pPr>
      <w:r>
        <w:rPr>
          <w:sz w:val="28"/>
          <w:szCs w:val="28"/>
        </w:rPr>
        <w:t>该公司位于</w:t>
      </w:r>
      <w:r>
        <w:rPr>
          <w:rFonts w:hint="eastAsia"/>
          <w:sz w:val="28"/>
          <w:szCs w:val="28"/>
          <w:lang w:eastAsia="zh-CN"/>
        </w:rPr>
        <w:t>XX</w:t>
      </w:r>
      <w:r>
        <w:rPr>
          <w:sz w:val="28"/>
          <w:szCs w:val="28"/>
        </w:rPr>
        <w:t>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w:t>
      </w:r>
      <w:r>
        <w:rPr>
          <w:sz w:val="28"/>
          <w:szCs w:val="28"/>
        </w:rPr>
        <w:t>，</w:t>
      </w:r>
      <w:r>
        <w:rPr>
          <w:rFonts w:hint="eastAsia"/>
          <w:sz w:val="28"/>
          <w:szCs w:val="28"/>
        </w:rPr>
        <w:t>厂址临</w:t>
      </w:r>
      <w:r>
        <w:rPr>
          <w:rFonts w:hint="eastAsia"/>
          <w:sz w:val="28"/>
          <w:szCs w:val="28"/>
          <w:lang w:eastAsia="zh-CN"/>
        </w:rPr>
        <w:t>XX</w:t>
      </w:r>
      <w:r>
        <w:rPr>
          <w:rFonts w:hint="eastAsia"/>
          <w:sz w:val="28"/>
          <w:szCs w:val="28"/>
        </w:rPr>
        <w:t>道路</w:t>
      </w:r>
      <w:r>
        <w:rPr>
          <w:sz w:val="28"/>
          <w:szCs w:val="28"/>
        </w:rPr>
        <w:t>，</w:t>
      </w:r>
      <w:r>
        <w:rPr>
          <w:rFonts w:hint="eastAsia"/>
          <w:sz w:val="28"/>
          <w:szCs w:val="28"/>
        </w:rPr>
        <w:t>南侧为民房，东侧为某公司丙类厂房及办公楼，北侧为家具厂宿舍，西侧为</w:t>
      </w:r>
      <w:r>
        <w:rPr>
          <w:rFonts w:hint="eastAsia"/>
          <w:sz w:val="28"/>
          <w:szCs w:val="28"/>
          <w:lang w:eastAsia="zh-CN"/>
        </w:rPr>
        <w:t>XX</w:t>
      </w:r>
      <w:r>
        <w:rPr>
          <w:rFonts w:hint="eastAsia"/>
          <w:sz w:val="28"/>
          <w:szCs w:val="28"/>
        </w:rPr>
        <w:t>厂房</w:t>
      </w:r>
      <w:r>
        <w:rPr>
          <w:sz w:val="28"/>
          <w:szCs w:val="28"/>
        </w:rPr>
        <w:t>。该项目周边环境及四邻情况</w:t>
      </w:r>
      <w:r>
        <w:rPr>
          <w:rFonts w:hint="eastAsia"/>
          <w:sz w:val="28"/>
          <w:szCs w:val="28"/>
        </w:rPr>
        <w:t>见</w:t>
      </w:r>
      <w:r>
        <w:rPr>
          <w:sz w:val="28"/>
          <w:szCs w:val="28"/>
        </w:rPr>
        <w:t>表2.</w:t>
      </w:r>
      <w:r>
        <w:rPr>
          <w:rFonts w:hint="eastAsia"/>
          <w:sz w:val="28"/>
          <w:szCs w:val="28"/>
        </w:rPr>
        <w:t>2</w:t>
      </w:r>
      <w:r>
        <w:rPr>
          <w:sz w:val="28"/>
          <w:szCs w:val="28"/>
        </w:rPr>
        <w:t>。</w:t>
      </w:r>
    </w:p>
    <w:p>
      <w:pPr>
        <w:tabs>
          <w:tab w:val="left" w:pos="878"/>
        </w:tabs>
        <w:spacing w:before="29"/>
        <w:ind w:right="21"/>
        <w:jc w:val="center"/>
        <w:rPr>
          <w:rFonts w:eastAsia="黑体"/>
          <w:spacing w:val="-6"/>
          <w:sz w:val="24"/>
        </w:rPr>
      </w:pPr>
      <w:r>
        <w:rPr>
          <w:rFonts w:eastAsia="黑体"/>
          <w:sz w:val="24"/>
        </w:rPr>
        <w:t>表</w:t>
      </w:r>
      <w:r>
        <w:rPr>
          <w:rFonts w:eastAsia="黑体"/>
          <w:spacing w:val="-2"/>
          <w:sz w:val="24"/>
        </w:rPr>
        <w:t>2.</w:t>
      </w:r>
      <w:r>
        <w:rPr>
          <w:rFonts w:eastAsia="黑体" w:hint="eastAsia"/>
          <w:spacing w:val="-2"/>
          <w:sz w:val="24"/>
        </w:rPr>
        <w:t>2</w:t>
      </w:r>
      <w:r>
        <w:rPr>
          <w:rFonts w:eastAsia="黑体"/>
          <w:spacing w:val="-2"/>
          <w:sz w:val="24"/>
        </w:rPr>
        <w:tab/>
      </w:r>
      <w:r>
        <w:rPr>
          <w:rFonts w:eastAsia="黑体"/>
          <w:spacing w:val="-6"/>
          <w:sz w:val="24"/>
        </w:rPr>
        <w:t>项目周边四邻情况表</w:t>
      </w:r>
    </w:p>
    <w:tbl>
      <w:tblPr>
        <w:tblStyle w:val="TableNormal"/>
        <w:tblW w:w="8930"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
      <w:tblGrid>
        <w:gridCol w:w="738"/>
        <w:gridCol w:w="1130"/>
        <w:gridCol w:w="2120"/>
        <w:gridCol w:w="1568"/>
        <w:gridCol w:w="1737"/>
        <w:gridCol w:w="1637"/>
      </w:tblGrid>
      <w:tr>
        <w:tblPrEx>
          <w:tblW w:w="8930"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Ex>
        <w:trPr>
          <w:cantSplit/>
          <w:trHeight w:val="267"/>
          <w:jc w:val="right"/>
        </w:trPr>
        <w:tc>
          <w:tcPr>
            <w:tcW w:w="738" w:type="dxa"/>
            <w:tcBorders>
              <w:top w:val="single" w:sz="4" w:space="0" w:color="auto"/>
              <w:left w:val="single" w:sz="4" w:space="0" w:color="auto"/>
              <w:bottom w:val="single" w:sz="6" w:space="0" w:color="auto"/>
            </w:tcBorders>
            <w:vAlign w:val="center"/>
          </w:tcPr>
          <w:p>
            <w:pPr>
              <w:spacing w:line="276" w:lineRule="auto"/>
              <w:jc w:val="center"/>
              <w:rPr>
                <w:szCs w:val="21"/>
              </w:rPr>
            </w:pPr>
            <w:r>
              <w:rPr>
                <w:szCs w:val="21"/>
              </w:rPr>
              <w:t>序号</w:t>
            </w:r>
          </w:p>
        </w:tc>
        <w:tc>
          <w:tcPr>
            <w:tcW w:w="1130" w:type="dxa"/>
            <w:tcBorders>
              <w:top w:val="single" w:sz="4" w:space="0" w:color="auto"/>
              <w:bottom w:val="single" w:sz="6" w:space="0" w:color="auto"/>
            </w:tcBorders>
            <w:vAlign w:val="center"/>
          </w:tcPr>
          <w:p>
            <w:pPr>
              <w:spacing w:line="276" w:lineRule="auto"/>
              <w:jc w:val="center"/>
              <w:rPr>
                <w:szCs w:val="21"/>
              </w:rPr>
            </w:pPr>
            <w:r>
              <w:rPr>
                <w:szCs w:val="21"/>
              </w:rPr>
              <w:t>方位</w:t>
            </w:r>
          </w:p>
        </w:tc>
        <w:tc>
          <w:tcPr>
            <w:tcW w:w="2120" w:type="dxa"/>
            <w:tcBorders>
              <w:top w:val="single" w:sz="4" w:space="0" w:color="auto"/>
              <w:bottom w:val="single" w:sz="6" w:space="0" w:color="auto"/>
              <w:right w:val="single" w:sz="4" w:space="0" w:color="auto"/>
            </w:tcBorders>
            <w:vAlign w:val="center"/>
          </w:tcPr>
          <w:p>
            <w:pPr>
              <w:spacing w:line="276" w:lineRule="auto"/>
              <w:jc w:val="center"/>
              <w:rPr>
                <w:szCs w:val="21"/>
              </w:rPr>
            </w:pPr>
            <w:r>
              <w:rPr>
                <w:szCs w:val="21"/>
              </w:rPr>
              <w:t>周边建(构)筑物名称</w:t>
            </w:r>
          </w:p>
        </w:tc>
        <w:tc>
          <w:tcPr>
            <w:tcW w:w="1568" w:type="dxa"/>
            <w:tcBorders>
              <w:top w:val="single" w:sz="4" w:space="0" w:color="auto"/>
              <w:bottom w:val="single" w:sz="6" w:space="0" w:color="auto"/>
              <w:right w:val="single" w:sz="4" w:space="0" w:color="auto"/>
            </w:tcBorders>
          </w:tcPr>
          <w:p>
            <w:pPr>
              <w:spacing w:line="276" w:lineRule="auto"/>
              <w:jc w:val="center"/>
              <w:rPr>
                <w:szCs w:val="21"/>
              </w:rPr>
            </w:pPr>
            <w:r>
              <w:rPr>
                <w:rFonts w:hint="eastAsia"/>
                <w:szCs w:val="21"/>
              </w:rPr>
              <w:t>规范要求距离</w:t>
            </w:r>
          </w:p>
        </w:tc>
        <w:tc>
          <w:tcPr>
            <w:tcW w:w="1737" w:type="dxa"/>
            <w:tcBorders>
              <w:top w:val="single" w:sz="4" w:space="0" w:color="auto"/>
              <w:left w:val="single" w:sz="4" w:space="0" w:color="auto"/>
              <w:bottom w:val="single" w:sz="6" w:space="0" w:color="auto"/>
              <w:right w:val="single" w:sz="4" w:space="0" w:color="auto"/>
            </w:tcBorders>
            <w:vAlign w:val="center"/>
          </w:tcPr>
          <w:p>
            <w:pPr>
              <w:spacing w:line="276" w:lineRule="auto"/>
              <w:jc w:val="center"/>
              <w:rPr>
                <w:szCs w:val="21"/>
              </w:rPr>
            </w:pPr>
            <w:r>
              <w:rPr>
                <w:szCs w:val="21"/>
              </w:rPr>
              <w:t>实际距离(m)</w:t>
            </w:r>
          </w:p>
        </w:tc>
        <w:tc>
          <w:tcPr>
            <w:tcW w:w="1637" w:type="dxa"/>
            <w:tcBorders>
              <w:top w:val="single" w:sz="4" w:space="0" w:color="auto"/>
              <w:left w:val="single" w:sz="4" w:space="0" w:color="auto"/>
              <w:bottom w:val="single" w:sz="6" w:space="0" w:color="auto"/>
              <w:right w:val="single" w:sz="4" w:space="0" w:color="auto"/>
            </w:tcBorders>
          </w:tcPr>
          <w:p>
            <w:pPr>
              <w:spacing w:line="276" w:lineRule="auto"/>
              <w:jc w:val="center"/>
              <w:rPr>
                <w:szCs w:val="21"/>
              </w:rPr>
            </w:pPr>
            <w:r>
              <w:rPr>
                <w:rFonts w:hint="eastAsia"/>
                <w:szCs w:val="21"/>
              </w:rPr>
              <w:t>是否符合规范</w:t>
            </w:r>
          </w:p>
        </w:tc>
      </w:tr>
      <w:tr>
        <w:tblPrEx>
          <w:tblW w:w="8930" w:type="dxa"/>
          <w:jc w:val="right"/>
          <w:tblLayout w:type="fixed"/>
          <w:tblCellMar>
            <w:top w:w="0" w:type="dxa"/>
            <w:left w:w="85" w:type="dxa"/>
            <w:bottom w:w="0" w:type="dxa"/>
            <w:right w:w="85" w:type="dxa"/>
          </w:tblCellMar>
          <w:tblLook w:val="0000"/>
        </w:tblPrEx>
        <w:trPr>
          <w:cantSplit/>
          <w:trHeight w:val="267"/>
          <w:jc w:val="right"/>
        </w:trPr>
        <w:tc>
          <w:tcPr>
            <w:tcW w:w="738" w:type="dxa"/>
            <w:tcBorders>
              <w:top w:val="single" w:sz="4" w:space="0" w:color="auto"/>
              <w:left w:val="single" w:sz="4" w:space="0" w:color="auto"/>
              <w:bottom w:val="single" w:sz="6" w:space="0" w:color="auto"/>
            </w:tcBorders>
            <w:vAlign w:val="center"/>
          </w:tcPr>
          <w:p>
            <w:pPr>
              <w:spacing w:line="276" w:lineRule="auto"/>
              <w:jc w:val="center"/>
              <w:rPr>
                <w:szCs w:val="21"/>
              </w:rPr>
            </w:pPr>
            <w:r>
              <w:rPr>
                <w:szCs w:val="21"/>
              </w:rPr>
              <w:t>1</w:t>
            </w:r>
          </w:p>
        </w:tc>
        <w:tc>
          <w:tcPr>
            <w:tcW w:w="1130" w:type="dxa"/>
            <w:tcBorders>
              <w:top w:val="single" w:sz="4" w:space="0" w:color="auto"/>
              <w:bottom w:val="single" w:sz="6" w:space="0" w:color="auto"/>
            </w:tcBorders>
            <w:vAlign w:val="center"/>
          </w:tcPr>
          <w:p>
            <w:pPr>
              <w:spacing w:line="276" w:lineRule="auto"/>
              <w:jc w:val="center"/>
              <w:rPr>
                <w:szCs w:val="21"/>
              </w:rPr>
            </w:pPr>
            <w:r>
              <w:rPr>
                <w:szCs w:val="21"/>
              </w:rPr>
              <w:t>东</w:t>
            </w:r>
          </w:p>
        </w:tc>
        <w:tc>
          <w:tcPr>
            <w:tcW w:w="2120" w:type="dxa"/>
            <w:tcBorders>
              <w:top w:val="single" w:sz="4" w:space="0" w:color="auto"/>
              <w:bottom w:val="single" w:sz="6" w:space="0" w:color="auto"/>
              <w:right w:val="single" w:sz="4" w:space="0" w:color="auto"/>
            </w:tcBorders>
            <w:vAlign w:val="center"/>
          </w:tcPr>
          <w:p>
            <w:pPr>
              <w:spacing w:line="240" w:lineRule="auto"/>
              <w:jc w:val="center"/>
              <w:rPr>
                <w:szCs w:val="21"/>
              </w:rPr>
            </w:pPr>
            <w:r>
              <w:rPr>
                <w:rFonts w:hint="eastAsia"/>
                <w:szCs w:val="21"/>
                <w:lang w:eastAsia="zh-CN"/>
              </w:rPr>
              <w:t>XXXX</w:t>
            </w:r>
            <w:r>
              <w:rPr>
                <w:rFonts w:hint="eastAsia"/>
                <w:szCs w:val="21"/>
              </w:rPr>
              <w:t>有限公司办公楼</w:t>
            </w:r>
          </w:p>
        </w:tc>
        <w:tc>
          <w:tcPr>
            <w:tcW w:w="1568" w:type="dxa"/>
            <w:tcBorders>
              <w:top w:val="single" w:sz="4" w:space="0" w:color="auto"/>
              <w:bottom w:val="single" w:sz="6" w:space="0" w:color="auto"/>
              <w:right w:val="single" w:sz="4" w:space="0" w:color="auto"/>
            </w:tcBorders>
            <w:vAlign w:val="center"/>
          </w:tcPr>
          <w:p>
            <w:pPr>
              <w:spacing w:line="276" w:lineRule="auto"/>
              <w:jc w:val="center"/>
              <w:rPr>
                <w:rFonts w:hint="eastAsia"/>
                <w:szCs w:val="21"/>
              </w:rPr>
            </w:pPr>
            <w:r>
              <w:rPr>
                <w:rFonts w:hint="eastAsia"/>
                <w:szCs w:val="21"/>
              </w:rPr>
              <w:t>——</w:t>
            </w:r>
          </w:p>
        </w:tc>
        <w:tc>
          <w:tcPr>
            <w:tcW w:w="1737" w:type="dxa"/>
            <w:tcBorders>
              <w:top w:val="single" w:sz="4" w:space="0" w:color="auto"/>
              <w:left w:val="single" w:sz="4" w:space="0" w:color="auto"/>
              <w:bottom w:val="single" w:sz="6" w:space="0" w:color="auto"/>
              <w:right w:val="single" w:sz="4" w:space="0" w:color="auto"/>
            </w:tcBorders>
            <w:vAlign w:val="center"/>
          </w:tcPr>
          <w:p>
            <w:pPr>
              <w:spacing w:line="276" w:lineRule="auto"/>
              <w:jc w:val="center"/>
              <w:rPr>
                <w:szCs w:val="21"/>
              </w:rPr>
            </w:pPr>
            <w:r>
              <w:rPr>
                <w:rFonts w:hint="eastAsia"/>
                <w:szCs w:val="21"/>
              </w:rPr>
              <w:t>2.3</w:t>
            </w:r>
          </w:p>
        </w:tc>
        <w:tc>
          <w:tcPr>
            <w:tcW w:w="1637" w:type="dxa"/>
            <w:tcBorders>
              <w:top w:val="single" w:sz="4" w:space="0" w:color="auto"/>
              <w:left w:val="single" w:sz="4" w:space="0" w:color="auto"/>
              <w:bottom w:val="single" w:sz="6" w:space="0" w:color="auto"/>
              <w:right w:val="single" w:sz="4" w:space="0" w:color="auto"/>
            </w:tcBorders>
            <w:vAlign w:val="center"/>
          </w:tcPr>
          <w:p>
            <w:pPr>
              <w:spacing w:line="276" w:lineRule="auto"/>
              <w:jc w:val="center"/>
              <w:rPr>
                <w:rFonts w:hint="eastAsia"/>
                <w:szCs w:val="21"/>
              </w:rPr>
            </w:pPr>
            <w:r>
              <w:rPr>
                <w:rFonts w:hint="eastAsia"/>
                <w:szCs w:val="21"/>
              </w:rPr>
              <w:t>符合</w:t>
            </w:r>
          </w:p>
        </w:tc>
      </w:tr>
      <w:tr>
        <w:tblPrEx>
          <w:tblW w:w="8930" w:type="dxa"/>
          <w:jc w:val="right"/>
          <w:tblLayout w:type="fixed"/>
          <w:tblCellMar>
            <w:top w:w="0" w:type="dxa"/>
            <w:left w:w="85" w:type="dxa"/>
            <w:bottom w:w="0" w:type="dxa"/>
            <w:right w:w="85" w:type="dxa"/>
          </w:tblCellMar>
          <w:tblLook w:val="0000"/>
        </w:tblPrEx>
        <w:trPr>
          <w:cantSplit/>
          <w:trHeight w:val="267"/>
          <w:jc w:val="right"/>
        </w:trPr>
        <w:tc>
          <w:tcPr>
            <w:tcW w:w="738" w:type="dxa"/>
            <w:tcBorders>
              <w:top w:val="single" w:sz="4" w:space="0" w:color="auto"/>
              <w:left w:val="single" w:sz="4" w:space="0" w:color="auto"/>
              <w:bottom w:val="single" w:sz="6" w:space="0" w:color="auto"/>
            </w:tcBorders>
            <w:vAlign w:val="center"/>
          </w:tcPr>
          <w:p>
            <w:pPr>
              <w:spacing w:line="276" w:lineRule="auto"/>
              <w:jc w:val="center"/>
              <w:rPr>
                <w:szCs w:val="21"/>
              </w:rPr>
            </w:pPr>
            <w:r>
              <w:rPr>
                <w:szCs w:val="21"/>
              </w:rPr>
              <w:t>2</w:t>
            </w:r>
          </w:p>
        </w:tc>
        <w:tc>
          <w:tcPr>
            <w:tcW w:w="1130" w:type="dxa"/>
            <w:tcBorders>
              <w:top w:val="single" w:sz="4" w:space="0" w:color="auto"/>
              <w:bottom w:val="single" w:sz="6" w:space="0" w:color="auto"/>
            </w:tcBorders>
            <w:vAlign w:val="center"/>
          </w:tcPr>
          <w:p>
            <w:pPr>
              <w:spacing w:line="276" w:lineRule="auto"/>
              <w:jc w:val="center"/>
              <w:rPr>
                <w:szCs w:val="21"/>
              </w:rPr>
            </w:pPr>
            <w:r>
              <w:rPr>
                <w:szCs w:val="21"/>
              </w:rPr>
              <w:t>南</w:t>
            </w:r>
          </w:p>
        </w:tc>
        <w:tc>
          <w:tcPr>
            <w:tcW w:w="2120" w:type="dxa"/>
            <w:tcBorders>
              <w:top w:val="single" w:sz="4" w:space="0" w:color="auto"/>
              <w:bottom w:val="single" w:sz="6" w:space="0" w:color="auto"/>
              <w:right w:val="single" w:sz="4" w:space="0" w:color="auto"/>
            </w:tcBorders>
            <w:vAlign w:val="center"/>
          </w:tcPr>
          <w:p>
            <w:pPr>
              <w:spacing w:line="276" w:lineRule="auto"/>
              <w:jc w:val="center"/>
              <w:rPr>
                <w:szCs w:val="21"/>
              </w:rPr>
            </w:pPr>
            <w:r>
              <w:rPr>
                <w:rFonts w:hint="eastAsia"/>
                <w:szCs w:val="21"/>
              </w:rPr>
              <w:t>项目租用办公楼</w:t>
            </w:r>
          </w:p>
        </w:tc>
        <w:tc>
          <w:tcPr>
            <w:tcW w:w="1568" w:type="dxa"/>
            <w:tcBorders>
              <w:top w:val="single" w:sz="4" w:space="0" w:color="auto"/>
              <w:bottom w:val="single" w:sz="6" w:space="0" w:color="auto"/>
              <w:right w:val="single" w:sz="4" w:space="0" w:color="auto"/>
            </w:tcBorders>
          </w:tcPr>
          <w:p>
            <w:pPr>
              <w:spacing w:line="276" w:lineRule="auto"/>
              <w:jc w:val="center"/>
              <w:rPr>
                <w:szCs w:val="21"/>
              </w:rPr>
            </w:pPr>
            <w:r>
              <w:rPr>
                <w:rFonts w:hint="eastAsia"/>
                <w:szCs w:val="21"/>
              </w:rPr>
              <w:t>——</w:t>
            </w:r>
          </w:p>
        </w:tc>
        <w:tc>
          <w:tcPr>
            <w:tcW w:w="1737" w:type="dxa"/>
            <w:tcBorders>
              <w:top w:val="single" w:sz="4" w:space="0" w:color="auto"/>
              <w:left w:val="single" w:sz="4" w:space="0" w:color="auto"/>
              <w:bottom w:val="single" w:sz="6" w:space="0" w:color="auto"/>
              <w:right w:val="single" w:sz="4" w:space="0" w:color="auto"/>
            </w:tcBorders>
            <w:vAlign w:val="center"/>
          </w:tcPr>
          <w:p>
            <w:pPr>
              <w:spacing w:line="276" w:lineRule="auto"/>
              <w:jc w:val="center"/>
              <w:rPr>
                <w:szCs w:val="21"/>
              </w:rPr>
            </w:pPr>
            <w:r>
              <w:rPr>
                <w:rFonts w:hint="eastAsia"/>
                <w:szCs w:val="21"/>
              </w:rPr>
              <w:t>7.4</w:t>
            </w:r>
          </w:p>
        </w:tc>
        <w:tc>
          <w:tcPr>
            <w:tcW w:w="1637" w:type="dxa"/>
            <w:tcBorders>
              <w:top w:val="single" w:sz="4" w:space="0" w:color="auto"/>
              <w:left w:val="single" w:sz="4" w:space="0" w:color="auto"/>
              <w:bottom w:val="single" w:sz="6" w:space="0" w:color="auto"/>
              <w:right w:val="single" w:sz="4" w:space="0" w:color="auto"/>
            </w:tcBorders>
            <w:vAlign w:val="center"/>
          </w:tcPr>
          <w:p>
            <w:pPr>
              <w:spacing w:line="276" w:lineRule="auto"/>
              <w:jc w:val="center"/>
              <w:rPr>
                <w:szCs w:val="21"/>
              </w:rPr>
            </w:pPr>
            <w:r>
              <w:rPr>
                <w:rFonts w:hint="eastAsia"/>
                <w:szCs w:val="21"/>
              </w:rPr>
              <w:t>符合</w:t>
            </w:r>
          </w:p>
        </w:tc>
      </w:tr>
      <w:tr>
        <w:tblPrEx>
          <w:tblW w:w="8930" w:type="dxa"/>
          <w:jc w:val="right"/>
          <w:tblLayout w:type="fixed"/>
          <w:tblCellMar>
            <w:top w:w="0" w:type="dxa"/>
            <w:left w:w="85" w:type="dxa"/>
            <w:bottom w:w="0" w:type="dxa"/>
            <w:right w:w="85" w:type="dxa"/>
          </w:tblCellMar>
          <w:tblLook w:val="0000"/>
        </w:tblPrEx>
        <w:trPr>
          <w:cantSplit/>
          <w:trHeight w:val="267"/>
          <w:jc w:val="right"/>
        </w:trPr>
        <w:tc>
          <w:tcPr>
            <w:tcW w:w="738" w:type="dxa"/>
            <w:tcBorders>
              <w:top w:val="single" w:sz="6" w:space="0" w:color="auto"/>
              <w:left w:val="single" w:sz="4" w:space="0" w:color="auto"/>
              <w:bottom w:val="single" w:sz="6" w:space="0" w:color="auto"/>
            </w:tcBorders>
            <w:vAlign w:val="center"/>
          </w:tcPr>
          <w:p>
            <w:pPr>
              <w:spacing w:line="276" w:lineRule="auto"/>
              <w:jc w:val="center"/>
              <w:rPr>
                <w:szCs w:val="21"/>
              </w:rPr>
            </w:pPr>
            <w:r>
              <w:rPr>
                <w:szCs w:val="21"/>
              </w:rPr>
              <w:t>3</w:t>
            </w:r>
          </w:p>
        </w:tc>
        <w:tc>
          <w:tcPr>
            <w:tcW w:w="1130" w:type="dxa"/>
            <w:tcBorders>
              <w:top w:val="single" w:sz="6" w:space="0" w:color="auto"/>
              <w:bottom w:val="single" w:sz="6" w:space="0" w:color="auto"/>
            </w:tcBorders>
            <w:vAlign w:val="center"/>
          </w:tcPr>
          <w:p>
            <w:pPr>
              <w:spacing w:line="276" w:lineRule="auto"/>
              <w:jc w:val="center"/>
              <w:rPr>
                <w:szCs w:val="21"/>
              </w:rPr>
            </w:pPr>
            <w:r>
              <w:rPr>
                <w:szCs w:val="21"/>
              </w:rPr>
              <w:t>西</w:t>
            </w:r>
          </w:p>
        </w:tc>
        <w:tc>
          <w:tcPr>
            <w:tcW w:w="2120" w:type="dxa"/>
            <w:tcBorders>
              <w:top w:val="single" w:sz="6" w:space="0" w:color="auto"/>
              <w:bottom w:val="single" w:sz="6" w:space="0" w:color="auto"/>
              <w:right w:val="single" w:sz="4" w:space="0" w:color="auto"/>
            </w:tcBorders>
            <w:vAlign w:val="center"/>
          </w:tcPr>
          <w:p>
            <w:pPr>
              <w:spacing w:line="276" w:lineRule="auto"/>
              <w:jc w:val="center"/>
              <w:rPr>
                <w:szCs w:val="21"/>
              </w:rPr>
            </w:pPr>
            <w:r>
              <w:rPr>
                <w:rFonts w:hint="eastAsia"/>
                <w:szCs w:val="21"/>
                <w:lang w:eastAsia="zh-CN"/>
              </w:rPr>
              <w:t>XX</w:t>
            </w:r>
            <w:r>
              <w:rPr>
                <w:rFonts w:hint="eastAsia"/>
                <w:szCs w:val="21"/>
              </w:rPr>
              <w:t>厂房（丙类）</w:t>
            </w:r>
          </w:p>
        </w:tc>
        <w:tc>
          <w:tcPr>
            <w:tcW w:w="1568" w:type="dxa"/>
            <w:tcBorders>
              <w:top w:val="single" w:sz="6" w:space="0" w:color="auto"/>
              <w:bottom w:val="single" w:sz="6" w:space="0" w:color="auto"/>
              <w:right w:val="single" w:sz="4" w:space="0" w:color="auto"/>
            </w:tcBorders>
          </w:tcPr>
          <w:p>
            <w:pPr>
              <w:spacing w:line="276" w:lineRule="auto"/>
              <w:jc w:val="center"/>
              <w:rPr>
                <w:rFonts w:hint="eastAsia"/>
                <w:szCs w:val="21"/>
              </w:rPr>
            </w:pPr>
            <w:r>
              <w:rPr>
                <w:rFonts w:hint="eastAsia"/>
                <w:szCs w:val="21"/>
              </w:rPr>
              <w:t>10</w:t>
            </w:r>
          </w:p>
        </w:tc>
        <w:tc>
          <w:tcPr>
            <w:tcW w:w="1737" w:type="dxa"/>
            <w:tcBorders>
              <w:top w:val="single" w:sz="6" w:space="0" w:color="auto"/>
              <w:left w:val="single" w:sz="4" w:space="0" w:color="auto"/>
              <w:bottom w:val="single" w:sz="6" w:space="0" w:color="auto"/>
              <w:right w:val="single" w:sz="4" w:space="0" w:color="auto"/>
            </w:tcBorders>
            <w:vAlign w:val="center"/>
          </w:tcPr>
          <w:p>
            <w:pPr>
              <w:spacing w:line="276" w:lineRule="auto"/>
              <w:jc w:val="center"/>
              <w:rPr>
                <w:szCs w:val="21"/>
              </w:rPr>
            </w:pPr>
            <w:r>
              <w:rPr>
                <w:rFonts w:hint="eastAsia"/>
                <w:szCs w:val="21"/>
              </w:rPr>
              <w:t>15.0</w:t>
            </w:r>
          </w:p>
        </w:tc>
        <w:tc>
          <w:tcPr>
            <w:tcW w:w="1637" w:type="dxa"/>
            <w:tcBorders>
              <w:top w:val="single" w:sz="6" w:space="0" w:color="auto"/>
              <w:left w:val="single" w:sz="4" w:space="0" w:color="auto"/>
              <w:bottom w:val="single" w:sz="6" w:space="0" w:color="auto"/>
              <w:right w:val="single" w:sz="4" w:space="0" w:color="auto"/>
            </w:tcBorders>
            <w:vAlign w:val="center"/>
          </w:tcPr>
          <w:p>
            <w:pPr>
              <w:spacing w:line="276" w:lineRule="auto"/>
              <w:jc w:val="center"/>
              <w:rPr>
                <w:rFonts w:hint="eastAsia"/>
                <w:szCs w:val="21"/>
              </w:rPr>
            </w:pPr>
            <w:r>
              <w:rPr>
                <w:rFonts w:hint="eastAsia"/>
                <w:szCs w:val="21"/>
              </w:rPr>
              <w:t>符合</w:t>
            </w:r>
          </w:p>
        </w:tc>
      </w:tr>
      <w:tr>
        <w:tblPrEx>
          <w:tblW w:w="8930" w:type="dxa"/>
          <w:jc w:val="right"/>
          <w:tblLayout w:type="fixed"/>
          <w:tblCellMar>
            <w:top w:w="0" w:type="dxa"/>
            <w:left w:w="85" w:type="dxa"/>
            <w:bottom w:w="0" w:type="dxa"/>
            <w:right w:w="85" w:type="dxa"/>
          </w:tblCellMar>
          <w:tblLook w:val="0000"/>
        </w:tblPrEx>
        <w:trPr>
          <w:cantSplit/>
          <w:trHeight w:val="267"/>
          <w:jc w:val="right"/>
        </w:trPr>
        <w:tc>
          <w:tcPr>
            <w:tcW w:w="738" w:type="dxa"/>
            <w:tcBorders>
              <w:top w:val="single" w:sz="6" w:space="0" w:color="auto"/>
              <w:left w:val="single" w:sz="4" w:space="0" w:color="auto"/>
              <w:bottom w:val="single" w:sz="6" w:space="0" w:color="auto"/>
            </w:tcBorders>
            <w:vAlign w:val="center"/>
          </w:tcPr>
          <w:p>
            <w:pPr>
              <w:spacing w:line="276" w:lineRule="auto"/>
              <w:jc w:val="center"/>
              <w:rPr>
                <w:szCs w:val="21"/>
              </w:rPr>
            </w:pPr>
            <w:r>
              <w:rPr>
                <w:szCs w:val="21"/>
              </w:rPr>
              <w:t>4</w:t>
            </w:r>
          </w:p>
        </w:tc>
        <w:tc>
          <w:tcPr>
            <w:tcW w:w="1130" w:type="dxa"/>
            <w:tcBorders>
              <w:top w:val="single" w:sz="6" w:space="0" w:color="auto"/>
              <w:bottom w:val="single" w:sz="6" w:space="0" w:color="auto"/>
            </w:tcBorders>
            <w:vAlign w:val="center"/>
          </w:tcPr>
          <w:p>
            <w:pPr>
              <w:spacing w:line="276" w:lineRule="auto"/>
              <w:jc w:val="center"/>
              <w:rPr>
                <w:szCs w:val="21"/>
              </w:rPr>
            </w:pPr>
            <w:r>
              <w:rPr>
                <w:szCs w:val="21"/>
              </w:rPr>
              <w:t>北</w:t>
            </w:r>
          </w:p>
        </w:tc>
        <w:tc>
          <w:tcPr>
            <w:tcW w:w="2120" w:type="dxa"/>
            <w:tcBorders>
              <w:top w:val="single" w:sz="6" w:space="0" w:color="auto"/>
              <w:bottom w:val="single" w:sz="6" w:space="0" w:color="auto"/>
              <w:right w:val="single" w:sz="4" w:space="0" w:color="auto"/>
            </w:tcBorders>
            <w:vAlign w:val="center"/>
          </w:tcPr>
          <w:p>
            <w:pPr>
              <w:spacing w:line="240" w:lineRule="auto"/>
              <w:jc w:val="center"/>
              <w:rPr>
                <w:szCs w:val="21"/>
              </w:rPr>
            </w:pPr>
            <w:r>
              <w:rPr>
                <w:rFonts w:hint="eastAsia"/>
                <w:szCs w:val="21"/>
                <w:lang w:eastAsia="zh-CN"/>
              </w:rPr>
              <w:t>XXXX</w:t>
            </w:r>
            <w:r>
              <w:rPr>
                <w:rFonts w:hint="eastAsia"/>
                <w:szCs w:val="21"/>
              </w:rPr>
              <w:t>有限公司门房</w:t>
            </w:r>
          </w:p>
        </w:tc>
        <w:tc>
          <w:tcPr>
            <w:tcW w:w="1568" w:type="dxa"/>
            <w:tcBorders>
              <w:top w:val="single" w:sz="6" w:space="0" w:color="auto"/>
              <w:bottom w:val="single" w:sz="6" w:space="0" w:color="auto"/>
              <w:right w:val="single" w:sz="4" w:space="0" w:color="auto"/>
            </w:tcBorders>
            <w:vAlign w:val="center"/>
          </w:tcPr>
          <w:p>
            <w:pPr>
              <w:spacing w:line="276" w:lineRule="auto"/>
              <w:jc w:val="center"/>
              <w:rPr>
                <w:rFonts w:hint="eastAsia"/>
                <w:szCs w:val="21"/>
              </w:rPr>
            </w:pPr>
            <w:r>
              <w:rPr>
                <w:rFonts w:hint="eastAsia"/>
                <w:szCs w:val="21"/>
              </w:rPr>
              <w:t>10</w:t>
            </w:r>
          </w:p>
        </w:tc>
        <w:tc>
          <w:tcPr>
            <w:tcW w:w="1737" w:type="dxa"/>
            <w:tcBorders>
              <w:top w:val="single" w:sz="6" w:space="0" w:color="auto"/>
              <w:left w:val="single" w:sz="4" w:space="0" w:color="auto"/>
              <w:bottom w:val="single" w:sz="6" w:space="0" w:color="auto"/>
              <w:right w:val="single" w:sz="4" w:space="0" w:color="auto"/>
            </w:tcBorders>
            <w:vAlign w:val="center"/>
          </w:tcPr>
          <w:p>
            <w:pPr>
              <w:spacing w:line="276" w:lineRule="auto"/>
              <w:jc w:val="center"/>
              <w:rPr>
                <w:szCs w:val="21"/>
              </w:rPr>
            </w:pPr>
            <w:r>
              <w:rPr>
                <w:rFonts w:hint="eastAsia"/>
                <w:szCs w:val="21"/>
              </w:rPr>
              <w:t>14.6</w:t>
            </w:r>
          </w:p>
        </w:tc>
        <w:tc>
          <w:tcPr>
            <w:tcW w:w="1637" w:type="dxa"/>
            <w:tcBorders>
              <w:top w:val="single" w:sz="6" w:space="0" w:color="auto"/>
              <w:left w:val="single" w:sz="4" w:space="0" w:color="auto"/>
              <w:bottom w:val="single" w:sz="6" w:space="0" w:color="auto"/>
              <w:right w:val="single" w:sz="4" w:space="0" w:color="auto"/>
            </w:tcBorders>
            <w:vAlign w:val="center"/>
          </w:tcPr>
          <w:p>
            <w:pPr>
              <w:spacing w:line="276" w:lineRule="auto"/>
              <w:jc w:val="center"/>
              <w:rPr>
                <w:rFonts w:hint="eastAsia"/>
                <w:szCs w:val="21"/>
              </w:rPr>
            </w:pPr>
            <w:r>
              <w:rPr>
                <w:rFonts w:hint="eastAsia"/>
                <w:szCs w:val="21"/>
              </w:rPr>
              <w:t>符合</w:t>
            </w:r>
          </w:p>
        </w:tc>
      </w:tr>
    </w:tbl>
    <w:p>
      <w:pPr>
        <w:spacing w:line="240" w:lineRule="auto"/>
        <w:ind w:firstLine="403" w:firstLineChars="192"/>
        <w:rPr>
          <w:rFonts w:hint="eastAsia"/>
          <w:szCs w:val="21"/>
        </w:rPr>
      </w:pPr>
      <w:bookmarkStart w:id="31" w:name="_Toc350720470"/>
      <w:r>
        <w:rPr>
          <w:rFonts w:hint="eastAsia"/>
          <w:szCs w:val="21"/>
        </w:rPr>
        <w:t>注：本项目厂房火灾危险性类别为戊类，耐火等级二级。以上规范要求距离依据为《建筑设计防火规范》GB50016-2014（2018年版）表3.4.1。</w:t>
      </w:r>
    </w:p>
    <w:p>
      <w:pPr>
        <w:spacing w:line="240" w:lineRule="auto"/>
        <w:ind w:firstLine="403" w:firstLineChars="192"/>
        <w:rPr>
          <w:rFonts w:hint="eastAsia"/>
          <w:b/>
          <w:bCs/>
          <w:szCs w:val="21"/>
        </w:rPr>
      </w:pPr>
      <w:r>
        <w:rPr>
          <w:rFonts w:hint="eastAsia"/>
          <w:b/>
          <w:bCs/>
          <w:szCs w:val="21"/>
        </w:rPr>
        <w:t>根据现状，厂房与东侧丙类厂房及办公楼间非实体防火墙，不能满足规范要求，本次设计将此墙改为防火墙以满足规范要求。</w:t>
      </w:r>
    </w:p>
    <w:p>
      <w:pPr>
        <w:pStyle w:val="Heading3"/>
        <w:numPr>
          <w:ilvl w:val="2"/>
          <w:numId w:val="0"/>
        </w:numPr>
        <w:tabs>
          <w:tab w:val="left" w:pos="720"/>
        </w:tabs>
        <w:spacing w:before="156" w:line="500" w:lineRule="exact"/>
        <w:rPr>
          <w:rFonts w:ascii="Times New Roman" w:hAnsi="Times New Roman"/>
          <w:spacing w:val="16"/>
          <w:szCs w:val="28"/>
          <w:lang w:eastAsia="zh-CN"/>
        </w:rPr>
      </w:pPr>
      <w:r>
        <w:rPr>
          <w:rFonts w:ascii="Times New Roman" w:hAnsi="Times New Roman"/>
        </w:rPr>
        <w:t>2.2.</w:t>
      </w:r>
      <w:r>
        <w:rPr>
          <w:rFonts w:ascii="Times New Roman" w:hAnsi="Times New Roman"/>
          <w:lang w:eastAsia="zh-CN"/>
        </w:rPr>
        <w:t>3</w:t>
      </w:r>
      <w:r>
        <w:rPr>
          <w:rFonts w:ascii="Times New Roman" w:hAnsi="Times New Roman"/>
        </w:rPr>
        <w:t>总平面布置</w:t>
      </w:r>
    </w:p>
    <w:p>
      <w:pPr>
        <w:ind w:firstLine="538" w:firstLineChars="192"/>
        <w:rPr>
          <w:sz w:val="28"/>
          <w:szCs w:val="28"/>
        </w:rPr>
      </w:pPr>
      <w:r>
        <w:rPr>
          <w:sz w:val="28"/>
          <w:szCs w:val="28"/>
        </w:rPr>
        <w:t>该项目位于</w:t>
      </w:r>
      <w:r>
        <w:rPr>
          <w:rFonts w:hint="eastAsia"/>
          <w:sz w:val="28"/>
          <w:szCs w:val="28"/>
          <w:lang w:eastAsia="zh-CN"/>
        </w:rPr>
        <w:t>XX</w:t>
      </w:r>
      <w:r>
        <w:rPr>
          <w:sz w:val="28"/>
          <w:szCs w:val="28"/>
        </w:rPr>
        <w:t>北侧，厂区主要出入口紧邻厂外</w:t>
      </w:r>
      <w:r>
        <w:rPr>
          <w:rFonts w:hint="eastAsia"/>
          <w:sz w:val="28"/>
          <w:szCs w:val="28"/>
        </w:rPr>
        <w:t>分支</w:t>
      </w:r>
      <w:r>
        <w:rPr>
          <w:sz w:val="28"/>
          <w:szCs w:val="28"/>
        </w:rPr>
        <w:t>道路。</w:t>
      </w:r>
    </w:p>
    <w:p>
      <w:pPr>
        <w:ind w:firstLine="538" w:firstLineChars="192"/>
        <w:rPr>
          <w:rFonts w:hint="eastAsia"/>
          <w:sz w:val="28"/>
          <w:szCs w:val="28"/>
        </w:rPr>
      </w:pPr>
      <w:r>
        <w:rPr>
          <w:sz w:val="28"/>
          <w:szCs w:val="28"/>
        </w:rPr>
        <w:t>该项目生产厂区布置上，根据生产工艺流程布置、统筹集中公用设施的原则进行布置。</w:t>
      </w:r>
      <w:r>
        <w:rPr>
          <w:rFonts w:hint="eastAsia"/>
          <w:sz w:val="28"/>
          <w:szCs w:val="28"/>
        </w:rPr>
        <w:t>厂房西侧和北侧设消防通道，消防通道宽度大于4</w:t>
      </w:r>
      <w:r>
        <w:rPr>
          <w:sz w:val="28"/>
          <w:szCs w:val="28"/>
        </w:rPr>
        <w:t>m</w:t>
      </w:r>
      <w:r>
        <w:rPr>
          <w:rFonts w:hint="eastAsia"/>
          <w:sz w:val="28"/>
          <w:szCs w:val="28"/>
        </w:rPr>
        <w:t>，且距建筑物外墙距离大于5</w:t>
      </w:r>
      <w:r>
        <w:rPr>
          <w:sz w:val="28"/>
          <w:szCs w:val="28"/>
        </w:rPr>
        <w:t>m</w:t>
      </w:r>
      <w:r>
        <w:rPr>
          <w:rFonts w:hint="eastAsia"/>
          <w:sz w:val="28"/>
          <w:szCs w:val="28"/>
        </w:rPr>
        <w:t>，满足《建筑设计防火规范》GB</w:t>
      </w:r>
      <w:r>
        <w:rPr>
          <w:sz w:val="28"/>
          <w:szCs w:val="28"/>
        </w:rPr>
        <w:t>50016-2014</w:t>
      </w:r>
      <w:r>
        <w:rPr>
          <w:rFonts w:hint="eastAsia"/>
          <w:sz w:val="28"/>
          <w:szCs w:val="28"/>
        </w:rPr>
        <w:t>（2</w:t>
      </w:r>
      <w:r>
        <w:rPr>
          <w:sz w:val="28"/>
          <w:szCs w:val="28"/>
        </w:rPr>
        <w:t>018</w:t>
      </w:r>
      <w:r>
        <w:rPr>
          <w:rFonts w:hint="eastAsia"/>
          <w:sz w:val="28"/>
          <w:szCs w:val="28"/>
        </w:rPr>
        <w:t>年版）的要求。</w:t>
      </w:r>
    </w:p>
    <w:p>
      <w:pPr>
        <w:ind w:firstLine="538" w:firstLineChars="192"/>
        <w:rPr>
          <w:rFonts w:hint="eastAsia"/>
          <w:sz w:val="28"/>
          <w:szCs w:val="28"/>
        </w:rPr>
      </w:pPr>
      <w:r>
        <w:rPr>
          <w:rFonts w:hint="eastAsia"/>
          <w:sz w:val="28"/>
          <w:szCs w:val="28"/>
        </w:rPr>
        <w:t>所有生产设备均位于1座生产生产厂房内。厂房内设1个防火分区，设2处进出口，厂房内任一点至最近的安全出口的直线距离满足规范要求。安全出口的净宽不小于1</w:t>
      </w:r>
      <w:r>
        <w:rPr>
          <w:sz w:val="28"/>
          <w:szCs w:val="28"/>
        </w:rPr>
        <w:t>.2m</w:t>
      </w:r>
      <w:r>
        <w:rPr>
          <w:rFonts w:hint="eastAsia"/>
          <w:sz w:val="28"/>
          <w:szCs w:val="28"/>
        </w:rPr>
        <w:t>。物流进出口为西侧卷帘门，人员进出口为南侧1</w:t>
      </w:r>
      <w:r>
        <w:rPr>
          <w:sz w:val="28"/>
          <w:szCs w:val="28"/>
        </w:rPr>
        <w:t>.2m</w:t>
      </w:r>
      <w:r>
        <w:rPr>
          <w:rFonts w:hint="eastAsia"/>
          <w:sz w:val="28"/>
          <w:szCs w:val="28"/>
        </w:rPr>
        <w:t>宽卷帘门。</w:t>
      </w:r>
    </w:p>
    <w:p>
      <w:pPr>
        <w:ind w:firstLine="538" w:firstLineChars="192"/>
        <w:rPr>
          <w:sz w:val="28"/>
          <w:szCs w:val="28"/>
        </w:rPr>
        <w:sectPr>
          <w:headerReference w:type="default" r:id="rId34"/>
          <w:footerReference w:type="even" r:id="rId35"/>
          <w:footerReference w:type="default" r:id="rId36"/>
          <w:type w:val="nextPage"/>
          <w:pgSz w:w="11906" w:h="16838"/>
          <w:pgMar w:top="1440" w:right="1418" w:bottom="1440" w:left="1418" w:header="851" w:footer="992" w:gutter="0"/>
          <w:pgNumType w:start="9"/>
          <w:cols w:space="708"/>
          <w:titlePg w:val="0"/>
          <w:docGrid w:type="lines" w:linePitch="312"/>
        </w:sectPr>
      </w:pPr>
      <w:r>
        <w:rPr>
          <w:b/>
          <w:sz w:val="28"/>
          <w:szCs w:val="28"/>
        </w:rPr>
        <w:t>竖向布置：</w:t>
      </w:r>
      <w:r>
        <w:rPr>
          <w:sz w:val="28"/>
          <w:szCs w:val="28"/>
        </w:rPr>
        <w:t>本厂区</w:t>
      </w:r>
      <w:r>
        <w:rPr>
          <w:rFonts w:hint="eastAsia"/>
          <w:sz w:val="28"/>
          <w:szCs w:val="28"/>
        </w:rPr>
        <w:t>占地面积较小，</w:t>
      </w:r>
      <w:r>
        <w:rPr>
          <w:sz w:val="28"/>
          <w:szCs w:val="28"/>
        </w:rPr>
        <w:t>地势平坦，厂区竖向布置</w:t>
      </w:r>
      <w:r>
        <w:rPr>
          <w:rFonts w:hint="eastAsia"/>
          <w:sz w:val="28"/>
          <w:szCs w:val="28"/>
        </w:rPr>
        <w:t>维持现状，坡向站前道路</w:t>
      </w:r>
      <w:r>
        <w:rPr>
          <w:sz w:val="28"/>
          <w:szCs w:val="28"/>
        </w:rPr>
        <w:t>。</w:t>
      </w:r>
    </w:p>
    <w:p>
      <w:pPr>
        <w:pStyle w:val="Heading3"/>
        <w:numPr>
          <w:ilvl w:val="2"/>
          <w:numId w:val="0"/>
        </w:numPr>
        <w:tabs>
          <w:tab w:val="left" w:pos="720"/>
        </w:tabs>
        <w:spacing w:before="156" w:line="500" w:lineRule="exact"/>
        <w:rPr>
          <w:rFonts w:ascii="Times New Roman" w:eastAsia="黑体" w:hAnsi="Times New Roman"/>
          <w:spacing w:val="-7"/>
          <w:lang w:eastAsia="zh-CN"/>
        </w:rPr>
      </w:pPr>
      <w:r>
        <w:rPr>
          <w:rFonts w:ascii="Times New Roman" w:hAnsi="Times New Roman"/>
          <w:spacing w:val="16"/>
          <w:szCs w:val="28"/>
        </w:rPr>
        <w:t>2.2.</w:t>
      </w:r>
      <w:r>
        <w:rPr>
          <w:rFonts w:ascii="Times New Roman" w:hAnsi="Times New Roman"/>
          <w:spacing w:val="16"/>
          <w:szCs w:val="28"/>
          <w:lang w:eastAsia="zh-CN"/>
        </w:rPr>
        <w:t>4</w:t>
      </w:r>
      <w:r>
        <w:rPr>
          <w:rFonts w:ascii="Times New Roman" w:eastAsia="黑体" w:hAnsi="Times New Roman"/>
          <w:spacing w:val="-7"/>
          <w:lang w:eastAsia="zh-CN"/>
        </w:rPr>
        <w:t>生产</w:t>
      </w:r>
      <w:r>
        <w:rPr>
          <w:rFonts w:ascii="Times New Roman" w:eastAsia="黑体" w:hAnsi="Times New Roman"/>
          <w:spacing w:val="-7"/>
        </w:rPr>
        <w:t>工艺流程</w:t>
      </w:r>
    </w:p>
    <w:p>
      <w:pPr>
        <w:adjustRightInd w:val="0"/>
        <w:snapToGrid w:val="0"/>
        <w:ind w:firstLine="560" w:firstLineChars="200"/>
        <w:rPr>
          <w:rFonts w:hint="eastAsia"/>
          <w:sz w:val="28"/>
          <w:szCs w:val="28"/>
        </w:rPr>
      </w:pPr>
      <w:r>
        <w:rPr>
          <w:sz w:val="28"/>
          <w:szCs w:val="28"/>
        </w:rPr>
        <w:t>本建设项目从事机械零部件加工，项目建成后可年产机械零部件10万件。</w:t>
      </w:r>
      <w:r>
        <w:rPr>
          <w:rFonts w:hint="eastAsia"/>
          <w:sz w:val="28"/>
          <w:szCs w:val="28"/>
        </w:rPr>
        <w:t>主要工作内容有：</w:t>
      </w:r>
    </w:p>
    <w:p>
      <w:pPr>
        <w:adjustRightInd w:val="0"/>
        <w:snapToGrid w:val="0"/>
        <w:ind w:firstLine="560" w:firstLineChars="200"/>
        <w:rPr>
          <w:sz w:val="28"/>
          <w:szCs w:val="28"/>
        </w:rPr>
      </w:pPr>
      <w:r>
        <w:rPr>
          <w:sz w:val="28"/>
          <w:szCs w:val="28"/>
        </w:rPr>
        <w:t>1、钢板：对接收到的原材料钢板按照质量技术要求进行检验，检验内容主要包括不锈钢钢板型号、规格、强度、厚度等，检验合格后，进入库房。</w:t>
      </w:r>
    </w:p>
    <w:p>
      <w:pPr>
        <w:adjustRightInd w:val="0"/>
        <w:snapToGrid w:val="0"/>
        <w:ind w:firstLine="560" w:firstLineChars="200"/>
        <w:rPr>
          <w:sz w:val="28"/>
          <w:szCs w:val="28"/>
        </w:rPr>
      </w:pPr>
      <w:r>
        <w:rPr>
          <w:sz w:val="28"/>
          <w:szCs w:val="28"/>
        </w:rPr>
        <w:t>2、切割：对接收到的板材原料按照图纸要求，用激光切割机或水切割机进行板材切割</w:t>
      </w:r>
      <w:r>
        <w:rPr>
          <w:rFonts w:hint="eastAsia"/>
          <w:sz w:val="28"/>
          <w:szCs w:val="28"/>
        </w:rPr>
        <w:t>。水切割</w:t>
      </w:r>
      <w:r>
        <w:rPr>
          <w:sz w:val="28"/>
          <w:szCs w:val="28"/>
        </w:rPr>
        <w:t>即采用高压泵将水加压，后高压水和水刀砂在混合管混合，然后以305m/s的速度直接从沙管中射出到被加工的材料，这种切割过程其实是一种磨碾切割的过程，切割时产生的热量会立即被高速流动的水射流带走，并且不产生有害物质，不产生烟尘</w:t>
      </w:r>
      <w:r>
        <w:rPr>
          <w:rFonts w:hint="eastAsia"/>
          <w:sz w:val="28"/>
          <w:szCs w:val="28"/>
        </w:rPr>
        <w:t>，产生废砂、边角料和噪声，切割废水经设备自带沉淀池沉淀后，进入循环池，循环使用，不外排；激光切割，是利用经聚焦的高功率密度激光束照射工件，使被照射的材料迅速熔化、汽化、烧蚀或达到燃点，同时借助与光束同轴的高速气流吹除熔融物质，从而实现将工件割开，该</w:t>
      </w:r>
      <w:r>
        <w:rPr>
          <w:sz w:val="28"/>
          <w:szCs w:val="28"/>
        </w:rPr>
        <w:t>过程会产生机械噪声、烟尘及边角料。部分产品只需要切割后即为成品。</w:t>
      </w:r>
    </w:p>
    <w:p>
      <w:pPr>
        <w:adjustRightInd w:val="0"/>
        <w:snapToGrid w:val="0"/>
        <w:ind w:firstLine="560" w:firstLineChars="200"/>
        <w:rPr>
          <w:sz w:val="28"/>
          <w:szCs w:val="28"/>
        </w:rPr>
      </w:pPr>
      <w:r>
        <w:rPr>
          <w:sz w:val="28"/>
          <w:szCs w:val="28"/>
        </w:rPr>
        <w:t>3、折弯：利用折弯机对薄板进行折弯，使板料弯曲可以形成筒形件、锥形件等不同形状的零件，该过程会产生机械噪声。部分产品切割、折弯后即为成品。</w:t>
      </w:r>
    </w:p>
    <w:p>
      <w:pPr>
        <w:ind w:firstLine="560" w:firstLineChars="200"/>
        <w:jc w:val="left"/>
        <w:rPr>
          <w:sz w:val="28"/>
          <w:szCs w:val="28"/>
        </w:rPr>
      </w:pPr>
      <w:r>
        <w:rPr>
          <w:sz w:val="28"/>
          <w:szCs w:val="28"/>
        </w:rPr>
        <w:t>4、焊接：对半成型的板材构件利用二保焊机进行焊接处理，该过程同样会产生机械噪声和焊接烟尘、焊渣。</w:t>
      </w:r>
    </w:p>
    <w:p>
      <w:pPr>
        <w:ind w:firstLine="560" w:firstLineChars="200"/>
        <w:jc w:val="left"/>
        <w:rPr>
          <w:sz w:val="28"/>
          <w:szCs w:val="28"/>
        </w:rPr>
      </w:pPr>
      <w:r>
        <w:rPr>
          <w:sz w:val="28"/>
          <w:szCs w:val="28"/>
        </w:rPr>
        <w:t>5、打磨：人工利用角磨机对构件进行打磨，该过程会产生噪声以及少量的固废。部分产品打磨后即为成品。</w:t>
      </w:r>
    </w:p>
    <w:p>
      <w:pPr>
        <w:ind w:firstLine="560" w:firstLineChars="200"/>
        <w:rPr>
          <w:sz w:val="28"/>
          <w:szCs w:val="28"/>
        </w:rPr>
      </w:pPr>
      <w:r>
        <w:rPr>
          <w:sz w:val="28"/>
          <w:szCs w:val="28"/>
        </w:rPr>
        <w:t>6、钻、锯：用钻床、锯床机对构件进行内外部处理，再进行打磨处理，该过程会产生噪声和边角料。</w:t>
      </w:r>
    </w:p>
    <w:p>
      <w:pPr>
        <w:ind w:firstLine="538" w:firstLineChars="192"/>
        <w:rPr>
          <w:rFonts w:hint="eastAsia"/>
          <w:sz w:val="28"/>
          <w:szCs w:val="28"/>
        </w:rPr>
        <w:sectPr>
          <w:headerReference w:type="default" r:id="rId37"/>
          <w:footerReference w:type="even" r:id="rId38"/>
          <w:footerReference w:type="default" r:id="rId39"/>
          <w:type w:val="nextPage"/>
          <w:pgSz w:w="11906" w:h="16838"/>
          <w:pgMar w:top="1440" w:right="1418" w:bottom="1440" w:left="1418" w:header="851" w:footer="992" w:gutter="0"/>
          <w:pgNumType w:start="10"/>
          <w:cols w:space="708"/>
          <w:titlePg w:val="0"/>
          <w:docGrid w:type="lines" w:linePitch="312"/>
        </w:sectPr>
      </w:pPr>
    </w:p>
    <w:p>
      <w:pPr>
        <w:ind w:firstLine="538" w:firstLineChars="192"/>
        <w:rPr>
          <w:rFonts w:hint="eastAsia"/>
          <w:sz w:val="28"/>
          <w:szCs w:val="28"/>
        </w:rPr>
      </w:pPr>
      <w:r>
        <w:rPr>
          <w:sz w:val="28"/>
          <w:szCs w:val="28"/>
        </w:rPr>
        <w:t>7、利用打标机对产品打上标识，标识打印机采用压缩空气作用下，打印针在压缩空气的作用下以每秒300次的频率往复运动，在工件上打出文字和图案</w:t>
      </w:r>
      <w:r>
        <w:rPr>
          <w:rFonts w:hint="eastAsia"/>
          <w:sz w:val="28"/>
          <w:szCs w:val="28"/>
        </w:rPr>
        <w:t>。</w:t>
      </w:r>
    </w:p>
    <w:p>
      <w:pPr>
        <w:ind w:firstLine="538" w:firstLineChars="192"/>
        <w:rPr>
          <w:rFonts w:hint="eastAsia"/>
          <w:sz w:val="28"/>
          <w:szCs w:val="28"/>
        </w:rPr>
      </w:pPr>
      <w:r>
        <w:rPr>
          <w:rFonts w:hint="eastAsia"/>
          <w:sz w:val="28"/>
          <w:szCs w:val="28"/>
        </w:rPr>
        <w:t>主要流程见图2.2.4-1。</w:t>
      </w:r>
    </w:p>
    <w:p>
      <w:pPr>
        <w:spacing w:line="720" w:lineRule="auto"/>
        <w:ind w:firstLine="403" w:firstLineChars="192"/>
        <w:rPr>
          <w:rFonts w:hint="eastAsia"/>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1" o:spid="_x0000_i1027" type="#_x0000_t75" style="width:449.65pt;height:263.31pt;mso-position-horizontal-relative:page;mso-position-vertical-relative:page;mso-wrap-style:square" filled="f" stroked="f">
            <v:stroke linestyle="single"/>
            <v:imagedata r:id="rId40" o:title=""/>
            <v:path o:extrusionok="f"/>
            <o:lock v:ext="edit" aspectratio="t"/>
          </v:shape>
        </w:pict>
      </w:r>
    </w:p>
    <w:p>
      <w:pPr>
        <w:ind w:firstLine="480" w:firstLineChars="200"/>
        <w:jc w:val="center"/>
        <w:rPr>
          <w:sz w:val="28"/>
          <w:szCs w:val="28"/>
        </w:rPr>
      </w:pPr>
      <w:bookmarkEnd w:id="31"/>
      <w:r>
        <w:rPr>
          <w:sz w:val="24"/>
        </w:rPr>
        <w:t>图2.2.4-1</w:t>
      </w:r>
      <w:r>
        <w:rPr>
          <w:rFonts w:hint="eastAsia"/>
          <w:sz w:val="24"/>
        </w:rPr>
        <w:t>主要工艺流程简图</w:t>
      </w:r>
    </w:p>
    <w:p>
      <w:pPr>
        <w:pStyle w:val="Heading3"/>
        <w:numPr>
          <w:ilvl w:val="2"/>
          <w:numId w:val="0"/>
        </w:numPr>
        <w:tabs>
          <w:tab w:val="left" w:pos="720"/>
        </w:tabs>
        <w:spacing w:before="156" w:line="500" w:lineRule="exact"/>
        <w:rPr>
          <w:rFonts w:ascii="Times New Roman" w:hAnsi="Times New Roman"/>
          <w:spacing w:val="16"/>
          <w:szCs w:val="28"/>
        </w:rPr>
      </w:pPr>
      <w:r>
        <w:rPr>
          <w:rFonts w:ascii="Times New Roman" w:hAnsi="Times New Roman"/>
          <w:spacing w:val="16"/>
          <w:szCs w:val="28"/>
        </w:rPr>
        <w:t>2.2.</w:t>
      </w:r>
      <w:r>
        <w:rPr>
          <w:rFonts w:ascii="Times New Roman" w:hAnsi="Times New Roman"/>
          <w:spacing w:val="16"/>
          <w:szCs w:val="28"/>
          <w:lang w:eastAsia="zh-CN"/>
        </w:rPr>
        <w:t>5</w:t>
      </w:r>
      <w:r>
        <w:rPr>
          <w:rFonts w:ascii="Times New Roman" w:eastAsia="黑体" w:hAnsi="Times New Roman"/>
          <w:spacing w:val="-7"/>
        </w:rPr>
        <w:t>主要原辅材料</w:t>
      </w:r>
    </w:p>
    <w:p>
      <w:pPr>
        <w:ind w:firstLine="560" w:firstLineChars="200"/>
        <w:jc w:val="left"/>
        <w:rPr>
          <w:sz w:val="28"/>
          <w:szCs w:val="28"/>
        </w:rPr>
      </w:pPr>
      <w:r>
        <w:rPr>
          <w:rFonts w:hint="eastAsia"/>
          <w:sz w:val="28"/>
          <w:szCs w:val="28"/>
        </w:rPr>
        <w:t>本项目</w:t>
      </w:r>
      <w:r>
        <w:rPr>
          <w:sz w:val="28"/>
          <w:szCs w:val="28"/>
        </w:rPr>
        <w:t>主要原辅材料</w:t>
      </w:r>
      <w:r>
        <w:rPr>
          <w:rFonts w:hint="eastAsia"/>
          <w:sz w:val="28"/>
          <w:szCs w:val="28"/>
        </w:rPr>
        <w:t>见表2.2.5-1。</w:t>
      </w:r>
    </w:p>
    <w:p>
      <w:pPr>
        <w:ind w:firstLine="461" w:firstLineChars="192"/>
        <w:jc w:val="center"/>
        <w:rPr>
          <w:rFonts w:eastAsia="黑体" w:hint="eastAsia"/>
          <w:spacing w:val="-6"/>
          <w:sz w:val="24"/>
        </w:rPr>
      </w:pPr>
      <w:r>
        <w:rPr>
          <w:rFonts w:eastAsia="黑体"/>
          <w:spacing w:val="-6"/>
          <w:sz w:val="24"/>
        </w:rPr>
        <w:t>表2.2.5-1主要原、辅料一览表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95"/>
        <w:gridCol w:w="621"/>
        <w:gridCol w:w="2206"/>
        <w:gridCol w:w="1312"/>
        <w:gridCol w:w="1193"/>
        <w:gridCol w:w="1325"/>
        <w:gridCol w:w="168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9"/>
          <w:jc w:val="center"/>
        </w:trPr>
        <w:tc>
          <w:tcPr>
            <w:tcW w:w="695" w:type="dxa"/>
            <w:vAlign w:val="center"/>
          </w:tcPr>
          <w:p>
            <w:pPr>
              <w:snapToGrid w:val="0"/>
              <w:jc w:val="center"/>
              <w:rPr>
                <w:color w:val="000000"/>
                <w:szCs w:val="21"/>
              </w:rPr>
            </w:pPr>
            <w:r>
              <w:rPr>
                <w:color w:val="000000"/>
                <w:szCs w:val="21"/>
              </w:rPr>
              <w:t>序号</w:t>
            </w:r>
          </w:p>
        </w:tc>
        <w:tc>
          <w:tcPr>
            <w:tcW w:w="2827" w:type="dxa"/>
            <w:gridSpan w:val="2"/>
            <w:vAlign w:val="center"/>
          </w:tcPr>
          <w:p>
            <w:pPr>
              <w:snapToGrid w:val="0"/>
              <w:jc w:val="center"/>
              <w:rPr>
                <w:color w:val="000000"/>
                <w:szCs w:val="21"/>
              </w:rPr>
            </w:pPr>
            <w:r>
              <w:rPr>
                <w:color w:val="000000"/>
                <w:szCs w:val="21"/>
              </w:rPr>
              <w:t>原料(辅料)</w:t>
            </w:r>
          </w:p>
        </w:tc>
        <w:tc>
          <w:tcPr>
            <w:tcW w:w="1312" w:type="dxa"/>
            <w:vAlign w:val="center"/>
          </w:tcPr>
          <w:p>
            <w:pPr>
              <w:snapToGrid w:val="0"/>
              <w:jc w:val="center"/>
              <w:rPr>
                <w:color w:val="000000"/>
                <w:szCs w:val="21"/>
              </w:rPr>
            </w:pPr>
            <w:r>
              <w:rPr>
                <w:color w:val="000000"/>
                <w:szCs w:val="21"/>
              </w:rPr>
              <w:t>年总消耗量</w:t>
            </w:r>
          </w:p>
        </w:tc>
        <w:tc>
          <w:tcPr>
            <w:tcW w:w="1193" w:type="dxa"/>
            <w:vAlign w:val="center"/>
          </w:tcPr>
          <w:p>
            <w:pPr>
              <w:snapToGrid w:val="0"/>
              <w:jc w:val="center"/>
              <w:rPr>
                <w:color w:val="000000"/>
                <w:szCs w:val="21"/>
              </w:rPr>
            </w:pPr>
            <w:r>
              <w:rPr>
                <w:color w:val="000000"/>
                <w:szCs w:val="21"/>
              </w:rPr>
              <w:t>规格</w:t>
            </w:r>
          </w:p>
        </w:tc>
        <w:tc>
          <w:tcPr>
            <w:tcW w:w="1325" w:type="dxa"/>
            <w:vAlign w:val="center"/>
          </w:tcPr>
          <w:p>
            <w:pPr>
              <w:snapToGrid w:val="0"/>
              <w:jc w:val="center"/>
              <w:rPr>
                <w:color w:val="000000"/>
                <w:szCs w:val="21"/>
              </w:rPr>
            </w:pPr>
            <w:r>
              <w:rPr>
                <w:color w:val="000000"/>
                <w:szCs w:val="21"/>
              </w:rPr>
              <w:t>最大储存量</w:t>
            </w:r>
          </w:p>
        </w:tc>
        <w:tc>
          <w:tcPr>
            <w:tcW w:w="1687" w:type="dxa"/>
            <w:vAlign w:val="center"/>
          </w:tcPr>
          <w:p>
            <w:pPr>
              <w:snapToGrid w:val="0"/>
              <w:jc w:val="center"/>
              <w:rPr>
                <w:color w:val="000000"/>
                <w:szCs w:val="21"/>
              </w:rPr>
            </w:pPr>
            <w:r>
              <w:rPr>
                <w:color w:val="000000"/>
                <w:szCs w:val="21"/>
              </w:rPr>
              <w:t>备注</w:t>
            </w:r>
          </w:p>
        </w:tc>
      </w:tr>
      <w:tr>
        <w:tblPrEx>
          <w:tblW w:w="0" w:type="auto"/>
          <w:jc w:val="center"/>
          <w:tblLayout w:type="fixed"/>
          <w:tblCellMar>
            <w:top w:w="0" w:type="dxa"/>
            <w:left w:w="108" w:type="dxa"/>
            <w:bottom w:w="0" w:type="dxa"/>
            <w:right w:w="108" w:type="dxa"/>
          </w:tblCellMar>
          <w:tblLook w:val="0000"/>
        </w:tblPrEx>
        <w:trPr>
          <w:jc w:val="center"/>
        </w:trPr>
        <w:tc>
          <w:tcPr>
            <w:tcW w:w="695" w:type="dxa"/>
            <w:vAlign w:val="center"/>
          </w:tcPr>
          <w:p>
            <w:pPr>
              <w:snapToGrid w:val="0"/>
              <w:jc w:val="center"/>
              <w:rPr>
                <w:color w:val="000000"/>
                <w:szCs w:val="21"/>
              </w:rPr>
            </w:pPr>
            <w:r>
              <w:rPr>
                <w:color w:val="000000"/>
                <w:szCs w:val="21"/>
              </w:rPr>
              <w:t>1</w:t>
            </w:r>
          </w:p>
        </w:tc>
        <w:tc>
          <w:tcPr>
            <w:tcW w:w="621" w:type="dxa"/>
            <w:vMerge w:val="restart"/>
            <w:vAlign w:val="center"/>
          </w:tcPr>
          <w:p>
            <w:pPr>
              <w:snapToGrid w:val="0"/>
              <w:jc w:val="center"/>
              <w:rPr>
                <w:color w:val="000000"/>
                <w:szCs w:val="21"/>
              </w:rPr>
            </w:pPr>
            <w:r>
              <w:rPr>
                <w:color w:val="000000"/>
                <w:szCs w:val="21"/>
              </w:rPr>
              <w:t>原料</w:t>
            </w:r>
          </w:p>
        </w:tc>
        <w:tc>
          <w:tcPr>
            <w:tcW w:w="2206" w:type="dxa"/>
            <w:vAlign w:val="center"/>
          </w:tcPr>
          <w:p>
            <w:pPr>
              <w:adjustRightInd w:val="0"/>
              <w:snapToGrid w:val="0"/>
              <w:jc w:val="center"/>
              <w:rPr>
                <w:szCs w:val="21"/>
              </w:rPr>
            </w:pPr>
            <w:r>
              <w:rPr>
                <w:szCs w:val="21"/>
              </w:rPr>
              <w:t>不锈钢板（2~30mm）</w:t>
            </w:r>
          </w:p>
        </w:tc>
        <w:tc>
          <w:tcPr>
            <w:tcW w:w="1312" w:type="dxa"/>
            <w:vAlign w:val="center"/>
          </w:tcPr>
          <w:p>
            <w:pPr>
              <w:snapToGrid w:val="0"/>
              <w:jc w:val="center"/>
              <w:rPr>
                <w:color w:val="000000"/>
                <w:szCs w:val="21"/>
              </w:rPr>
            </w:pPr>
            <w:r>
              <w:rPr>
                <w:color w:val="000000"/>
                <w:szCs w:val="21"/>
              </w:rPr>
              <w:t>500吨/年</w:t>
            </w:r>
          </w:p>
        </w:tc>
        <w:tc>
          <w:tcPr>
            <w:tcW w:w="1193" w:type="dxa"/>
            <w:vAlign w:val="center"/>
          </w:tcPr>
          <w:p>
            <w:pPr>
              <w:snapToGrid w:val="0"/>
              <w:jc w:val="center"/>
              <w:rPr>
                <w:color w:val="000000"/>
                <w:szCs w:val="21"/>
              </w:rPr>
            </w:pPr>
            <w:r>
              <w:rPr>
                <w:color w:val="000000"/>
                <w:szCs w:val="21"/>
              </w:rPr>
              <w:t>/</w:t>
            </w:r>
          </w:p>
        </w:tc>
        <w:tc>
          <w:tcPr>
            <w:tcW w:w="1325" w:type="dxa"/>
            <w:vAlign w:val="center"/>
          </w:tcPr>
          <w:p>
            <w:pPr>
              <w:snapToGrid w:val="0"/>
              <w:jc w:val="center"/>
              <w:rPr>
                <w:color w:val="000000"/>
                <w:szCs w:val="21"/>
              </w:rPr>
            </w:pPr>
            <w:r>
              <w:rPr>
                <w:color w:val="000000"/>
                <w:szCs w:val="21"/>
              </w:rPr>
              <w:t>16吨</w:t>
            </w:r>
          </w:p>
        </w:tc>
        <w:tc>
          <w:tcPr>
            <w:tcW w:w="1687" w:type="dxa"/>
            <w:vAlign w:val="center"/>
          </w:tcPr>
          <w:p>
            <w:pPr>
              <w:snapToGrid w:val="0"/>
              <w:jc w:val="center"/>
              <w:rPr>
                <w:color w:val="000000"/>
                <w:szCs w:val="21"/>
              </w:rPr>
            </w:pPr>
            <w:r>
              <w:rPr>
                <w:color w:val="000000"/>
                <w:szCs w:val="21"/>
              </w:rPr>
              <w:t>外购</w:t>
            </w:r>
          </w:p>
        </w:tc>
      </w:tr>
      <w:tr>
        <w:tblPrEx>
          <w:tblW w:w="0" w:type="auto"/>
          <w:jc w:val="center"/>
          <w:tblLayout w:type="fixed"/>
          <w:tblCellMar>
            <w:top w:w="0" w:type="dxa"/>
            <w:left w:w="108" w:type="dxa"/>
            <w:bottom w:w="0" w:type="dxa"/>
            <w:right w:w="108" w:type="dxa"/>
          </w:tblCellMar>
          <w:tblLook w:val="0000"/>
        </w:tblPrEx>
        <w:trPr>
          <w:trHeight w:val="318"/>
          <w:jc w:val="center"/>
        </w:trPr>
        <w:tc>
          <w:tcPr>
            <w:tcW w:w="695" w:type="dxa"/>
            <w:vAlign w:val="center"/>
          </w:tcPr>
          <w:p>
            <w:pPr>
              <w:snapToGrid w:val="0"/>
              <w:jc w:val="center"/>
              <w:rPr>
                <w:color w:val="000000"/>
                <w:szCs w:val="21"/>
              </w:rPr>
            </w:pPr>
            <w:r>
              <w:rPr>
                <w:color w:val="000000"/>
                <w:szCs w:val="21"/>
              </w:rPr>
              <w:t>2</w:t>
            </w:r>
          </w:p>
        </w:tc>
        <w:tc>
          <w:tcPr>
            <w:tcW w:w="621" w:type="dxa"/>
            <w:vMerge/>
            <w:vAlign w:val="center"/>
          </w:tcPr>
          <w:p>
            <w:pPr>
              <w:snapToGrid w:val="0"/>
              <w:jc w:val="center"/>
              <w:rPr>
                <w:color w:val="000000"/>
                <w:szCs w:val="21"/>
              </w:rPr>
            </w:pPr>
          </w:p>
        </w:tc>
        <w:tc>
          <w:tcPr>
            <w:tcW w:w="2206" w:type="dxa"/>
            <w:vAlign w:val="center"/>
          </w:tcPr>
          <w:p>
            <w:pPr>
              <w:adjustRightInd w:val="0"/>
              <w:snapToGrid w:val="0"/>
              <w:jc w:val="center"/>
              <w:rPr>
                <w:rFonts w:hint="eastAsia"/>
                <w:color w:val="000000"/>
                <w:szCs w:val="21"/>
              </w:rPr>
            </w:pPr>
            <w:r>
              <w:rPr>
                <w:color w:val="000000"/>
                <w:szCs w:val="21"/>
              </w:rPr>
              <w:t>焊丝</w:t>
            </w:r>
          </w:p>
        </w:tc>
        <w:tc>
          <w:tcPr>
            <w:tcW w:w="1312" w:type="dxa"/>
            <w:vAlign w:val="center"/>
          </w:tcPr>
          <w:p>
            <w:pPr>
              <w:snapToGrid w:val="0"/>
              <w:jc w:val="center"/>
              <w:rPr>
                <w:color w:val="000000"/>
                <w:szCs w:val="21"/>
              </w:rPr>
            </w:pPr>
            <w:r>
              <w:rPr>
                <w:color w:val="000000"/>
                <w:szCs w:val="21"/>
              </w:rPr>
              <w:t>2吨/年</w:t>
            </w:r>
          </w:p>
        </w:tc>
        <w:tc>
          <w:tcPr>
            <w:tcW w:w="1193" w:type="dxa"/>
            <w:vAlign w:val="center"/>
          </w:tcPr>
          <w:p>
            <w:pPr>
              <w:snapToGrid w:val="0"/>
              <w:jc w:val="center"/>
              <w:rPr>
                <w:color w:val="000000"/>
                <w:szCs w:val="21"/>
              </w:rPr>
            </w:pPr>
            <w:r>
              <w:rPr>
                <w:color w:val="000000"/>
                <w:szCs w:val="21"/>
              </w:rPr>
              <w:t>/</w:t>
            </w:r>
          </w:p>
        </w:tc>
        <w:tc>
          <w:tcPr>
            <w:tcW w:w="1325" w:type="dxa"/>
            <w:vAlign w:val="center"/>
          </w:tcPr>
          <w:p>
            <w:pPr>
              <w:snapToGrid w:val="0"/>
              <w:jc w:val="center"/>
              <w:rPr>
                <w:color w:val="000000"/>
                <w:szCs w:val="21"/>
              </w:rPr>
            </w:pPr>
            <w:r>
              <w:rPr>
                <w:color w:val="000000"/>
                <w:szCs w:val="21"/>
              </w:rPr>
              <w:t>0.5吨</w:t>
            </w:r>
          </w:p>
        </w:tc>
        <w:tc>
          <w:tcPr>
            <w:tcW w:w="1687" w:type="dxa"/>
            <w:vAlign w:val="center"/>
          </w:tcPr>
          <w:p>
            <w:pPr>
              <w:snapToGrid w:val="0"/>
              <w:jc w:val="center"/>
              <w:rPr>
                <w:color w:val="000000"/>
                <w:szCs w:val="21"/>
              </w:rPr>
            </w:pPr>
            <w:r>
              <w:rPr>
                <w:rFonts w:hint="eastAsia"/>
                <w:color w:val="000000"/>
                <w:szCs w:val="21"/>
              </w:rPr>
              <w:t>用于二保焊</w:t>
            </w:r>
          </w:p>
        </w:tc>
      </w:tr>
      <w:tr>
        <w:tblPrEx>
          <w:tblW w:w="0" w:type="auto"/>
          <w:jc w:val="center"/>
          <w:tblLayout w:type="fixed"/>
          <w:tblCellMar>
            <w:top w:w="0" w:type="dxa"/>
            <w:left w:w="108" w:type="dxa"/>
            <w:bottom w:w="0" w:type="dxa"/>
            <w:right w:w="108" w:type="dxa"/>
          </w:tblCellMar>
          <w:tblLook w:val="0000"/>
        </w:tblPrEx>
        <w:trPr>
          <w:jc w:val="center"/>
        </w:trPr>
        <w:tc>
          <w:tcPr>
            <w:tcW w:w="695" w:type="dxa"/>
            <w:vAlign w:val="center"/>
          </w:tcPr>
          <w:p>
            <w:pPr>
              <w:snapToGrid w:val="0"/>
              <w:jc w:val="center"/>
              <w:rPr>
                <w:color w:val="000000"/>
                <w:szCs w:val="21"/>
              </w:rPr>
            </w:pPr>
            <w:r>
              <w:rPr>
                <w:color w:val="000000"/>
                <w:szCs w:val="21"/>
              </w:rPr>
              <w:t>3</w:t>
            </w:r>
          </w:p>
        </w:tc>
        <w:tc>
          <w:tcPr>
            <w:tcW w:w="621" w:type="dxa"/>
            <w:vMerge w:val="restart"/>
            <w:vAlign w:val="center"/>
          </w:tcPr>
          <w:p>
            <w:pPr>
              <w:snapToGrid w:val="0"/>
              <w:jc w:val="center"/>
              <w:rPr>
                <w:color w:val="000000"/>
                <w:szCs w:val="21"/>
              </w:rPr>
            </w:pPr>
            <w:r>
              <w:rPr>
                <w:color w:val="000000"/>
                <w:szCs w:val="21"/>
              </w:rPr>
              <w:t>辅料</w:t>
            </w:r>
          </w:p>
        </w:tc>
        <w:tc>
          <w:tcPr>
            <w:tcW w:w="2206" w:type="dxa"/>
            <w:vAlign w:val="center"/>
          </w:tcPr>
          <w:p>
            <w:pPr>
              <w:adjustRightInd w:val="0"/>
              <w:snapToGrid w:val="0"/>
              <w:jc w:val="center"/>
              <w:rPr>
                <w:color w:val="000000"/>
                <w:szCs w:val="21"/>
              </w:rPr>
            </w:pPr>
            <w:r>
              <w:rPr>
                <w:color w:val="000000"/>
                <w:szCs w:val="21"/>
              </w:rPr>
              <w:t>机油</w:t>
            </w:r>
          </w:p>
        </w:tc>
        <w:tc>
          <w:tcPr>
            <w:tcW w:w="1312" w:type="dxa"/>
            <w:vAlign w:val="center"/>
          </w:tcPr>
          <w:p>
            <w:pPr>
              <w:snapToGrid w:val="0"/>
              <w:jc w:val="center"/>
              <w:rPr>
                <w:color w:val="000000"/>
                <w:szCs w:val="21"/>
              </w:rPr>
            </w:pPr>
            <w:r>
              <w:rPr>
                <w:color w:val="000000"/>
                <w:szCs w:val="21"/>
              </w:rPr>
              <w:t>0.</w:t>
            </w:r>
            <w:r>
              <w:rPr>
                <w:rFonts w:hint="eastAsia"/>
                <w:color w:val="000000"/>
                <w:szCs w:val="21"/>
              </w:rPr>
              <w:t>2</w:t>
            </w:r>
            <w:r>
              <w:rPr>
                <w:color w:val="000000"/>
                <w:szCs w:val="21"/>
              </w:rPr>
              <w:t>吨/年</w:t>
            </w:r>
          </w:p>
        </w:tc>
        <w:tc>
          <w:tcPr>
            <w:tcW w:w="1193" w:type="dxa"/>
            <w:vAlign w:val="center"/>
          </w:tcPr>
          <w:p>
            <w:pPr>
              <w:snapToGrid w:val="0"/>
              <w:jc w:val="center"/>
              <w:rPr>
                <w:rFonts w:hint="eastAsia"/>
                <w:color w:val="000000"/>
                <w:szCs w:val="21"/>
              </w:rPr>
            </w:pPr>
            <w:r>
              <w:rPr>
                <w:rFonts w:hint="eastAsia"/>
                <w:color w:val="000000"/>
                <w:szCs w:val="21"/>
              </w:rPr>
              <w:t>/</w:t>
            </w:r>
          </w:p>
        </w:tc>
        <w:tc>
          <w:tcPr>
            <w:tcW w:w="1325" w:type="dxa"/>
            <w:vAlign w:val="center"/>
          </w:tcPr>
          <w:p>
            <w:pPr>
              <w:snapToGrid w:val="0"/>
              <w:jc w:val="center"/>
              <w:rPr>
                <w:color w:val="000000"/>
                <w:szCs w:val="21"/>
              </w:rPr>
            </w:pPr>
            <w:r>
              <w:rPr>
                <w:color w:val="000000"/>
                <w:szCs w:val="21"/>
              </w:rPr>
              <w:t>/</w:t>
            </w:r>
          </w:p>
        </w:tc>
        <w:tc>
          <w:tcPr>
            <w:tcW w:w="1687" w:type="dxa"/>
            <w:vAlign w:val="center"/>
          </w:tcPr>
          <w:p>
            <w:pPr>
              <w:snapToGrid w:val="0"/>
              <w:jc w:val="center"/>
              <w:rPr>
                <w:color w:val="000000"/>
                <w:szCs w:val="21"/>
              </w:rPr>
            </w:pPr>
            <w:r>
              <w:rPr>
                <w:color w:val="000000"/>
                <w:szCs w:val="21"/>
              </w:rPr>
              <w:t>外购</w:t>
            </w:r>
          </w:p>
        </w:tc>
      </w:tr>
      <w:tr>
        <w:tblPrEx>
          <w:tblW w:w="0" w:type="auto"/>
          <w:jc w:val="center"/>
          <w:tblLayout w:type="fixed"/>
          <w:tblCellMar>
            <w:top w:w="0" w:type="dxa"/>
            <w:left w:w="108" w:type="dxa"/>
            <w:bottom w:w="0" w:type="dxa"/>
            <w:right w:w="108" w:type="dxa"/>
          </w:tblCellMar>
          <w:tblLook w:val="0000"/>
        </w:tblPrEx>
        <w:trPr>
          <w:jc w:val="center"/>
        </w:trPr>
        <w:tc>
          <w:tcPr>
            <w:tcW w:w="695" w:type="dxa"/>
            <w:vAlign w:val="center"/>
          </w:tcPr>
          <w:p>
            <w:pPr>
              <w:snapToGrid w:val="0"/>
              <w:jc w:val="center"/>
              <w:rPr>
                <w:color w:val="000000"/>
                <w:szCs w:val="21"/>
              </w:rPr>
            </w:pPr>
            <w:r>
              <w:rPr>
                <w:bCs/>
                <w:color w:val="000000"/>
                <w:szCs w:val="21"/>
              </w:rPr>
              <w:t>4</w:t>
            </w:r>
          </w:p>
        </w:tc>
        <w:tc>
          <w:tcPr>
            <w:tcW w:w="621" w:type="dxa"/>
            <w:vMerge/>
            <w:vAlign w:val="center"/>
          </w:tcPr>
          <w:p>
            <w:pPr>
              <w:snapToGrid w:val="0"/>
              <w:jc w:val="center"/>
              <w:rPr>
                <w:color w:val="000000"/>
                <w:szCs w:val="21"/>
              </w:rPr>
            </w:pPr>
          </w:p>
        </w:tc>
        <w:tc>
          <w:tcPr>
            <w:tcW w:w="2206" w:type="dxa"/>
            <w:vAlign w:val="center"/>
          </w:tcPr>
          <w:p>
            <w:pPr>
              <w:adjustRightInd w:val="0"/>
              <w:snapToGrid w:val="0"/>
              <w:jc w:val="center"/>
              <w:rPr>
                <w:rFonts w:hint="eastAsia"/>
                <w:color w:val="000000"/>
                <w:szCs w:val="21"/>
              </w:rPr>
            </w:pPr>
            <w:r>
              <w:rPr>
                <w:rFonts w:hint="eastAsia"/>
                <w:color w:val="000000"/>
                <w:szCs w:val="21"/>
              </w:rPr>
              <w:t>液压油</w:t>
            </w:r>
          </w:p>
        </w:tc>
        <w:tc>
          <w:tcPr>
            <w:tcW w:w="1312" w:type="dxa"/>
            <w:vAlign w:val="center"/>
          </w:tcPr>
          <w:p>
            <w:pPr>
              <w:snapToGrid w:val="0"/>
              <w:jc w:val="center"/>
              <w:rPr>
                <w:rFonts w:hint="eastAsia"/>
                <w:color w:val="000000"/>
                <w:szCs w:val="21"/>
              </w:rPr>
            </w:pPr>
            <w:r>
              <w:rPr>
                <w:rFonts w:hint="eastAsia"/>
                <w:color w:val="000000"/>
                <w:szCs w:val="21"/>
              </w:rPr>
              <w:t>2桶/2年</w:t>
            </w:r>
          </w:p>
        </w:tc>
        <w:tc>
          <w:tcPr>
            <w:tcW w:w="1193" w:type="dxa"/>
            <w:vAlign w:val="center"/>
          </w:tcPr>
          <w:p>
            <w:pPr>
              <w:snapToGrid w:val="0"/>
              <w:jc w:val="center"/>
              <w:rPr>
                <w:rFonts w:hint="eastAsia"/>
                <w:color w:val="000000"/>
                <w:szCs w:val="21"/>
              </w:rPr>
            </w:pPr>
            <w:r>
              <w:rPr>
                <w:rFonts w:hint="eastAsia"/>
                <w:color w:val="000000"/>
                <w:szCs w:val="21"/>
              </w:rPr>
              <w:t>300kg/桶</w:t>
            </w:r>
          </w:p>
        </w:tc>
        <w:tc>
          <w:tcPr>
            <w:tcW w:w="1325" w:type="dxa"/>
            <w:vAlign w:val="center"/>
          </w:tcPr>
          <w:p>
            <w:pPr>
              <w:snapToGrid w:val="0"/>
              <w:jc w:val="center"/>
              <w:rPr>
                <w:rFonts w:hint="eastAsia"/>
                <w:color w:val="000000"/>
                <w:szCs w:val="21"/>
              </w:rPr>
            </w:pPr>
            <w:r>
              <w:rPr>
                <w:rFonts w:hint="eastAsia"/>
                <w:color w:val="000000"/>
                <w:szCs w:val="21"/>
              </w:rPr>
              <w:t>/</w:t>
            </w:r>
          </w:p>
        </w:tc>
        <w:tc>
          <w:tcPr>
            <w:tcW w:w="1687" w:type="dxa"/>
            <w:vAlign w:val="center"/>
          </w:tcPr>
          <w:p>
            <w:pPr>
              <w:snapToGrid w:val="0"/>
              <w:jc w:val="center"/>
              <w:rPr>
                <w:rFonts w:hint="eastAsia"/>
                <w:color w:val="000000"/>
                <w:szCs w:val="21"/>
              </w:rPr>
            </w:pPr>
            <w:r>
              <w:rPr>
                <w:rFonts w:hint="eastAsia"/>
                <w:color w:val="000000"/>
                <w:szCs w:val="21"/>
              </w:rPr>
              <w:t>液压机</w:t>
            </w:r>
          </w:p>
        </w:tc>
      </w:tr>
      <w:tr>
        <w:tblPrEx>
          <w:tblW w:w="0" w:type="auto"/>
          <w:jc w:val="center"/>
          <w:tblLayout w:type="fixed"/>
          <w:tblCellMar>
            <w:top w:w="0" w:type="dxa"/>
            <w:left w:w="108" w:type="dxa"/>
            <w:bottom w:w="0" w:type="dxa"/>
            <w:right w:w="108" w:type="dxa"/>
          </w:tblCellMar>
          <w:tblLook w:val="0000"/>
        </w:tblPrEx>
        <w:trPr>
          <w:trHeight w:val="90"/>
          <w:jc w:val="center"/>
        </w:trPr>
        <w:tc>
          <w:tcPr>
            <w:tcW w:w="695" w:type="dxa"/>
            <w:vAlign w:val="center"/>
          </w:tcPr>
          <w:p>
            <w:pPr>
              <w:snapToGrid w:val="0"/>
              <w:jc w:val="center"/>
              <w:rPr>
                <w:bCs/>
                <w:color w:val="000000"/>
                <w:szCs w:val="21"/>
              </w:rPr>
            </w:pPr>
            <w:r>
              <w:rPr>
                <w:bCs/>
                <w:color w:val="000000"/>
                <w:szCs w:val="21"/>
              </w:rPr>
              <w:t>5</w:t>
            </w:r>
          </w:p>
        </w:tc>
        <w:tc>
          <w:tcPr>
            <w:tcW w:w="621" w:type="dxa"/>
            <w:vMerge/>
            <w:vAlign w:val="center"/>
          </w:tcPr>
          <w:p>
            <w:pPr>
              <w:snapToGrid w:val="0"/>
              <w:jc w:val="center"/>
              <w:rPr>
                <w:color w:val="000000"/>
                <w:szCs w:val="21"/>
              </w:rPr>
            </w:pPr>
          </w:p>
        </w:tc>
        <w:tc>
          <w:tcPr>
            <w:tcW w:w="2206" w:type="dxa"/>
            <w:vAlign w:val="center"/>
          </w:tcPr>
          <w:p>
            <w:pPr>
              <w:adjustRightInd w:val="0"/>
              <w:snapToGrid w:val="0"/>
              <w:jc w:val="center"/>
              <w:rPr>
                <w:rFonts w:hint="eastAsia"/>
                <w:bCs/>
                <w:color w:val="000000"/>
                <w:szCs w:val="21"/>
              </w:rPr>
            </w:pPr>
            <w:r>
              <w:rPr>
                <w:bCs/>
                <w:color w:val="000000"/>
                <w:szCs w:val="21"/>
              </w:rPr>
              <w:t>氧气</w:t>
            </w:r>
          </w:p>
        </w:tc>
        <w:tc>
          <w:tcPr>
            <w:tcW w:w="1312" w:type="dxa"/>
            <w:vAlign w:val="center"/>
          </w:tcPr>
          <w:p>
            <w:pPr>
              <w:snapToGrid w:val="0"/>
              <w:jc w:val="center"/>
              <w:rPr>
                <w:bCs/>
                <w:color w:val="000000"/>
                <w:szCs w:val="21"/>
              </w:rPr>
            </w:pPr>
            <w:r>
              <w:rPr>
                <w:bCs/>
                <w:color w:val="000000"/>
                <w:szCs w:val="21"/>
              </w:rPr>
              <w:t>30瓶/年</w:t>
            </w:r>
          </w:p>
        </w:tc>
        <w:tc>
          <w:tcPr>
            <w:tcW w:w="1193" w:type="dxa"/>
            <w:vAlign w:val="center"/>
          </w:tcPr>
          <w:p>
            <w:pPr>
              <w:snapToGrid w:val="0"/>
              <w:jc w:val="center"/>
              <w:rPr>
                <w:bCs/>
                <w:color w:val="000000"/>
                <w:szCs w:val="21"/>
              </w:rPr>
            </w:pPr>
          </w:p>
        </w:tc>
        <w:tc>
          <w:tcPr>
            <w:tcW w:w="1325" w:type="dxa"/>
            <w:vAlign w:val="center"/>
          </w:tcPr>
          <w:p>
            <w:pPr>
              <w:snapToGrid w:val="0"/>
              <w:jc w:val="center"/>
              <w:rPr>
                <w:bCs/>
                <w:color w:val="000000"/>
                <w:szCs w:val="21"/>
              </w:rPr>
            </w:pPr>
            <w:r>
              <w:rPr>
                <w:bCs/>
                <w:color w:val="000000"/>
                <w:szCs w:val="21"/>
              </w:rPr>
              <w:t>3瓶</w:t>
            </w:r>
          </w:p>
        </w:tc>
        <w:tc>
          <w:tcPr>
            <w:tcW w:w="1687" w:type="dxa"/>
          </w:tcPr>
          <w:p>
            <w:pPr>
              <w:jc w:val="center"/>
              <w:rPr>
                <w:color w:val="000000"/>
              </w:rPr>
            </w:pPr>
            <w:r>
              <w:rPr>
                <w:rFonts w:hint="eastAsia"/>
                <w:bCs/>
                <w:color w:val="000000"/>
                <w:szCs w:val="21"/>
              </w:rPr>
              <w:t>用于激光切割</w:t>
            </w:r>
          </w:p>
        </w:tc>
      </w:tr>
      <w:tr>
        <w:tblPrEx>
          <w:tblW w:w="0" w:type="auto"/>
          <w:jc w:val="center"/>
          <w:tblLayout w:type="fixed"/>
          <w:tblCellMar>
            <w:top w:w="0" w:type="dxa"/>
            <w:left w:w="108" w:type="dxa"/>
            <w:bottom w:w="0" w:type="dxa"/>
            <w:right w:w="108" w:type="dxa"/>
          </w:tblCellMar>
          <w:tblLook w:val="0000"/>
        </w:tblPrEx>
        <w:trPr>
          <w:jc w:val="center"/>
        </w:trPr>
        <w:tc>
          <w:tcPr>
            <w:tcW w:w="695" w:type="dxa"/>
            <w:vAlign w:val="center"/>
          </w:tcPr>
          <w:p>
            <w:pPr>
              <w:snapToGrid w:val="0"/>
              <w:jc w:val="center"/>
              <w:rPr>
                <w:bCs/>
                <w:color w:val="000000"/>
                <w:szCs w:val="21"/>
              </w:rPr>
            </w:pPr>
            <w:r>
              <w:rPr>
                <w:rFonts w:hint="eastAsia"/>
                <w:bCs/>
                <w:color w:val="000000"/>
                <w:szCs w:val="21"/>
              </w:rPr>
              <w:t>6</w:t>
            </w:r>
          </w:p>
        </w:tc>
        <w:tc>
          <w:tcPr>
            <w:tcW w:w="621" w:type="dxa"/>
            <w:vMerge/>
            <w:vAlign w:val="center"/>
          </w:tcPr>
          <w:p>
            <w:pPr>
              <w:snapToGrid w:val="0"/>
              <w:jc w:val="center"/>
              <w:rPr>
                <w:color w:val="000000"/>
                <w:szCs w:val="21"/>
              </w:rPr>
            </w:pPr>
          </w:p>
        </w:tc>
        <w:tc>
          <w:tcPr>
            <w:tcW w:w="2206" w:type="dxa"/>
            <w:vAlign w:val="center"/>
          </w:tcPr>
          <w:p>
            <w:pPr>
              <w:adjustRightInd w:val="0"/>
              <w:snapToGrid w:val="0"/>
              <w:jc w:val="center"/>
              <w:rPr>
                <w:rFonts w:hint="eastAsia"/>
                <w:bCs/>
                <w:color w:val="000000"/>
                <w:szCs w:val="21"/>
              </w:rPr>
            </w:pPr>
            <w:r>
              <w:rPr>
                <w:bCs/>
                <w:color w:val="000000"/>
                <w:szCs w:val="21"/>
              </w:rPr>
              <w:t>二氧化碳</w:t>
            </w:r>
          </w:p>
        </w:tc>
        <w:tc>
          <w:tcPr>
            <w:tcW w:w="1312" w:type="dxa"/>
            <w:vAlign w:val="center"/>
          </w:tcPr>
          <w:p>
            <w:pPr>
              <w:snapToGrid w:val="0"/>
              <w:jc w:val="center"/>
              <w:rPr>
                <w:bCs/>
                <w:color w:val="000000"/>
                <w:szCs w:val="21"/>
              </w:rPr>
            </w:pPr>
            <w:r>
              <w:rPr>
                <w:bCs/>
                <w:color w:val="000000"/>
                <w:szCs w:val="21"/>
              </w:rPr>
              <w:t>50瓶/年</w:t>
            </w:r>
          </w:p>
        </w:tc>
        <w:tc>
          <w:tcPr>
            <w:tcW w:w="1193" w:type="dxa"/>
            <w:vAlign w:val="center"/>
          </w:tcPr>
          <w:p>
            <w:pPr>
              <w:snapToGrid w:val="0"/>
              <w:jc w:val="center"/>
              <w:rPr>
                <w:bCs/>
                <w:color w:val="000000"/>
                <w:szCs w:val="21"/>
              </w:rPr>
            </w:pPr>
          </w:p>
        </w:tc>
        <w:tc>
          <w:tcPr>
            <w:tcW w:w="1325" w:type="dxa"/>
            <w:vAlign w:val="center"/>
          </w:tcPr>
          <w:p>
            <w:pPr>
              <w:snapToGrid w:val="0"/>
              <w:jc w:val="center"/>
              <w:rPr>
                <w:bCs/>
                <w:color w:val="000000"/>
                <w:szCs w:val="21"/>
              </w:rPr>
            </w:pPr>
            <w:r>
              <w:rPr>
                <w:bCs/>
                <w:color w:val="000000"/>
                <w:szCs w:val="21"/>
              </w:rPr>
              <w:t>6瓶</w:t>
            </w:r>
          </w:p>
        </w:tc>
        <w:tc>
          <w:tcPr>
            <w:tcW w:w="1687" w:type="dxa"/>
          </w:tcPr>
          <w:p>
            <w:pPr>
              <w:jc w:val="center"/>
              <w:rPr>
                <w:bCs/>
                <w:color w:val="000000"/>
                <w:szCs w:val="21"/>
              </w:rPr>
            </w:pPr>
            <w:r>
              <w:rPr>
                <w:rFonts w:hint="eastAsia"/>
                <w:bCs/>
                <w:color w:val="000000"/>
                <w:szCs w:val="21"/>
              </w:rPr>
              <w:t>用于二保焊</w:t>
            </w:r>
          </w:p>
        </w:tc>
      </w:tr>
      <w:tr>
        <w:tblPrEx>
          <w:tblW w:w="0" w:type="auto"/>
          <w:jc w:val="center"/>
          <w:tblLayout w:type="fixed"/>
          <w:tblCellMar>
            <w:top w:w="0" w:type="dxa"/>
            <w:left w:w="108" w:type="dxa"/>
            <w:bottom w:w="0" w:type="dxa"/>
            <w:right w:w="108" w:type="dxa"/>
          </w:tblCellMar>
          <w:tblLook w:val="0000"/>
        </w:tblPrEx>
        <w:trPr>
          <w:jc w:val="center"/>
        </w:trPr>
        <w:tc>
          <w:tcPr>
            <w:tcW w:w="695" w:type="dxa"/>
            <w:vAlign w:val="center"/>
          </w:tcPr>
          <w:p>
            <w:pPr>
              <w:snapToGrid w:val="0"/>
              <w:jc w:val="center"/>
              <w:rPr>
                <w:rFonts w:hint="eastAsia"/>
                <w:bCs/>
                <w:color w:val="000000"/>
                <w:szCs w:val="21"/>
              </w:rPr>
            </w:pPr>
            <w:r>
              <w:rPr>
                <w:bCs/>
                <w:color w:val="000000"/>
                <w:szCs w:val="21"/>
              </w:rPr>
              <w:t>7</w:t>
            </w:r>
          </w:p>
        </w:tc>
        <w:tc>
          <w:tcPr>
            <w:tcW w:w="621" w:type="dxa"/>
            <w:vMerge/>
            <w:vAlign w:val="center"/>
          </w:tcPr>
          <w:p>
            <w:pPr>
              <w:snapToGrid w:val="0"/>
              <w:jc w:val="center"/>
              <w:rPr>
                <w:color w:val="000000"/>
                <w:szCs w:val="21"/>
              </w:rPr>
            </w:pPr>
          </w:p>
        </w:tc>
        <w:tc>
          <w:tcPr>
            <w:tcW w:w="2206" w:type="dxa"/>
            <w:vAlign w:val="center"/>
          </w:tcPr>
          <w:p>
            <w:pPr>
              <w:adjustRightInd w:val="0"/>
              <w:snapToGrid w:val="0"/>
              <w:jc w:val="center"/>
              <w:rPr>
                <w:rFonts w:hint="eastAsia"/>
                <w:bCs/>
                <w:color w:val="000000"/>
                <w:szCs w:val="21"/>
              </w:rPr>
            </w:pPr>
            <w:r>
              <w:rPr>
                <w:rFonts w:hint="eastAsia"/>
                <w:bCs/>
                <w:color w:val="000000"/>
                <w:szCs w:val="21"/>
              </w:rPr>
              <w:t>水刀砂</w:t>
            </w:r>
          </w:p>
        </w:tc>
        <w:tc>
          <w:tcPr>
            <w:tcW w:w="1312" w:type="dxa"/>
            <w:vAlign w:val="center"/>
          </w:tcPr>
          <w:p>
            <w:pPr>
              <w:snapToGrid w:val="0"/>
              <w:jc w:val="center"/>
              <w:rPr>
                <w:rFonts w:hint="eastAsia"/>
                <w:bCs/>
                <w:color w:val="000000"/>
                <w:szCs w:val="21"/>
              </w:rPr>
            </w:pPr>
            <w:r>
              <w:rPr>
                <w:rFonts w:hint="eastAsia"/>
                <w:bCs/>
                <w:color w:val="000000"/>
                <w:szCs w:val="21"/>
              </w:rPr>
              <w:t>20吨/年</w:t>
            </w:r>
          </w:p>
        </w:tc>
        <w:tc>
          <w:tcPr>
            <w:tcW w:w="1193" w:type="dxa"/>
            <w:vAlign w:val="center"/>
          </w:tcPr>
          <w:p>
            <w:pPr>
              <w:snapToGrid w:val="0"/>
              <w:jc w:val="center"/>
              <w:rPr>
                <w:rFonts w:hint="eastAsia"/>
                <w:bCs/>
                <w:color w:val="000000"/>
                <w:szCs w:val="21"/>
              </w:rPr>
            </w:pPr>
            <w:r>
              <w:rPr>
                <w:rFonts w:hint="eastAsia"/>
                <w:bCs/>
                <w:color w:val="000000"/>
                <w:szCs w:val="21"/>
              </w:rPr>
              <w:t>/</w:t>
            </w:r>
          </w:p>
        </w:tc>
        <w:tc>
          <w:tcPr>
            <w:tcW w:w="1325" w:type="dxa"/>
            <w:vAlign w:val="center"/>
          </w:tcPr>
          <w:p>
            <w:pPr>
              <w:snapToGrid w:val="0"/>
              <w:jc w:val="center"/>
              <w:rPr>
                <w:rFonts w:hint="eastAsia"/>
                <w:bCs/>
                <w:color w:val="000000"/>
                <w:szCs w:val="21"/>
              </w:rPr>
            </w:pPr>
            <w:r>
              <w:rPr>
                <w:rFonts w:hint="eastAsia"/>
                <w:bCs/>
                <w:color w:val="000000"/>
                <w:szCs w:val="21"/>
              </w:rPr>
              <w:t>2吨</w:t>
            </w:r>
          </w:p>
        </w:tc>
        <w:tc>
          <w:tcPr>
            <w:tcW w:w="1687" w:type="dxa"/>
          </w:tcPr>
          <w:p>
            <w:pPr>
              <w:jc w:val="center"/>
              <w:rPr>
                <w:rFonts w:hint="eastAsia"/>
                <w:bCs/>
                <w:color w:val="000000"/>
                <w:szCs w:val="21"/>
              </w:rPr>
            </w:pPr>
            <w:r>
              <w:rPr>
                <w:rFonts w:hint="eastAsia"/>
                <w:bCs/>
                <w:color w:val="000000"/>
                <w:szCs w:val="21"/>
              </w:rPr>
              <w:t>用于水切割</w:t>
            </w:r>
          </w:p>
        </w:tc>
      </w:tr>
    </w:tbl>
    <w:p>
      <w:pPr>
        <w:sectPr>
          <w:headerReference w:type="default" r:id="rId41"/>
          <w:footerReference w:type="even" r:id="rId42"/>
          <w:footerReference w:type="default" r:id="rId43"/>
          <w:type w:val="nextPage"/>
          <w:pgSz w:w="11906" w:h="16838"/>
          <w:pgMar w:top="1440" w:right="1418" w:bottom="1440" w:left="1418" w:header="851" w:footer="992" w:gutter="0"/>
          <w:pgNumType w:start="11"/>
          <w:cols w:space="708"/>
          <w:titlePg w:val="0"/>
          <w:docGrid w:type="lines" w:linePitch="312"/>
        </w:sectPr>
      </w:pPr>
    </w:p>
    <w:p>
      <w:pPr>
        <w:ind w:firstLine="560" w:firstLineChars="200"/>
        <w:jc w:val="left"/>
        <w:rPr>
          <w:rFonts w:hint="eastAsia"/>
          <w:sz w:val="28"/>
          <w:szCs w:val="28"/>
        </w:rPr>
      </w:pPr>
      <w:r>
        <w:rPr>
          <w:rFonts w:hint="eastAsia"/>
          <w:sz w:val="28"/>
          <w:szCs w:val="28"/>
        </w:rPr>
        <w:t>原辅材料理化性质：</w:t>
      </w:r>
    </w:p>
    <w:p>
      <w:pPr>
        <w:ind w:firstLine="560" w:firstLineChars="200"/>
        <w:jc w:val="left"/>
        <w:rPr>
          <w:rFonts w:hint="eastAsia"/>
          <w:sz w:val="28"/>
          <w:szCs w:val="28"/>
        </w:rPr>
      </w:pPr>
      <w:r>
        <w:rPr>
          <w:sz w:val="28"/>
          <w:szCs w:val="28"/>
        </w:rPr>
        <w:t>水刀砂：全称水射流切割磨料，往水射流中混入水刀砂，形成磨料射流切割金属或其他材料，切割厚度有时超过150mm。由石榴石≥89%，云母≤5%，浮尘≤4%组成，粒度30-150目，其中80-100目的石榴石最为常用。石榴石，化学名铝（钙）硅酸盐，为褐红色砂状均匀小颗粒，略带黑色杂质及少量浮尘。</w:t>
      </w:r>
    </w:p>
    <w:p>
      <w:pPr>
        <w:pStyle w:val="Heading3"/>
        <w:numPr>
          <w:ilvl w:val="2"/>
          <w:numId w:val="0"/>
        </w:numPr>
        <w:tabs>
          <w:tab w:val="left" w:pos="720"/>
        </w:tabs>
        <w:spacing w:before="156" w:line="240" w:lineRule="auto"/>
        <w:rPr>
          <w:rFonts w:ascii="Times New Roman" w:eastAsia="黑体" w:hAnsi="Times New Roman"/>
          <w:spacing w:val="-3"/>
        </w:rPr>
      </w:pPr>
      <w:r>
        <w:rPr>
          <w:rFonts w:ascii="Times New Roman" w:eastAsia="黑体" w:hAnsi="Times New Roman"/>
          <w:spacing w:val="-3"/>
        </w:rPr>
        <w:t>2.2.6主要设备</w:t>
      </w:r>
    </w:p>
    <w:p>
      <w:pPr>
        <w:ind w:firstLine="538" w:firstLineChars="192"/>
        <w:rPr>
          <w:sz w:val="28"/>
          <w:szCs w:val="28"/>
        </w:rPr>
      </w:pPr>
      <w:r>
        <w:rPr>
          <w:sz w:val="28"/>
          <w:szCs w:val="28"/>
        </w:rPr>
        <w:t>本公司主要生产设备见表2.2.6-1。</w:t>
      </w:r>
    </w:p>
    <w:p>
      <w:pPr>
        <w:spacing w:line="600" w:lineRule="exact"/>
        <w:jc w:val="center"/>
        <w:rPr>
          <w:rFonts w:hint="eastAsia"/>
          <w:sz w:val="24"/>
        </w:rPr>
      </w:pPr>
      <w:r>
        <w:rPr>
          <w:sz w:val="24"/>
        </w:rPr>
        <w:t>表2.2.6-1主要设备一览表</w:t>
      </w:r>
    </w:p>
    <w:tbl>
      <w:tblPr>
        <w:tblStyle w:val="TableNormal"/>
        <w:tblW w:w="0" w:type="auto"/>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92"/>
        <w:gridCol w:w="2520"/>
        <w:gridCol w:w="1264"/>
        <w:gridCol w:w="844"/>
        <w:gridCol w:w="3006"/>
      </w:tblGrid>
      <w:tr>
        <w:tblPrEx>
          <w:tblW w:w="0" w:type="auto"/>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2"/>
          <w:jc w:val="center"/>
        </w:trPr>
        <w:tc>
          <w:tcPr>
            <w:tcW w:w="992" w:type="dxa"/>
            <w:vAlign w:val="center"/>
          </w:tcPr>
          <w:p>
            <w:pPr>
              <w:adjustRightInd w:val="0"/>
              <w:snapToGrid w:val="0"/>
              <w:spacing w:line="276" w:lineRule="auto"/>
              <w:jc w:val="center"/>
              <w:rPr>
                <w:szCs w:val="21"/>
              </w:rPr>
            </w:pPr>
            <w:r>
              <w:rPr>
                <w:szCs w:val="21"/>
              </w:rPr>
              <w:t>序号</w:t>
            </w:r>
          </w:p>
        </w:tc>
        <w:tc>
          <w:tcPr>
            <w:tcW w:w="2520" w:type="dxa"/>
            <w:vAlign w:val="center"/>
          </w:tcPr>
          <w:p>
            <w:pPr>
              <w:adjustRightInd w:val="0"/>
              <w:snapToGrid w:val="0"/>
              <w:spacing w:line="276" w:lineRule="auto"/>
              <w:jc w:val="center"/>
              <w:rPr>
                <w:szCs w:val="21"/>
              </w:rPr>
            </w:pPr>
            <w:r>
              <w:rPr>
                <w:szCs w:val="21"/>
              </w:rPr>
              <w:t>设备名称</w:t>
            </w:r>
          </w:p>
        </w:tc>
        <w:tc>
          <w:tcPr>
            <w:tcW w:w="1264" w:type="dxa"/>
            <w:vAlign w:val="center"/>
          </w:tcPr>
          <w:p>
            <w:pPr>
              <w:adjustRightInd w:val="0"/>
              <w:snapToGrid w:val="0"/>
              <w:spacing w:line="276" w:lineRule="auto"/>
              <w:jc w:val="center"/>
              <w:rPr>
                <w:szCs w:val="21"/>
              </w:rPr>
            </w:pPr>
            <w:r>
              <w:rPr>
                <w:szCs w:val="21"/>
              </w:rPr>
              <w:t>单位</w:t>
            </w:r>
          </w:p>
        </w:tc>
        <w:tc>
          <w:tcPr>
            <w:tcW w:w="844" w:type="dxa"/>
            <w:vAlign w:val="center"/>
          </w:tcPr>
          <w:p>
            <w:pPr>
              <w:adjustRightInd w:val="0"/>
              <w:snapToGrid w:val="0"/>
              <w:spacing w:line="276" w:lineRule="auto"/>
              <w:jc w:val="center"/>
              <w:rPr>
                <w:szCs w:val="21"/>
              </w:rPr>
            </w:pPr>
            <w:r>
              <w:rPr>
                <w:szCs w:val="21"/>
              </w:rPr>
              <w:t>数量</w:t>
            </w:r>
          </w:p>
        </w:tc>
        <w:tc>
          <w:tcPr>
            <w:tcW w:w="3006" w:type="dxa"/>
            <w:vAlign w:val="center"/>
          </w:tcPr>
          <w:p>
            <w:pPr>
              <w:adjustRightInd w:val="0"/>
              <w:snapToGrid w:val="0"/>
              <w:spacing w:line="276" w:lineRule="auto"/>
              <w:jc w:val="center"/>
              <w:rPr>
                <w:szCs w:val="21"/>
              </w:rPr>
            </w:pPr>
            <w:r>
              <w:rPr>
                <w:szCs w:val="21"/>
              </w:rPr>
              <w:t>规格型号</w:t>
            </w:r>
          </w:p>
        </w:tc>
      </w:tr>
      <w:tr>
        <w:tblPrEx>
          <w:tblW w:w="0" w:type="auto"/>
          <w:jc w:val="center"/>
          <w:tblInd w:w="409" w:type="dxa"/>
          <w:tblLayout w:type="fixed"/>
          <w:tblCellMar>
            <w:top w:w="0" w:type="dxa"/>
            <w:left w:w="108" w:type="dxa"/>
            <w:bottom w:w="0" w:type="dxa"/>
            <w:right w:w="108" w:type="dxa"/>
          </w:tblCellMar>
          <w:tblLook w:val="0000"/>
        </w:tblPrEx>
        <w:trPr>
          <w:trHeight w:val="90"/>
          <w:jc w:val="center"/>
        </w:trPr>
        <w:tc>
          <w:tcPr>
            <w:tcW w:w="992" w:type="dxa"/>
            <w:vAlign w:val="center"/>
          </w:tcPr>
          <w:p>
            <w:pPr>
              <w:adjustRightInd w:val="0"/>
              <w:snapToGrid w:val="0"/>
              <w:spacing w:line="276" w:lineRule="auto"/>
              <w:jc w:val="center"/>
              <w:rPr>
                <w:szCs w:val="21"/>
              </w:rPr>
            </w:pPr>
            <w:r>
              <w:rPr>
                <w:szCs w:val="21"/>
              </w:rPr>
              <w:t>1</w:t>
            </w:r>
          </w:p>
        </w:tc>
        <w:tc>
          <w:tcPr>
            <w:tcW w:w="2520" w:type="dxa"/>
            <w:vAlign w:val="center"/>
          </w:tcPr>
          <w:p>
            <w:pPr>
              <w:adjustRightInd w:val="0"/>
              <w:snapToGrid w:val="0"/>
              <w:spacing w:line="276" w:lineRule="auto"/>
              <w:jc w:val="center"/>
              <w:rPr>
                <w:szCs w:val="21"/>
              </w:rPr>
            </w:pPr>
            <w:r>
              <w:rPr>
                <w:szCs w:val="21"/>
              </w:rPr>
              <w:t>激光切割机</w:t>
            </w:r>
          </w:p>
        </w:tc>
        <w:tc>
          <w:tcPr>
            <w:tcW w:w="1264" w:type="dxa"/>
            <w:vAlign w:val="center"/>
          </w:tcPr>
          <w:p>
            <w:pPr>
              <w:tabs>
                <w:tab w:val="left" w:pos="3780"/>
              </w:tabs>
              <w:adjustRightInd w:val="0"/>
              <w:snapToGrid w:val="0"/>
              <w:spacing w:line="276" w:lineRule="auto"/>
              <w:jc w:val="center"/>
              <w:rPr>
                <w:szCs w:val="21"/>
              </w:rPr>
            </w:pPr>
            <w:r>
              <w:rPr>
                <w:szCs w:val="21"/>
              </w:rPr>
              <w:t>台</w:t>
            </w:r>
          </w:p>
        </w:tc>
        <w:tc>
          <w:tcPr>
            <w:tcW w:w="844" w:type="dxa"/>
            <w:vAlign w:val="center"/>
          </w:tcPr>
          <w:p>
            <w:pPr>
              <w:adjustRightInd w:val="0"/>
              <w:snapToGrid w:val="0"/>
              <w:spacing w:line="276" w:lineRule="auto"/>
              <w:jc w:val="center"/>
              <w:rPr>
                <w:szCs w:val="21"/>
              </w:rPr>
            </w:pPr>
            <w:r>
              <w:rPr>
                <w:szCs w:val="21"/>
              </w:rPr>
              <w:t>1</w:t>
            </w:r>
          </w:p>
        </w:tc>
        <w:tc>
          <w:tcPr>
            <w:tcW w:w="3006" w:type="dxa"/>
            <w:vAlign w:val="center"/>
          </w:tcPr>
          <w:p>
            <w:pPr>
              <w:adjustRightInd w:val="0"/>
              <w:snapToGrid w:val="0"/>
              <w:spacing w:line="276" w:lineRule="auto"/>
              <w:jc w:val="center"/>
              <w:rPr>
                <w:szCs w:val="21"/>
              </w:rPr>
            </w:pPr>
            <w:r>
              <w:rPr>
                <w:szCs w:val="21"/>
              </w:rPr>
              <w:t>安徽百超激光科技有限公司</w:t>
            </w:r>
          </w:p>
        </w:tc>
      </w:tr>
      <w:tr>
        <w:tblPrEx>
          <w:tblW w:w="0" w:type="auto"/>
          <w:jc w:val="center"/>
          <w:tblInd w:w="409" w:type="dxa"/>
          <w:tblLayout w:type="fixed"/>
          <w:tblCellMar>
            <w:top w:w="0" w:type="dxa"/>
            <w:left w:w="108" w:type="dxa"/>
            <w:bottom w:w="0" w:type="dxa"/>
            <w:right w:w="108" w:type="dxa"/>
          </w:tblCellMar>
          <w:tblLook w:val="0000"/>
        </w:tblPrEx>
        <w:trPr>
          <w:trHeight w:val="307"/>
          <w:jc w:val="center"/>
        </w:trPr>
        <w:tc>
          <w:tcPr>
            <w:tcW w:w="992" w:type="dxa"/>
            <w:vAlign w:val="center"/>
          </w:tcPr>
          <w:p>
            <w:pPr>
              <w:adjustRightInd w:val="0"/>
              <w:snapToGrid w:val="0"/>
              <w:spacing w:line="276" w:lineRule="auto"/>
              <w:jc w:val="center"/>
              <w:rPr>
                <w:szCs w:val="21"/>
              </w:rPr>
            </w:pPr>
            <w:r>
              <w:rPr>
                <w:szCs w:val="21"/>
              </w:rPr>
              <w:t>2</w:t>
            </w:r>
          </w:p>
        </w:tc>
        <w:tc>
          <w:tcPr>
            <w:tcW w:w="2520" w:type="dxa"/>
            <w:vAlign w:val="center"/>
          </w:tcPr>
          <w:p>
            <w:pPr>
              <w:adjustRightInd w:val="0"/>
              <w:snapToGrid w:val="0"/>
              <w:spacing w:line="276" w:lineRule="auto"/>
              <w:jc w:val="center"/>
              <w:rPr>
                <w:szCs w:val="21"/>
              </w:rPr>
            </w:pPr>
            <w:r>
              <w:rPr>
                <w:szCs w:val="21"/>
              </w:rPr>
              <w:t>水切割机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szCs w:val="21"/>
              </w:rPr>
            </w:pPr>
            <w:r>
              <w:rPr>
                <w:szCs w:val="21"/>
              </w:rPr>
              <w:t>1</w:t>
            </w:r>
          </w:p>
        </w:tc>
        <w:tc>
          <w:tcPr>
            <w:tcW w:w="3006" w:type="dxa"/>
            <w:vAlign w:val="center"/>
          </w:tcPr>
          <w:p>
            <w:pPr>
              <w:spacing w:line="276" w:lineRule="auto"/>
              <w:jc w:val="center"/>
            </w:pPr>
            <w:r>
              <w:rPr>
                <w:szCs w:val="21"/>
              </w:rPr>
              <w:t>PX380-4020</w:t>
            </w:r>
          </w:p>
        </w:tc>
      </w:tr>
      <w:tr>
        <w:tblPrEx>
          <w:tblW w:w="0" w:type="auto"/>
          <w:jc w:val="center"/>
          <w:tblInd w:w="409" w:type="dxa"/>
          <w:tblLayout w:type="fixed"/>
          <w:tblCellMar>
            <w:top w:w="0" w:type="dxa"/>
            <w:left w:w="108" w:type="dxa"/>
            <w:bottom w:w="0" w:type="dxa"/>
            <w:right w:w="108" w:type="dxa"/>
          </w:tblCellMar>
          <w:tblLook w:val="0000"/>
        </w:tblPrEx>
        <w:trPr>
          <w:trHeight w:val="307"/>
          <w:jc w:val="center"/>
        </w:trPr>
        <w:tc>
          <w:tcPr>
            <w:tcW w:w="992" w:type="dxa"/>
            <w:vAlign w:val="center"/>
          </w:tcPr>
          <w:p>
            <w:pPr>
              <w:adjustRightInd w:val="0"/>
              <w:snapToGrid w:val="0"/>
              <w:spacing w:line="276" w:lineRule="auto"/>
              <w:jc w:val="center"/>
              <w:rPr>
                <w:szCs w:val="21"/>
              </w:rPr>
            </w:pPr>
            <w:r>
              <w:rPr>
                <w:szCs w:val="21"/>
              </w:rPr>
              <w:t>3</w:t>
            </w:r>
          </w:p>
        </w:tc>
        <w:tc>
          <w:tcPr>
            <w:tcW w:w="2520" w:type="dxa"/>
            <w:vAlign w:val="center"/>
          </w:tcPr>
          <w:p>
            <w:pPr>
              <w:adjustRightInd w:val="0"/>
              <w:snapToGrid w:val="0"/>
              <w:spacing w:line="276" w:lineRule="auto"/>
              <w:jc w:val="center"/>
              <w:rPr>
                <w:szCs w:val="21"/>
              </w:rPr>
            </w:pPr>
            <w:r>
              <w:rPr>
                <w:szCs w:val="21"/>
              </w:rPr>
              <w:t>折弯机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szCs w:val="21"/>
              </w:rPr>
            </w:pPr>
            <w:r>
              <w:rPr>
                <w:szCs w:val="21"/>
              </w:rPr>
              <w:t>1</w:t>
            </w:r>
          </w:p>
        </w:tc>
        <w:tc>
          <w:tcPr>
            <w:tcW w:w="3006" w:type="dxa"/>
            <w:vAlign w:val="center"/>
          </w:tcPr>
          <w:p>
            <w:pPr>
              <w:spacing w:line="276" w:lineRule="auto"/>
              <w:jc w:val="center"/>
              <w:rPr>
                <w:szCs w:val="21"/>
              </w:rPr>
            </w:pPr>
            <w:r>
              <w:rPr>
                <w:szCs w:val="21"/>
              </w:rPr>
              <w:t>通用型</w:t>
            </w:r>
          </w:p>
        </w:tc>
      </w:tr>
      <w:tr>
        <w:tblPrEx>
          <w:tblW w:w="0" w:type="auto"/>
          <w:jc w:val="center"/>
          <w:tblInd w:w="409" w:type="dxa"/>
          <w:tblLayout w:type="fixed"/>
          <w:tblCellMar>
            <w:top w:w="0" w:type="dxa"/>
            <w:left w:w="108" w:type="dxa"/>
            <w:bottom w:w="0" w:type="dxa"/>
            <w:right w:w="108" w:type="dxa"/>
          </w:tblCellMar>
          <w:tblLook w:val="0000"/>
        </w:tblPrEx>
        <w:trPr>
          <w:trHeight w:val="247"/>
          <w:jc w:val="center"/>
        </w:trPr>
        <w:tc>
          <w:tcPr>
            <w:tcW w:w="992" w:type="dxa"/>
            <w:vAlign w:val="center"/>
          </w:tcPr>
          <w:p>
            <w:pPr>
              <w:adjustRightInd w:val="0"/>
              <w:snapToGrid w:val="0"/>
              <w:spacing w:line="276" w:lineRule="auto"/>
              <w:jc w:val="center"/>
              <w:rPr>
                <w:szCs w:val="21"/>
              </w:rPr>
            </w:pPr>
            <w:r>
              <w:rPr>
                <w:szCs w:val="21"/>
              </w:rPr>
              <w:t>4</w:t>
            </w:r>
          </w:p>
        </w:tc>
        <w:tc>
          <w:tcPr>
            <w:tcW w:w="2520" w:type="dxa"/>
            <w:vAlign w:val="center"/>
          </w:tcPr>
          <w:p>
            <w:pPr>
              <w:adjustRightInd w:val="0"/>
              <w:snapToGrid w:val="0"/>
              <w:spacing w:line="276" w:lineRule="auto"/>
              <w:jc w:val="center"/>
              <w:rPr>
                <w:szCs w:val="21"/>
              </w:rPr>
            </w:pPr>
            <w:r>
              <w:rPr>
                <w:szCs w:val="21"/>
              </w:rPr>
              <w:t>点焊机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tabs>
                <w:tab w:val="left" w:pos="463"/>
                <w:tab w:val="center" w:pos="677"/>
              </w:tabs>
              <w:adjustRightInd w:val="0"/>
              <w:snapToGrid w:val="0"/>
              <w:spacing w:line="276" w:lineRule="auto"/>
              <w:jc w:val="center"/>
              <w:rPr>
                <w:szCs w:val="21"/>
              </w:rPr>
            </w:pPr>
            <w:r>
              <w:rPr>
                <w:szCs w:val="21"/>
              </w:rPr>
              <w:t>1</w:t>
            </w:r>
          </w:p>
        </w:tc>
        <w:tc>
          <w:tcPr>
            <w:tcW w:w="3006" w:type="dxa"/>
            <w:vAlign w:val="center"/>
          </w:tcPr>
          <w:p>
            <w:pPr>
              <w:spacing w:line="276" w:lineRule="auto"/>
              <w:jc w:val="center"/>
              <w:rPr>
                <w:szCs w:val="21"/>
              </w:rPr>
            </w:pPr>
            <w:r>
              <w:rPr>
                <w:szCs w:val="21"/>
              </w:rPr>
              <w:t>DN-35</w:t>
            </w:r>
          </w:p>
        </w:tc>
      </w:tr>
      <w:tr>
        <w:tblPrEx>
          <w:tblW w:w="0" w:type="auto"/>
          <w:jc w:val="center"/>
          <w:tblInd w:w="409" w:type="dxa"/>
          <w:tblLayout w:type="fixed"/>
          <w:tblCellMar>
            <w:top w:w="0" w:type="dxa"/>
            <w:left w:w="108" w:type="dxa"/>
            <w:bottom w:w="0" w:type="dxa"/>
            <w:right w:w="108" w:type="dxa"/>
          </w:tblCellMar>
          <w:tblLook w:val="0000"/>
        </w:tblPrEx>
        <w:trPr>
          <w:trHeight w:val="247"/>
          <w:jc w:val="center"/>
        </w:trPr>
        <w:tc>
          <w:tcPr>
            <w:tcW w:w="992" w:type="dxa"/>
            <w:vAlign w:val="center"/>
          </w:tcPr>
          <w:p>
            <w:pPr>
              <w:adjustRightInd w:val="0"/>
              <w:snapToGrid w:val="0"/>
              <w:spacing w:line="276" w:lineRule="auto"/>
              <w:jc w:val="center"/>
              <w:rPr>
                <w:szCs w:val="21"/>
              </w:rPr>
            </w:pPr>
            <w:r>
              <w:rPr>
                <w:szCs w:val="21"/>
              </w:rPr>
              <w:t>5</w:t>
            </w:r>
          </w:p>
        </w:tc>
        <w:tc>
          <w:tcPr>
            <w:tcW w:w="2520" w:type="dxa"/>
            <w:vAlign w:val="center"/>
          </w:tcPr>
          <w:p>
            <w:pPr>
              <w:adjustRightInd w:val="0"/>
              <w:snapToGrid w:val="0"/>
              <w:spacing w:line="276" w:lineRule="auto"/>
              <w:jc w:val="center"/>
              <w:rPr>
                <w:szCs w:val="21"/>
              </w:rPr>
            </w:pPr>
            <w:r>
              <w:rPr>
                <w:szCs w:val="21"/>
              </w:rPr>
              <w:t>二保焊机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rFonts w:hint="eastAsia"/>
                <w:szCs w:val="21"/>
              </w:rPr>
            </w:pPr>
            <w:r>
              <w:rPr>
                <w:rFonts w:hint="eastAsia"/>
                <w:szCs w:val="21"/>
              </w:rPr>
              <w:t>3</w:t>
            </w:r>
          </w:p>
        </w:tc>
        <w:tc>
          <w:tcPr>
            <w:tcW w:w="3006" w:type="dxa"/>
            <w:vAlign w:val="center"/>
          </w:tcPr>
          <w:p>
            <w:pPr>
              <w:spacing w:line="276" w:lineRule="auto"/>
              <w:jc w:val="center"/>
              <w:rPr>
                <w:szCs w:val="21"/>
              </w:rPr>
            </w:pPr>
            <w:r>
              <w:rPr>
                <w:szCs w:val="21"/>
              </w:rPr>
              <w:t>MultiMIG350</w:t>
            </w:r>
          </w:p>
        </w:tc>
      </w:tr>
      <w:tr>
        <w:tblPrEx>
          <w:tblW w:w="0" w:type="auto"/>
          <w:jc w:val="center"/>
          <w:tblInd w:w="409" w:type="dxa"/>
          <w:tblLayout w:type="fixed"/>
          <w:tblCellMar>
            <w:top w:w="0" w:type="dxa"/>
            <w:left w:w="108" w:type="dxa"/>
            <w:bottom w:w="0" w:type="dxa"/>
            <w:right w:w="108" w:type="dxa"/>
          </w:tblCellMar>
          <w:tblLook w:val="0000"/>
        </w:tblPrEx>
        <w:trPr>
          <w:trHeight w:val="247"/>
          <w:jc w:val="center"/>
        </w:trPr>
        <w:tc>
          <w:tcPr>
            <w:tcW w:w="992" w:type="dxa"/>
            <w:vAlign w:val="center"/>
          </w:tcPr>
          <w:p>
            <w:pPr>
              <w:adjustRightInd w:val="0"/>
              <w:snapToGrid w:val="0"/>
              <w:spacing w:line="276" w:lineRule="auto"/>
              <w:jc w:val="center"/>
              <w:rPr>
                <w:szCs w:val="21"/>
              </w:rPr>
            </w:pPr>
            <w:r>
              <w:rPr>
                <w:szCs w:val="21"/>
              </w:rPr>
              <w:t>6</w:t>
            </w:r>
          </w:p>
        </w:tc>
        <w:tc>
          <w:tcPr>
            <w:tcW w:w="2520" w:type="dxa"/>
            <w:vAlign w:val="center"/>
          </w:tcPr>
          <w:p>
            <w:pPr>
              <w:adjustRightInd w:val="0"/>
              <w:snapToGrid w:val="0"/>
              <w:spacing w:line="276" w:lineRule="auto"/>
              <w:jc w:val="center"/>
              <w:rPr>
                <w:szCs w:val="21"/>
              </w:rPr>
            </w:pPr>
            <w:r>
              <w:rPr>
                <w:szCs w:val="21"/>
              </w:rPr>
              <w:t>钻床</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szCs w:val="21"/>
              </w:rPr>
            </w:pPr>
            <w:r>
              <w:rPr>
                <w:szCs w:val="21"/>
              </w:rPr>
              <w:t>1</w:t>
            </w:r>
          </w:p>
        </w:tc>
        <w:tc>
          <w:tcPr>
            <w:tcW w:w="3006" w:type="dxa"/>
            <w:vAlign w:val="center"/>
          </w:tcPr>
          <w:p>
            <w:pPr>
              <w:widowControl/>
              <w:adjustRightInd w:val="0"/>
              <w:snapToGrid w:val="0"/>
              <w:spacing w:line="276" w:lineRule="auto"/>
              <w:jc w:val="center"/>
              <w:rPr>
                <w:szCs w:val="21"/>
              </w:rPr>
            </w:pPr>
            <w:r>
              <w:rPr>
                <w:szCs w:val="21"/>
              </w:rPr>
              <w:t>Z3040</w:t>
            </w:r>
          </w:p>
        </w:tc>
      </w:tr>
      <w:tr>
        <w:tblPrEx>
          <w:tblW w:w="0" w:type="auto"/>
          <w:jc w:val="center"/>
          <w:tblInd w:w="409" w:type="dxa"/>
          <w:tblLayout w:type="fixed"/>
          <w:tblCellMar>
            <w:top w:w="0" w:type="dxa"/>
            <w:left w:w="108" w:type="dxa"/>
            <w:bottom w:w="0" w:type="dxa"/>
            <w:right w:w="108" w:type="dxa"/>
          </w:tblCellMar>
          <w:tblLook w:val="0000"/>
        </w:tblPrEx>
        <w:trPr>
          <w:trHeight w:val="247"/>
          <w:jc w:val="center"/>
        </w:trPr>
        <w:tc>
          <w:tcPr>
            <w:tcW w:w="992" w:type="dxa"/>
            <w:vAlign w:val="center"/>
          </w:tcPr>
          <w:p>
            <w:pPr>
              <w:adjustRightInd w:val="0"/>
              <w:snapToGrid w:val="0"/>
              <w:spacing w:line="276" w:lineRule="auto"/>
              <w:jc w:val="center"/>
              <w:rPr>
                <w:szCs w:val="21"/>
              </w:rPr>
            </w:pPr>
            <w:r>
              <w:rPr>
                <w:szCs w:val="21"/>
              </w:rPr>
              <w:t>7</w:t>
            </w:r>
          </w:p>
        </w:tc>
        <w:tc>
          <w:tcPr>
            <w:tcW w:w="2520" w:type="dxa"/>
            <w:vAlign w:val="center"/>
          </w:tcPr>
          <w:p>
            <w:pPr>
              <w:adjustRightInd w:val="0"/>
              <w:snapToGrid w:val="0"/>
              <w:spacing w:line="276" w:lineRule="auto"/>
              <w:jc w:val="center"/>
              <w:rPr>
                <w:szCs w:val="21"/>
              </w:rPr>
            </w:pPr>
            <w:r>
              <w:rPr>
                <w:szCs w:val="21"/>
              </w:rPr>
              <w:t>双立柱锯床</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szCs w:val="21"/>
              </w:rPr>
            </w:pPr>
            <w:r>
              <w:rPr>
                <w:szCs w:val="21"/>
              </w:rPr>
              <w:t>1</w:t>
            </w:r>
          </w:p>
        </w:tc>
        <w:tc>
          <w:tcPr>
            <w:tcW w:w="3006" w:type="dxa"/>
            <w:vAlign w:val="center"/>
          </w:tcPr>
          <w:p>
            <w:pPr>
              <w:widowControl/>
              <w:adjustRightInd w:val="0"/>
              <w:snapToGrid w:val="0"/>
              <w:spacing w:line="276" w:lineRule="auto"/>
              <w:jc w:val="center"/>
              <w:rPr>
                <w:szCs w:val="21"/>
              </w:rPr>
            </w:pPr>
            <w:r>
              <w:rPr>
                <w:szCs w:val="21"/>
              </w:rPr>
              <w:t>GZ4220</w:t>
            </w:r>
          </w:p>
        </w:tc>
      </w:tr>
      <w:tr>
        <w:tblPrEx>
          <w:tblW w:w="0" w:type="auto"/>
          <w:jc w:val="center"/>
          <w:tblInd w:w="409" w:type="dxa"/>
          <w:tblLayout w:type="fixed"/>
          <w:tblCellMar>
            <w:top w:w="0" w:type="dxa"/>
            <w:left w:w="108" w:type="dxa"/>
            <w:bottom w:w="0" w:type="dxa"/>
            <w:right w:w="108" w:type="dxa"/>
          </w:tblCellMar>
          <w:tblLook w:val="0000"/>
        </w:tblPrEx>
        <w:trPr>
          <w:trHeight w:val="156"/>
          <w:jc w:val="center"/>
        </w:trPr>
        <w:tc>
          <w:tcPr>
            <w:tcW w:w="992" w:type="dxa"/>
            <w:vAlign w:val="center"/>
          </w:tcPr>
          <w:p>
            <w:pPr>
              <w:adjustRightInd w:val="0"/>
              <w:snapToGrid w:val="0"/>
              <w:spacing w:line="276" w:lineRule="auto"/>
              <w:jc w:val="center"/>
              <w:rPr>
                <w:szCs w:val="21"/>
              </w:rPr>
            </w:pPr>
            <w:r>
              <w:rPr>
                <w:szCs w:val="21"/>
              </w:rPr>
              <w:t>8</w:t>
            </w:r>
          </w:p>
        </w:tc>
        <w:tc>
          <w:tcPr>
            <w:tcW w:w="2520" w:type="dxa"/>
            <w:vAlign w:val="center"/>
          </w:tcPr>
          <w:p>
            <w:pPr>
              <w:adjustRightInd w:val="0"/>
              <w:snapToGrid w:val="0"/>
              <w:spacing w:line="276" w:lineRule="auto"/>
              <w:jc w:val="center"/>
              <w:rPr>
                <w:szCs w:val="21"/>
              </w:rPr>
            </w:pPr>
            <w:r>
              <w:rPr>
                <w:szCs w:val="21"/>
              </w:rPr>
              <w:t>角磨机</w:t>
            </w:r>
          </w:p>
        </w:tc>
        <w:tc>
          <w:tcPr>
            <w:tcW w:w="1264" w:type="dxa"/>
            <w:vAlign w:val="center"/>
          </w:tcPr>
          <w:p>
            <w:pPr>
              <w:adjustRightInd w:val="0"/>
              <w:snapToGrid w:val="0"/>
              <w:spacing w:line="276" w:lineRule="auto"/>
              <w:jc w:val="center"/>
              <w:rPr>
                <w:szCs w:val="21"/>
              </w:rPr>
            </w:pPr>
            <w:r>
              <w:rPr>
                <w:szCs w:val="21"/>
              </w:rPr>
              <w:t>个</w:t>
            </w:r>
          </w:p>
        </w:tc>
        <w:tc>
          <w:tcPr>
            <w:tcW w:w="844" w:type="dxa"/>
            <w:vAlign w:val="center"/>
          </w:tcPr>
          <w:p>
            <w:pPr>
              <w:widowControl/>
              <w:adjustRightInd w:val="0"/>
              <w:snapToGrid w:val="0"/>
              <w:spacing w:line="276" w:lineRule="auto"/>
              <w:jc w:val="center"/>
              <w:rPr>
                <w:szCs w:val="21"/>
              </w:rPr>
            </w:pPr>
            <w:r>
              <w:rPr>
                <w:szCs w:val="21"/>
              </w:rPr>
              <w:t>3</w:t>
            </w:r>
          </w:p>
        </w:tc>
        <w:tc>
          <w:tcPr>
            <w:tcW w:w="3006" w:type="dxa"/>
            <w:vAlign w:val="center"/>
          </w:tcPr>
          <w:p>
            <w:pPr>
              <w:spacing w:line="276" w:lineRule="auto"/>
              <w:jc w:val="center"/>
              <w:rPr>
                <w:szCs w:val="21"/>
              </w:rPr>
            </w:pPr>
          </w:p>
        </w:tc>
      </w:tr>
      <w:tr>
        <w:tblPrEx>
          <w:tblW w:w="0" w:type="auto"/>
          <w:jc w:val="center"/>
          <w:tblInd w:w="409" w:type="dxa"/>
          <w:tblLayout w:type="fixed"/>
          <w:tblCellMar>
            <w:top w:w="0" w:type="dxa"/>
            <w:left w:w="108" w:type="dxa"/>
            <w:bottom w:w="0" w:type="dxa"/>
            <w:right w:w="108" w:type="dxa"/>
          </w:tblCellMar>
          <w:tblLook w:val="0000"/>
        </w:tblPrEx>
        <w:trPr>
          <w:trHeight w:val="156"/>
          <w:jc w:val="center"/>
        </w:trPr>
        <w:tc>
          <w:tcPr>
            <w:tcW w:w="992" w:type="dxa"/>
            <w:vAlign w:val="center"/>
          </w:tcPr>
          <w:p>
            <w:pPr>
              <w:adjustRightInd w:val="0"/>
              <w:snapToGrid w:val="0"/>
              <w:spacing w:line="276" w:lineRule="auto"/>
              <w:jc w:val="center"/>
              <w:rPr>
                <w:szCs w:val="21"/>
              </w:rPr>
            </w:pPr>
            <w:r>
              <w:rPr>
                <w:szCs w:val="21"/>
              </w:rPr>
              <w:t>9</w:t>
            </w:r>
          </w:p>
        </w:tc>
        <w:tc>
          <w:tcPr>
            <w:tcW w:w="2520" w:type="dxa"/>
            <w:vAlign w:val="center"/>
          </w:tcPr>
          <w:p>
            <w:pPr>
              <w:adjustRightInd w:val="0"/>
              <w:snapToGrid w:val="0"/>
              <w:spacing w:line="276" w:lineRule="auto"/>
              <w:jc w:val="center"/>
              <w:rPr>
                <w:rFonts w:hint="eastAsia"/>
                <w:szCs w:val="21"/>
              </w:rPr>
            </w:pPr>
            <w:r>
              <w:rPr>
                <w:rFonts w:hint="eastAsia"/>
                <w:szCs w:val="21"/>
              </w:rPr>
              <w:t>加工中心</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szCs w:val="21"/>
              </w:rPr>
            </w:pPr>
            <w:r>
              <w:rPr>
                <w:szCs w:val="21"/>
              </w:rPr>
              <w:t>1</w:t>
            </w:r>
          </w:p>
        </w:tc>
        <w:tc>
          <w:tcPr>
            <w:tcW w:w="3006" w:type="dxa"/>
            <w:vAlign w:val="center"/>
          </w:tcPr>
          <w:p>
            <w:pPr>
              <w:spacing w:line="276" w:lineRule="auto"/>
              <w:jc w:val="center"/>
              <w:rPr>
                <w:szCs w:val="21"/>
              </w:rPr>
            </w:pPr>
            <w:r>
              <w:rPr>
                <w:szCs w:val="21"/>
              </w:rPr>
              <w:t>通用型</w:t>
            </w:r>
          </w:p>
        </w:tc>
      </w:tr>
      <w:tr>
        <w:tblPrEx>
          <w:tblW w:w="0" w:type="auto"/>
          <w:jc w:val="center"/>
          <w:tblInd w:w="409" w:type="dxa"/>
          <w:tblLayout w:type="fixed"/>
          <w:tblCellMar>
            <w:top w:w="0" w:type="dxa"/>
            <w:left w:w="108" w:type="dxa"/>
            <w:bottom w:w="0" w:type="dxa"/>
            <w:right w:w="108" w:type="dxa"/>
          </w:tblCellMar>
          <w:tblLook w:val="0000"/>
        </w:tblPrEx>
        <w:trPr>
          <w:trHeight w:val="156"/>
          <w:jc w:val="center"/>
        </w:trPr>
        <w:tc>
          <w:tcPr>
            <w:tcW w:w="992" w:type="dxa"/>
            <w:vAlign w:val="center"/>
          </w:tcPr>
          <w:p>
            <w:pPr>
              <w:adjustRightInd w:val="0"/>
              <w:snapToGrid w:val="0"/>
              <w:spacing w:line="276" w:lineRule="auto"/>
              <w:jc w:val="center"/>
              <w:rPr>
                <w:szCs w:val="21"/>
              </w:rPr>
            </w:pPr>
            <w:r>
              <w:rPr>
                <w:szCs w:val="21"/>
              </w:rPr>
              <w:t>10</w:t>
            </w:r>
          </w:p>
        </w:tc>
        <w:tc>
          <w:tcPr>
            <w:tcW w:w="2520" w:type="dxa"/>
            <w:vAlign w:val="center"/>
          </w:tcPr>
          <w:p>
            <w:pPr>
              <w:adjustRightInd w:val="0"/>
              <w:snapToGrid w:val="0"/>
              <w:spacing w:line="276" w:lineRule="auto"/>
              <w:jc w:val="center"/>
              <w:rPr>
                <w:rFonts w:hint="eastAsia"/>
                <w:szCs w:val="21"/>
              </w:rPr>
            </w:pPr>
            <w:r>
              <w:rPr>
                <w:rFonts w:hint="eastAsia"/>
                <w:szCs w:val="21"/>
              </w:rPr>
              <w:t>车床</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adjustRightInd w:val="0"/>
              <w:snapToGrid w:val="0"/>
              <w:spacing w:line="276" w:lineRule="auto"/>
              <w:jc w:val="center"/>
              <w:rPr>
                <w:szCs w:val="21"/>
              </w:rPr>
            </w:pPr>
            <w:r>
              <w:rPr>
                <w:szCs w:val="21"/>
              </w:rPr>
              <w:t>1</w:t>
            </w:r>
          </w:p>
        </w:tc>
        <w:tc>
          <w:tcPr>
            <w:tcW w:w="3006" w:type="dxa"/>
            <w:vAlign w:val="center"/>
          </w:tcPr>
          <w:p>
            <w:pPr>
              <w:spacing w:line="276" w:lineRule="auto"/>
              <w:jc w:val="center"/>
              <w:rPr>
                <w:szCs w:val="21"/>
              </w:rPr>
            </w:pPr>
            <w:r>
              <w:rPr>
                <w:szCs w:val="21"/>
              </w:rPr>
              <w:t>通用型</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szCs w:val="21"/>
              </w:rPr>
            </w:pPr>
            <w:r>
              <w:rPr>
                <w:szCs w:val="21"/>
              </w:rPr>
              <w:t>11</w:t>
            </w:r>
          </w:p>
        </w:tc>
        <w:tc>
          <w:tcPr>
            <w:tcW w:w="2520" w:type="dxa"/>
            <w:vAlign w:val="center"/>
          </w:tcPr>
          <w:p>
            <w:pPr>
              <w:adjustRightInd w:val="0"/>
              <w:snapToGrid w:val="0"/>
              <w:spacing w:line="276" w:lineRule="auto"/>
              <w:jc w:val="center"/>
              <w:rPr>
                <w:szCs w:val="21"/>
              </w:rPr>
            </w:pPr>
            <w:r>
              <w:rPr>
                <w:szCs w:val="21"/>
              </w:rPr>
              <w:t>液压机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widowControl/>
              <w:adjustRightInd w:val="0"/>
              <w:snapToGrid w:val="0"/>
              <w:spacing w:line="276" w:lineRule="auto"/>
              <w:jc w:val="center"/>
              <w:rPr>
                <w:szCs w:val="21"/>
              </w:rPr>
            </w:pPr>
            <w:r>
              <w:rPr>
                <w:szCs w:val="21"/>
              </w:rPr>
              <w:t>1</w:t>
            </w:r>
          </w:p>
        </w:tc>
        <w:tc>
          <w:tcPr>
            <w:tcW w:w="3006" w:type="dxa"/>
            <w:vAlign w:val="center"/>
          </w:tcPr>
          <w:p>
            <w:pPr>
              <w:spacing w:line="276" w:lineRule="auto"/>
              <w:jc w:val="center"/>
            </w:pPr>
            <w:r>
              <w:t>7Q82</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szCs w:val="21"/>
              </w:rPr>
            </w:pPr>
            <w:r>
              <w:rPr>
                <w:szCs w:val="21"/>
              </w:rPr>
              <w:t>12</w:t>
            </w:r>
          </w:p>
        </w:tc>
        <w:tc>
          <w:tcPr>
            <w:tcW w:w="2520" w:type="dxa"/>
            <w:vAlign w:val="center"/>
          </w:tcPr>
          <w:p>
            <w:pPr>
              <w:adjustRightInd w:val="0"/>
              <w:snapToGrid w:val="0"/>
              <w:spacing w:line="276" w:lineRule="auto"/>
              <w:jc w:val="center"/>
              <w:rPr>
                <w:szCs w:val="21"/>
              </w:rPr>
            </w:pPr>
            <w:r>
              <w:rPr>
                <w:szCs w:val="21"/>
              </w:rPr>
              <w:t>空压机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adjustRightInd w:val="0"/>
              <w:snapToGrid w:val="0"/>
              <w:spacing w:line="276" w:lineRule="auto"/>
              <w:jc w:val="center"/>
              <w:rPr>
                <w:szCs w:val="21"/>
              </w:rPr>
            </w:pPr>
            <w:r>
              <w:rPr>
                <w:szCs w:val="21"/>
              </w:rPr>
              <w:t>1</w:t>
            </w:r>
          </w:p>
        </w:tc>
        <w:tc>
          <w:tcPr>
            <w:tcW w:w="3006" w:type="dxa"/>
            <w:vAlign w:val="center"/>
          </w:tcPr>
          <w:p>
            <w:pPr>
              <w:spacing w:line="276" w:lineRule="auto"/>
              <w:jc w:val="center"/>
            </w:pPr>
            <w:r>
              <w:t>EC7-S</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szCs w:val="21"/>
              </w:rPr>
            </w:pPr>
            <w:r>
              <w:rPr>
                <w:szCs w:val="21"/>
              </w:rPr>
              <w:t>13</w:t>
            </w:r>
          </w:p>
        </w:tc>
        <w:tc>
          <w:tcPr>
            <w:tcW w:w="2520" w:type="dxa"/>
            <w:vAlign w:val="center"/>
          </w:tcPr>
          <w:p>
            <w:pPr>
              <w:adjustRightInd w:val="0"/>
              <w:snapToGrid w:val="0"/>
              <w:spacing w:line="276" w:lineRule="auto"/>
              <w:jc w:val="center"/>
              <w:rPr>
                <w:szCs w:val="21"/>
              </w:rPr>
            </w:pPr>
            <w:r>
              <w:rPr>
                <w:szCs w:val="21"/>
              </w:rPr>
              <w:t>工业标识打印机</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adjustRightInd w:val="0"/>
              <w:snapToGrid w:val="0"/>
              <w:spacing w:line="276" w:lineRule="auto"/>
              <w:jc w:val="center"/>
              <w:rPr>
                <w:szCs w:val="21"/>
              </w:rPr>
            </w:pPr>
            <w:r>
              <w:rPr>
                <w:szCs w:val="21"/>
              </w:rPr>
              <w:t>1</w:t>
            </w:r>
          </w:p>
        </w:tc>
        <w:tc>
          <w:tcPr>
            <w:tcW w:w="3006" w:type="dxa"/>
            <w:vAlign w:val="center"/>
          </w:tcPr>
          <w:p>
            <w:pPr>
              <w:spacing w:line="276" w:lineRule="auto"/>
              <w:jc w:val="center"/>
            </w:pPr>
            <w:r>
              <w:rPr>
                <w:szCs w:val="21"/>
              </w:rPr>
              <w:t>通用型</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szCs w:val="21"/>
              </w:rPr>
            </w:pPr>
            <w:r>
              <w:rPr>
                <w:szCs w:val="21"/>
              </w:rPr>
              <w:t>14</w:t>
            </w:r>
          </w:p>
        </w:tc>
        <w:tc>
          <w:tcPr>
            <w:tcW w:w="2520" w:type="dxa"/>
            <w:vAlign w:val="center"/>
          </w:tcPr>
          <w:p>
            <w:pPr>
              <w:adjustRightInd w:val="0"/>
              <w:snapToGrid w:val="0"/>
              <w:spacing w:line="276" w:lineRule="auto"/>
              <w:jc w:val="center"/>
              <w:rPr>
                <w:szCs w:val="21"/>
              </w:rPr>
            </w:pPr>
            <w:r>
              <w:rPr>
                <w:szCs w:val="21"/>
              </w:rPr>
              <w:t>叉车</w:t>
            </w:r>
          </w:p>
        </w:tc>
        <w:tc>
          <w:tcPr>
            <w:tcW w:w="1264" w:type="dxa"/>
            <w:vAlign w:val="center"/>
          </w:tcPr>
          <w:p>
            <w:pPr>
              <w:adjustRightInd w:val="0"/>
              <w:snapToGrid w:val="0"/>
              <w:spacing w:line="276" w:lineRule="auto"/>
              <w:jc w:val="center"/>
              <w:rPr>
                <w:szCs w:val="21"/>
              </w:rPr>
            </w:pPr>
            <w:r>
              <w:rPr>
                <w:szCs w:val="21"/>
              </w:rPr>
              <w:t>台</w:t>
            </w:r>
          </w:p>
        </w:tc>
        <w:tc>
          <w:tcPr>
            <w:tcW w:w="844" w:type="dxa"/>
            <w:vAlign w:val="center"/>
          </w:tcPr>
          <w:p>
            <w:pPr>
              <w:adjustRightInd w:val="0"/>
              <w:snapToGrid w:val="0"/>
              <w:spacing w:line="276" w:lineRule="auto"/>
              <w:jc w:val="center"/>
              <w:rPr>
                <w:szCs w:val="21"/>
              </w:rPr>
            </w:pPr>
            <w:r>
              <w:rPr>
                <w:szCs w:val="21"/>
              </w:rPr>
              <w:t>1</w:t>
            </w:r>
          </w:p>
        </w:tc>
        <w:tc>
          <w:tcPr>
            <w:tcW w:w="3006" w:type="dxa"/>
            <w:vAlign w:val="center"/>
          </w:tcPr>
          <w:p>
            <w:pPr>
              <w:spacing w:line="276" w:lineRule="auto"/>
              <w:jc w:val="center"/>
              <w:rPr>
                <w:szCs w:val="21"/>
              </w:rPr>
            </w:pPr>
            <w:r>
              <w:rPr>
                <w:szCs w:val="21"/>
              </w:rPr>
              <w:t>通用型（3.5t）</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szCs w:val="21"/>
              </w:rPr>
            </w:pPr>
            <w:r>
              <w:rPr>
                <w:rFonts w:hint="eastAsia"/>
                <w:szCs w:val="21"/>
              </w:rPr>
              <w:t>15</w:t>
            </w:r>
          </w:p>
        </w:tc>
        <w:tc>
          <w:tcPr>
            <w:tcW w:w="2520" w:type="dxa"/>
            <w:vAlign w:val="center"/>
          </w:tcPr>
          <w:p>
            <w:pPr>
              <w:spacing w:line="276" w:lineRule="auto"/>
              <w:jc w:val="center"/>
            </w:pPr>
            <w:r>
              <w:rPr>
                <w:rFonts w:hint="eastAsia"/>
              </w:rPr>
              <w:t>激光废气净化器</w:t>
            </w:r>
          </w:p>
        </w:tc>
        <w:tc>
          <w:tcPr>
            <w:tcW w:w="1264" w:type="dxa"/>
          </w:tcPr>
          <w:p>
            <w:pPr>
              <w:spacing w:line="276" w:lineRule="auto"/>
              <w:jc w:val="center"/>
            </w:pPr>
            <w:r>
              <w:t>台</w:t>
            </w:r>
          </w:p>
        </w:tc>
        <w:tc>
          <w:tcPr>
            <w:tcW w:w="844" w:type="dxa"/>
          </w:tcPr>
          <w:p>
            <w:pPr>
              <w:spacing w:line="276" w:lineRule="auto"/>
              <w:jc w:val="center"/>
            </w:pPr>
            <w:r>
              <w:t>1</w:t>
            </w:r>
          </w:p>
        </w:tc>
        <w:tc>
          <w:tcPr>
            <w:tcW w:w="3006" w:type="dxa"/>
          </w:tcPr>
          <w:p>
            <w:pPr>
              <w:spacing w:line="276" w:lineRule="auto"/>
              <w:jc w:val="center"/>
            </w:pPr>
            <w:r>
              <w:t>通用型</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rFonts w:hint="eastAsia"/>
                <w:szCs w:val="21"/>
              </w:rPr>
            </w:pPr>
            <w:r>
              <w:rPr>
                <w:rFonts w:hint="eastAsia"/>
                <w:szCs w:val="21"/>
              </w:rPr>
              <w:t>16</w:t>
            </w:r>
          </w:p>
        </w:tc>
        <w:tc>
          <w:tcPr>
            <w:tcW w:w="2520" w:type="dxa"/>
            <w:vAlign w:val="center"/>
          </w:tcPr>
          <w:p>
            <w:pPr>
              <w:spacing w:line="276" w:lineRule="auto"/>
              <w:jc w:val="center"/>
              <w:rPr>
                <w:rFonts w:hint="eastAsia"/>
              </w:rPr>
            </w:pPr>
            <w:r>
              <w:rPr>
                <w:rFonts w:hint="eastAsia"/>
              </w:rPr>
              <w:t>移动式焊接烟尘净化器</w:t>
            </w:r>
          </w:p>
        </w:tc>
        <w:tc>
          <w:tcPr>
            <w:tcW w:w="1264" w:type="dxa"/>
          </w:tcPr>
          <w:p>
            <w:pPr>
              <w:spacing w:line="276" w:lineRule="auto"/>
              <w:jc w:val="center"/>
            </w:pPr>
            <w:r>
              <w:t>台</w:t>
            </w:r>
          </w:p>
        </w:tc>
        <w:tc>
          <w:tcPr>
            <w:tcW w:w="844" w:type="dxa"/>
          </w:tcPr>
          <w:p>
            <w:pPr>
              <w:spacing w:line="276" w:lineRule="auto"/>
              <w:jc w:val="center"/>
            </w:pPr>
            <w:r>
              <w:t>1</w:t>
            </w:r>
          </w:p>
        </w:tc>
        <w:tc>
          <w:tcPr>
            <w:tcW w:w="3006" w:type="dxa"/>
          </w:tcPr>
          <w:p>
            <w:pPr>
              <w:spacing w:line="276" w:lineRule="auto"/>
              <w:jc w:val="center"/>
            </w:pPr>
            <w:r>
              <w:t>通用型</w:t>
            </w:r>
          </w:p>
        </w:tc>
      </w:tr>
      <w:tr>
        <w:tblPrEx>
          <w:tblW w:w="0" w:type="auto"/>
          <w:jc w:val="center"/>
          <w:tblInd w:w="409" w:type="dxa"/>
          <w:tblLayout w:type="fixed"/>
          <w:tblCellMar>
            <w:top w:w="0" w:type="dxa"/>
            <w:left w:w="108" w:type="dxa"/>
            <w:bottom w:w="0" w:type="dxa"/>
            <w:right w:w="108" w:type="dxa"/>
          </w:tblCellMar>
          <w:tblLook w:val="0000"/>
        </w:tblPrEx>
        <w:trPr>
          <w:jc w:val="center"/>
        </w:trPr>
        <w:tc>
          <w:tcPr>
            <w:tcW w:w="992" w:type="dxa"/>
            <w:vAlign w:val="center"/>
          </w:tcPr>
          <w:p>
            <w:pPr>
              <w:adjustRightInd w:val="0"/>
              <w:snapToGrid w:val="0"/>
              <w:spacing w:line="276" w:lineRule="auto"/>
              <w:jc w:val="center"/>
              <w:rPr>
                <w:rFonts w:hint="eastAsia"/>
                <w:szCs w:val="21"/>
              </w:rPr>
            </w:pPr>
            <w:r>
              <w:rPr>
                <w:rFonts w:hint="eastAsia"/>
                <w:szCs w:val="21"/>
              </w:rPr>
              <w:t>17</w:t>
            </w:r>
          </w:p>
        </w:tc>
        <w:tc>
          <w:tcPr>
            <w:tcW w:w="2520" w:type="dxa"/>
            <w:vAlign w:val="center"/>
          </w:tcPr>
          <w:p>
            <w:pPr>
              <w:spacing w:line="276" w:lineRule="auto"/>
              <w:jc w:val="center"/>
              <w:rPr>
                <w:rFonts w:hint="eastAsia"/>
              </w:rPr>
            </w:pPr>
            <w:r>
              <w:rPr>
                <w:rFonts w:hint="eastAsia"/>
              </w:rPr>
              <w:t>循环水池</w:t>
            </w:r>
          </w:p>
        </w:tc>
        <w:tc>
          <w:tcPr>
            <w:tcW w:w="1264" w:type="dxa"/>
          </w:tcPr>
          <w:p>
            <w:pPr>
              <w:spacing w:line="276" w:lineRule="auto"/>
              <w:jc w:val="center"/>
              <w:rPr>
                <w:rFonts w:hint="eastAsia"/>
              </w:rPr>
            </w:pPr>
            <w:r>
              <w:rPr>
                <w:rFonts w:hint="eastAsia"/>
              </w:rPr>
              <w:t>台</w:t>
            </w:r>
          </w:p>
        </w:tc>
        <w:tc>
          <w:tcPr>
            <w:tcW w:w="844" w:type="dxa"/>
          </w:tcPr>
          <w:p>
            <w:pPr>
              <w:spacing w:line="276" w:lineRule="auto"/>
              <w:jc w:val="center"/>
              <w:rPr>
                <w:rFonts w:hint="eastAsia"/>
              </w:rPr>
            </w:pPr>
            <w:r>
              <w:rPr>
                <w:rFonts w:hint="eastAsia"/>
              </w:rPr>
              <w:t>1</w:t>
            </w:r>
          </w:p>
        </w:tc>
        <w:tc>
          <w:tcPr>
            <w:tcW w:w="3006" w:type="dxa"/>
          </w:tcPr>
          <w:p>
            <w:pPr>
              <w:spacing w:line="276" w:lineRule="auto"/>
              <w:jc w:val="center"/>
            </w:pPr>
            <w:r>
              <w:rPr>
                <w:szCs w:val="21"/>
              </w:rPr>
              <w:t>规格</w:t>
            </w:r>
            <w:r>
              <w:rPr>
                <w:rFonts w:hint="eastAsia"/>
                <w:szCs w:val="21"/>
              </w:rPr>
              <w:t>（</w:t>
            </w:r>
            <w:r>
              <w:rPr>
                <w:szCs w:val="21"/>
              </w:rPr>
              <w:t>1m*2m*0.8m</w:t>
            </w:r>
            <w:r>
              <w:rPr>
                <w:rFonts w:hint="eastAsia"/>
                <w:szCs w:val="21"/>
              </w:rPr>
              <w:t>）</w:t>
            </w:r>
          </w:p>
        </w:tc>
      </w:tr>
    </w:tbl>
    <w:p>
      <w:pPr>
        <w:ind w:firstLine="560" w:firstLineChars="200"/>
        <w:rPr>
          <w:rFonts w:hint="eastAsia"/>
          <w:sz w:val="28"/>
          <w:szCs w:val="28"/>
        </w:rPr>
        <w:sectPr>
          <w:headerReference w:type="default" r:id="rId44"/>
          <w:footerReference w:type="even" r:id="rId45"/>
          <w:footerReference w:type="default" r:id="rId46"/>
          <w:type w:val="nextPage"/>
          <w:pgSz w:w="11906" w:h="16838"/>
          <w:pgMar w:top="1440" w:right="1418" w:bottom="1440" w:left="1418" w:header="851" w:footer="992" w:gutter="0"/>
          <w:pgNumType w:start="12"/>
          <w:cols w:space="708"/>
          <w:titlePg w:val="0"/>
          <w:docGrid w:type="lines" w:linePitch="312"/>
        </w:sectPr>
      </w:pPr>
      <w:bookmarkStart w:id="32" w:name="_Toc74556057"/>
      <w:bookmarkStart w:id="33" w:name="_Toc81280879"/>
      <w:r>
        <w:rPr>
          <w:rFonts w:hint="eastAsia"/>
          <w:sz w:val="28"/>
          <w:szCs w:val="28"/>
        </w:rPr>
        <w:t xml:space="preserve">根据《质检总局关于修订〈特种设备目录〉的公告》（2014年第114号）以及新修订的《特种设备目录》，厂内的焊接气瓶属特种设备。 </w:t>
      </w:r>
    </w:p>
    <w:p>
      <w:pPr>
        <w:pStyle w:val="Heading3"/>
        <w:numPr>
          <w:ilvl w:val="2"/>
          <w:numId w:val="0"/>
        </w:numPr>
        <w:tabs>
          <w:tab w:val="left" w:pos="720"/>
        </w:tabs>
        <w:spacing w:before="156" w:after="156" w:afterLines="50" w:line="500" w:lineRule="exact"/>
        <w:rPr>
          <w:rFonts w:ascii="Times New Roman" w:eastAsia="黑体" w:hAnsi="Times New Roman"/>
          <w:spacing w:val="-3"/>
        </w:rPr>
      </w:pPr>
      <w:r>
        <w:rPr>
          <w:rFonts w:ascii="Times New Roman" w:eastAsia="黑体" w:hAnsi="Times New Roman"/>
          <w:spacing w:val="-3"/>
        </w:rPr>
        <w:t>2.2.7公用工程及辅助设施</w:t>
      </w:r>
    </w:p>
    <w:p>
      <w:pPr>
        <w:rPr>
          <w:b/>
          <w:bCs/>
          <w:sz w:val="28"/>
          <w:szCs w:val="28"/>
        </w:rPr>
      </w:pPr>
      <w:r>
        <w:rPr>
          <w:b/>
          <w:bCs/>
          <w:sz w:val="28"/>
          <w:szCs w:val="28"/>
        </w:rPr>
        <w:t>一、供、配电系统：</w:t>
      </w:r>
    </w:p>
    <w:p>
      <w:pPr>
        <w:ind w:firstLine="538" w:firstLineChars="192"/>
        <w:rPr>
          <w:sz w:val="28"/>
          <w:szCs w:val="28"/>
        </w:rPr>
      </w:pPr>
      <w:r>
        <w:rPr>
          <w:sz w:val="28"/>
          <w:szCs w:val="28"/>
        </w:rPr>
        <w:t>本项目用电</w:t>
      </w:r>
      <w:r>
        <w:rPr>
          <w:rFonts w:hint="eastAsia"/>
          <w:sz w:val="28"/>
          <w:szCs w:val="28"/>
        </w:rPr>
        <w:t>由当地供电局供电，电力供应充足稳定，可满足本项目用电需求，厂房内设配电箱一台。</w:t>
      </w:r>
      <w:r>
        <w:rPr>
          <w:spacing w:val="-6"/>
          <w:sz w:val="28"/>
          <w:szCs w:val="28"/>
        </w:rPr>
        <w:t>该公司生产工艺过程中各用电设备确定为三级负荷。</w:t>
      </w:r>
    </w:p>
    <w:p>
      <w:pPr>
        <w:tabs>
          <w:tab w:val="right" w:pos="8640"/>
        </w:tabs>
        <w:spacing w:line="520" w:lineRule="exact"/>
        <w:ind w:firstLine="560" w:firstLineChars="200"/>
        <w:rPr>
          <w:sz w:val="28"/>
          <w:szCs w:val="28"/>
        </w:rPr>
      </w:pPr>
      <w:r>
        <w:rPr>
          <w:rFonts w:hint="eastAsia"/>
          <w:sz w:val="28"/>
          <w:szCs w:val="28"/>
        </w:rPr>
        <w:t>按照《建筑设计防火规范》GB50016-2014（2018年版）第10.3条，本项目生产车间需设置应急照明及灯光疏散指示标志。</w:t>
      </w:r>
      <w:r>
        <w:rPr>
          <w:sz w:val="28"/>
          <w:szCs w:val="28"/>
        </w:rPr>
        <w:t>事故照明主要</w:t>
      </w:r>
      <w:r>
        <w:rPr>
          <w:spacing w:val="-3"/>
          <w:sz w:val="28"/>
          <w:szCs w:val="28"/>
        </w:rPr>
        <w:t>以自</w:t>
      </w:r>
      <w:r>
        <w:rPr>
          <w:sz w:val="28"/>
          <w:szCs w:val="28"/>
        </w:rPr>
        <w:t>配蓄电</w:t>
      </w:r>
      <w:r>
        <w:rPr>
          <w:spacing w:val="-3"/>
          <w:sz w:val="28"/>
          <w:szCs w:val="28"/>
        </w:rPr>
        <w:t>池</w:t>
      </w:r>
      <w:r>
        <w:rPr>
          <w:sz w:val="28"/>
          <w:szCs w:val="28"/>
        </w:rPr>
        <w:t>的应</w:t>
      </w:r>
      <w:r>
        <w:rPr>
          <w:spacing w:val="-3"/>
          <w:sz w:val="28"/>
          <w:szCs w:val="28"/>
        </w:rPr>
        <w:t>急照</w:t>
      </w:r>
      <w:r>
        <w:rPr>
          <w:sz w:val="28"/>
          <w:szCs w:val="28"/>
        </w:rPr>
        <w:t>明灯为主</w:t>
      </w:r>
      <w:r>
        <w:rPr>
          <w:spacing w:val="-92"/>
          <w:sz w:val="28"/>
          <w:szCs w:val="28"/>
        </w:rPr>
        <w:t>，</w:t>
      </w:r>
      <w:r>
        <w:rPr>
          <w:sz w:val="28"/>
          <w:szCs w:val="28"/>
        </w:rPr>
        <w:t>在厂房内的生产场所及人员通道</w:t>
      </w:r>
      <w:r>
        <w:rPr>
          <w:spacing w:val="2"/>
          <w:sz w:val="28"/>
          <w:szCs w:val="28"/>
        </w:rPr>
        <w:t>内</w:t>
      </w:r>
      <w:r>
        <w:rPr>
          <w:sz w:val="28"/>
          <w:szCs w:val="28"/>
        </w:rPr>
        <w:t>设置疏</w:t>
      </w:r>
      <w:r>
        <w:rPr>
          <w:spacing w:val="2"/>
          <w:sz w:val="28"/>
          <w:szCs w:val="28"/>
        </w:rPr>
        <w:t>散</w:t>
      </w:r>
      <w:r>
        <w:rPr>
          <w:sz w:val="28"/>
          <w:szCs w:val="28"/>
        </w:rPr>
        <w:t>诱导灯</w:t>
      </w:r>
      <w:r>
        <w:rPr>
          <w:spacing w:val="2"/>
          <w:sz w:val="28"/>
          <w:szCs w:val="28"/>
        </w:rPr>
        <w:t>（</w:t>
      </w:r>
      <w:r>
        <w:rPr>
          <w:sz w:val="28"/>
          <w:szCs w:val="28"/>
        </w:rPr>
        <w:t>应</w:t>
      </w:r>
      <w:r>
        <w:rPr>
          <w:spacing w:val="2"/>
          <w:sz w:val="28"/>
          <w:szCs w:val="28"/>
        </w:rPr>
        <w:t>急型</w:t>
      </w:r>
      <w:r>
        <w:rPr>
          <w:spacing w:val="-142"/>
          <w:sz w:val="28"/>
          <w:szCs w:val="28"/>
        </w:rPr>
        <w:t>）</w:t>
      </w:r>
      <w:r>
        <w:rPr>
          <w:spacing w:val="2"/>
          <w:sz w:val="28"/>
          <w:szCs w:val="28"/>
        </w:rPr>
        <w:t>，</w:t>
      </w:r>
      <w:r>
        <w:rPr>
          <w:sz w:val="28"/>
          <w:szCs w:val="28"/>
        </w:rPr>
        <w:t>应急照</w:t>
      </w:r>
      <w:r>
        <w:rPr>
          <w:spacing w:val="2"/>
          <w:sz w:val="28"/>
          <w:szCs w:val="28"/>
        </w:rPr>
        <w:t>明</w:t>
      </w:r>
      <w:r>
        <w:rPr>
          <w:sz w:val="28"/>
          <w:szCs w:val="28"/>
        </w:rPr>
        <w:t>电</w:t>
      </w:r>
      <w:r>
        <w:rPr>
          <w:spacing w:val="2"/>
          <w:sz w:val="28"/>
          <w:szCs w:val="28"/>
        </w:rPr>
        <w:t>源</w:t>
      </w:r>
      <w:r>
        <w:rPr>
          <w:sz w:val="28"/>
          <w:szCs w:val="28"/>
        </w:rPr>
        <w:t>引</w:t>
      </w:r>
      <w:r>
        <w:rPr>
          <w:spacing w:val="2"/>
          <w:sz w:val="28"/>
          <w:szCs w:val="28"/>
        </w:rPr>
        <w:t>自</w:t>
      </w:r>
      <w:r>
        <w:rPr>
          <w:sz w:val="28"/>
          <w:szCs w:val="28"/>
        </w:rPr>
        <w:t>同一照</w:t>
      </w:r>
      <w:r>
        <w:rPr>
          <w:spacing w:val="2"/>
          <w:sz w:val="28"/>
          <w:szCs w:val="28"/>
        </w:rPr>
        <w:t>明</w:t>
      </w:r>
      <w:r>
        <w:rPr>
          <w:spacing w:val="3"/>
          <w:sz w:val="28"/>
          <w:szCs w:val="28"/>
        </w:rPr>
        <w:t>配</w:t>
      </w:r>
      <w:r>
        <w:rPr>
          <w:spacing w:val="2"/>
          <w:sz w:val="28"/>
          <w:szCs w:val="28"/>
        </w:rPr>
        <w:t>电</w:t>
      </w:r>
      <w:r>
        <w:rPr>
          <w:sz w:val="28"/>
          <w:szCs w:val="28"/>
        </w:rPr>
        <w:t>箱的</w:t>
      </w:r>
      <w:r>
        <w:rPr>
          <w:spacing w:val="-1"/>
          <w:sz w:val="28"/>
          <w:szCs w:val="28"/>
        </w:rPr>
        <w:t>专用回路</w:t>
      </w:r>
      <w:r>
        <w:rPr>
          <w:sz w:val="28"/>
          <w:szCs w:val="28"/>
        </w:rPr>
        <w:t>。事故应急照明供电时间不低于30min。</w:t>
      </w:r>
    </w:p>
    <w:p>
      <w:pPr>
        <w:ind w:firstLine="570"/>
        <w:rPr>
          <w:sz w:val="28"/>
          <w:szCs w:val="28"/>
        </w:rPr>
      </w:pPr>
      <w:r>
        <w:rPr>
          <w:sz w:val="28"/>
          <w:szCs w:val="28"/>
        </w:rPr>
        <w:t>根据《建筑照明设计标准》（GB50034-2013）设计，厂区主要照明分类及照明设计标准如下：</w:t>
      </w:r>
    </w:p>
    <w:p>
      <w:pPr>
        <w:ind w:firstLine="480" w:firstLineChars="200"/>
        <w:jc w:val="center"/>
        <w:rPr>
          <w:b/>
          <w:sz w:val="24"/>
        </w:rPr>
      </w:pPr>
      <w:r>
        <w:rPr>
          <w:b/>
          <w:sz w:val="24"/>
        </w:rPr>
        <w:t>表2.7厂区主要照明分类及照明设计标准</w:t>
      </w:r>
    </w:p>
    <w:tbl>
      <w:tblPr>
        <w:tblStyle w:val="TableNormal"/>
        <w:tblW w:w="8789" w:type="dxa"/>
        <w:jc w:val="center"/>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25"/>
        <w:gridCol w:w="2929"/>
        <w:gridCol w:w="2835"/>
      </w:tblGrid>
      <w:tr>
        <w:tblPrEx>
          <w:tblW w:w="8789" w:type="dxa"/>
          <w:jc w:val="center"/>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3025" w:type="dxa"/>
            <w:vAlign w:val="center"/>
          </w:tcPr>
          <w:p>
            <w:pPr>
              <w:spacing w:line="276" w:lineRule="auto"/>
              <w:jc w:val="center"/>
              <w:rPr>
                <w:b/>
                <w:szCs w:val="21"/>
              </w:rPr>
            </w:pPr>
            <w:r>
              <w:rPr>
                <w:b/>
                <w:szCs w:val="21"/>
              </w:rPr>
              <w:t>照明场所</w:t>
            </w:r>
          </w:p>
        </w:tc>
        <w:tc>
          <w:tcPr>
            <w:tcW w:w="2929" w:type="dxa"/>
            <w:vAlign w:val="center"/>
          </w:tcPr>
          <w:p>
            <w:pPr>
              <w:spacing w:line="276" w:lineRule="auto"/>
              <w:jc w:val="center"/>
              <w:rPr>
                <w:b/>
                <w:szCs w:val="21"/>
              </w:rPr>
            </w:pPr>
            <w:r>
              <w:rPr>
                <w:b/>
                <w:szCs w:val="21"/>
              </w:rPr>
              <w:t>设计照度标准(lx)</w:t>
            </w:r>
          </w:p>
        </w:tc>
        <w:tc>
          <w:tcPr>
            <w:tcW w:w="2835" w:type="dxa"/>
            <w:vAlign w:val="center"/>
          </w:tcPr>
          <w:p>
            <w:pPr>
              <w:spacing w:line="276" w:lineRule="auto"/>
              <w:jc w:val="center"/>
              <w:rPr>
                <w:b/>
                <w:szCs w:val="21"/>
              </w:rPr>
            </w:pPr>
            <w:r>
              <w:rPr>
                <w:b/>
                <w:szCs w:val="21"/>
              </w:rPr>
              <w:t>规范要求的最低照度(lx)</w:t>
            </w:r>
          </w:p>
        </w:tc>
      </w:tr>
      <w:tr>
        <w:tblPrEx>
          <w:tblW w:w="8789" w:type="dxa"/>
          <w:jc w:val="center"/>
          <w:tblInd w:w="108" w:type="dxa"/>
          <w:tblLayout w:type="fixed"/>
          <w:tblCellMar>
            <w:top w:w="0" w:type="dxa"/>
            <w:left w:w="108" w:type="dxa"/>
            <w:bottom w:w="0" w:type="dxa"/>
            <w:right w:w="108" w:type="dxa"/>
          </w:tblCellMar>
          <w:tblLook w:val="0000"/>
        </w:tblPrEx>
        <w:trPr>
          <w:jc w:val="center"/>
        </w:trPr>
        <w:tc>
          <w:tcPr>
            <w:tcW w:w="3025" w:type="dxa"/>
            <w:vAlign w:val="center"/>
          </w:tcPr>
          <w:p>
            <w:pPr>
              <w:spacing w:line="276" w:lineRule="auto"/>
              <w:jc w:val="center"/>
              <w:rPr>
                <w:szCs w:val="21"/>
              </w:rPr>
            </w:pPr>
            <w:r>
              <w:rPr>
                <w:szCs w:val="21"/>
              </w:rPr>
              <w:t>工艺设备设施</w:t>
            </w:r>
          </w:p>
        </w:tc>
        <w:tc>
          <w:tcPr>
            <w:tcW w:w="2929" w:type="dxa"/>
            <w:vAlign w:val="center"/>
          </w:tcPr>
          <w:p>
            <w:pPr>
              <w:spacing w:line="276" w:lineRule="auto"/>
              <w:jc w:val="center"/>
              <w:rPr>
                <w:szCs w:val="21"/>
              </w:rPr>
            </w:pPr>
            <w:r>
              <w:rPr>
                <w:szCs w:val="21"/>
              </w:rPr>
              <w:t>30~150</w:t>
            </w:r>
          </w:p>
        </w:tc>
        <w:tc>
          <w:tcPr>
            <w:tcW w:w="2835" w:type="dxa"/>
            <w:vAlign w:val="center"/>
          </w:tcPr>
          <w:p>
            <w:pPr>
              <w:spacing w:line="276" w:lineRule="auto"/>
              <w:jc w:val="center"/>
              <w:rPr>
                <w:b/>
                <w:szCs w:val="21"/>
              </w:rPr>
            </w:pPr>
            <w:r>
              <w:rPr>
                <w:b/>
                <w:szCs w:val="21"/>
              </w:rPr>
              <w:t>100</w:t>
            </w:r>
          </w:p>
        </w:tc>
      </w:tr>
      <w:tr>
        <w:tblPrEx>
          <w:tblW w:w="8789" w:type="dxa"/>
          <w:jc w:val="center"/>
          <w:tblInd w:w="108" w:type="dxa"/>
          <w:tblLayout w:type="fixed"/>
          <w:tblCellMar>
            <w:top w:w="0" w:type="dxa"/>
            <w:left w:w="108" w:type="dxa"/>
            <w:bottom w:w="0" w:type="dxa"/>
            <w:right w:w="108" w:type="dxa"/>
          </w:tblCellMar>
          <w:tblLook w:val="0000"/>
        </w:tblPrEx>
        <w:trPr>
          <w:jc w:val="center"/>
        </w:trPr>
        <w:tc>
          <w:tcPr>
            <w:tcW w:w="3025" w:type="dxa"/>
            <w:vAlign w:val="center"/>
          </w:tcPr>
          <w:p>
            <w:pPr>
              <w:spacing w:line="276" w:lineRule="auto"/>
              <w:jc w:val="center"/>
              <w:rPr>
                <w:b/>
                <w:szCs w:val="21"/>
              </w:rPr>
            </w:pPr>
            <w:r>
              <w:rPr>
                <w:szCs w:val="21"/>
              </w:rPr>
              <w:t>仓库</w:t>
            </w:r>
          </w:p>
        </w:tc>
        <w:tc>
          <w:tcPr>
            <w:tcW w:w="2929" w:type="dxa"/>
            <w:vAlign w:val="center"/>
          </w:tcPr>
          <w:p>
            <w:pPr>
              <w:spacing w:line="276" w:lineRule="auto"/>
              <w:jc w:val="center"/>
              <w:rPr>
                <w:szCs w:val="21"/>
              </w:rPr>
            </w:pPr>
            <w:r>
              <w:rPr>
                <w:szCs w:val="21"/>
              </w:rPr>
              <w:t>30~70</w:t>
            </w:r>
          </w:p>
        </w:tc>
        <w:tc>
          <w:tcPr>
            <w:tcW w:w="2835" w:type="dxa"/>
            <w:vAlign w:val="center"/>
          </w:tcPr>
          <w:p>
            <w:pPr>
              <w:spacing w:line="276" w:lineRule="auto"/>
              <w:jc w:val="center"/>
              <w:rPr>
                <w:b/>
                <w:szCs w:val="21"/>
              </w:rPr>
            </w:pPr>
            <w:r>
              <w:rPr>
                <w:b/>
                <w:szCs w:val="21"/>
              </w:rPr>
              <w:t>30</w:t>
            </w:r>
          </w:p>
        </w:tc>
      </w:tr>
      <w:tr>
        <w:tblPrEx>
          <w:tblW w:w="8789" w:type="dxa"/>
          <w:jc w:val="center"/>
          <w:tblInd w:w="108" w:type="dxa"/>
          <w:tblLayout w:type="fixed"/>
          <w:tblCellMar>
            <w:top w:w="0" w:type="dxa"/>
            <w:left w:w="108" w:type="dxa"/>
            <w:bottom w:w="0" w:type="dxa"/>
            <w:right w:w="108" w:type="dxa"/>
          </w:tblCellMar>
          <w:tblLook w:val="0000"/>
        </w:tblPrEx>
        <w:trPr>
          <w:jc w:val="center"/>
        </w:trPr>
        <w:tc>
          <w:tcPr>
            <w:tcW w:w="3025" w:type="dxa"/>
            <w:vAlign w:val="center"/>
          </w:tcPr>
          <w:p>
            <w:pPr>
              <w:spacing w:line="276" w:lineRule="auto"/>
              <w:jc w:val="center"/>
              <w:rPr>
                <w:szCs w:val="21"/>
              </w:rPr>
            </w:pPr>
            <w:r>
              <w:rPr>
                <w:szCs w:val="21"/>
              </w:rPr>
              <w:t>疏散走道</w:t>
            </w:r>
          </w:p>
        </w:tc>
        <w:tc>
          <w:tcPr>
            <w:tcW w:w="2929" w:type="dxa"/>
            <w:vAlign w:val="center"/>
          </w:tcPr>
          <w:p>
            <w:pPr>
              <w:spacing w:line="276" w:lineRule="auto"/>
              <w:jc w:val="center"/>
              <w:rPr>
                <w:szCs w:val="21"/>
              </w:rPr>
            </w:pPr>
            <w:r>
              <w:rPr>
                <w:szCs w:val="21"/>
              </w:rPr>
              <w:t>1~5</w:t>
            </w:r>
          </w:p>
        </w:tc>
        <w:tc>
          <w:tcPr>
            <w:tcW w:w="2835" w:type="dxa"/>
            <w:vAlign w:val="center"/>
          </w:tcPr>
          <w:p>
            <w:pPr>
              <w:spacing w:line="276" w:lineRule="auto"/>
              <w:jc w:val="center"/>
              <w:rPr>
                <w:b/>
                <w:szCs w:val="21"/>
              </w:rPr>
            </w:pPr>
            <w:r>
              <w:rPr>
                <w:b/>
                <w:szCs w:val="21"/>
              </w:rPr>
              <w:t>1</w:t>
            </w:r>
          </w:p>
        </w:tc>
      </w:tr>
    </w:tbl>
    <w:p>
      <w:pPr>
        <w:ind w:firstLine="570"/>
        <w:rPr>
          <w:sz w:val="28"/>
          <w:szCs w:val="28"/>
        </w:rPr>
      </w:pPr>
      <w:r>
        <w:rPr>
          <w:sz w:val="28"/>
          <w:szCs w:val="28"/>
        </w:rPr>
        <w:t>建筑照明灯具均采用密闭型荧光灯灯具或防水防尘灯具，吸顶安装，设有一个照明配电控制箱集中控制。仓库内的照明灯具，采用用防水防尘型灯具，管吊安装，在出入口操作方便之处设有照明配电控制箱集中控制。</w:t>
      </w:r>
      <w:r>
        <w:rPr>
          <w:rFonts w:hint="eastAsia"/>
          <w:sz w:val="28"/>
          <w:szCs w:val="28"/>
        </w:rPr>
        <w:t>宿办用房</w:t>
      </w:r>
      <w:r>
        <w:rPr>
          <w:sz w:val="28"/>
          <w:szCs w:val="28"/>
        </w:rPr>
        <w:t>照明灯具采用普通荧光灯灯具，吸顶安装，在出入口操作方便之处设有照明配电控制箱，控制方式为就近控制。</w:t>
      </w:r>
    </w:p>
    <w:p>
      <w:pPr>
        <w:ind w:firstLine="570"/>
        <w:rPr>
          <w:sz w:val="28"/>
          <w:szCs w:val="28"/>
        </w:rPr>
      </w:pPr>
      <w:r>
        <w:rPr>
          <w:sz w:val="28"/>
          <w:szCs w:val="28"/>
        </w:rPr>
        <w:t>2.配电系统</w:t>
      </w:r>
    </w:p>
    <w:p>
      <w:pPr>
        <w:ind w:firstLine="570"/>
        <w:rPr>
          <w:sz w:val="28"/>
          <w:szCs w:val="28"/>
        </w:rPr>
        <w:sectPr>
          <w:headerReference w:type="default" r:id="rId47"/>
          <w:footerReference w:type="even" r:id="rId48"/>
          <w:footerReference w:type="default" r:id="rId49"/>
          <w:type w:val="nextPage"/>
          <w:pgSz w:w="11906" w:h="16838"/>
          <w:pgMar w:top="1440" w:right="1418" w:bottom="1440" w:left="1418" w:header="851" w:footer="992" w:gutter="0"/>
          <w:pgNumType w:start="13"/>
          <w:cols w:space="708"/>
          <w:titlePg w:val="0"/>
          <w:docGrid w:type="lines" w:linePitch="312"/>
        </w:sectPr>
      </w:pPr>
      <w:r>
        <w:rPr>
          <w:sz w:val="28"/>
          <w:szCs w:val="28"/>
        </w:rPr>
        <w:t>根据工艺要求，设计电气控制原理图，电机控制同路由电动机保护空气开关，接触器、热继电器等组成，具有短路和过载保护功能，并设置PLC和计算机控制系统，由控制室集中控制，以体现现代化工厂的先进性。电气元器件设备选型，要求先进可靠，性能价格比高。</w:t>
      </w:r>
    </w:p>
    <w:p>
      <w:pPr>
        <w:ind w:firstLine="570"/>
        <w:rPr>
          <w:sz w:val="28"/>
          <w:szCs w:val="28"/>
        </w:rPr>
      </w:pPr>
      <w:r>
        <w:rPr>
          <w:sz w:val="28"/>
          <w:szCs w:val="28"/>
        </w:rPr>
        <w:t>3.防雷、防静电</w:t>
      </w:r>
    </w:p>
    <w:p>
      <w:pPr>
        <w:ind w:firstLine="570"/>
        <w:rPr>
          <w:sz w:val="28"/>
          <w:szCs w:val="28"/>
        </w:rPr>
      </w:pPr>
      <w:bookmarkStart w:id="34" w:name="_Toc191370090"/>
      <w:r>
        <w:rPr>
          <w:sz w:val="28"/>
          <w:szCs w:val="28"/>
        </w:rPr>
        <w:t>该项目防雷、防静电装置按照《建筑物防雷设计规范》GB50057-2010及《防止静电事故通用导则》GB12158-2006中的有关规定执行。</w:t>
      </w:r>
      <w:bookmarkEnd w:id="34"/>
    </w:p>
    <w:p>
      <w:pPr>
        <w:ind w:firstLine="570"/>
        <w:rPr>
          <w:sz w:val="28"/>
          <w:szCs w:val="28"/>
        </w:rPr>
      </w:pPr>
      <w:r>
        <w:rPr>
          <w:sz w:val="28"/>
          <w:szCs w:val="28"/>
        </w:rPr>
        <w:t>所有电气设备和装置的外壳及有金属保护管的电缆，采取保护性接地；架空电力电缆的交叉处、无分岔管道每隔80-100米处以及进出装置及设施处，设置防雷、防静电接地措施；按第三类防雷建（构）筑物配置防雷设施。</w:t>
      </w:r>
    </w:p>
    <w:p>
      <w:pPr>
        <w:ind w:firstLine="570"/>
        <w:rPr>
          <w:sz w:val="28"/>
          <w:szCs w:val="28"/>
        </w:rPr>
      </w:pPr>
      <w:r>
        <w:rPr>
          <w:sz w:val="28"/>
          <w:szCs w:val="28"/>
        </w:rPr>
        <w:t>防雷接地与电气设备保护接地、防静电接地、信息系统接地共用接地网，接地电阻不大于4Ω。</w:t>
      </w:r>
    </w:p>
    <w:p>
      <w:pPr>
        <w:ind w:firstLine="570"/>
        <w:rPr>
          <w:sz w:val="28"/>
          <w:szCs w:val="28"/>
        </w:rPr>
      </w:pPr>
      <w:r>
        <w:rPr>
          <w:sz w:val="28"/>
          <w:szCs w:val="28"/>
        </w:rPr>
        <w:t>本项目</w:t>
      </w:r>
      <w:r>
        <w:rPr>
          <w:rFonts w:hint="eastAsia"/>
          <w:sz w:val="28"/>
          <w:szCs w:val="28"/>
        </w:rPr>
        <w:t>厂房</w:t>
      </w:r>
      <w:r>
        <w:rPr>
          <w:sz w:val="28"/>
          <w:szCs w:val="28"/>
        </w:rPr>
        <w:t>防雷、防静电系统均利旧</w:t>
      </w:r>
      <w:r>
        <w:rPr>
          <w:rFonts w:hint="eastAsia"/>
          <w:sz w:val="28"/>
          <w:szCs w:val="28"/>
        </w:rPr>
        <w:t>，但需按照规定定期检测，保证接地系统负荷完整有效</w:t>
      </w:r>
      <w:r>
        <w:rPr>
          <w:sz w:val="28"/>
          <w:szCs w:val="28"/>
        </w:rPr>
        <w:t>。</w:t>
      </w:r>
      <w:r>
        <w:rPr>
          <w:rFonts w:hint="eastAsia"/>
          <w:sz w:val="28"/>
          <w:szCs w:val="28"/>
        </w:rPr>
        <w:t>仓库内电机、电器、配电设备、钢筋混凝土构架的钢筋及金属护栏等均应接地，接地网要求同附近接地网可靠焊接。</w:t>
      </w:r>
    </w:p>
    <w:p>
      <w:pPr>
        <w:rPr>
          <w:b/>
          <w:bCs/>
          <w:sz w:val="28"/>
          <w:szCs w:val="28"/>
        </w:rPr>
      </w:pPr>
      <w:r>
        <w:rPr>
          <w:b/>
          <w:bCs/>
          <w:sz w:val="28"/>
          <w:szCs w:val="28"/>
        </w:rPr>
        <w:t>二、给排水：</w:t>
      </w:r>
    </w:p>
    <w:p>
      <w:pPr>
        <w:ind w:firstLine="570"/>
        <w:rPr>
          <w:sz w:val="28"/>
          <w:szCs w:val="28"/>
        </w:rPr>
      </w:pPr>
      <w:r>
        <w:rPr>
          <w:sz w:val="28"/>
          <w:szCs w:val="28"/>
        </w:rPr>
        <w:t>1、给水系统</w:t>
      </w:r>
    </w:p>
    <w:p>
      <w:pPr>
        <w:ind w:firstLine="570"/>
        <w:rPr>
          <w:sz w:val="28"/>
          <w:szCs w:val="28"/>
        </w:rPr>
      </w:pPr>
      <w:r>
        <w:rPr>
          <w:sz w:val="28"/>
          <w:szCs w:val="28"/>
        </w:rPr>
        <w:t>本项目由</w:t>
      </w:r>
      <w:r>
        <w:rPr>
          <w:rFonts w:hint="eastAsia"/>
          <w:sz w:val="28"/>
          <w:szCs w:val="28"/>
          <w:lang w:eastAsia="zh-CN"/>
        </w:rPr>
        <w:t>XX</w:t>
      </w:r>
      <w:r>
        <w:rPr>
          <w:sz w:val="28"/>
          <w:szCs w:val="28"/>
        </w:rPr>
        <w:t>给水管网供给。</w:t>
      </w:r>
    </w:p>
    <w:p>
      <w:pPr>
        <w:ind w:firstLine="570"/>
        <w:rPr>
          <w:sz w:val="28"/>
          <w:szCs w:val="28"/>
        </w:rPr>
      </w:pPr>
      <w:r>
        <w:rPr>
          <w:sz w:val="28"/>
          <w:szCs w:val="28"/>
        </w:rPr>
        <w:t>2、排水系统</w:t>
      </w:r>
    </w:p>
    <w:p>
      <w:pPr>
        <w:ind w:firstLine="570"/>
        <w:rPr>
          <w:sz w:val="28"/>
          <w:szCs w:val="28"/>
        </w:rPr>
      </w:pPr>
      <w:r>
        <w:rPr>
          <w:sz w:val="28"/>
          <w:szCs w:val="28"/>
        </w:rPr>
        <w:t>本项目实行雨污分流，雨水设置排水系统。</w:t>
      </w:r>
    </w:p>
    <w:p>
      <w:pPr>
        <w:ind w:firstLine="570"/>
        <w:rPr>
          <w:rFonts w:hint="eastAsia"/>
          <w:sz w:val="28"/>
          <w:szCs w:val="28"/>
        </w:rPr>
      </w:pPr>
      <w:r>
        <w:rPr>
          <w:sz w:val="28"/>
          <w:szCs w:val="28"/>
        </w:rPr>
        <w:t>生产废水经沉淀处理后循环利用；生活污水厂区</w:t>
      </w:r>
      <w:r>
        <w:rPr>
          <w:rFonts w:hint="eastAsia"/>
          <w:sz w:val="28"/>
          <w:szCs w:val="28"/>
        </w:rPr>
        <w:t>洒水</w:t>
      </w:r>
      <w:r>
        <w:rPr>
          <w:sz w:val="28"/>
          <w:szCs w:val="28"/>
        </w:rPr>
        <w:t>抑尘，项目区设旱厕，定期清掏，外运肥田。</w:t>
      </w:r>
    </w:p>
    <w:p>
      <w:pPr>
        <w:rPr>
          <w:b/>
          <w:bCs/>
          <w:spacing w:val="-8"/>
          <w:sz w:val="28"/>
          <w:szCs w:val="28"/>
        </w:rPr>
      </w:pPr>
      <w:r>
        <w:rPr>
          <w:b/>
          <w:bCs/>
          <w:spacing w:val="-8"/>
          <w:sz w:val="28"/>
          <w:szCs w:val="28"/>
        </w:rPr>
        <w:t>三、采暖与制冷</w:t>
      </w:r>
    </w:p>
    <w:p>
      <w:pPr>
        <w:tabs>
          <w:tab w:val="right" w:pos="8640"/>
        </w:tabs>
        <w:spacing w:line="520" w:lineRule="exact"/>
        <w:ind w:firstLine="560" w:firstLineChars="200"/>
        <w:rPr>
          <w:sz w:val="28"/>
          <w:szCs w:val="28"/>
        </w:rPr>
      </w:pPr>
      <w:r>
        <w:rPr>
          <w:sz w:val="28"/>
          <w:szCs w:val="28"/>
        </w:rPr>
        <w:t>办公室采暖和制冷采用</w:t>
      </w:r>
      <w:r>
        <w:rPr>
          <w:rFonts w:hint="eastAsia"/>
          <w:sz w:val="28"/>
          <w:szCs w:val="28"/>
        </w:rPr>
        <w:t>分体</w:t>
      </w:r>
      <w:r>
        <w:rPr>
          <w:sz w:val="28"/>
          <w:szCs w:val="28"/>
        </w:rPr>
        <w:t>空调。生产车间</w:t>
      </w:r>
      <w:r>
        <w:rPr>
          <w:rFonts w:hint="eastAsia"/>
          <w:sz w:val="28"/>
          <w:szCs w:val="28"/>
        </w:rPr>
        <w:t>采用</w:t>
      </w:r>
      <w:r>
        <w:rPr>
          <w:sz w:val="28"/>
          <w:szCs w:val="28"/>
        </w:rPr>
        <w:t>自然通风，无制冷设备。</w:t>
      </w:r>
    </w:p>
    <w:p>
      <w:pPr>
        <w:pStyle w:val="Heading3"/>
        <w:numPr>
          <w:ilvl w:val="2"/>
          <w:numId w:val="0"/>
        </w:numPr>
        <w:tabs>
          <w:tab w:val="left" w:pos="720"/>
        </w:tabs>
        <w:spacing w:before="156" w:after="156" w:afterLines="50" w:line="500" w:lineRule="exact"/>
        <w:rPr>
          <w:rFonts w:ascii="Times New Roman" w:eastAsia="黑体" w:hAnsi="Times New Roman"/>
          <w:spacing w:val="-3"/>
          <w:lang w:eastAsia="zh-CN"/>
        </w:rPr>
      </w:pPr>
      <w:r>
        <w:rPr>
          <w:rFonts w:ascii="Times New Roman" w:eastAsia="黑体" w:hAnsi="Times New Roman"/>
          <w:spacing w:val="-3"/>
          <w:lang w:eastAsia="zh-CN"/>
        </w:rPr>
        <w:t>2.2.8</w:t>
      </w:r>
      <w:r>
        <w:rPr>
          <w:rFonts w:ascii="Times New Roman" w:eastAsia="黑体" w:hAnsi="Times New Roman"/>
          <w:spacing w:val="-3"/>
        </w:rPr>
        <w:t>项目投资及劳动定员</w:t>
      </w:r>
    </w:p>
    <w:p>
      <w:pPr>
        <w:tabs>
          <w:tab w:val="right" w:pos="8640"/>
        </w:tabs>
        <w:spacing w:line="520" w:lineRule="exact"/>
        <w:ind w:firstLine="560" w:firstLineChars="200"/>
        <w:rPr>
          <w:rFonts w:hint="eastAsia"/>
          <w:sz w:val="28"/>
          <w:szCs w:val="28"/>
        </w:rPr>
        <w:sectPr>
          <w:headerReference w:type="default" r:id="rId50"/>
          <w:footerReference w:type="even" r:id="rId51"/>
          <w:footerReference w:type="default" r:id="rId52"/>
          <w:type w:val="nextPage"/>
          <w:pgSz w:w="11906" w:h="16838"/>
          <w:pgMar w:top="1440" w:right="1418" w:bottom="1440" w:left="1418" w:header="851" w:footer="992" w:gutter="0"/>
          <w:pgNumType w:start="14"/>
          <w:cols w:space="708"/>
          <w:titlePg w:val="0"/>
          <w:docGrid w:type="lines" w:linePitch="312"/>
        </w:sectPr>
      </w:pPr>
      <w:r>
        <w:rPr>
          <w:sz w:val="28"/>
          <w:szCs w:val="28"/>
        </w:rPr>
        <w:t>该项目计划总投资为</w:t>
      </w:r>
      <w:r>
        <w:rPr>
          <w:rFonts w:hint="eastAsia"/>
          <w:sz w:val="28"/>
          <w:szCs w:val="28"/>
        </w:rPr>
        <w:t>1300</w:t>
      </w:r>
      <w:r>
        <w:rPr>
          <w:sz w:val="28"/>
          <w:szCs w:val="28"/>
        </w:rPr>
        <w:t>万元人民币，定员</w:t>
      </w:r>
      <w:r>
        <w:rPr>
          <w:rFonts w:hint="eastAsia"/>
          <w:sz w:val="28"/>
          <w:szCs w:val="28"/>
        </w:rPr>
        <w:t>8</w:t>
      </w:r>
      <w:r>
        <w:rPr>
          <w:sz w:val="28"/>
          <w:szCs w:val="28"/>
        </w:rPr>
        <w:t>人，年工作300天，工作制度为一班制（夜间不生产），每天工作时间为8h。</w:t>
      </w:r>
    </w:p>
    <w:p>
      <w:pPr>
        <w:tabs>
          <w:tab w:val="right" w:pos="8640"/>
        </w:tabs>
        <w:spacing w:line="520" w:lineRule="exact"/>
        <w:ind w:firstLine="560" w:firstLineChars="200"/>
        <w:rPr>
          <w:rFonts w:hint="eastAsia"/>
          <w:sz w:val="28"/>
          <w:szCs w:val="28"/>
        </w:rPr>
      </w:pPr>
      <w:r>
        <w:rPr>
          <w:rFonts w:hint="eastAsia"/>
          <w:sz w:val="28"/>
          <w:szCs w:val="28"/>
        </w:rPr>
        <w:t>项目设专职安全管理人员1人。</w:t>
      </w:r>
    </w:p>
    <w:p>
      <w:pPr>
        <w:pStyle w:val="Heading2"/>
        <w:numPr>
          <w:ilvl w:val="1"/>
          <w:numId w:val="0"/>
        </w:numPr>
        <w:tabs>
          <w:tab w:val="left" w:pos="720"/>
        </w:tabs>
        <w:spacing w:before="312" w:after="156" w:line="500" w:lineRule="exact"/>
        <w:jc w:val="center"/>
        <w:rPr>
          <w:rFonts w:ascii="Times New Roman" w:hAnsi="Times New Roman"/>
          <w:sz w:val="30"/>
          <w:szCs w:val="30"/>
        </w:rPr>
      </w:pPr>
      <w:bookmarkStart w:id="35" w:name="_Toc17646656"/>
      <w:bookmarkStart w:id="36" w:name="_Toc46132540"/>
      <w:r>
        <w:rPr>
          <w:rFonts w:ascii="Times New Roman" w:hAnsi="Times New Roman"/>
          <w:sz w:val="30"/>
          <w:szCs w:val="30"/>
        </w:rPr>
        <w:t>2.3项目所在地的自然条件</w:t>
      </w:r>
      <w:bookmarkEnd w:id="35"/>
      <w:bookmarkEnd w:id="36"/>
    </w:p>
    <w:p>
      <w:pPr>
        <w:pStyle w:val="Heading3"/>
        <w:numPr>
          <w:ilvl w:val="2"/>
          <w:numId w:val="0"/>
        </w:numPr>
        <w:tabs>
          <w:tab w:val="left" w:pos="720"/>
        </w:tabs>
        <w:spacing w:before="156" w:after="156" w:afterLines="50" w:line="500" w:lineRule="exact"/>
        <w:rPr>
          <w:rFonts w:ascii="Times New Roman" w:eastAsia="黑体" w:hAnsi="Times New Roman"/>
          <w:spacing w:val="-3"/>
        </w:rPr>
      </w:pPr>
      <w:r>
        <w:rPr>
          <w:rFonts w:ascii="Times New Roman" w:eastAsia="黑体" w:hAnsi="Times New Roman"/>
          <w:spacing w:val="-3"/>
        </w:rPr>
        <w:t>2.3.1地形地貌</w:t>
      </w:r>
    </w:p>
    <w:p>
      <w:pPr>
        <w:ind w:firstLine="570"/>
        <w:rPr>
          <w:sz w:val="28"/>
          <w:szCs w:val="28"/>
        </w:rPr>
      </w:pPr>
      <w:r>
        <w:rPr>
          <w:rFonts w:hint="eastAsia"/>
          <w:sz w:val="28"/>
          <w:szCs w:val="28"/>
          <w:lang w:eastAsia="zh-CN"/>
        </w:rPr>
        <w:t>XX</w:t>
      </w:r>
      <w:r>
        <w:rPr>
          <w:sz w:val="28"/>
          <w:szCs w:val="28"/>
        </w:rPr>
        <w:t>县位于</w:t>
      </w:r>
      <w:r>
        <w:rPr>
          <w:rFonts w:hint="eastAsia"/>
          <w:sz w:val="28"/>
          <w:szCs w:val="28"/>
          <w:lang w:eastAsia="zh-CN"/>
        </w:rPr>
        <w:t>XX</w:t>
      </w:r>
      <w:r>
        <w:rPr>
          <w:sz w:val="28"/>
          <w:szCs w:val="28"/>
        </w:rPr>
        <w:t>关中平原中部，渭河以北，为省会西安市的北大门，距西安约30公里，</w:t>
      </w:r>
      <w:r>
        <w:rPr>
          <w:rFonts w:hint="eastAsia"/>
          <w:sz w:val="28"/>
          <w:szCs w:val="28"/>
          <w:lang w:eastAsia="zh-CN"/>
        </w:rPr>
        <w:t>XX</w:t>
      </w:r>
      <w:r>
        <w:rPr>
          <w:sz w:val="28"/>
          <w:szCs w:val="28"/>
        </w:rPr>
        <w:t>约40公里，距</w:t>
      </w:r>
      <w:r>
        <w:rPr>
          <w:rFonts w:hint="eastAsia"/>
          <w:sz w:val="28"/>
          <w:szCs w:val="28"/>
          <w:lang w:eastAsia="zh-CN"/>
        </w:rPr>
        <w:t>XX</w:t>
      </w:r>
      <w:r>
        <w:rPr>
          <w:sz w:val="28"/>
          <w:szCs w:val="28"/>
        </w:rPr>
        <w:t>国际机场22公里，铁路、公路纵横交错，四通八达。北魏置县，因境内有孟侯原、丰原和白鹿原而得名。东与</w:t>
      </w:r>
      <w:hyperlink r:id="rId53" w:tgtFrame="_blank" w:history="1">
        <w:r>
          <w:rPr>
            <w:sz w:val="28"/>
            <w:szCs w:val="28"/>
          </w:rPr>
          <w:t>临潼</w:t>
        </w:r>
      </w:hyperlink>
      <w:r>
        <w:rPr>
          <w:sz w:val="28"/>
          <w:szCs w:val="28"/>
        </w:rPr>
        <w:t>、</w:t>
      </w:r>
      <w:hyperlink r:id="rId54" w:tgtFrame="_blank" w:history="1">
        <w:r>
          <w:rPr>
            <w:sz w:val="28"/>
            <w:szCs w:val="28"/>
          </w:rPr>
          <w:t>富平</w:t>
        </w:r>
      </w:hyperlink>
      <w:r>
        <w:rPr>
          <w:sz w:val="28"/>
          <w:szCs w:val="28"/>
        </w:rPr>
        <w:t>、</w:t>
      </w:r>
      <w:hyperlink r:id="rId55" w:tgtFrame="_blank" w:history="1">
        <w:r>
          <w:rPr>
            <w:sz w:val="28"/>
            <w:szCs w:val="28"/>
          </w:rPr>
          <w:t>阎良</w:t>
        </w:r>
      </w:hyperlink>
      <w:r>
        <w:rPr>
          <w:sz w:val="28"/>
          <w:szCs w:val="28"/>
        </w:rPr>
        <w:t>相连，南与</w:t>
      </w:r>
      <w:hyperlink r:id="rId56" w:tgtFrame="_blank" w:history="1">
        <w:r>
          <w:rPr>
            <w:rFonts w:hint="eastAsia"/>
            <w:sz w:val="28"/>
            <w:szCs w:val="28"/>
            <w:lang w:eastAsia="zh-CN"/>
          </w:rPr>
          <w:t>XX</w:t>
        </w:r>
      </w:hyperlink>
      <w:r>
        <w:rPr>
          <w:sz w:val="28"/>
          <w:szCs w:val="28"/>
        </w:rPr>
        <w:t>接壤，西邻</w:t>
      </w:r>
      <w:hyperlink r:id="rId57" w:tgtFrame="_blank" w:history="1">
        <w:r>
          <w:rPr>
            <w:sz w:val="28"/>
            <w:szCs w:val="28"/>
          </w:rPr>
          <w:t>泾阳</w:t>
        </w:r>
      </w:hyperlink>
      <w:r>
        <w:rPr>
          <w:sz w:val="28"/>
          <w:szCs w:val="28"/>
        </w:rPr>
        <w:t>、</w:t>
      </w:r>
      <w:hyperlink r:id="rId58" w:tgtFrame="_blank" w:history="1">
        <w:r>
          <w:rPr>
            <w:sz w:val="28"/>
            <w:szCs w:val="28"/>
          </w:rPr>
          <w:t>淳化</w:t>
        </w:r>
      </w:hyperlink>
      <w:r>
        <w:rPr>
          <w:sz w:val="28"/>
          <w:szCs w:val="28"/>
        </w:rPr>
        <w:t>，北靠铜川新区、耀州区，总面积576.9平方公里。</w:t>
      </w:r>
    </w:p>
    <w:p>
      <w:pPr>
        <w:ind w:firstLine="570"/>
        <w:rPr>
          <w:sz w:val="28"/>
          <w:szCs w:val="28"/>
        </w:rPr>
      </w:pPr>
      <w:r>
        <w:rPr>
          <w:rFonts w:hint="eastAsia"/>
          <w:sz w:val="28"/>
          <w:szCs w:val="28"/>
          <w:lang w:eastAsia="zh-CN"/>
        </w:rPr>
        <w:t>XX</w:t>
      </w:r>
      <w:r>
        <w:rPr>
          <w:sz w:val="28"/>
          <w:szCs w:val="28"/>
        </w:rPr>
        <w:t>地处鄂尔多斯地台南缘褶皱带上，地势西北高、东南低，海拔在362～1409米之间，南北以四十里原坡为界，东西以清河相隔，自然分割成三个明显不同的地形地貌形态，即南部平原、北部台原和西北山原。整体地貌以平原、台原为主，占总面积的72%。河流主要有清峪河、浊峪河和</w:t>
      </w:r>
      <w:hyperlink r:id="rId59" w:tgtFrame="_blank" w:history="1">
        <w:r>
          <w:rPr>
            <w:sz w:val="28"/>
            <w:szCs w:val="28"/>
          </w:rPr>
          <w:t>赵氏河</w:t>
        </w:r>
      </w:hyperlink>
      <w:r>
        <w:rPr>
          <w:sz w:val="28"/>
          <w:szCs w:val="28"/>
        </w:rPr>
        <w:t>。</w:t>
      </w:r>
    </w:p>
    <w:p>
      <w:pPr>
        <w:pStyle w:val="Heading3"/>
        <w:numPr>
          <w:ilvl w:val="2"/>
          <w:numId w:val="0"/>
        </w:numPr>
        <w:tabs>
          <w:tab w:val="left" w:pos="720"/>
        </w:tabs>
        <w:spacing w:before="156" w:after="156" w:afterLines="50" w:line="500" w:lineRule="exact"/>
        <w:rPr>
          <w:rFonts w:ascii="Times New Roman" w:eastAsia="黑体" w:hAnsi="Times New Roman"/>
          <w:spacing w:val="-3"/>
        </w:rPr>
      </w:pPr>
      <w:r>
        <w:rPr>
          <w:rFonts w:ascii="Times New Roman" w:eastAsia="黑体" w:hAnsi="Times New Roman"/>
          <w:spacing w:val="-3"/>
        </w:rPr>
        <w:t>2.3.2气候条件</w:t>
      </w:r>
    </w:p>
    <w:p>
      <w:pPr>
        <w:ind w:firstLine="570"/>
        <w:rPr>
          <w:sz w:val="28"/>
          <w:szCs w:val="28"/>
        </w:rPr>
      </w:pPr>
      <w:r>
        <w:rPr>
          <w:rFonts w:hint="eastAsia"/>
          <w:sz w:val="28"/>
          <w:szCs w:val="28"/>
          <w:lang w:eastAsia="zh-CN"/>
        </w:rPr>
        <w:t>XX</w:t>
      </w:r>
      <w:r>
        <w:rPr>
          <w:sz w:val="28"/>
          <w:szCs w:val="28"/>
        </w:rPr>
        <w:t>县属北温带大陆性季风气候，年平均气温13.4</w:t>
      </w:r>
      <w:r>
        <w:rPr>
          <w:rFonts w:ascii="宋体"/>
          <w:sz w:val="28"/>
          <w:szCs w:val="28"/>
        </w:rPr>
        <w:t>℃</w:t>
      </w:r>
      <w:r>
        <w:rPr>
          <w:sz w:val="28"/>
          <w:szCs w:val="28"/>
        </w:rPr>
        <w:t>，极端最高气温41.6</w:t>
      </w:r>
      <w:r>
        <w:rPr>
          <w:rFonts w:ascii="宋体"/>
          <w:sz w:val="28"/>
          <w:szCs w:val="28"/>
        </w:rPr>
        <w:t>℃</w:t>
      </w:r>
      <w:r>
        <w:rPr>
          <w:sz w:val="28"/>
          <w:szCs w:val="28"/>
        </w:rPr>
        <w:t>，极端最低气温-20.8</w:t>
      </w:r>
      <w:r>
        <w:rPr>
          <w:rFonts w:ascii="宋体"/>
          <w:sz w:val="28"/>
          <w:szCs w:val="28"/>
        </w:rPr>
        <w:t>℃</w:t>
      </w:r>
      <w:r>
        <w:rPr>
          <w:sz w:val="28"/>
          <w:szCs w:val="28"/>
        </w:rPr>
        <w:t>。高温天气会对职工的身体健康造成很大的危害。生产人员长时间处于夏季高温环境下工作，会心情烦躁、大量排汗、注意力不易集中、肌肉易疲劳、动作的准确性和协调性降低、反应迟钝，工作能力下降、易出现操作失误，并有可能发生急性中暑，还可能造成心肌肥大、高血压、消化道疾病、肾功能受损等。本项目夏季应防止作业场所的高温中暑，冬季循环水设备与管道应采取防冻措施。</w:t>
      </w:r>
    </w:p>
    <w:p>
      <w:pPr>
        <w:ind w:firstLine="570"/>
        <w:rPr>
          <w:sz w:val="28"/>
          <w:szCs w:val="28"/>
        </w:rPr>
        <w:sectPr>
          <w:headerReference w:type="default" r:id="rId60"/>
          <w:footerReference w:type="even" r:id="rId61"/>
          <w:footerReference w:type="default" r:id="rId62"/>
          <w:type w:val="nextPage"/>
          <w:pgSz w:w="11906" w:h="16838"/>
          <w:pgMar w:top="1440" w:right="1418" w:bottom="1440" w:left="1418" w:header="851" w:footer="992" w:gutter="0"/>
          <w:pgNumType w:start="15"/>
          <w:cols w:space="708"/>
          <w:titlePg w:val="0"/>
          <w:docGrid w:type="lines" w:linePitch="312"/>
        </w:sectPr>
      </w:pPr>
      <w:r>
        <w:rPr>
          <w:sz w:val="28"/>
          <w:szCs w:val="28"/>
        </w:rPr>
        <w:t>该地区年平均风速为1.9m/s，该公司钢结构建构筑物若遭遇强风易造成坍塌事故。</w:t>
      </w:r>
    </w:p>
    <w:p>
      <w:pPr>
        <w:pStyle w:val="Heading3"/>
        <w:numPr>
          <w:ilvl w:val="2"/>
          <w:numId w:val="0"/>
        </w:numPr>
        <w:tabs>
          <w:tab w:val="left" w:pos="720"/>
        </w:tabs>
        <w:spacing w:before="156" w:after="156" w:afterLines="50" w:line="500" w:lineRule="exact"/>
        <w:rPr>
          <w:rFonts w:ascii="Times New Roman" w:eastAsia="黑体" w:hAnsi="Times New Roman"/>
          <w:spacing w:val="-3"/>
          <w:lang w:eastAsia="zh-CN"/>
        </w:rPr>
      </w:pPr>
      <w:r>
        <w:rPr>
          <w:rFonts w:ascii="Times New Roman" w:eastAsia="黑体" w:hAnsi="Times New Roman"/>
          <w:spacing w:val="-3"/>
        </w:rPr>
        <w:t>2.3.3抗震设防烈度</w:t>
      </w:r>
    </w:p>
    <w:p>
      <w:pPr>
        <w:ind w:firstLine="570"/>
        <w:rPr>
          <w:sz w:val="28"/>
          <w:szCs w:val="28"/>
        </w:rPr>
        <w:sectPr>
          <w:headerReference w:type="default" r:id="rId63"/>
          <w:footerReference w:type="even" r:id="rId64"/>
          <w:footerReference w:type="default" r:id="rId65"/>
          <w:type w:val="nextPage"/>
          <w:pgSz w:w="11906" w:h="16838"/>
          <w:pgMar w:top="1440" w:right="1418" w:bottom="1440" w:left="1418" w:header="851" w:footer="992" w:gutter="0"/>
          <w:pgNumType w:start="16"/>
          <w:cols w:space="708"/>
          <w:titlePg w:val="0"/>
          <w:docGrid w:type="lines" w:linePitch="312"/>
        </w:sectPr>
      </w:pPr>
      <w:r>
        <w:rPr>
          <w:sz w:val="28"/>
          <w:szCs w:val="28"/>
        </w:rPr>
        <w:t>抗震根据《建筑抗震设计规范》GB50011-2010（2016局部修订版）之附录A《我国主要城镇抗震设防烈度、设计基本地震加速度和设计地震分组》的规定，</w:t>
      </w:r>
      <w:r>
        <w:rPr>
          <w:rFonts w:hint="eastAsia"/>
          <w:sz w:val="28"/>
          <w:szCs w:val="28"/>
          <w:lang w:eastAsia="zh-CN"/>
        </w:rPr>
        <w:t>XX</w:t>
      </w:r>
      <w:r>
        <w:rPr>
          <w:sz w:val="28"/>
          <w:szCs w:val="28"/>
        </w:rPr>
        <w:t>县建筑抗震设防烈度为7度，设计基本地震加速度值为0.15g，分组为第二组。</w:t>
      </w:r>
      <w:bookmarkEnd w:id="32"/>
      <w:bookmarkEnd w:id="33"/>
    </w:p>
    <w:p>
      <w:pPr>
        <w:pStyle w:val="Heading1"/>
        <w:spacing w:line="500" w:lineRule="exact"/>
        <w:jc w:val="center"/>
        <w:rPr>
          <w:sz w:val="32"/>
          <w:szCs w:val="32"/>
        </w:rPr>
      </w:pPr>
      <w:bookmarkStart w:id="37" w:name="_Toc17646657"/>
      <w:bookmarkStart w:id="38" w:name="_Toc46132541"/>
      <w:r>
        <w:rPr>
          <w:sz w:val="32"/>
          <w:szCs w:val="32"/>
        </w:rPr>
        <w:t>3．建设项目危险、有害因素及危险、有害程度分析</w:t>
      </w:r>
      <w:bookmarkEnd w:id="37"/>
      <w:bookmarkEnd w:id="38"/>
    </w:p>
    <w:p>
      <w:pPr>
        <w:adjustRightInd w:val="0"/>
        <w:snapToGrid w:val="0"/>
        <w:spacing w:line="600" w:lineRule="exact"/>
        <w:ind w:firstLine="560" w:firstLineChars="200"/>
        <w:rPr>
          <w:rFonts w:hint="eastAsia"/>
          <w:sz w:val="28"/>
          <w:szCs w:val="28"/>
        </w:rPr>
      </w:pPr>
      <w:r>
        <w:rPr>
          <w:rFonts w:hint="eastAsia"/>
          <w:sz w:val="28"/>
          <w:szCs w:val="28"/>
        </w:rPr>
        <w:t>本章主要对评价区域内存在的危险有害物质和生产作业过程中存在的危险、有害因素进行分析，对评价区域是否构成重大危险源进行辨识。</w:t>
      </w:r>
    </w:p>
    <w:p>
      <w:pPr>
        <w:pStyle w:val="Subtitle"/>
        <w:spacing w:line="600" w:lineRule="exact"/>
        <w:ind w:firstLine="562"/>
        <w:rPr>
          <w:rFonts w:ascii="Times New Roman" w:eastAsia="楷体" w:hAnsi="Times New Roman" w:hint="eastAsia"/>
          <w:sz w:val="28"/>
          <w:szCs w:val="28"/>
          <w:lang w:eastAsia="zh-CN"/>
        </w:rPr>
      </w:pPr>
      <w:bookmarkStart w:id="39" w:name="_Toc5269"/>
      <w:bookmarkStart w:id="40" w:name="_Toc17646658"/>
      <w:bookmarkStart w:id="41" w:name="_Toc46132542"/>
      <w:r>
        <w:rPr>
          <w:rFonts w:ascii="Times New Roman" w:eastAsia="楷体" w:hAnsi="Times New Roman"/>
          <w:sz w:val="28"/>
          <w:szCs w:val="28"/>
        </w:rPr>
        <w:t>3.1</w:t>
      </w:r>
      <w:r>
        <w:rPr>
          <w:rFonts w:ascii="Times New Roman" w:eastAsia="楷体" w:hAnsi="Times New Roman" w:hint="eastAsia"/>
          <w:sz w:val="28"/>
          <w:szCs w:val="28"/>
          <w:lang w:val="en-US" w:eastAsia="zh-CN"/>
        </w:rPr>
        <w:t xml:space="preserve">  物质</w:t>
      </w:r>
      <w:r>
        <w:rPr>
          <w:rFonts w:ascii="Times New Roman" w:eastAsia="楷体" w:hAnsi="Times New Roman"/>
          <w:sz w:val="28"/>
          <w:szCs w:val="28"/>
        </w:rPr>
        <w:t>危险</w:t>
      </w:r>
      <w:bookmarkEnd w:id="39"/>
      <w:bookmarkEnd w:id="40"/>
      <w:r>
        <w:rPr>
          <w:rFonts w:ascii="Times New Roman" w:eastAsia="楷体" w:hAnsi="Times New Roman" w:hint="eastAsia"/>
          <w:sz w:val="28"/>
          <w:szCs w:val="28"/>
          <w:lang w:eastAsia="zh-CN"/>
        </w:rPr>
        <w:t>性</w:t>
      </w:r>
      <w:bookmarkEnd w:id="41"/>
    </w:p>
    <w:p>
      <w:pPr>
        <w:pStyle w:val="Heading3"/>
        <w:numPr>
          <w:ilvl w:val="0"/>
          <w:numId w:val="0"/>
        </w:numPr>
        <w:tabs>
          <w:tab w:val="clear" w:pos="720"/>
        </w:tabs>
        <w:spacing w:before="156" w:after="120"/>
        <w:jc w:val="left"/>
        <w:rPr>
          <w:rFonts w:hint="eastAsia"/>
          <w:szCs w:val="28"/>
        </w:rPr>
      </w:pPr>
      <w:bookmarkStart w:id="42" w:name="_Toc10944"/>
      <w:r>
        <w:rPr>
          <w:rFonts w:hint="eastAsia"/>
          <w:szCs w:val="28"/>
        </w:rPr>
        <w:t>3.1.1</w:t>
      </w:r>
      <w:r>
        <w:rPr>
          <w:rFonts w:hint="eastAsia"/>
          <w:szCs w:val="28"/>
          <w:lang w:val="en-US" w:eastAsia="zh-CN"/>
        </w:rPr>
        <w:t xml:space="preserve"> </w:t>
      </w:r>
      <w:bookmarkEnd w:id="42"/>
      <w:r>
        <w:rPr>
          <w:rFonts w:hint="eastAsia"/>
          <w:szCs w:val="28"/>
        </w:rPr>
        <w:t>危险、有害因素的辨识依据</w:t>
      </w:r>
    </w:p>
    <w:p>
      <w:pPr>
        <w:adjustRightInd w:val="0"/>
        <w:snapToGrid w:val="0"/>
        <w:spacing w:line="600" w:lineRule="exact"/>
        <w:ind w:firstLine="560" w:firstLineChars="200"/>
        <w:rPr>
          <w:rFonts w:hint="eastAsia"/>
          <w:sz w:val="28"/>
          <w:szCs w:val="28"/>
        </w:rPr>
      </w:pPr>
      <w:r>
        <w:rPr>
          <w:rFonts w:hint="eastAsia"/>
          <w:sz w:val="28"/>
          <w:szCs w:val="28"/>
        </w:rPr>
        <w:t>本报告危险、有害因素的辨识依据主要为《危险化学品目录(2018版)》、《危险化学品重大危险源辨识》(GB18218-2018)、《危险化学品重大危险源监督管理暂行规定》(国家安全生产监督管理总局令[2011]第40号，2015年修订)、《企业职工伤亡事故分类》(GB6441-1986)、《职业性接触毒物危害程度分级》(GBZ230-2010)、《生产过程危险和有害因素分类与代码》(GB13861-2009)。</w:t>
      </w:r>
    </w:p>
    <w:p>
      <w:pPr>
        <w:pStyle w:val="Heading3"/>
        <w:numPr>
          <w:ilvl w:val="0"/>
          <w:numId w:val="0"/>
        </w:numPr>
        <w:tabs>
          <w:tab w:val="clear" w:pos="720"/>
        </w:tabs>
        <w:spacing w:before="156" w:after="120"/>
        <w:jc w:val="left"/>
        <w:rPr>
          <w:rFonts w:hint="eastAsia"/>
          <w:szCs w:val="28"/>
        </w:rPr>
      </w:pPr>
      <w:bookmarkStart w:id="43" w:name="_Toc440550106"/>
      <w:bookmarkStart w:id="44" w:name="_Toc445282805"/>
      <w:bookmarkStart w:id="45" w:name="_Toc25160"/>
      <w:bookmarkStart w:id="46" w:name="_Toc440549848"/>
      <w:r>
        <w:rPr>
          <w:rFonts w:hint="eastAsia"/>
          <w:szCs w:val="28"/>
        </w:rPr>
        <w:t>3.</w:t>
      </w:r>
      <w:r>
        <w:rPr>
          <w:rFonts w:hint="eastAsia"/>
          <w:szCs w:val="28"/>
          <w:lang w:eastAsia="zh-CN"/>
        </w:rPr>
        <w:t>1</w:t>
      </w:r>
      <w:r>
        <w:rPr>
          <w:rFonts w:hint="eastAsia"/>
          <w:szCs w:val="28"/>
        </w:rPr>
        <w:t>.2</w:t>
      </w:r>
      <w:r>
        <w:rPr>
          <w:rFonts w:hint="eastAsia"/>
          <w:szCs w:val="28"/>
          <w:lang w:val="en-US" w:eastAsia="zh-CN"/>
        </w:rPr>
        <w:t xml:space="preserve"> </w:t>
      </w:r>
      <w:r>
        <w:rPr>
          <w:rFonts w:hint="eastAsia"/>
          <w:szCs w:val="28"/>
        </w:rPr>
        <w:t>物质危险性分析</w:t>
      </w:r>
      <w:bookmarkEnd w:id="43"/>
      <w:bookmarkEnd w:id="44"/>
      <w:bookmarkEnd w:id="45"/>
      <w:bookmarkEnd w:id="46"/>
    </w:p>
    <w:p>
      <w:pPr>
        <w:spacing w:line="600" w:lineRule="exact"/>
        <w:ind w:firstLine="560" w:firstLineChars="200"/>
        <w:rPr>
          <w:rFonts w:hint="eastAsia"/>
        </w:rPr>
        <w:sectPr>
          <w:headerReference w:type="default" r:id="rId66"/>
          <w:footerReference w:type="even" r:id="rId67"/>
          <w:footerReference w:type="default" r:id="rId68"/>
          <w:pgSz w:w="11906" w:h="16838"/>
          <w:pgMar w:top="1440" w:right="1418" w:bottom="1440" w:left="1418" w:header="851" w:footer="992" w:gutter="0"/>
          <w:pgNumType w:start="17"/>
          <w:cols w:space="708"/>
          <w:docGrid w:type="lines" w:linePitch="312"/>
        </w:sectPr>
      </w:pPr>
      <w:r>
        <w:rPr>
          <w:rFonts w:hint="eastAsia"/>
          <w:sz w:val="28"/>
          <w:szCs w:val="28"/>
        </w:rPr>
        <w:t>拟建项目生产线的主要产品为机械零部件，原料主要有不锈钢板、焊丝、机油、液压油、氧气气瓶、二氧化碳气瓶和水刀砂，其主要物质均为无毒物质，但焊丝、机油、液压油均属可燃属物质。氧气、二氧化碳等物料运用气瓶充装，具有爆炸性，氧气且具有助燃性，厂内车辆所使用的柴油属易燃可燃物质，激光切割机生产过程中的激光对人的眼睛和皮肤均会造成一定程度的伤害，也可导致火灾的发生。本报告对上述物质进行危险和有害因素辨识和分析</w:t>
      </w:r>
    </w:p>
    <w:p>
      <w:pPr>
        <w:tabs>
          <w:tab w:val="left" w:pos="420"/>
        </w:tabs>
        <w:spacing w:line="600" w:lineRule="exact"/>
        <w:rPr>
          <w:rFonts w:hint="eastAsia"/>
          <w:b/>
          <w:bCs/>
          <w:sz w:val="28"/>
          <w:szCs w:val="28"/>
        </w:rPr>
      </w:pPr>
      <w:bookmarkStart w:id="47" w:name="_Toc28745"/>
      <w:bookmarkStart w:id="48" w:name="_Toc573"/>
      <w:bookmarkStart w:id="49" w:name="_Toc17351"/>
      <w:bookmarkStart w:id="50" w:name="_Toc9897"/>
      <w:bookmarkStart w:id="51" w:name="_Toc17646659"/>
      <w:r>
        <w:rPr>
          <w:rFonts w:hint="eastAsia"/>
          <w:b/>
          <w:bCs/>
          <w:sz w:val="28"/>
          <w:szCs w:val="28"/>
        </w:rPr>
        <w:t xml:space="preserve">（1）液压油、润滑油 </w:t>
      </w:r>
    </w:p>
    <w:p>
      <w:pPr>
        <w:spacing w:line="600" w:lineRule="exact"/>
        <w:ind w:firstLine="560" w:firstLineChars="200"/>
        <w:rPr>
          <w:rFonts w:hint="eastAsia"/>
          <w:sz w:val="28"/>
          <w:szCs w:val="28"/>
        </w:rPr>
      </w:pPr>
      <w:r>
        <w:rPr>
          <w:rFonts w:hint="eastAsia"/>
          <w:sz w:val="28"/>
          <w:szCs w:val="28"/>
        </w:rPr>
        <w:t>液压设备需要液压油，设备运行过程中，为了使其更好的运转，需要对其进行润滑，要用到润滑油，</w:t>
      </w:r>
      <w:r>
        <w:rPr>
          <w:sz w:val="28"/>
          <w:szCs w:val="28"/>
        </w:rPr>
        <w:t>用于机械的摩擦部分,起润滑、冷却和密封作用</w:t>
      </w:r>
      <w:r>
        <w:rPr>
          <w:rFonts w:hint="eastAsia"/>
          <w:sz w:val="28"/>
          <w:szCs w:val="28"/>
        </w:rPr>
        <w:t>；车辆下线需加注</w:t>
      </w:r>
      <w:r>
        <w:rPr>
          <w:rFonts w:hint="eastAsia"/>
          <w:bCs/>
          <w:sz w:val="28"/>
          <w:szCs w:val="28"/>
        </w:rPr>
        <w:t>液压油、润滑油。</w:t>
      </w:r>
      <w:r>
        <w:rPr>
          <w:rFonts w:hint="eastAsia"/>
          <w:sz w:val="28"/>
          <w:szCs w:val="28"/>
        </w:rPr>
        <w:t>液压油、润滑油</w:t>
      </w:r>
      <w:r>
        <w:rPr>
          <w:sz w:val="28"/>
          <w:szCs w:val="28"/>
        </w:rPr>
        <w:t>遇明火、高热可燃</w:t>
      </w:r>
      <w:r>
        <w:rPr>
          <w:rFonts w:hint="eastAsia"/>
          <w:sz w:val="28"/>
          <w:szCs w:val="28"/>
        </w:rPr>
        <w:t>，燃烧产物为CO、CO</w:t>
      </w:r>
      <w:r>
        <w:rPr>
          <w:rFonts w:hint="eastAsia"/>
          <w:sz w:val="28"/>
          <w:szCs w:val="28"/>
          <w:vertAlign w:val="subscript"/>
        </w:rPr>
        <w:t>2</w:t>
      </w:r>
    </w:p>
    <w:p>
      <w:pPr>
        <w:spacing w:line="600" w:lineRule="exact"/>
        <w:ind w:firstLine="560" w:firstLineChars="200"/>
        <w:rPr>
          <w:rFonts w:hint="eastAsia"/>
          <w:sz w:val="28"/>
          <w:szCs w:val="28"/>
        </w:rPr>
      </w:pPr>
      <w:r>
        <w:rPr>
          <w:rFonts w:hint="eastAsia"/>
          <w:sz w:val="28"/>
          <w:szCs w:val="28"/>
        </w:rPr>
        <w:t>外观与性状：</w:t>
      </w:r>
      <w:r>
        <w:rPr>
          <w:sz w:val="28"/>
          <w:szCs w:val="28"/>
        </w:rPr>
        <w:t>油状液体, 淡黄色至褐色, 无气味或略带异味。</w:t>
      </w:r>
    </w:p>
    <w:p>
      <w:pPr>
        <w:spacing w:line="600" w:lineRule="exact"/>
        <w:ind w:firstLine="560" w:firstLineChars="200"/>
        <w:rPr>
          <w:rFonts w:hint="eastAsia"/>
          <w:sz w:val="28"/>
          <w:szCs w:val="28"/>
        </w:rPr>
      </w:pPr>
      <w:r>
        <w:rPr>
          <w:rFonts w:hint="eastAsia"/>
          <w:sz w:val="28"/>
          <w:szCs w:val="28"/>
        </w:rPr>
        <w:t>禁配物：强氧化剂</w:t>
      </w:r>
    </w:p>
    <w:p>
      <w:pPr>
        <w:spacing w:line="600" w:lineRule="exact"/>
        <w:ind w:firstLine="560" w:firstLineChars="200"/>
        <w:rPr>
          <w:rFonts w:hint="eastAsia"/>
          <w:sz w:val="28"/>
          <w:szCs w:val="28"/>
        </w:rPr>
      </w:pPr>
      <w:r>
        <w:rPr>
          <w:rFonts w:hint="eastAsia"/>
          <w:sz w:val="28"/>
          <w:szCs w:val="28"/>
        </w:rPr>
        <w:t>健康危害：</w:t>
      </w:r>
      <w:r>
        <w:rPr>
          <w:sz w:val="28"/>
          <w:szCs w:val="28"/>
        </w:rPr>
        <w:t>急性吸入，可出现乏力、头晕、头痛、恶心，严重者可引起油脂性肺炎。慢接触者，暴露部位可发生油性痤疮和接触性皮炎。可引起神经衰弱综合</w:t>
      </w:r>
      <w:r>
        <w:rPr>
          <w:rFonts w:hint="eastAsia"/>
          <w:sz w:val="28"/>
          <w:szCs w:val="28"/>
        </w:rPr>
        <w:t>症</w:t>
      </w:r>
      <w:r>
        <w:rPr>
          <w:sz w:val="28"/>
          <w:szCs w:val="28"/>
        </w:rPr>
        <w:t>，呼吸道和眼刺激症状及慢性油脂性肺炎。有资料报道，接触石油润滑油类的工人，有致癌的病例报告。</w:t>
      </w:r>
    </w:p>
    <w:p>
      <w:pPr>
        <w:rPr>
          <w:sz w:val="28"/>
          <w:szCs w:val="28"/>
        </w:rPr>
      </w:pPr>
      <w:r>
        <w:rPr>
          <w:rFonts w:hint="eastAsia"/>
          <w:sz w:val="28"/>
          <w:szCs w:val="28"/>
        </w:rPr>
        <w:t>储存注意事项：</w:t>
      </w:r>
      <w:r>
        <w:rPr>
          <w:sz w:val="28"/>
          <w:szCs w:val="28"/>
        </w:rPr>
        <w:t>储存于阴凉、通风的库房。远离火种、热源。应与氧化剂分开存放，切忌混储。配备相应品种和数量的消防器材。储区应备有泄漏应急处理设备和合适的收容材料。</w:t>
      </w:r>
    </w:p>
    <w:p>
      <w:pPr>
        <w:tabs>
          <w:tab w:val="left" w:pos="420"/>
        </w:tabs>
        <w:spacing w:line="600" w:lineRule="exact"/>
        <w:rPr>
          <w:rFonts w:hint="eastAsia"/>
          <w:b/>
          <w:bCs/>
          <w:sz w:val="28"/>
          <w:szCs w:val="28"/>
        </w:rPr>
      </w:pPr>
      <w:r>
        <w:rPr>
          <w:rFonts w:hint="eastAsia"/>
          <w:b/>
          <w:bCs/>
          <w:sz w:val="28"/>
          <w:szCs w:val="28"/>
        </w:rPr>
        <w:t>（2）车用柴油</w:t>
      </w:r>
    </w:p>
    <w:p>
      <w:pPr>
        <w:spacing w:line="600" w:lineRule="exact"/>
        <w:ind w:firstLine="560" w:firstLineChars="200"/>
        <w:rPr>
          <w:rFonts w:hint="eastAsia"/>
          <w:sz w:val="28"/>
          <w:szCs w:val="28"/>
        </w:rPr>
      </w:pPr>
      <w:r>
        <w:rPr>
          <w:rFonts w:hint="eastAsia"/>
          <w:sz w:val="28"/>
          <w:szCs w:val="28"/>
        </w:rPr>
        <w:t>车用柴油为易燃液体，遇明火、高热或与氧化剂接触，有引起燃烧爆炸的危险。燃烧产生一氧化碳、二氧化碳等。</w:t>
      </w:r>
    </w:p>
    <w:p>
      <w:pPr>
        <w:tabs>
          <w:tab w:val="left" w:pos="2750"/>
        </w:tabs>
        <w:spacing w:line="360" w:lineRule="auto"/>
        <w:jc w:val="center"/>
        <w:rPr>
          <w:rFonts w:cs="宋体"/>
          <w:b/>
          <w:spacing w:val="3"/>
          <w:sz w:val="28"/>
          <w:szCs w:val="28"/>
        </w:rPr>
      </w:pPr>
      <w:r>
        <w:rPr>
          <w:rFonts w:cs="宋体" w:hint="eastAsia"/>
          <w:b/>
          <w:spacing w:val="3"/>
          <w:sz w:val="28"/>
          <w:szCs w:val="28"/>
        </w:rPr>
        <w:t>柴油的危险有害特性表</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1626"/>
        <w:gridCol w:w="2087"/>
        <w:gridCol w:w="1891"/>
        <w:gridCol w:w="2711"/>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标识</w:t>
            </w:r>
          </w:p>
        </w:tc>
        <w:tc>
          <w:tcPr>
            <w:tcW w:w="1626" w:type="dxa"/>
            <w:vAlign w:val="center"/>
          </w:tcPr>
          <w:p>
            <w:pPr>
              <w:spacing w:line="320" w:lineRule="exact"/>
              <w:jc w:val="center"/>
              <w:rPr>
                <w:spacing w:val="3"/>
                <w:szCs w:val="21"/>
              </w:rPr>
            </w:pPr>
            <w:r>
              <w:rPr>
                <w:spacing w:val="3"/>
                <w:szCs w:val="21"/>
              </w:rPr>
              <w:t>中文名</w:t>
            </w:r>
          </w:p>
        </w:tc>
        <w:tc>
          <w:tcPr>
            <w:tcW w:w="2087" w:type="dxa"/>
            <w:vAlign w:val="center"/>
          </w:tcPr>
          <w:p>
            <w:pPr>
              <w:spacing w:line="320" w:lineRule="exact"/>
              <w:jc w:val="center"/>
              <w:rPr>
                <w:spacing w:val="3"/>
                <w:szCs w:val="21"/>
              </w:rPr>
            </w:pPr>
            <w:r>
              <w:rPr>
                <w:spacing w:val="3"/>
                <w:szCs w:val="21"/>
              </w:rPr>
              <w:t>柴油</w:t>
            </w:r>
          </w:p>
        </w:tc>
        <w:tc>
          <w:tcPr>
            <w:tcW w:w="1891" w:type="dxa"/>
            <w:vAlign w:val="center"/>
          </w:tcPr>
          <w:p>
            <w:pPr>
              <w:spacing w:line="320" w:lineRule="exact"/>
              <w:jc w:val="center"/>
              <w:rPr>
                <w:spacing w:val="3"/>
                <w:szCs w:val="21"/>
              </w:rPr>
            </w:pPr>
            <w:r>
              <w:rPr>
                <w:spacing w:val="3"/>
                <w:szCs w:val="21"/>
              </w:rPr>
              <w:t>英文名</w:t>
            </w:r>
          </w:p>
        </w:tc>
        <w:tc>
          <w:tcPr>
            <w:tcW w:w="2711" w:type="dxa"/>
            <w:vAlign w:val="center"/>
          </w:tcPr>
          <w:p>
            <w:pPr>
              <w:spacing w:line="320" w:lineRule="exact"/>
              <w:jc w:val="center"/>
              <w:rPr>
                <w:spacing w:val="3"/>
                <w:szCs w:val="21"/>
              </w:rPr>
            </w:pPr>
            <w:r>
              <w:rPr>
                <w:spacing w:val="3"/>
                <w:szCs w:val="21"/>
              </w:rPr>
              <w:t>Diesel oil</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分子式</w:t>
            </w:r>
          </w:p>
        </w:tc>
        <w:tc>
          <w:tcPr>
            <w:tcW w:w="2087" w:type="dxa"/>
            <w:vAlign w:val="center"/>
          </w:tcPr>
          <w:p>
            <w:pPr>
              <w:spacing w:line="320" w:lineRule="exact"/>
              <w:jc w:val="center"/>
              <w:rPr>
                <w:spacing w:val="3"/>
                <w:szCs w:val="21"/>
              </w:rPr>
            </w:pPr>
            <w:r>
              <w:rPr>
                <w:rFonts w:hint="eastAsia"/>
                <w:spacing w:val="3"/>
                <w:szCs w:val="21"/>
              </w:rPr>
              <w:t>--</w:t>
            </w:r>
          </w:p>
        </w:tc>
        <w:tc>
          <w:tcPr>
            <w:tcW w:w="1891" w:type="dxa"/>
            <w:vMerge w:val="restart"/>
            <w:vAlign w:val="center"/>
          </w:tcPr>
          <w:p>
            <w:pPr>
              <w:spacing w:line="320" w:lineRule="exact"/>
              <w:jc w:val="center"/>
              <w:rPr>
                <w:spacing w:val="3"/>
                <w:szCs w:val="21"/>
              </w:rPr>
            </w:pPr>
            <w:r>
              <w:rPr>
                <w:rFonts w:hint="eastAsia"/>
                <w:spacing w:val="3"/>
                <w:szCs w:val="21"/>
              </w:rPr>
              <w:t>CAS号</w:t>
            </w:r>
          </w:p>
        </w:tc>
        <w:tc>
          <w:tcPr>
            <w:tcW w:w="2711" w:type="dxa"/>
            <w:vMerge w:val="restart"/>
            <w:vAlign w:val="center"/>
          </w:tcPr>
          <w:p>
            <w:pPr>
              <w:spacing w:line="320" w:lineRule="exact"/>
              <w:jc w:val="center"/>
              <w:rPr>
                <w:spacing w:val="3"/>
                <w:szCs w:val="21"/>
              </w:rPr>
            </w:pPr>
            <w:r>
              <w:rPr>
                <w:rFonts w:hint="eastAsia"/>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分子量</w:t>
            </w:r>
          </w:p>
        </w:tc>
        <w:tc>
          <w:tcPr>
            <w:tcW w:w="2087" w:type="dxa"/>
            <w:vAlign w:val="center"/>
          </w:tcPr>
          <w:p>
            <w:pPr>
              <w:spacing w:line="320" w:lineRule="exact"/>
              <w:jc w:val="center"/>
              <w:rPr>
                <w:spacing w:val="3"/>
                <w:szCs w:val="21"/>
              </w:rPr>
            </w:pPr>
            <w:r>
              <w:rPr>
                <w:rFonts w:hint="eastAsia"/>
                <w:spacing w:val="3"/>
                <w:szCs w:val="21"/>
              </w:rPr>
              <w:t>--</w:t>
            </w:r>
          </w:p>
        </w:tc>
        <w:tc>
          <w:tcPr>
            <w:tcW w:w="1891" w:type="dxa"/>
            <w:vMerge/>
            <w:vAlign w:val="center"/>
          </w:tcPr>
          <w:p>
            <w:pPr>
              <w:spacing w:line="320" w:lineRule="exact"/>
              <w:jc w:val="center"/>
              <w:rPr>
                <w:spacing w:val="3"/>
                <w:szCs w:val="21"/>
              </w:rPr>
            </w:pPr>
          </w:p>
        </w:tc>
        <w:tc>
          <w:tcPr>
            <w:tcW w:w="2711" w:type="dxa"/>
            <w:vMerge/>
            <w:vAlign w:val="center"/>
          </w:tcPr>
          <w:p>
            <w:pPr>
              <w:spacing w:line="320" w:lineRule="exact"/>
              <w:jc w:val="center"/>
              <w:rPr>
                <w:spacing w:val="3"/>
                <w:szCs w:val="21"/>
              </w:rPr>
            </w:pP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理化特性</w:t>
            </w:r>
          </w:p>
        </w:tc>
        <w:tc>
          <w:tcPr>
            <w:tcW w:w="1626" w:type="dxa"/>
            <w:vAlign w:val="center"/>
          </w:tcPr>
          <w:p>
            <w:pPr>
              <w:spacing w:line="320" w:lineRule="exact"/>
              <w:jc w:val="center"/>
              <w:rPr>
                <w:spacing w:val="3"/>
                <w:szCs w:val="21"/>
              </w:rPr>
            </w:pPr>
            <w:r>
              <w:rPr>
                <w:spacing w:val="3"/>
                <w:szCs w:val="21"/>
              </w:rPr>
              <w:t>熔点(</w:t>
            </w:r>
            <w:r>
              <w:rPr>
                <w:rFonts w:ascii="宋体" w:hAnsi="宋体" w:cs="宋体" w:hint="eastAsia"/>
                <w:spacing w:val="3"/>
                <w:szCs w:val="21"/>
              </w:rPr>
              <w:t>℃</w:t>
            </w:r>
            <w:r>
              <w:rPr>
                <w:spacing w:val="3"/>
                <w:szCs w:val="21"/>
              </w:rPr>
              <w:t>)</w:t>
            </w:r>
          </w:p>
        </w:tc>
        <w:tc>
          <w:tcPr>
            <w:tcW w:w="2087" w:type="dxa"/>
            <w:vAlign w:val="center"/>
          </w:tcPr>
          <w:p>
            <w:pPr>
              <w:spacing w:line="320" w:lineRule="exact"/>
              <w:jc w:val="center"/>
              <w:rPr>
                <w:spacing w:val="3"/>
                <w:szCs w:val="21"/>
              </w:rPr>
            </w:pPr>
            <w:r>
              <w:rPr>
                <w:spacing w:val="3"/>
                <w:szCs w:val="21"/>
              </w:rPr>
              <w:t>-18</w:t>
            </w:r>
          </w:p>
        </w:tc>
        <w:tc>
          <w:tcPr>
            <w:tcW w:w="1891" w:type="dxa"/>
            <w:vAlign w:val="center"/>
          </w:tcPr>
          <w:p>
            <w:pPr>
              <w:spacing w:line="320" w:lineRule="exact"/>
              <w:jc w:val="center"/>
              <w:rPr>
                <w:spacing w:val="3"/>
                <w:szCs w:val="21"/>
              </w:rPr>
            </w:pPr>
            <w:r>
              <w:rPr>
                <w:spacing w:val="3"/>
                <w:szCs w:val="21"/>
              </w:rPr>
              <w:t>沸点(</w:t>
            </w:r>
            <w:r>
              <w:rPr>
                <w:rFonts w:ascii="宋体" w:hAnsi="宋体" w:cs="宋体" w:hint="eastAsia"/>
                <w:spacing w:val="3"/>
                <w:szCs w:val="21"/>
              </w:rPr>
              <w:t>℃</w:t>
            </w:r>
            <w:r>
              <w:rPr>
                <w:spacing w:val="3"/>
                <w:szCs w:val="21"/>
              </w:rPr>
              <w:t>)</w:t>
            </w:r>
          </w:p>
        </w:tc>
        <w:tc>
          <w:tcPr>
            <w:tcW w:w="2711" w:type="dxa"/>
            <w:vAlign w:val="center"/>
          </w:tcPr>
          <w:p>
            <w:pPr>
              <w:spacing w:line="320" w:lineRule="exact"/>
              <w:jc w:val="center"/>
              <w:rPr>
                <w:spacing w:val="3"/>
                <w:szCs w:val="21"/>
              </w:rPr>
            </w:pPr>
            <w:r>
              <w:rPr>
                <w:spacing w:val="3"/>
                <w:szCs w:val="21"/>
              </w:rPr>
              <w:t>282-338</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燃烧热(kJ</w:t>
            </w:r>
            <w:r>
              <w:rPr>
                <w:rFonts w:hint="eastAsia"/>
                <w:spacing w:val="3"/>
                <w:szCs w:val="21"/>
              </w:rPr>
              <w:t>/kg</w:t>
            </w:r>
            <w:r>
              <w:rPr>
                <w:spacing w:val="3"/>
                <w:szCs w:val="21"/>
              </w:rPr>
              <w:t>)</w:t>
            </w:r>
          </w:p>
        </w:tc>
        <w:tc>
          <w:tcPr>
            <w:tcW w:w="2087" w:type="dxa"/>
            <w:vAlign w:val="center"/>
          </w:tcPr>
          <w:p>
            <w:pPr>
              <w:spacing w:line="320" w:lineRule="exact"/>
              <w:jc w:val="center"/>
              <w:rPr>
                <w:spacing w:val="3"/>
                <w:szCs w:val="21"/>
              </w:rPr>
            </w:pPr>
            <w:r>
              <w:rPr>
                <w:rFonts w:hint="eastAsia"/>
                <w:spacing w:val="3"/>
                <w:szCs w:val="21"/>
              </w:rPr>
              <w:t>45000</w:t>
            </w:r>
          </w:p>
        </w:tc>
        <w:tc>
          <w:tcPr>
            <w:tcW w:w="1891" w:type="dxa"/>
            <w:vAlign w:val="center"/>
          </w:tcPr>
          <w:p>
            <w:pPr>
              <w:spacing w:line="320" w:lineRule="exact"/>
              <w:jc w:val="center"/>
              <w:rPr>
                <w:spacing w:val="3"/>
                <w:szCs w:val="21"/>
              </w:rPr>
            </w:pPr>
            <w:r>
              <w:rPr>
                <w:spacing w:val="3"/>
                <w:szCs w:val="21"/>
              </w:rPr>
              <w:t>饱和蒸气压(kPa)</w:t>
            </w:r>
          </w:p>
        </w:tc>
        <w:tc>
          <w:tcPr>
            <w:tcW w:w="2711" w:type="dxa"/>
            <w:vAlign w:val="center"/>
          </w:tcPr>
          <w:p>
            <w:pPr>
              <w:spacing w:line="320" w:lineRule="exact"/>
              <w:jc w:val="center"/>
              <w:rPr>
                <w:spacing w:val="3"/>
                <w:szCs w:val="21"/>
              </w:rPr>
            </w:pP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主要成分</w:t>
            </w:r>
          </w:p>
        </w:tc>
        <w:tc>
          <w:tcPr>
            <w:tcW w:w="6689" w:type="dxa"/>
            <w:gridSpan w:val="3"/>
            <w:vAlign w:val="center"/>
          </w:tcPr>
          <w:p>
            <w:pPr>
              <w:spacing w:line="320" w:lineRule="exact"/>
              <w:rPr>
                <w:spacing w:val="3"/>
                <w:szCs w:val="21"/>
              </w:rPr>
            </w:pPr>
            <w:r>
              <w:rPr>
                <w:spacing w:val="3"/>
                <w:szCs w:val="21"/>
              </w:rPr>
              <w:t>C</w:t>
            </w:r>
            <w:r>
              <w:rPr>
                <w:spacing w:val="3"/>
                <w:szCs w:val="21"/>
                <w:vertAlign w:val="subscript"/>
              </w:rPr>
              <w:t>10</w:t>
            </w:r>
            <w:r>
              <w:rPr>
                <w:spacing w:val="3"/>
                <w:szCs w:val="21"/>
              </w:rPr>
              <w:t>-C</w:t>
            </w:r>
            <w:r>
              <w:rPr>
                <w:spacing w:val="3"/>
                <w:szCs w:val="21"/>
                <w:vertAlign w:val="subscript"/>
              </w:rPr>
              <w:t>22</w:t>
            </w:r>
            <w:r>
              <w:rPr>
                <w:spacing w:val="3"/>
                <w:szCs w:val="21"/>
              </w:rPr>
              <w:t>烷烃、烯烃、环烷烃、芳香烃、多环烃与少量硫及添加剂组成的混合物。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相对密度</w:t>
            </w:r>
          </w:p>
        </w:tc>
        <w:tc>
          <w:tcPr>
            <w:tcW w:w="6689" w:type="dxa"/>
            <w:gridSpan w:val="3"/>
            <w:vAlign w:val="center"/>
          </w:tcPr>
          <w:p>
            <w:pPr>
              <w:spacing w:line="320" w:lineRule="exact"/>
              <w:jc w:val="center"/>
              <w:rPr>
                <w:spacing w:val="3"/>
                <w:szCs w:val="21"/>
              </w:rPr>
            </w:pPr>
            <w:r>
              <w:rPr>
                <w:spacing w:val="3"/>
                <w:szCs w:val="21"/>
              </w:rPr>
              <w:t>(水=1) 0.87-0.9     (空气=1)</w:t>
            </w:r>
            <w:r>
              <w:rPr>
                <w:rFonts w:hint="eastAsia"/>
                <w:spacing w:val="3"/>
                <w:szCs w:val="21"/>
              </w:rPr>
              <w:t xml:space="preserve"> </w:t>
            </w:r>
            <w:r>
              <w:rPr>
                <w:spacing w:val="3"/>
                <w:szCs w:val="21"/>
              </w:rPr>
              <w:t>无资料</w:t>
            </w:r>
          </w:p>
        </w:tc>
      </w:tr>
    </w:tbl>
    <w:p>
      <w:pPr>
        <w:sectPr>
          <w:headerReference w:type="default" r:id="rId69"/>
          <w:footerReference w:type="even" r:id="rId70"/>
          <w:footerReference w:type="default" r:id="rId71"/>
          <w:type w:val="nextPage"/>
          <w:pgSz w:w="11906" w:h="16838"/>
          <w:pgMar w:top="1440" w:right="1418" w:bottom="1440" w:left="1418" w:header="851" w:footer="992" w:gutter="0"/>
          <w:pgNumType w:start="18"/>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1626"/>
        <w:gridCol w:w="1989"/>
        <w:gridCol w:w="1743"/>
        <w:gridCol w:w="2957"/>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Merge w:val="restart"/>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外观性状</w:t>
            </w:r>
          </w:p>
        </w:tc>
        <w:tc>
          <w:tcPr>
            <w:tcW w:w="6689" w:type="dxa"/>
            <w:gridSpan w:val="3"/>
            <w:vAlign w:val="center"/>
          </w:tcPr>
          <w:p>
            <w:pPr>
              <w:spacing w:line="320" w:lineRule="exact"/>
              <w:jc w:val="center"/>
              <w:rPr>
                <w:spacing w:val="3"/>
                <w:szCs w:val="21"/>
              </w:rPr>
            </w:pPr>
            <w:r>
              <w:rPr>
                <w:spacing w:val="3"/>
                <w:szCs w:val="21"/>
              </w:rPr>
              <w:t>稍有粘性的棕色液体。</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溶解性</w:t>
            </w:r>
          </w:p>
        </w:tc>
        <w:tc>
          <w:tcPr>
            <w:tcW w:w="6689" w:type="dxa"/>
            <w:gridSpan w:val="3"/>
            <w:vAlign w:val="center"/>
          </w:tcPr>
          <w:p>
            <w:pPr>
              <w:spacing w:line="320" w:lineRule="exact"/>
              <w:jc w:val="center"/>
              <w:rPr>
                <w:spacing w:val="3"/>
                <w:szCs w:val="21"/>
              </w:rPr>
            </w:pPr>
            <w:r>
              <w:rPr>
                <w:rFonts w:hint="eastAsia"/>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稳定性</w:t>
            </w:r>
          </w:p>
        </w:tc>
        <w:tc>
          <w:tcPr>
            <w:tcW w:w="1989" w:type="dxa"/>
            <w:vAlign w:val="center"/>
          </w:tcPr>
          <w:p>
            <w:pPr>
              <w:spacing w:line="320" w:lineRule="exact"/>
              <w:jc w:val="center"/>
              <w:rPr>
                <w:spacing w:val="3"/>
                <w:szCs w:val="21"/>
              </w:rPr>
            </w:pPr>
            <w:r>
              <w:rPr>
                <w:spacing w:val="3"/>
                <w:szCs w:val="21"/>
              </w:rPr>
              <w:t>稳定</w:t>
            </w:r>
          </w:p>
        </w:tc>
        <w:tc>
          <w:tcPr>
            <w:tcW w:w="1743" w:type="dxa"/>
            <w:vAlign w:val="center"/>
          </w:tcPr>
          <w:p>
            <w:pPr>
              <w:spacing w:line="320" w:lineRule="exact"/>
              <w:jc w:val="center"/>
              <w:rPr>
                <w:spacing w:val="3"/>
                <w:szCs w:val="21"/>
              </w:rPr>
            </w:pPr>
            <w:r>
              <w:rPr>
                <w:spacing w:val="3"/>
                <w:szCs w:val="21"/>
              </w:rPr>
              <w:t>聚合危害</w:t>
            </w:r>
          </w:p>
        </w:tc>
        <w:tc>
          <w:tcPr>
            <w:tcW w:w="2957" w:type="dxa"/>
            <w:vAlign w:val="center"/>
          </w:tcPr>
          <w:p>
            <w:pPr>
              <w:spacing w:line="320" w:lineRule="exact"/>
              <w:jc w:val="center"/>
              <w:rPr>
                <w:spacing w:val="3"/>
                <w:szCs w:val="21"/>
              </w:rPr>
            </w:pPr>
            <w:r>
              <w:rPr>
                <w:spacing w:val="3"/>
                <w:szCs w:val="21"/>
              </w:rPr>
              <w:t>不能发生</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禁忌物</w:t>
            </w:r>
          </w:p>
        </w:tc>
        <w:tc>
          <w:tcPr>
            <w:tcW w:w="1989" w:type="dxa"/>
            <w:vAlign w:val="center"/>
          </w:tcPr>
          <w:p>
            <w:pPr>
              <w:spacing w:line="320" w:lineRule="exact"/>
              <w:jc w:val="center"/>
              <w:rPr>
                <w:spacing w:val="3"/>
                <w:szCs w:val="21"/>
              </w:rPr>
            </w:pPr>
            <w:r>
              <w:rPr>
                <w:spacing w:val="3"/>
                <w:szCs w:val="21"/>
              </w:rPr>
              <w:t>强氧化剂、卤素。</w:t>
            </w:r>
          </w:p>
        </w:tc>
        <w:tc>
          <w:tcPr>
            <w:tcW w:w="1743" w:type="dxa"/>
            <w:vAlign w:val="center"/>
          </w:tcPr>
          <w:p>
            <w:pPr>
              <w:spacing w:line="320" w:lineRule="exact"/>
              <w:jc w:val="center"/>
              <w:rPr>
                <w:spacing w:val="3"/>
                <w:szCs w:val="21"/>
              </w:rPr>
            </w:pPr>
            <w:r>
              <w:rPr>
                <w:spacing w:val="3"/>
                <w:szCs w:val="21"/>
              </w:rPr>
              <w:t>燃烧(分解)产物</w:t>
            </w:r>
          </w:p>
        </w:tc>
        <w:tc>
          <w:tcPr>
            <w:tcW w:w="2957" w:type="dxa"/>
            <w:vAlign w:val="center"/>
          </w:tcPr>
          <w:p>
            <w:pPr>
              <w:spacing w:line="320" w:lineRule="exact"/>
              <w:jc w:val="center"/>
              <w:rPr>
                <w:spacing w:val="3"/>
                <w:szCs w:val="21"/>
              </w:rPr>
            </w:pPr>
            <w:r>
              <w:rPr>
                <w:spacing w:val="3"/>
                <w:szCs w:val="21"/>
              </w:rPr>
              <w:t>一氧化碳、二氧化碳、氧硫化物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主要用途</w:t>
            </w:r>
          </w:p>
        </w:tc>
        <w:tc>
          <w:tcPr>
            <w:tcW w:w="6689" w:type="dxa"/>
            <w:gridSpan w:val="3"/>
            <w:vAlign w:val="center"/>
          </w:tcPr>
          <w:p>
            <w:pPr>
              <w:spacing w:line="320" w:lineRule="exact"/>
              <w:jc w:val="center"/>
              <w:rPr>
                <w:spacing w:val="3"/>
                <w:szCs w:val="21"/>
              </w:rPr>
            </w:pPr>
            <w:r>
              <w:rPr>
                <w:spacing w:val="3"/>
                <w:szCs w:val="21"/>
              </w:rPr>
              <w:t>用作柴油机的燃料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燃爆特性</w:t>
            </w:r>
          </w:p>
        </w:tc>
        <w:tc>
          <w:tcPr>
            <w:tcW w:w="1626" w:type="dxa"/>
            <w:vAlign w:val="center"/>
          </w:tcPr>
          <w:p>
            <w:pPr>
              <w:spacing w:line="320" w:lineRule="exact"/>
              <w:jc w:val="center"/>
              <w:rPr>
                <w:spacing w:val="3"/>
                <w:szCs w:val="21"/>
              </w:rPr>
            </w:pPr>
            <w:r>
              <w:rPr>
                <w:spacing w:val="3"/>
                <w:szCs w:val="21"/>
              </w:rPr>
              <w:t>燃烧性</w:t>
            </w:r>
          </w:p>
        </w:tc>
        <w:tc>
          <w:tcPr>
            <w:tcW w:w="1989" w:type="dxa"/>
            <w:vAlign w:val="center"/>
          </w:tcPr>
          <w:p>
            <w:pPr>
              <w:spacing w:line="320" w:lineRule="exact"/>
              <w:jc w:val="center"/>
              <w:rPr>
                <w:spacing w:val="3"/>
                <w:szCs w:val="21"/>
              </w:rPr>
            </w:pPr>
            <w:r>
              <w:rPr>
                <w:spacing w:val="3"/>
                <w:szCs w:val="21"/>
              </w:rPr>
              <w:t>易燃</w:t>
            </w:r>
          </w:p>
        </w:tc>
        <w:tc>
          <w:tcPr>
            <w:tcW w:w="1743" w:type="dxa"/>
            <w:vAlign w:val="center"/>
          </w:tcPr>
          <w:p>
            <w:pPr>
              <w:spacing w:line="320" w:lineRule="exact"/>
              <w:jc w:val="center"/>
              <w:rPr>
                <w:spacing w:val="3"/>
                <w:szCs w:val="21"/>
              </w:rPr>
            </w:pPr>
            <w:r>
              <w:rPr>
                <w:rFonts w:hint="eastAsia"/>
                <w:spacing w:val="3"/>
                <w:szCs w:val="21"/>
              </w:rPr>
              <w:t>建规</w:t>
            </w:r>
            <w:r>
              <w:rPr>
                <w:spacing w:val="3"/>
                <w:szCs w:val="21"/>
              </w:rPr>
              <w:t>火险分级</w:t>
            </w:r>
          </w:p>
        </w:tc>
        <w:tc>
          <w:tcPr>
            <w:tcW w:w="2957" w:type="dxa"/>
            <w:vAlign w:val="center"/>
          </w:tcPr>
          <w:p>
            <w:pPr>
              <w:spacing w:line="320" w:lineRule="exact"/>
              <w:jc w:val="center"/>
              <w:rPr>
                <w:spacing w:val="3"/>
                <w:szCs w:val="21"/>
              </w:rPr>
            </w:pPr>
            <w:r>
              <w:rPr>
                <w:rFonts w:hint="eastAsia"/>
                <w:spacing w:val="3"/>
                <w:szCs w:val="21"/>
              </w:rPr>
              <w:t>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闪点(</w:t>
            </w:r>
            <w:r>
              <w:rPr>
                <w:rFonts w:ascii="宋体" w:hAnsi="宋体" w:cs="宋体" w:hint="eastAsia"/>
                <w:spacing w:val="3"/>
                <w:szCs w:val="21"/>
              </w:rPr>
              <w:t>℃</w:t>
            </w:r>
            <w:r>
              <w:rPr>
                <w:spacing w:val="3"/>
                <w:szCs w:val="21"/>
              </w:rPr>
              <w:t>)</w:t>
            </w:r>
          </w:p>
        </w:tc>
        <w:tc>
          <w:tcPr>
            <w:tcW w:w="1989" w:type="dxa"/>
          </w:tcPr>
          <w:p>
            <w:pPr>
              <w:spacing w:line="320" w:lineRule="exact"/>
              <w:jc w:val="center"/>
              <w:rPr>
                <w:spacing w:val="3"/>
                <w:szCs w:val="21"/>
              </w:rPr>
            </w:pPr>
            <w:r>
              <w:rPr>
                <w:rFonts w:hint="eastAsia"/>
                <w:spacing w:val="3"/>
                <w:szCs w:val="21"/>
              </w:rPr>
              <w:t>55-60</w:t>
            </w:r>
          </w:p>
        </w:tc>
        <w:tc>
          <w:tcPr>
            <w:tcW w:w="1743" w:type="dxa"/>
            <w:vAlign w:val="center"/>
          </w:tcPr>
          <w:p>
            <w:pPr>
              <w:spacing w:line="320" w:lineRule="exact"/>
              <w:jc w:val="center"/>
              <w:rPr>
                <w:spacing w:val="3"/>
                <w:szCs w:val="21"/>
              </w:rPr>
            </w:pPr>
            <w:r>
              <w:rPr>
                <w:spacing w:val="3"/>
                <w:szCs w:val="21"/>
              </w:rPr>
              <w:t>引燃温度(</w:t>
            </w:r>
            <w:r>
              <w:rPr>
                <w:rFonts w:ascii="宋体" w:hAnsi="宋体" w:cs="宋体" w:hint="eastAsia"/>
                <w:spacing w:val="3"/>
                <w:szCs w:val="21"/>
              </w:rPr>
              <w:t>℃</w:t>
            </w:r>
            <w:r>
              <w:rPr>
                <w:spacing w:val="3"/>
                <w:szCs w:val="21"/>
              </w:rPr>
              <w:t>)</w:t>
            </w:r>
          </w:p>
        </w:tc>
        <w:tc>
          <w:tcPr>
            <w:tcW w:w="2957" w:type="dxa"/>
          </w:tcPr>
          <w:p>
            <w:pPr>
              <w:spacing w:line="320" w:lineRule="exact"/>
              <w:jc w:val="center"/>
              <w:rPr>
                <w:spacing w:val="3"/>
                <w:szCs w:val="21"/>
              </w:rPr>
            </w:pPr>
            <w:r>
              <w:rPr>
                <w:spacing w:val="3"/>
                <w:szCs w:val="21"/>
              </w:rPr>
              <w:t>257</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爆炸下限(V%)</w:t>
            </w:r>
          </w:p>
        </w:tc>
        <w:tc>
          <w:tcPr>
            <w:tcW w:w="1989" w:type="dxa"/>
            <w:vAlign w:val="center"/>
          </w:tcPr>
          <w:p>
            <w:pPr>
              <w:spacing w:line="320" w:lineRule="exact"/>
              <w:jc w:val="center"/>
              <w:rPr>
                <w:spacing w:val="3"/>
                <w:szCs w:val="21"/>
              </w:rPr>
            </w:pPr>
            <w:r>
              <w:rPr>
                <w:rFonts w:hint="eastAsia"/>
                <w:spacing w:val="3"/>
                <w:szCs w:val="21"/>
              </w:rPr>
              <w:t>1.5</w:t>
            </w:r>
          </w:p>
        </w:tc>
        <w:tc>
          <w:tcPr>
            <w:tcW w:w="1743" w:type="dxa"/>
            <w:vAlign w:val="center"/>
          </w:tcPr>
          <w:p>
            <w:pPr>
              <w:spacing w:line="320" w:lineRule="exact"/>
              <w:jc w:val="center"/>
              <w:rPr>
                <w:spacing w:val="3"/>
                <w:szCs w:val="21"/>
              </w:rPr>
            </w:pPr>
            <w:r>
              <w:rPr>
                <w:spacing w:val="3"/>
                <w:szCs w:val="21"/>
              </w:rPr>
              <w:t>爆炸上限 ( V%)</w:t>
            </w:r>
          </w:p>
        </w:tc>
        <w:tc>
          <w:tcPr>
            <w:tcW w:w="2957" w:type="dxa"/>
            <w:vAlign w:val="center"/>
          </w:tcPr>
          <w:p>
            <w:pPr>
              <w:spacing w:line="320" w:lineRule="exact"/>
              <w:jc w:val="center"/>
              <w:rPr>
                <w:spacing w:val="3"/>
                <w:szCs w:val="21"/>
              </w:rPr>
            </w:pPr>
            <w:r>
              <w:rPr>
                <w:rFonts w:hint="eastAsia"/>
                <w:spacing w:val="3"/>
                <w:szCs w:val="21"/>
              </w:rPr>
              <w:t>6.5</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危险特性</w:t>
            </w:r>
          </w:p>
        </w:tc>
        <w:tc>
          <w:tcPr>
            <w:tcW w:w="6689" w:type="dxa"/>
            <w:gridSpan w:val="3"/>
            <w:vAlign w:val="center"/>
          </w:tcPr>
          <w:p>
            <w:pPr>
              <w:spacing w:line="320" w:lineRule="exact"/>
              <w:ind w:firstLine="420" w:firstLineChars="200"/>
              <w:rPr>
                <w:spacing w:val="3"/>
                <w:szCs w:val="21"/>
              </w:rPr>
            </w:pPr>
            <w:r>
              <w:rPr>
                <w:spacing w:val="3"/>
                <w:szCs w:val="21"/>
              </w:rPr>
              <w:t>遇明火、高热或与氧化剂接触，有引起燃烧爆炸的危险。若遇高热，容器内压增大，有开裂和爆炸的危险。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灭火方法</w:t>
            </w:r>
          </w:p>
        </w:tc>
        <w:tc>
          <w:tcPr>
            <w:tcW w:w="6689" w:type="dxa"/>
            <w:gridSpan w:val="3"/>
            <w:vAlign w:val="center"/>
          </w:tcPr>
          <w:p>
            <w:pPr>
              <w:spacing w:line="320" w:lineRule="exact"/>
              <w:ind w:firstLine="420" w:firstLineChars="200"/>
              <w:rPr>
                <w:spacing w:val="3"/>
                <w:szCs w:val="21"/>
              </w:rPr>
            </w:pPr>
            <w:r>
              <w:rPr>
                <w:spacing w:val="3"/>
                <w:szCs w:val="21"/>
              </w:rPr>
              <w:t>消防人员须佩戴防毒面具、穿全身消防服，在上风向灭火。尽可能将容器从火场移至空旷处。喷水保持火场容器冷却，直至灭火结束。处在火场中的容器若已变色或从安全泄压装置中产生声音，必须马上撤离。灭火剂：雾状水、泡沫、干粉、二氧化碳、砂土。</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毒性及健康危害</w:t>
            </w:r>
          </w:p>
        </w:tc>
        <w:tc>
          <w:tcPr>
            <w:tcW w:w="1626" w:type="dxa"/>
            <w:vAlign w:val="center"/>
          </w:tcPr>
          <w:p>
            <w:pPr>
              <w:spacing w:line="320" w:lineRule="exact"/>
              <w:jc w:val="center"/>
              <w:rPr>
                <w:spacing w:val="3"/>
                <w:szCs w:val="21"/>
              </w:rPr>
            </w:pPr>
            <w:r>
              <w:rPr>
                <w:spacing w:val="3"/>
                <w:szCs w:val="21"/>
              </w:rPr>
              <w:t>车间卫生标准</w:t>
            </w:r>
          </w:p>
        </w:tc>
        <w:tc>
          <w:tcPr>
            <w:tcW w:w="6689" w:type="dxa"/>
            <w:gridSpan w:val="3"/>
            <w:vAlign w:val="center"/>
          </w:tcPr>
          <w:p>
            <w:pPr>
              <w:spacing w:line="320" w:lineRule="exact"/>
              <w:jc w:val="center"/>
              <w:rPr>
                <w:spacing w:val="3"/>
                <w:szCs w:val="21"/>
              </w:rPr>
            </w:pPr>
            <w:r>
              <w:rPr>
                <w:spacing w:val="3"/>
                <w:szCs w:val="21"/>
              </w:rPr>
              <w:t>中国MAC(mg/m</w:t>
            </w:r>
            <w:r>
              <w:rPr>
                <w:spacing w:val="3"/>
                <w:szCs w:val="21"/>
                <w:vertAlign w:val="superscript"/>
              </w:rPr>
              <w:t>3</w:t>
            </w:r>
            <w:r>
              <w:rPr>
                <w:spacing w:val="3"/>
                <w:szCs w:val="21"/>
              </w:rPr>
              <w:t>)：未制定标准</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侵入途径</w:t>
            </w:r>
          </w:p>
        </w:tc>
        <w:tc>
          <w:tcPr>
            <w:tcW w:w="6689" w:type="dxa"/>
            <w:gridSpan w:val="3"/>
            <w:vAlign w:val="center"/>
          </w:tcPr>
          <w:p>
            <w:pPr>
              <w:spacing w:line="320" w:lineRule="exact"/>
              <w:jc w:val="center"/>
              <w:rPr>
                <w:spacing w:val="3"/>
                <w:szCs w:val="21"/>
              </w:rPr>
            </w:pPr>
            <w:r>
              <w:rPr>
                <w:spacing w:val="3"/>
                <w:szCs w:val="21"/>
              </w:rPr>
              <w:t>吸入、食入、经皮吸收</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急性毒性</w:t>
            </w:r>
          </w:p>
        </w:tc>
        <w:tc>
          <w:tcPr>
            <w:tcW w:w="6689" w:type="dxa"/>
            <w:gridSpan w:val="3"/>
          </w:tcPr>
          <w:p>
            <w:pPr>
              <w:spacing w:line="320" w:lineRule="exact"/>
              <w:rPr>
                <w:spacing w:val="3"/>
                <w:szCs w:val="21"/>
              </w:rPr>
            </w:pPr>
            <w:r>
              <w:rPr>
                <w:spacing w:val="3"/>
                <w:szCs w:val="21"/>
              </w:rPr>
              <w:t>LD</w:t>
            </w:r>
            <w:r>
              <w:rPr>
                <w:spacing w:val="3"/>
                <w:szCs w:val="21"/>
                <w:vertAlign w:val="subscript"/>
              </w:rPr>
              <w:t>50</w:t>
            </w:r>
            <w:r>
              <w:rPr>
                <w:spacing w:val="3"/>
                <w:szCs w:val="21"/>
              </w:rPr>
              <w:t>：无资料</w:t>
            </w:r>
            <w:r>
              <w:rPr>
                <w:rFonts w:hint="eastAsia"/>
                <w:spacing w:val="3"/>
                <w:szCs w:val="21"/>
              </w:rPr>
              <w:t xml:space="preserve">  </w:t>
            </w:r>
            <w:r>
              <w:rPr>
                <w:spacing w:val="3"/>
                <w:szCs w:val="21"/>
              </w:rPr>
              <w:t>LC</w:t>
            </w:r>
            <w:r>
              <w:rPr>
                <w:spacing w:val="3"/>
                <w:szCs w:val="21"/>
                <w:vertAlign w:val="subscript"/>
              </w:rPr>
              <w:t>50</w:t>
            </w: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健康危害</w:t>
            </w:r>
          </w:p>
        </w:tc>
        <w:tc>
          <w:tcPr>
            <w:tcW w:w="6689" w:type="dxa"/>
            <w:gridSpan w:val="3"/>
            <w:vAlign w:val="center"/>
          </w:tcPr>
          <w:p>
            <w:pPr>
              <w:spacing w:line="320" w:lineRule="exact"/>
              <w:ind w:firstLine="420" w:firstLineChars="200"/>
              <w:rPr>
                <w:spacing w:val="3"/>
                <w:szCs w:val="21"/>
              </w:rPr>
            </w:pPr>
            <w:r>
              <w:rPr>
                <w:spacing w:val="3"/>
                <w:szCs w:val="21"/>
              </w:rPr>
              <w:t>皮肤接触可为主要吸收途径，可致急性肾脏损害。柴油可引起接触性皮炎、油性痤疮。吸入其雾滴或液体呛入可引起吸入性肺炎。能经胎盘进入胎儿血中。柴油废气可引起眼、鼻刺激症状，头晕及头痛。</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急救措施</w:t>
            </w:r>
          </w:p>
        </w:tc>
        <w:tc>
          <w:tcPr>
            <w:tcW w:w="1626" w:type="dxa"/>
            <w:vAlign w:val="center"/>
          </w:tcPr>
          <w:p>
            <w:pPr>
              <w:spacing w:line="320" w:lineRule="exact"/>
              <w:jc w:val="center"/>
              <w:rPr>
                <w:spacing w:val="3"/>
                <w:szCs w:val="21"/>
              </w:rPr>
            </w:pPr>
            <w:r>
              <w:rPr>
                <w:spacing w:val="3"/>
                <w:szCs w:val="21"/>
              </w:rPr>
              <w:t>皮肤接触</w:t>
            </w:r>
          </w:p>
        </w:tc>
        <w:tc>
          <w:tcPr>
            <w:tcW w:w="6689" w:type="dxa"/>
            <w:gridSpan w:val="3"/>
            <w:vAlign w:val="center"/>
          </w:tcPr>
          <w:p>
            <w:pPr>
              <w:spacing w:line="320" w:lineRule="exact"/>
              <w:ind w:firstLine="420" w:firstLineChars="200"/>
              <w:rPr>
                <w:spacing w:val="3"/>
                <w:szCs w:val="21"/>
              </w:rPr>
            </w:pPr>
            <w:r>
              <w:rPr>
                <w:spacing w:val="3"/>
                <w:szCs w:val="21"/>
              </w:rPr>
              <w:t>立即脱去污染的衣着，用肥皂水和清水彻底冲洗皮肤。就医。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眼睛接触</w:t>
            </w:r>
          </w:p>
        </w:tc>
        <w:tc>
          <w:tcPr>
            <w:tcW w:w="6689" w:type="dxa"/>
            <w:gridSpan w:val="3"/>
            <w:vAlign w:val="center"/>
          </w:tcPr>
          <w:p>
            <w:pPr>
              <w:spacing w:line="320" w:lineRule="exact"/>
              <w:ind w:firstLine="420" w:firstLineChars="200"/>
              <w:rPr>
                <w:spacing w:val="3"/>
                <w:szCs w:val="21"/>
              </w:rPr>
            </w:pPr>
            <w:r>
              <w:rPr>
                <w:spacing w:val="3"/>
                <w:szCs w:val="21"/>
              </w:rPr>
              <w:t>提起眼睑，用流动清水或生理盐水冲洗。就医。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吸入</w:t>
            </w:r>
          </w:p>
        </w:tc>
        <w:tc>
          <w:tcPr>
            <w:tcW w:w="6689" w:type="dxa"/>
            <w:gridSpan w:val="3"/>
            <w:vAlign w:val="center"/>
          </w:tcPr>
          <w:p>
            <w:pPr>
              <w:spacing w:line="320" w:lineRule="exact"/>
              <w:ind w:firstLine="420" w:firstLineChars="200"/>
              <w:rPr>
                <w:spacing w:val="3"/>
                <w:szCs w:val="21"/>
              </w:rPr>
            </w:pPr>
            <w:r>
              <w:rPr>
                <w:spacing w:val="3"/>
                <w:szCs w:val="21"/>
              </w:rPr>
              <w:t>迅速脱离现场至空气新鲜处。保持呼吸道通畅。如呼吸困难，给输氧。如呼吸停止，立即进行人工呼吸。就医。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食入</w:t>
            </w:r>
          </w:p>
        </w:tc>
        <w:tc>
          <w:tcPr>
            <w:tcW w:w="6689" w:type="dxa"/>
            <w:gridSpan w:val="3"/>
            <w:vAlign w:val="center"/>
          </w:tcPr>
          <w:p>
            <w:pPr>
              <w:spacing w:line="320" w:lineRule="exact"/>
              <w:ind w:firstLine="420" w:firstLineChars="200"/>
              <w:rPr>
                <w:spacing w:val="3"/>
                <w:szCs w:val="21"/>
              </w:rPr>
            </w:pPr>
            <w:r>
              <w:rPr>
                <w:spacing w:val="3"/>
                <w:szCs w:val="21"/>
              </w:rPr>
              <w:t>尽快彻底洗胃。就医。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泄漏应急处理</w:t>
            </w:r>
          </w:p>
        </w:tc>
        <w:tc>
          <w:tcPr>
            <w:tcW w:w="8315" w:type="dxa"/>
            <w:gridSpan w:val="4"/>
            <w:vAlign w:val="center"/>
          </w:tcPr>
          <w:p>
            <w:pPr>
              <w:spacing w:line="320" w:lineRule="exact"/>
              <w:ind w:firstLine="420" w:firstLineChars="200"/>
              <w:rPr>
                <w:spacing w:val="3"/>
                <w:szCs w:val="21"/>
              </w:rPr>
            </w:pPr>
            <w:r>
              <w:rPr>
                <w:spacing w:val="3"/>
                <w:szCs w:val="21"/>
              </w:rPr>
              <w:t>迅速撤离泄漏污染区人员至安全区，并进行隔离，严格限制出入。切断火源。建议应急处理人员戴自给正压式呼吸器，穿一般作业工作服。尽可能切断泄漏源。防止流入下水道、排洪沟等限制性空间。小量泄漏：用活性炭或其它惰性材料吸收。大量泄漏：构筑围堤或挖坑收容。用泵转移至槽车或专用收集器内，回收或运至废物处理场所处置。</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操作注意事项</w:t>
            </w:r>
          </w:p>
        </w:tc>
        <w:tc>
          <w:tcPr>
            <w:tcW w:w="8315" w:type="dxa"/>
            <w:gridSpan w:val="4"/>
            <w:vAlign w:val="center"/>
          </w:tcPr>
          <w:p>
            <w:pPr>
              <w:spacing w:line="320" w:lineRule="exact"/>
              <w:ind w:firstLine="420" w:firstLineChars="200"/>
              <w:rPr>
                <w:spacing w:val="3"/>
                <w:szCs w:val="21"/>
              </w:rPr>
            </w:pPr>
            <w:r>
              <w:rPr>
                <w:spacing w:val="3"/>
                <w:szCs w:val="21"/>
              </w:rPr>
              <w:t>密闭操作，注意通风。操作人员必须经过专门培训，严格遵守操作规程。建议操作人员佩戴自吸过滤式防毒面具(半面罩)，戴化学安全防护眼镜，戴橡胶耐油手套。远离火种、热源，工作场所严禁吸烟。使用防爆型的通风系统和设备。防止蒸气泄漏到工作场所空气中。避免与氧化剂、卤素接触。充装要控制流速，防止静电积聚。搬运时要轻装轻卸，防止包装及容器损坏。配备相应品种和数量的消防器材及泄漏应急处理设备。倒空的容器可能残留有害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ind w:firstLine="103" w:firstLineChars="49"/>
              <w:rPr>
                <w:rFonts w:ascii="黑体" w:eastAsia="黑体" w:hAnsi="黑体" w:cs="黑体"/>
                <w:spacing w:val="3"/>
                <w:szCs w:val="21"/>
              </w:rPr>
            </w:pPr>
            <w:r>
              <w:rPr>
                <w:rFonts w:ascii="黑体" w:eastAsia="黑体" w:hAnsi="黑体" w:cs="黑体" w:hint="eastAsia"/>
                <w:spacing w:val="3"/>
                <w:szCs w:val="21"/>
              </w:rPr>
              <w:t>包 装</w:t>
            </w:r>
          </w:p>
        </w:tc>
        <w:tc>
          <w:tcPr>
            <w:tcW w:w="8315" w:type="dxa"/>
            <w:gridSpan w:val="4"/>
            <w:vAlign w:val="center"/>
          </w:tcPr>
          <w:p>
            <w:pPr>
              <w:spacing w:line="320" w:lineRule="exact"/>
              <w:ind w:left="-2" w:firstLine="420" w:leftChars="-1" w:firstLineChars="200"/>
              <w:rPr>
                <w:spacing w:val="3"/>
                <w:szCs w:val="21"/>
              </w:rPr>
            </w:pPr>
            <w:r>
              <w:rPr>
                <w:spacing w:val="3"/>
                <w:szCs w:val="21"/>
              </w:rPr>
              <w:t>包装类别：</w:t>
            </w:r>
            <w:r>
              <w:rPr>
                <w:rFonts w:ascii="宋体" w:hAnsi="宋体" w:cs="宋体" w:hint="eastAsia"/>
                <w:spacing w:val="3"/>
                <w:szCs w:val="21"/>
              </w:rPr>
              <w:t>Ⅱ</w:t>
            </w:r>
            <w:r>
              <w:rPr>
                <w:spacing w:val="3"/>
                <w:szCs w:val="21"/>
              </w:rPr>
              <w:t>类包装</w:t>
            </w:r>
          </w:p>
          <w:p>
            <w:pPr>
              <w:spacing w:line="320" w:lineRule="exact"/>
              <w:ind w:left="-2" w:firstLine="420" w:leftChars="-1" w:firstLineChars="200"/>
              <w:rPr>
                <w:spacing w:val="3"/>
                <w:szCs w:val="21"/>
              </w:rPr>
            </w:pPr>
            <w:r>
              <w:rPr>
                <w:spacing w:val="3"/>
                <w:szCs w:val="21"/>
              </w:rPr>
              <w:t>包装方法：</w:t>
            </w:r>
            <w:r>
              <w:rPr>
                <w:rFonts w:hint="eastAsia"/>
                <w:spacing w:val="3"/>
                <w:szCs w:val="21"/>
              </w:rPr>
              <w:t>桶装</w:t>
            </w:r>
            <w:r>
              <w:rPr>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储存注意事项</w:t>
            </w:r>
          </w:p>
        </w:tc>
        <w:tc>
          <w:tcPr>
            <w:tcW w:w="8315" w:type="dxa"/>
            <w:gridSpan w:val="4"/>
            <w:vAlign w:val="center"/>
          </w:tcPr>
          <w:p>
            <w:pPr>
              <w:spacing w:after="0" w:line="320" w:lineRule="exact"/>
              <w:ind w:firstLine="420" w:firstLineChars="200"/>
              <w:rPr>
                <w:spacing w:val="3"/>
                <w:szCs w:val="21"/>
              </w:rPr>
            </w:pPr>
          </w:p>
        </w:tc>
      </w:tr>
    </w:tbl>
    <w:p>
      <w:pPr>
        <w:sectPr>
          <w:headerReference w:type="default" r:id="rId72"/>
          <w:footerReference w:type="even" r:id="rId73"/>
          <w:footerReference w:type="default" r:id="rId74"/>
          <w:type w:val="nextPage"/>
          <w:pgSz w:w="11906" w:h="16838"/>
          <w:pgMar w:top="1440" w:right="1418" w:bottom="1440" w:left="1418" w:header="851" w:footer="992" w:gutter="0"/>
          <w:pgNumType w:start="19"/>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8315"/>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Align w:val="center"/>
          </w:tcPr>
          <w:p/>
        </w:tc>
        <w:tc>
          <w:tcPr>
            <w:tcW w:w="8315" w:type="dxa"/>
            <w:vAlign w:val="center"/>
          </w:tcPr>
          <w:p>
            <w:pPr>
              <w:spacing w:before="0" w:line="320" w:lineRule="exact"/>
              <w:ind w:firstLine="420" w:firstLineChars="200"/>
              <w:rPr>
                <w:spacing w:val="3"/>
                <w:szCs w:val="21"/>
              </w:rPr>
            </w:pPr>
            <w:r>
              <w:rPr>
                <w:spacing w:val="3"/>
                <w:szCs w:val="21"/>
              </w:rPr>
              <w:t>远离火种、热源。应与氧化剂、卤素分开存放，切忌混储。采用防爆型照明、通风设施。禁止使用易产生火花的机械设备和工具。储区应备有泄漏应急处理设备和合适的收容材料。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运输注意事项</w:t>
            </w:r>
          </w:p>
        </w:tc>
        <w:tc>
          <w:tcPr>
            <w:tcW w:w="8315" w:type="dxa"/>
            <w:vAlign w:val="center"/>
          </w:tcPr>
          <w:p>
            <w:pPr>
              <w:spacing w:line="320" w:lineRule="exact"/>
              <w:ind w:firstLine="420" w:firstLineChars="200"/>
              <w:rPr>
                <w:spacing w:val="3"/>
                <w:szCs w:val="21"/>
              </w:rPr>
            </w:pPr>
            <w:r>
              <w:rPr>
                <w:spacing w:val="3"/>
                <w:szCs w:val="21"/>
              </w:rPr>
              <w:t>运输前应先检查包装容器是否完整、密封，运输过程中要确保容器不泄漏、不倒塌、不坠落、不损坏。运输时运输车辆应配备相应品种和数量的消防器材及泄漏应急处理设备。夏季最好早晚运输。运输时所用的槽(罐)车应有接地链，槽内可设孔隔板以减少震荡产生静电。严禁与氧化剂、卤素、食用化学品等混装混运。运输途中应防曝晒、雨淋，防高温。中途停留时应远离火种、热源、高温区。装运该物品的车辆排气管必须配备阻火装置，禁止使用易产生火花的机械设备和工具装卸。</w:t>
            </w:r>
          </w:p>
        </w:tc>
      </w:tr>
      <w:tr>
        <w:tblPrEx>
          <w:tblW w:w="0" w:type="auto"/>
          <w:jc w:val="center"/>
          <w:tblLayout w:type="fixed"/>
          <w:tblCellMar>
            <w:top w:w="0" w:type="dxa"/>
            <w:left w:w="108" w:type="dxa"/>
            <w:bottom w:w="0" w:type="dxa"/>
            <w:right w:w="108" w:type="dxa"/>
          </w:tblCellMar>
          <w:tblLook w:val="0000"/>
        </w:tblPrEx>
        <w:trPr>
          <w:trHeight w:val="70"/>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防护措施</w:t>
            </w:r>
          </w:p>
        </w:tc>
        <w:tc>
          <w:tcPr>
            <w:tcW w:w="8315" w:type="dxa"/>
            <w:vAlign w:val="center"/>
          </w:tcPr>
          <w:p>
            <w:pPr>
              <w:spacing w:line="320" w:lineRule="exact"/>
              <w:ind w:left="-2" w:firstLine="420" w:leftChars="-1" w:firstLineChars="200"/>
              <w:rPr>
                <w:spacing w:val="3"/>
                <w:szCs w:val="21"/>
              </w:rPr>
            </w:pPr>
            <w:r>
              <w:rPr>
                <w:spacing w:val="3"/>
                <w:szCs w:val="21"/>
              </w:rPr>
              <w:t>工程控制：密闭操作，注意通风。</w:t>
            </w:r>
          </w:p>
          <w:p>
            <w:pPr>
              <w:spacing w:line="320" w:lineRule="exact"/>
              <w:ind w:left="-2" w:firstLine="420" w:leftChars="-1" w:firstLineChars="200"/>
              <w:rPr>
                <w:spacing w:val="3"/>
                <w:szCs w:val="21"/>
              </w:rPr>
            </w:pPr>
            <w:r>
              <w:rPr>
                <w:spacing w:val="3"/>
                <w:szCs w:val="21"/>
              </w:rPr>
              <w:t>呼吸系统防护：空气中浓度超标时，建议佩戴自吸过滤式防毒面具(半面罩)。紧急事态抢救或撤离时，应该佩戴空气呼吸器。</w:t>
            </w:r>
          </w:p>
          <w:p>
            <w:pPr>
              <w:spacing w:line="320" w:lineRule="exact"/>
              <w:ind w:left="-2" w:firstLine="420" w:leftChars="-1" w:firstLineChars="200"/>
              <w:rPr>
                <w:spacing w:val="3"/>
                <w:szCs w:val="21"/>
              </w:rPr>
            </w:pPr>
            <w:r>
              <w:rPr>
                <w:spacing w:val="3"/>
                <w:szCs w:val="21"/>
              </w:rPr>
              <w:t>眼睛防护：戴化学安全防护眼镜。</w:t>
            </w:r>
          </w:p>
          <w:p>
            <w:pPr>
              <w:spacing w:line="320" w:lineRule="exact"/>
              <w:ind w:left="-2" w:firstLine="420" w:leftChars="-1" w:firstLineChars="200"/>
              <w:rPr>
                <w:spacing w:val="3"/>
                <w:szCs w:val="21"/>
              </w:rPr>
            </w:pPr>
            <w:r>
              <w:rPr>
                <w:spacing w:val="3"/>
                <w:szCs w:val="21"/>
              </w:rPr>
              <w:t>身体防护：穿一般作业防护服。</w:t>
            </w:r>
          </w:p>
          <w:p>
            <w:pPr>
              <w:spacing w:line="320" w:lineRule="exact"/>
              <w:ind w:left="-2" w:firstLine="420" w:leftChars="-1" w:firstLineChars="200"/>
              <w:rPr>
                <w:spacing w:val="3"/>
                <w:szCs w:val="21"/>
              </w:rPr>
            </w:pPr>
            <w:r>
              <w:rPr>
                <w:spacing w:val="3"/>
                <w:szCs w:val="21"/>
              </w:rPr>
              <w:t>手防护：戴橡胶耐油手套。</w:t>
            </w:r>
          </w:p>
          <w:p>
            <w:pPr>
              <w:spacing w:line="320" w:lineRule="exact"/>
              <w:ind w:firstLine="420" w:firstLineChars="200"/>
              <w:rPr>
                <w:spacing w:val="3"/>
                <w:szCs w:val="21"/>
              </w:rPr>
            </w:pPr>
            <w:r>
              <w:rPr>
                <w:spacing w:val="3"/>
                <w:szCs w:val="21"/>
              </w:rPr>
              <w:t>其他防护：工作现场严禁吸烟。避免长期反复接触。</w:t>
            </w:r>
          </w:p>
        </w:tc>
      </w:tr>
    </w:tbl>
    <w:p>
      <w:pPr>
        <w:spacing w:line="320" w:lineRule="exact"/>
        <w:ind w:firstLine="420" w:firstLineChars="200"/>
        <w:rPr>
          <w:rFonts w:hint="eastAsia"/>
          <w:spacing w:val="3"/>
          <w:szCs w:val="21"/>
        </w:rPr>
      </w:pPr>
      <w:r>
        <w:rPr>
          <w:rFonts w:hint="eastAsia"/>
          <w:spacing w:val="3"/>
          <w:szCs w:val="21"/>
        </w:rPr>
        <w:t>注：数据来源于《化学品分类和危险性公示通则》(GB13690-2009)，《危险化学品安全技术全书》(国家安全生产监督管理总局化学品登记中心、中国石化集团公司安全工程研究所组织编写，化学工业出版社2008年出版)等资料。</w:t>
      </w:r>
    </w:p>
    <w:p>
      <w:pPr>
        <w:tabs>
          <w:tab w:val="left" w:pos="420"/>
        </w:tabs>
        <w:spacing w:line="600" w:lineRule="exact"/>
        <w:rPr>
          <w:rFonts w:hint="eastAsia"/>
          <w:b/>
          <w:bCs/>
          <w:sz w:val="28"/>
          <w:szCs w:val="28"/>
        </w:rPr>
      </w:pPr>
      <w:r>
        <w:rPr>
          <w:rFonts w:hint="eastAsia"/>
          <w:b/>
          <w:bCs/>
          <w:sz w:val="28"/>
          <w:szCs w:val="28"/>
        </w:rPr>
        <w:t>（3）激光</w:t>
      </w:r>
    </w:p>
    <w:p>
      <w:pPr>
        <w:spacing w:line="600" w:lineRule="exact"/>
        <w:ind w:firstLine="560" w:firstLineChars="200"/>
        <w:rPr>
          <w:rFonts w:hint="eastAsia"/>
          <w:sz w:val="28"/>
          <w:szCs w:val="28"/>
        </w:rPr>
      </w:pPr>
      <w:r>
        <w:rPr>
          <w:rFonts w:hint="eastAsia"/>
          <w:sz w:val="28"/>
          <w:szCs w:val="28"/>
        </w:rPr>
        <w:t>本项目所使用的激光切割为高输出连续激光（大于500mW），高过第三级，有火灾的危险，扩散反射也有危险。</w:t>
      </w:r>
    </w:p>
    <w:p>
      <w:pPr>
        <w:spacing w:line="600" w:lineRule="exact"/>
        <w:ind w:firstLine="560" w:firstLineChars="200"/>
        <w:rPr>
          <w:rFonts w:hint="eastAsia"/>
          <w:sz w:val="28"/>
          <w:szCs w:val="28"/>
        </w:rPr>
        <w:sectPr>
          <w:headerReference w:type="default" r:id="rId75"/>
          <w:footerReference w:type="even" r:id="rId76"/>
          <w:footerReference w:type="default" r:id="rId77"/>
          <w:type w:val="nextPage"/>
          <w:pgSz w:w="11906" w:h="16838"/>
          <w:pgMar w:top="1440" w:right="1418" w:bottom="1440" w:left="1418" w:header="851" w:footer="992" w:gutter="0"/>
          <w:pgNumType w:start="20"/>
          <w:cols w:space="708"/>
          <w:titlePg w:val="0"/>
          <w:docGrid w:type="lines" w:linePitch="312"/>
        </w:sectPr>
      </w:pPr>
      <w:r>
        <w:rPr>
          <w:rFonts w:hint="eastAsia"/>
          <w:sz w:val="28"/>
          <w:szCs w:val="28"/>
        </w:rPr>
        <w:t>激光辐射能对人眼和皮肤造成伤害，其中以前者的后果最为严重。由于人眼对不同波长激光的透射和吸收不同，不同波长激光对人眼伤害的部位也不同。激光辐射造成的眼伤主要有光致角膜炎、角膜凝固、碳化和穿孔、晶状体混浊、视觉功能性障碍</w:t>
      </w:r>
      <w:r>
        <w:rPr>
          <w:rFonts w:hint="eastAsia"/>
          <w:sz w:val="28"/>
          <w:szCs w:val="28"/>
        </w:rPr>
        <w:t>“</w:t>
      </w:r>
      <w:r>
        <w:rPr>
          <w:rFonts w:hint="eastAsia"/>
          <w:sz w:val="28"/>
          <w:szCs w:val="28"/>
        </w:rPr>
        <w:t>闪光盲</w:t>
      </w:r>
      <w:r>
        <w:rPr>
          <w:rFonts w:hint="eastAsia"/>
          <w:sz w:val="28"/>
          <w:szCs w:val="28"/>
        </w:rPr>
        <w:t>”</w:t>
      </w:r>
    </w:p>
    <w:p>
      <w:pPr>
        <w:spacing w:line="600" w:lineRule="exact"/>
        <w:ind w:firstLine="560" w:firstLineChars="200"/>
        <w:rPr>
          <w:rFonts w:hint="eastAsia"/>
          <w:sz w:val="28"/>
          <w:szCs w:val="28"/>
        </w:rPr>
      </w:pPr>
      <w:r>
        <w:rPr>
          <w:rFonts w:hint="eastAsia"/>
          <w:sz w:val="28"/>
          <w:szCs w:val="28"/>
        </w:rPr>
        <w:t>，以及视网膜凝固、出血和爆裂等。激光辐射造成的皮肤伤害主要有色素沉着、红斑和水泡等。伤害程度取决于辐射剂量的大小，而这与二手激光切割机激光器的输出能量、工作波长和工作状态有关，其中能量是最主要的因素。对人体和工作环境构成危害的不仅有直射光，而且还有反射光和漫反射光。进行激光加工和激光治疗时，可能产生有害的烟雾、蒸气和噪声等，对环境造成辐射危害。大功率激光辐射会破坏某些精密仪器，甚至引起火灾。对激光辐射采取防护措施的依据是激光安全防护标准。国际标准主要有国际电工委员会(IEC)标准、世界卫生组织(WHO)标准等。</w:t>
      </w:r>
    </w:p>
    <w:p>
      <w:pPr>
        <w:pStyle w:val="BodyTextFirstIndent2"/>
        <w:ind w:firstLine="562"/>
        <w:jc w:val="center"/>
        <w:rPr>
          <w:rFonts w:hint="eastAsia"/>
          <w:b/>
          <w:bCs/>
          <w:sz w:val="28"/>
          <w:szCs w:val="28"/>
          <w:lang w:val="en-US" w:eastAsia="zh-CN"/>
        </w:rPr>
      </w:pPr>
      <w:r>
        <w:rPr>
          <w:rFonts w:hint="eastAsia"/>
          <w:b/>
          <w:bCs/>
          <w:sz w:val="28"/>
          <w:szCs w:val="28"/>
          <w:lang w:val="en-US" w:eastAsia="zh-CN"/>
        </w:rPr>
        <w:t>激光各波长的病理效应表</w:t>
      </w:r>
    </w:p>
    <w:tbl>
      <w:tblPr>
        <w:tblStyle w:val="TableNormal"/>
        <w:tblW w:w="8905" w:type="dxa"/>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CellMar>
          <w:top w:w="15" w:type="dxa"/>
          <w:left w:w="15" w:type="dxa"/>
          <w:bottom w:w="15" w:type="dxa"/>
          <w:right w:w="15" w:type="dxa"/>
        </w:tblCellMar>
        <w:tblLook w:val="0000"/>
      </w:tblPr>
      <w:tblGrid>
        <w:gridCol w:w="2323"/>
        <w:gridCol w:w="2904"/>
        <w:gridCol w:w="1383"/>
        <w:gridCol w:w="2295"/>
      </w:tblGrid>
      <w:tr>
        <w:tblPrEx>
          <w:tblW w:w="8905" w:type="dxa"/>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CellMar>
            <w:top w:w="15" w:type="dxa"/>
            <w:left w:w="15" w:type="dxa"/>
            <w:bottom w:w="15" w:type="dxa"/>
            <w:right w:w="15" w:type="dxa"/>
          </w:tblCellMar>
          <w:tblLook w:val="0000"/>
        </w:tblPrEx>
        <w:trPr>
          <w:trHeight w:val="418"/>
          <w:jc w:val="center"/>
        </w:trPr>
        <w:tc>
          <w:tcPr>
            <w:tcW w:w="2323" w:type="dxa"/>
            <w:tcMar>
              <w:top w:w="30" w:type="dxa"/>
              <w:left w:w="150" w:type="dxa"/>
              <w:bottom w:w="30" w:type="dxa"/>
              <w:right w:w="150" w:type="dxa"/>
            </w:tcMar>
            <w:vAlign w:val="center"/>
          </w:tcPr>
          <w:p>
            <w:pPr>
              <w:widowControl/>
              <w:spacing w:line="360" w:lineRule="atLeast"/>
              <w:jc w:val="center"/>
              <w:rPr>
                <w:rFonts w:hint="eastAsia"/>
                <w:b/>
                <w:bCs/>
                <w:color w:val="333333"/>
                <w:szCs w:val="21"/>
              </w:rPr>
            </w:pPr>
            <w:bookmarkStart w:id="52" w:name="ref_1"/>
            <w:bookmarkEnd w:id="52"/>
            <w:r>
              <w:rPr>
                <w:rFonts w:hint="eastAsia"/>
                <w:b/>
                <w:bCs/>
                <w:color w:val="333333"/>
                <w:szCs w:val="21"/>
              </w:rPr>
              <w:t>光波长</w:t>
            </w:r>
          </w:p>
        </w:tc>
        <w:tc>
          <w:tcPr>
            <w:tcW w:w="2904" w:type="dxa"/>
            <w:tcMar>
              <w:top w:w="30" w:type="dxa"/>
              <w:left w:w="150" w:type="dxa"/>
              <w:bottom w:w="30" w:type="dxa"/>
              <w:right w:w="150" w:type="dxa"/>
            </w:tcMar>
            <w:vAlign w:val="center"/>
          </w:tcPr>
          <w:p>
            <w:pPr>
              <w:widowControl/>
              <w:spacing w:line="360" w:lineRule="atLeast"/>
              <w:jc w:val="center"/>
              <w:rPr>
                <w:b/>
                <w:bCs/>
                <w:color w:val="333333"/>
                <w:szCs w:val="21"/>
              </w:rPr>
            </w:pPr>
            <w:r>
              <w:rPr>
                <w:rFonts w:ascii="宋体" w:hAnsi="宋体" w:cs="宋体"/>
                <w:b/>
                <w:bCs/>
                <w:color w:val="333333"/>
                <w:kern w:val="0"/>
                <w:szCs w:val="21"/>
                <w:lang w:bidi="ar"/>
              </w:rPr>
              <w:t>眼睛</w:t>
            </w:r>
          </w:p>
        </w:tc>
        <w:tc>
          <w:tcPr>
            <w:tcW w:w="3678" w:type="dxa"/>
            <w:gridSpan w:val="2"/>
            <w:tcMar>
              <w:top w:w="30" w:type="dxa"/>
              <w:left w:w="150" w:type="dxa"/>
              <w:bottom w:w="30" w:type="dxa"/>
              <w:right w:w="150" w:type="dxa"/>
            </w:tcMar>
            <w:vAlign w:val="center"/>
          </w:tcPr>
          <w:p>
            <w:pPr>
              <w:widowControl/>
              <w:spacing w:line="360" w:lineRule="atLeast"/>
              <w:jc w:val="center"/>
              <w:rPr>
                <w:b/>
                <w:bCs/>
                <w:color w:val="333333"/>
                <w:szCs w:val="21"/>
              </w:rPr>
            </w:pPr>
            <w:r>
              <w:rPr>
                <w:rFonts w:ascii="宋体" w:hAnsi="宋体" w:cs="宋体"/>
                <w:b/>
                <w:bCs/>
                <w:color w:val="333333"/>
                <w:kern w:val="0"/>
                <w:szCs w:val="21"/>
                <w:lang w:bidi="ar"/>
              </w:rPr>
              <w:t>皮肤</w:t>
            </w:r>
          </w:p>
        </w:tc>
      </w:tr>
      <w:tr>
        <w:tblPrEx>
          <w:tblW w:w="8905" w:type="dxa"/>
          <w:jc w:val="center"/>
          <w:tblCellMar>
            <w:top w:w="15" w:type="dxa"/>
            <w:left w:w="15" w:type="dxa"/>
            <w:bottom w:w="15" w:type="dxa"/>
            <w:right w:w="15" w:type="dxa"/>
          </w:tblCellMar>
          <w:tblLook w:val="0000"/>
        </w:tblPrEx>
        <w:trPr>
          <w:trHeight w:val="418"/>
          <w:jc w:val="center"/>
        </w:trPr>
        <w:tc>
          <w:tcPr>
            <w:tcW w:w="2323"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紫外光：180-280nm</w:t>
            </w:r>
          </w:p>
        </w:tc>
        <w:tc>
          <w:tcPr>
            <w:tcW w:w="2904"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光致眼角膜</w:t>
            </w:r>
          </w:p>
        </w:tc>
        <w:tc>
          <w:tcPr>
            <w:tcW w:w="3678" w:type="dxa"/>
            <w:gridSpan w:val="2"/>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红斑，色素沉着，加速皮肤老化过程</w:t>
            </w:r>
          </w:p>
        </w:tc>
      </w:tr>
      <w:tr>
        <w:tblPrEx>
          <w:tblW w:w="8905" w:type="dxa"/>
          <w:jc w:val="center"/>
          <w:tblCellMar>
            <w:top w:w="15" w:type="dxa"/>
            <w:left w:w="15" w:type="dxa"/>
            <w:bottom w:w="15" w:type="dxa"/>
            <w:right w:w="15" w:type="dxa"/>
          </w:tblCellMar>
          <w:tblLook w:val="0000"/>
        </w:tblPrEx>
        <w:trPr>
          <w:trHeight w:val="418"/>
          <w:jc w:val="center"/>
        </w:trPr>
        <w:tc>
          <w:tcPr>
            <w:tcW w:w="2323"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可见光：400-780nm</w:t>
            </w:r>
          </w:p>
        </w:tc>
        <w:tc>
          <w:tcPr>
            <w:tcW w:w="2904"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光化学反映和热效应所致的视网膜损伤</w:t>
            </w:r>
          </w:p>
        </w:tc>
        <w:tc>
          <w:tcPr>
            <w:tcW w:w="1383" w:type="dxa"/>
            <w:vMerge w:val="restart"/>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皮肤灼伤</w:t>
            </w:r>
          </w:p>
        </w:tc>
        <w:tc>
          <w:tcPr>
            <w:tcW w:w="2295"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光敏感作用，暗色</w:t>
            </w:r>
          </w:p>
        </w:tc>
      </w:tr>
      <w:tr>
        <w:tblPrEx>
          <w:tblW w:w="8905" w:type="dxa"/>
          <w:jc w:val="center"/>
          <w:tblCellMar>
            <w:top w:w="15" w:type="dxa"/>
            <w:left w:w="15" w:type="dxa"/>
            <w:bottom w:w="15" w:type="dxa"/>
            <w:right w:w="15" w:type="dxa"/>
          </w:tblCellMar>
          <w:tblLook w:val="0000"/>
        </w:tblPrEx>
        <w:trPr>
          <w:trHeight w:val="418"/>
          <w:jc w:val="center"/>
        </w:trPr>
        <w:tc>
          <w:tcPr>
            <w:tcW w:w="2323"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红外光：780-1400nm</w:t>
            </w:r>
          </w:p>
        </w:tc>
        <w:tc>
          <w:tcPr>
            <w:tcW w:w="2904"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白内障、视网膜灼伤</w:t>
            </w:r>
          </w:p>
        </w:tc>
        <w:tc>
          <w:tcPr>
            <w:tcW w:w="1383" w:type="dxa"/>
            <w:vMerge/>
            <w:tcMar>
              <w:top w:w="30" w:type="dxa"/>
              <w:left w:w="150" w:type="dxa"/>
              <w:bottom w:w="30" w:type="dxa"/>
              <w:right w:w="150" w:type="dxa"/>
            </w:tcMar>
            <w:vAlign w:val="center"/>
          </w:tcPr>
          <w:p>
            <w:pPr>
              <w:jc w:val="left"/>
              <w:rPr>
                <w:rFonts w:ascii="宋体" w:hint="eastAsia"/>
                <w:color w:val="333333"/>
                <w:szCs w:val="21"/>
              </w:rPr>
            </w:pPr>
          </w:p>
        </w:tc>
        <w:tc>
          <w:tcPr>
            <w:tcW w:w="2295" w:type="dxa"/>
            <w:vMerge w:val="restart"/>
            <w:tcMar>
              <w:top w:w="30" w:type="dxa"/>
              <w:left w:w="150" w:type="dxa"/>
              <w:bottom w:w="30" w:type="dxa"/>
              <w:right w:w="150" w:type="dxa"/>
            </w:tcMar>
            <w:vAlign w:val="center"/>
          </w:tcPr>
          <w:p>
            <w:pPr>
              <w:widowControl/>
              <w:spacing w:line="360" w:lineRule="atLeast"/>
              <w:jc w:val="left"/>
              <w:rPr>
                <w:color w:val="333333"/>
                <w:szCs w:val="21"/>
              </w:rPr>
            </w:pPr>
            <w:r>
              <w:rPr>
                <w:rFonts w:ascii="宋体" w:hAnsi="宋体" w:cs="宋体"/>
                <w:color w:val="333333"/>
                <w:kern w:val="0"/>
                <w:szCs w:val="21"/>
                <w:lang w:bidi="ar"/>
              </w:rPr>
              <w:t>——</w:t>
            </w:r>
          </w:p>
        </w:tc>
      </w:tr>
      <w:tr>
        <w:tblPrEx>
          <w:tblW w:w="8905" w:type="dxa"/>
          <w:jc w:val="center"/>
          <w:tblCellMar>
            <w:top w:w="15" w:type="dxa"/>
            <w:left w:w="15" w:type="dxa"/>
            <w:bottom w:w="15" w:type="dxa"/>
            <w:right w:w="15" w:type="dxa"/>
          </w:tblCellMar>
          <w:tblLook w:val="0000"/>
        </w:tblPrEx>
        <w:trPr>
          <w:trHeight w:val="418"/>
          <w:jc w:val="center"/>
        </w:trPr>
        <w:tc>
          <w:tcPr>
            <w:tcW w:w="2323"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1.4-3.0μm</w:t>
            </w:r>
          </w:p>
        </w:tc>
        <w:tc>
          <w:tcPr>
            <w:tcW w:w="2904"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白内障、水分蒸发、视网膜灼伤</w:t>
            </w:r>
          </w:p>
        </w:tc>
        <w:tc>
          <w:tcPr>
            <w:tcW w:w="1383" w:type="dxa"/>
            <w:vMerge/>
            <w:tcMar>
              <w:top w:w="30" w:type="dxa"/>
              <w:left w:w="150" w:type="dxa"/>
              <w:bottom w:w="30" w:type="dxa"/>
              <w:right w:w="150" w:type="dxa"/>
            </w:tcMar>
            <w:vAlign w:val="center"/>
          </w:tcPr>
          <w:p>
            <w:pPr>
              <w:jc w:val="left"/>
              <w:rPr>
                <w:rFonts w:ascii="宋体" w:hint="eastAsia"/>
                <w:color w:val="333333"/>
                <w:sz w:val="18"/>
                <w:szCs w:val="18"/>
              </w:rPr>
            </w:pPr>
          </w:p>
        </w:tc>
        <w:tc>
          <w:tcPr>
            <w:tcW w:w="2295" w:type="dxa"/>
            <w:vMerge/>
            <w:tcMar>
              <w:top w:w="30" w:type="dxa"/>
              <w:left w:w="150" w:type="dxa"/>
              <w:bottom w:w="30" w:type="dxa"/>
              <w:right w:w="150" w:type="dxa"/>
            </w:tcMar>
            <w:vAlign w:val="center"/>
          </w:tcPr>
          <w:p>
            <w:pPr>
              <w:jc w:val="left"/>
              <w:rPr>
                <w:rFonts w:ascii="宋体" w:hint="eastAsia"/>
                <w:color w:val="333333"/>
                <w:sz w:val="18"/>
                <w:szCs w:val="18"/>
              </w:rPr>
            </w:pPr>
          </w:p>
        </w:tc>
      </w:tr>
      <w:tr>
        <w:tblPrEx>
          <w:tblW w:w="8905" w:type="dxa"/>
          <w:jc w:val="center"/>
          <w:tblCellMar>
            <w:top w:w="15" w:type="dxa"/>
            <w:left w:w="15" w:type="dxa"/>
            <w:bottom w:w="15" w:type="dxa"/>
            <w:right w:w="15" w:type="dxa"/>
          </w:tblCellMar>
          <w:tblLook w:val="0000"/>
        </w:tblPrEx>
        <w:trPr>
          <w:trHeight w:val="432"/>
          <w:jc w:val="center"/>
        </w:trPr>
        <w:tc>
          <w:tcPr>
            <w:tcW w:w="2323"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3.0μm-1mm</w:t>
            </w:r>
          </w:p>
        </w:tc>
        <w:tc>
          <w:tcPr>
            <w:tcW w:w="2904" w:type="dxa"/>
            <w:tcMar>
              <w:top w:w="30" w:type="dxa"/>
              <w:left w:w="150" w:type="dxa"/>
              <w:bottom w:w="30" w:type="dxa"/>
              <w:right w:w="150" w:type="dxa"/>
            </w:tcMar>
            <w:vAlign w:val="center"/>
          </w:tcPr>
          <w:p>
            <w:pPr>
              <w:widowControl/>
              <w:spacing w:line="360" w:lineRule="atLeast"/>
              <w:jc w:val="center"/>
              <w:rPr>
                <w:color w:val="333333"/>
                <w:szCs w:val="21"/>
              </w:rPr>
            </w:pPr>
            <w:r>
              <w:rPr>
                <w:rFonts w:ascii="宋体" w:hAnsi="宋体" w:cs="宋体"/>
                <w:color w:val="333333"/>
                <w:kern w:val="0"/>
                <w:szCs w:val="21"/>
                <w:lang w:bidi="ar"/>
              </w:rPr>
              <w:t>角膜灼伤</w:t>
            </w:r>
          </w:p>
        </w:tc>
        <w:tc>
          <w:tcPr>
            <w:tcW w:w="1383" w:type="dxa"/>
            <w:vMerge/>
            <w:tcMar>
              <w:top w:w="30" w:type="dxa"/>
              <w:left w:w="150" w:type="dxa"/>
              <w:bottom w:w="30" w:type="dxa"/>
              <w:right w:w="150" w:type="dxa"/>
            </w:tcMar>
            <w:vAlign w:val="center"/>
          </w:tcPr>
          <w:p>
            <w:pPr>
              <w:jc w:val="left"/>
              <w:rPr>
                <w:rFonts w:ascii="宋体" w:hint="eastAsia"/>
                <w:color w:val="333333"/>
                <w:sz w:val="18"/>
                <w:szCs w:val="18"/>
              </w:rPr>
            </w:pPr>
          </w:p>
        </w:tc>
        <w:tc>
          <w:tcPr>
            <w:tcW w:w="2295" w:type="dxa"/>
            <w:vMerge/>
            <w:tcMar>
              <w:top w:w="30" w:type="dxa"/>
              <w:left w:w="150" w:type="dxa"/>
              <w:bottom w:w="30" w:type="dxa"/>
              <w:right w:w="150" w:type="dxa"/>
            </w:tcMar>
            <w:vAlign w:val="center"/>
          </w:tcPr>
          <w:p>
            <w:pPr>
              <w:jc w:val="left"/>
              <w:rPr>
                <w:rFonts w:ascii="宋体" w:hint="eastAsia"/>
                <w:color w:val="333333"/>
                <w:sz w:val="18"/>
                <w:szCs w:val="18"/>
              </w:rPr>
            </w:pPr>
          </w:p>
        </w:tc>
      </w:tr>
    </w:tbl>
    <w:p>
      <w:pPr>
        <w:spacing w:line="600" w:lineRule="exact"/>
        <w:ind w:firstLine="560" w:firstLineChars="200"/>
        <w:rPr>
          <w:rFonts w:hint="eastAsia"/>
          <w:sz w:val="28"/>
          <w:szCs w:val="28"/>
        </w:rPr>
      </w:pPr>
      <w:r>
        <w:rPr>
          <w:sz w:val="28"/>
          <w:szCs w:val="28"/>
        </w:rPr>
        <w:t>1）对眼睛的伤害</w:t>
      </w:r>
    </w:p>
    <w:p>
      <w:pPr>
        <w:spacing w:line="600" w:lineRule="exact"/>
        <w:ind w:firstLine="560" w:firstLineChars="200"/>
        <w:rPr>
          <w:sz w:val="28"/>
          <w:szCs w:val="28"/>
        </w:rPr>
      </w:pPr>
      <w:r>
        <w:rPr>
          <w:sz w:val="28"/>
          <w:szCs w:val="28"/>
        </w:rPr>
        <w:t>激光的亮度比太阳、电弧亮度高数十个数量级，会对眼睛造成严重的损伤。眼睛如果收到激光的直接照射，由于激光的强烈加热效应，会造成视网膜损伤，引起视力下降，严重时可瞬间致盲。即使是小功率的激光束，如几毫瓦的He-Ne激光，由于人眼睛的光聚焦作用，也会导致眼底组织收到损伤。</w:t>
      </w:r>
    </w:p>
    <w:p>
      <w:pPr>
        <w:spacing w:line="600" w:lineRule="exact"/>
        <w:ind w:firstLine="560" w:firstLineChars="200"/>
        <w:rPr>
          <w:sz w:val="28"/>
          <w:szCs w:val="28"/>
        </w:rPr>
      </w:pPr>
      <w:r>
        <w:rPr>
          <w:sz w:val="28"/>
          <w:szCs w:val="28"/>
        </w:rPr>
        <w:t>激光的反射光对眼睛具有同样的危险性，尤其在切割反射率很高的材料时，强烈的激光反射光对眼睛的伤害程度与直接照射相当。另外激光的漫反射光也会使眼睛收到慢性伤害，引起视力下降。</w:t>
      </w:r>
    </w:p>
    <w:p>
      <w:pPr>
        <w:spacing w:line="600" w:lineRule="exact"/>
        <w:ind w:firstLine="560" w:firstLineChars="200"/>
        <w:rPr>
          <w:sz w:val="28"/>
          <w:szCs w:val="28"/>
        </w:rPr>
      </w:pPr>
      <w:r>
        <w:rPr>
          <w:sz w:val="28"/>
          <w:szCs w:val="28"/>
        </w:rPr>
        <w:t>2）对皮肤的伤害</w:t>
      </w:r>
    </w:p>
    <w:p>
      <w:pPr>
        <w:spacing w:line="600" w:lineRule="exact"/>
        <w:ind w:firstLine="560" w:firstLineChars="200"/>
        <w:rPr>
          <w:sz w:val="28"/>
          <w:szCs w:val="28"/>
        </w:rPr>
        <w:sectPr>
          <w:headerReference w:type="default" r:id="rId78"/>
          <w:footerReference w:type="even" r:id="rId79"/>
          <w:footerReference w:type="default" r:id="rId80"/>
          <w:type w:val="nextPage"/>
          <w:pgSz w:w="11906" w:h="16838"/>
          <w:pgMar w:top="1440" w:right="1418" w:bottom="1440" w:left="1418" w:header="851" w:footer="992" w:gutter="0"/>
          <w:pgNumType w:start="21"/>
          <w:cols w:space="708"/>
          <w:titlePg w:val="0"/>
          <w:docGrid w:type="lines" w:linePitch="312"/>
        </w:sectPr>
      </w:pPr>
      <w:r>
        <w:rPr>
          <w:sz w:val="28"/>
          <w:szCs w:val="28"/>
        </w:rPr>
        <w:t>皮肤如果受到激光的直接照射，特别是受到聚焦后光束的照射，会使皮肤灼伤，并且这种灼伤很难愈合。激光功率密度十分大，伤害力更大，会造成严重烧伤。</w:t>
      </w:r>
    </w:p>
    <w:p>
      <w:pPr>
        <w:spacing w:line="600" w:lineRule="exact"/>
        <w:ind w:firstLine="560" w:firstLineChars="200"/>
        <w:rPr>
          <w:sz w:val="28"/>
          <w:szCs w:val="28"/>
        </w:rPr>
      </w:pPr>
      <w:r>
        <w:rPr>
          <w:sz w:val="28"/>
          <w:szCs w:val="28"/>
        </w:rPr>
        <w:t>可见光波段和红外段激光的辐射会使皮肤出现红斑，进而发展为水泡。极短脉冲、高峰值功率激光辐射会使皮肤表面炭化。受紫外光、红外光的长时间漫反射作用，则会导致人体皮肤的老化、炎症甚至皮肤癌等严重后果。</w:t>
      </w:r>
    </w:p>
    <w:p>
      <w:pPr>
        <w:spacing w:line="600" w:lineRule="exact"/>
        <w:ind w:firstLine="560" w:firstLineChars="200"/>
        <w:rPr>
          <w:rFonts w:hint="eastAsia"/>
          <w:b/>
          <w:bCs/>
          <w:sz w:val="28"/>
          <w:szCs w:val="28"/>
        </w:rPr>
      </w:pPr>
      <w:r>
        <w:rPr>
          <w:rFonts w:hint="eastAsia"/>
          <w:b/>
          <w:bCs/>
          <w:sz w:val="28"/>
          <w:szCs w:val="28"/>
        </w:rPr>
        <w:t>避免光纤激光切割机伤害的措施：</w:t>
      </w:r>
    </w:p>
    <w:p>
      <w:pPr>
        <w:spacing w:line="600" w:lineRule="exact"/>
        <w:ind w:firstLine="560" w:firstLineChars="200"/>
        <w:rPr>
          <w:rFonts w:hint="eastAsia"/>
          <w:sz w:val="28"/>
          <w:szCs w:val="28"/>
        </w:rPr>
      </w:pPr>
      <w:r>
        <w:rPr>
          <w:rFonts w:hint="eastAsia"/>
          <w:sz w:val="28"/>
          <w:szCs w:val="28"/>
        </w:rPr>
        <w:t>1）必要的激光切割机防护设备，穿戴防止激光对人眼损伤的防护镜。在工作区内的其他人员不要直视切割时的激光。</w:t>
      </w:r>
    </w:p>
    <w:p>
      <w:pPr>
        <w:spacing w:line="600" w:lineRule="exact"/>
        <w:ind w:firstLine="560" w:firstLineChars="200"/>
        <w:rPr>
          <w:rFonts w:hint="eastAsia"/>
          <w:sz w:val="28"/>
          <w:szCs w:val="28"/>
        </w:rPr>
      </w:pPr>
      <w:r>
        <w:rPr>
          <w:rFonts w:hint="eastAsia"/>
          <w:sz w:val="28"/>
          <w:szCs w:val="28"/>
        </w:rPr>
        <w:t>2）操作人员要注意酌情多吃一些胡萝卜、豆芽、西红柿、瘦肉、动物肝等富含维生素AC和蛋白质的食物，经常喝些绿茶等，因为这些食物能协助人类较好的维护眼睛，让人体能够在激光切割敷设的条件下，较好的维护人体。</w:t>
      </w:r>
    </w:p>
    <w:p>
      <w:pPr>
        <w:spacing w:line="600" w:lineRule="exact"/>
        <w:ind w:firstLine="560" w:firstLineChars="200"/>
        <w:rPr>
          <w:sz w:val="28"/>
          <w:szCs w:val="28"/>
        </w:rPr>
      </w:pPr>
      <w:r>
        <w:rPr>
          <w:rFonts w:hint="eastAsia"/>
          <w:sz w:val="28"/>
          <w:szCs w:val="28"/>
        </w:rPr>
        <w:t>3）要有配套的除尘装置，尽量在空气通畅环境下操作，尽量戴口罩。</w:t>
      </w:r>
    </w:p>
    <w:p>
      <w:pPr>
        <w:spacing w:line="600" w:lineRule="exact"/>
        <w:ind w:firstLine="560" w:firstLineChars="200"/>
        <w:rPr>
          <w:sz w:val="28"/>
          <w:szCs w:val="28"/>
        </w:rPr>
      </w:pPr>
      <w:r>
        <w:rPr>
          <w:rFonts w:hint="eastAsia"/>
          <w:sz w:val="28"/>
          <w:szCs w:val="28"/>
        </w:rPr>
        <w:t>4）在布置切割现场时，把工作环境的场地和墙面漆成深色以减小辐射。</w:t>
      </w:r>
    </w:p>
    <w:p>
      <w:pPr>
        <w:spacing w:line="600" w:lineRule="exact"/>
        <w:ind w:firstLine="560" w:firstLineChars="200"/>
        <w:rPr>
          <w:rFonts w:hint="eastAsia"/>
          <w:sz w:val="28"/>
          <w:szCs w:val="28"/>
        </w:rPr>
      </w:pPr>
      <w:r>
        <w:rPr>
          <w:rFonts w:hint="eastAsia"/>
          <w:sz w:val="28"/>
          <w:szCs w:val="28"/>
        </w:rPr>
        <w:t>5）不要马上去触碰切割完成的零件，以免余温烫伤。</w:t>
      </w:r>
    </w:p>
    <w:p>
      <w:pPr>
        <w:tabs>
          <w:tab w:val="left" w:pos="420"/>
        </w:tabs>
        <w:spacing w:line="600" w:lineRule="exact"/>
        <w:rPr>
          <w:rFonts w:hint="eastAsia"/>
          <w:b/>
          <w:bCs/>
          <w:sz w:val="28"/>
          <w:szCs w:val="28"/>
        </w:rPr>
      </w:pPr>
      <w:r>
        <w:rPr>
          <w:rFonts w:hint="eastAsia"/>
          <w:b/>
          <w:bCs/>
          <w:sz w:val="28"/>
          <w:szCs w:val="28"/>
        </w:rPr>
        <w:t>（4）氧气</w:t>
      </w:r>
    </w:p>
    <w:p>
      <w:pPr>
        <w:tabs>
          <w:tab w:val="left" w:pos="2750"/>
        </w:tabs>
        <w:spacing w:line="360" w:lineRule="auto"/>
        <w:jc w:val="center"/>
        <w:rPr>
          <w:rFonts w:hint="eastAsia"/>
        </w:rPr>
      </w:pPr>
      <w:r>
        <w:rPr>
          <w:rFonts w:hint="eastAsia"/>
          <w:b/>
          <w:bCs/>
          <w:sz w:val="28"/>
          <w:szCs w:val="28"/>
        </w:rPr>
        <w:t>氧气</w:t>
      </w:r>
      <w:r>
        <w:rPr>
          <w:rFonts w:cs="宋体" w:hint="eastAsia"/>
          <w:b/>
          <w:spacing w:val="3"/>
          <w:sz w:val="28"/>
          <w:szCs w:val="28"/>
        </w:rPr>
        <w:t>危险有害特性表</w:t>
      </w:r>
    </w:p>
    <w:tbl>
      <w:tblPr>
        <w:tblStyle w:val="TableNormal"/>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48"/>
        <w:gridCol w:w="7775"/>
      </w:tblGrid>
      <w:tr>
        <w:tblPrEx>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599"/>
          <w:jc w:val="center"/>
        </w:trPr>
        <w:tc>
          <w:tcPr>
            <w:tcW w:w="8923" w:type="dxa"/>
            <w:gridSpan w:val="2"/>
          </w:tcPr>
          <w:p>
            <w:pPr>
              <w:widowControl/>
              <w:spacing w:line="240" w:lineRule="auto"/>
              <w:jc w:val="center"/>
              <w:rPr>
                <w:rFonts w:ascii="宋体" w:hAnsi="宋体" w:hint="eastAsia"/>
                <w:szCs w:val="21"/>
                <w:shd w:val="clear" w:color="auto" w:fill="FFFFFF"/>
              </w:rPr>
            </w:pPr>
            <w:r>
              <w:rPr>
                <w:rFonts w:ascii="宋体" w:hAnsi="宋体" w:hint="eastAsia"/>
                <w:b/>
                <w:bCs/>
                <w:szCs w:val="21"/>
                <w:shd w:val="clear" w:color="auto" w:fill="FFFFFF"/>
              </w:rPr>
              <w:t>氧气的基本性质</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中文名</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氧气</w:t>
            </w:r>
          </w:p>
        </w:tc>
      </w:tr>
      <w:tr>
        <w:tblPrEx>
          <w:tblW w:w="8923" w:type="dxa"/>
          <w:jc w:val="center"/>
          <w:tblCellMar>
            <w:top w:w="0" w:type="dxa"/>
            <w:left w:w="108" w:type="dxa"/>
            <w:bottom w:w="0" w:type="dxa"/>
            <w:right w:w="108" w:type="dxa"/>
          </w:tblCellMar>
          <w:tblLook w:val="0000"/>
        </w:tblPrEx>
        <w:trPr>
          <w:trHeight w:val="90"/>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英文名</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oxygen</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化学式</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O</w:t>
            </w:r>
            <w:r>
              <w:rPr>
                <w:rFonts w:ascii="Cambria Math" w:hAnsi="Cambria Math" w:cs="Cambria Math"/>
                <w:szCs w:val="21"/>
                <w:shd w:val="clear" w:color="auto" w:fill="FFFFFF"/>
              </w:rPr>
              <w:t>₂</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分子量</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32</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CAS登录号</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7782-44-7</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EINECS登录号</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231-956-9</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熔</w:t>
            </w:r>
            <w:r>
              <w:rPr>
                <w:rFonts w:ascii="宋体" w:hAnsi="宋体" w:hint="eastAsia"/>
                <w:b/>
                <w:bCs/>
                <w:szCs w:val="21"/>
                <w:shd w:val="clear" w:color="auto" w:fill="FFFFFF"/>
              </w:rPr>
              <w:t xml:space="preserve">    </w:t>
            </w:r>
            <w:r>
              <w:rPr>
                <w:rFonts w:ascii="宋体" w:hAnsi="宋体"/>
                <w:b/>
                <w:bCs/>
                <w:szCs w:val="21"/>
                <w:shd w:val="clear" w:color="auto" w:fill="FFFFFF"/>
              </w:rPr>
              <w:t>点</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-218.4</w:t>
            </w:r>
            <w:r>
              <w:rPr>
                <w:rFonts w:ascii="宋体" w:hAnsi="宋体" w:cs="宋体" w:hint="eastAsia"/>
                <w:szCs w:val="21"/>
                <w:shd w:val="clear" w:color="auto" w:fill="FFFFFF"/>
              </w:rPr>
              <w:t>℃</w:t>
            </w:r>
          </w:p>
        </w:tc>
      </w:tr>
    </w:tbl>
    <w:p>
      <w:pPr>
        <w:sectPr>
          <w:headerReference w:type="default" r:id="rId81"/>
          <w:footerReference w:type="even" r:id="rId82"/>
          <w:footerReference w:type="default" r:id="rId83"/>
          <w:type w:val="nextPage"/>
          <w:pgSz w:w="11906" w:h="16838"/>
          <w:pgMar w:top="1440" w:right="1418" w:bottom="1440" w:left="1418" w:header="851" w:footer="992" w:gutter="0"/>
          <w:pgNumType w:start="22"/>
          <w:cols w:space="708"/>
          <w:titlePg w:val="0"/>
          <w:docGrid w:type="lines" w:linePitch="312"/>
        </w:sectPr>
      </w:pPr>
    </w:p>
    <w:tbl>
      <w:tblPr>
        <w:tblStyle w:val="TableNormal"/>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48"/>
        <w:gridCol w:w="7775"/>
      </w:tblGrid>
      <w:tr>
        <w:tblPrEx>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沸</w:t>
            </w:r>
            <w:r>
              <w:rPr>
                <w:rFonts w:ascii="宋体" w:hAnsi="宋体" w:hint="eastAsia"/>
                <w:b/>
                <w:bCs/>
                <w:szCs w:val="21"/>
                <w:shd w:val="clear" w:color="auto" w:fill="FFFFFF"/>
              </w:rPr>
              <w:t xml:space="preserve">    </w:t>
            </w:r>
            <w:r>
              <w:rPr>
                <w:rFonts w:ascii="宋体" w:hAnsi="宋体"/>
                <w:b/>
                <w:bCs/>
                <w:szCs w:val="21"/>
                <w:shd w:val="clear" w:color="auto" w:fill="FFFFFF"/>
              </w:rPr>
              <w:t>点</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-183</w:t>
            </w:r>
            <w:r>
              <w:rPr>
                <w:rFonts w:ascii="宋体" w:hAnsi="宋体" w:cs="宋体" w:hint="eastAsia"/>
                <w:szCs w:val="21"/>
                <w:shd w:val="clear" w:color="auto" w:fill="FFFFFF"/>
              </w:rPr>
              <w:t>℃</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rPr>
            </w:pPr>
            <w:r>
              <w:rPr>
                <w:rFonts w:ascii="宋体" w:hAnsi="宋体"/>
                <w:b/>
                <w:bCs/>
                <w:szCs w:val="21"/>
                <w:shd w:val="clear" w:color="auto" w:fill="FFFFFF"/>
              </w:rPr>
              <w:t>水溶性</w:t>
            </w:r>
          </w:p>
        </w:tc>
        <w:tc>
          <w:tcPr>
            <w:tcW w:w="7775" w:type="dxa"/>
            <w:vAlign w:val="center"/>
          </w:tcPr>
          <w:p>
            <w:pPr>
              <w:widowControl/>
              <w:spacing w:line="240" w:lineRule="auto"/>
              <w:jc w:val="center"/>
              <w:rPr>
                <w:rFonts w:ascii="宋体" w:hAnsi="宋体"/>
                <w:szCs w:val="21"/>
              </w:rPr>
            </w:pPr>
            <w:r>
              <w:rPr>
                <w:rFonts w:ascii="宋体" w:hAnsi="宋体"/>
                <w:szCs w:val="21"/>
                <w:shd w:val="clear" w:color="auto" w:fill="FFFFFF"/>
              </w:rPr>
              <w:t>微溶于水</w:t>
            </w:r>
          </w:p>
        </w:tc>
      </w:tr>
      <w:tr>
        <w:tblPrEx>
          <w:tblW w:w="8923" w:type="dxa"/>
          <w:jc w:val="center"/>
          <w:tblCellMar>
            <w:top w:w="0" w:type="dxa"/>
            <w:left w:w="108" w:type="dxa"/>
            <w:bottom w:w="0" w:type="dxa"/>
            <w:right w:w="108" w:type="dxa"/>
          </w:tblCellMar>
          <w:tblLook w:val="0000"/>
        </w:tblPrEx>
        <w:trPr>
          <w:jc w:val="center"/>
        </w:trPr>
        <w:tc>
          <w:tcPr>
            <w:tcW w:w="1148" w:type="dxa"/>
            <w:vAlign w:val="center"/>
          </w:tcPr>
          <w:p>
            <w:pPr>
              <w:widowControl/>
              <w:spacing w:line="240" w:lineRule="auto"/>
              <w:jc w:val="center"/>
              <w:rPr>
                <w:rFonts w:ascii="宋体" w:hAnsi="宋体"/>
                <w:b/>
                <w:bCs/>
                <w:szCs w:val="21"/>
                <w:shd w:val="clear" w:color="auto" w:fill="FFFFFF"/>
              </w:rPr>
            </w:pPr>
            <w:r>
              <w:rPr>
                <w:rFonts w:ascii="宋体" w:hAnsi="宋体"/>
                <w:b/>
                <w:bCs/>
                <w:szCs w:val="21"/>
                <w:shd w:val="clear" w:color="auto" w:fill="FFFFFF"/>
              </w:rPr>
              <w:t>外</w:t>
            </w:r>
            <w:r>
              <w:rPr>
                <w:rFonts w:ascii="宋体" w:hAnsi="宋体" w:hint="eastAsia"/>
                <w:b/>
                <w:bCs/>
                <w:szCs w:val="21"/>
                <w:shd w:val="clear" w:color="auto" w:fill="FFFFFF"/>
              </w:rPr>
              <w:t xml:space="preserve">   </w:t>
            </w:r>
            <w:r>
              <w:rPr>
                <w:rFonts w:ascii="宋体" w:hAnsi="宋体"/>
                <w:b/>
                <w:bCs/>
                <w:szCs w:val="21"/>
                <w:shd w:val="clear" w:color="auto" w:fill="FFFFFF"/>
              </w:rPr>
              <w:t>观</w:t>
            </w:r>
          </w:p>
        </w:tc>
        <w:tc>
          <w:tcPr>
            <w:tcW w:w="7775" w:type="dxa"/>
            <w:vAlign w:val="center"/>
          </w:tcPr>
          <w:p>
            <w:pPr>
              <w:widowControl/>
              <w:spacing w:line="240" w:lineRule="auto"/>
              <w:jc w:val="center"/>
              <w:rPr>
                <w:rFonts w:ascii="宋体" w:hAnsi="宋体"/>
                <w:szCs w:val="21"/>
                <w:shd w:val="clear" w:color="auto" w:fill="FFFFFF"/>
              </w:rPr>
            </w:pPr>
            <w:r>
              <w:rPr>
                <w:rFonts w:ascii="宋体" w:hAnsi="宋体"/>
                <w:szCs w:val="21"/>
                <w:shd w:val="clear" w:color="auto" w:fill="FFFFFF"/>
              </w:rPr>
              <w:t>无色气体</w:t>
            </w:r>
          </w:p>
        </w:tc>
      </w:tr>
      <w:tr>
        <w:tblPrEx>
          <w:tblW w:w="8923" w:type="dxa"/>
          <w:jc w:val="center"/>
          <w:tblCellMar>
            <w:top w:w="0" w:type="dxa"/>
            <w:left w:w="108" w:type="dxa"/>
            <w:bottom w:w="0" w:type="dxa"/>
            <w:right w:w="108" w:type="dxa"/>
          </w:tblCellMar>
          <w:tblLook w:val="0000"/>
        </w:tblPrEx>
        <w:trPr>
          <w:trHeight w:val="1436"/>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hint="eastAsia"/>
                <w:b/>
                <w:bCs/>
                <w:szCs w:val="21"/>
                <w:shd w:val="clear" w:color="auto" w:fill="FFFFFF"/>
              </w:rPr>
              <w:t>物理性质</w:t>
            </w:r>
          </w:p>
        </w:tc>
        <w:tc>
          <w:tcPr>
            <w:tcW w:w="7775" w:type="dxa"/>
          </w:tcPr>
          <w:p>
            <w:pPr>
              <w:spacing w:line="240" w:lineRule="auto"/>
              <w:rPr>
                <w:rFonts w:ascii="宋体" w:hAnsi="宋体" w:hint="eastAsia"/>
                <w:szCs w:val="21"/>
                <w:shd w:val="clear" w:color="auto" w:fill="FFFFFF"/>
              </w:rPr>
            </w:pPr>
            <w:r>
              <w:rPr>
                <w:rFonts w:ascii="宋体" w:hAnsi="宋体" w:hint="eastAsia"/>
                <w:szCs w:val="21"/>
              </w:rPr>
              <w:t>无</w:t>
            </w:r>
            <w:r>
              <w:rPr>
                <w:rFonts w:ascii="宋体" w:hAnsi="宋体"/>
                <w:szCs w:val="21"/>
              </w:rPr>
              <w:t>色无味气体，熔点-218.8</w:t>
            </w:r>
            <w:r>
              <w:rPr>
                <w:rFonts w:ascii="宋体" w:hAnsi="宋体" w:cs="宋体" w:hint="eastAsia"/>
                <w:szCs w:val="21"/>
              </w:rPr>
              <w:t>℃</w:t>
            </w:r>
            <w:r>
              <w:rPr>
                <w:rFonts w:ascii="宋体" w:hAnsi="宋体"/>
                <w:szCs w:val="21"/>
              </w:rPr>
              <w:t>，沸点-183.1</w:t>
            </w:r>
            <w:r>
              <w:rPr>
                <w:rFonts w:ascii="宋体" w:hAnsi="宋体" w:cs="宋体" w:hint="eastAsia"/>
                <w:szCs w:val="21"/>
              </w:rPr>
              <w:t>℃</w:t>
            </w:r>
            <w:r>
              <w:rPr>
                <w:rFonts w:ascii="宋体" w:hAnsi="宋体"/>
                <w:szCs w:val="21"/>
              </w:rPr>
              <w:t>，相 对密度1.14（-183</w:t>
            </w:r>
            <w:r>
              <w:rPr>
                <w:rFonts w:ascii="宋体" w:hAnsi="宋体" w:cs="宋体" w:hint="eastAsia"/>
                <w:szCs w:val="21"/>
              </w:rPr>
              <w:t>℃</w:t>
            </w:r>
            <w:r>
              <w:rPr>
                <w:rFonts w:ascii="宋体" w:hAnsi="宋体"/>
                <w:szCs w:val="21"/>
              </w:rPr>
              <w:t>，水=1），相对蒸气密度1.43（空气=1），</w:t>
            </w:r>
            <w:hyperlink r:id="rId84" w:tgtFrame="https://baike.baidu.com/item/%E6%B0%A7%E6%B0%94/_blank" w:history="1">
              <w:r>
                <w:rPr>
                  <w:rFonts w:ascii="宋体" w:hAnsi="宋体"/>
                  <w:szCs w:val="21"/>
                </w:rPr>
                <w:t>饱和蒸气压</w:t>
              </w:r>
            </w:hyperlink>
            <w:r>
              <w:rPr>
                <w:rFonts w:ascii="宋体" w:hAnsi="宋体"/>
                <w:szCs w:val="21"/>
              </w:rPr>
              <w:t>506.62kPa（-164</w:t>
            </w:r>
            <w:r>
              <w:rPr>
                <w:rFonts w:ascii="宋体" w:hAnsi="宋体" w:cs="宋体" w:hint="eastAsia"/>
                <w:szCs w:val="21"/>
              </w:rPr>
              <w:t>℃</w:t>
            </w:r>
            <w:r>
              <w:rPr>
                <w:rFonts w:ascii="宋体" w:hAnsi="宋体"/>
                <w:szCs w:val="21"/>
              </w:rPr>
              <w:t>），</w:t>
            </w:r>
            <w:hyperlink r:id="rId85" w:tgtFrame="https://baike.baidu.com/item/%E6%B0%A7%E6%B0%94/_blank" w:history="1">
              <w:r>
                <w:rPr>
                  <w:rFonts w:ascii="宋体" w:hAnsi="宋体"/>
                  <w:szCs w:val="21"/>
                </w:rPr>
                <w:t>临界温度</w:t>
              </w:r>
            </w:hyperlink>
            <w:r>
              <w:rPr>
                <w:rFonts w:ascii="宋体" w:hAnsi="宋体"/>
                <w:szCs w:val="21"/>
              </w:rPr>
              <w:t>-118.95</w:t>
            </w:r>
            <w:r>
              <w:rPr>
                <w:rFonts w:ascii="宋体" w:hAnsi="宋体" w:cs="宋体" w:hint="eastAsia"/>
                <w:szCs w:val="21"/>
              </w:rPr>
              <w:t>℃</w:t>
            </w:r>
            <w:r>
              <w:rPr>
                <w:rFonts w:ascii="宋体" w:hAnsi="宋体"/>
                <w:szCs w:val="21"/>
              </w:rPr>
              <w:t>，</w:t>
            </w:r>
            <w:hyperlink r:id="rId86" w:tgtFrame="https://baike.baidu.com/item/%E6%B0%A7%E6%B0%94/_blank" w:history="1">
              <w:r>
                <w:rPr>
                  <w:rFonts w:ascii="宋体" w:hAnsi="宋体"/>
                  <w:szCs w:val="21"/>
                </w:rPr>
                <w:t>临界压力</w:t>
              </w:r>
            </w:hyperlink>
            <w:r>
              <w:rPr>
                <w:rFonts w:ascii="宋体" w:hAnsi="宋体"/>
                <w:szCs w:val="21"/>
              </w:rPr>
              <w:t>5.08MPa，辛醇/水分配系数：0.65。 [2]</w:t>
            </w:r>
            <w:bookmarkStart w:id="53" w:name="ref_[2]_9792585"/>
            <w:r>
              <w:rPr>
                <w:rFonts w:ascii="宋体" w:hAnsi="宋体"/>
                <w:szCs w:val="21"/>
              </w:rPr>
              <w:t> </w:t>
            </w:r>
            <w:bookmarkEnd w:id="53"/>
            <w:r>
              <w:rPr>
                <w:rFonts w:ascii="宋体" w:hAnsi="宋体"/>
                <w:szCs w:val="21"/>
              </w:rPr>
              <w:t xml:space="preserve"> 大气中体积分数：20.95%（约21%）。</w:t>
            </w:r>
          </w:p>
        </w:tc>
      </w:tr>
      <w:tr>
        <w:tblPrEx>
          <w:tblW w:w="8923" w:type="dxa"/>
          <w:jc w:val="center"/>
          <w:tblCellMar>
            <w:top w:w="0" w:type="dxa"/>
            <w:left w:w="108" w:type="dxa"/>
            <w:bottom w:w="0" w:type="dxa"/>
            <w:right w:w="108" w:type="dxa"/>
          </w:tblCellMar>
          <w:tblLook w:val="0000"/>
        </w:tblPrEx>
        <w:trPr>
          <w:trHeight w:val="90"/>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hint="eastAsia"/>
                <w:b/>
                <w:bCs/>
                <w:szCs w:val="21"/>
                <w:shd w:val="clear" w:color="auto" w:fill="FFFFFF"/>
              </w:rPr>
              <w:t>化学性质</w:t>
            </w:r>
          </w:p>
        </w:tc>
        <w:tc>
          <w:tcPr>
            <w:tcW w:w="7775" w:type="dxa"/>
          </w:tcPr>
          <w:p>
            <w:pPr>
              <w:spacing w:line="240" w:lineRule="auto"/>
              <w:rPr>
                <w:rFonts w:ascii="宋体" w:hAnsi="宋体" w:hint="eastAsia"/>
                <w:szCs w:val="21"/>
                <w:shd w:val="clear" w:color="auto" w:fill="FFFFFF"/>
              </w:rPr>
            </w:pPr>
            <w:r>
              <w:rPr>
                <w:rFonts w:ascii="宋体" w:hAnsi="宋体"/>
                <w:szCs w:val="21"/>
              </w:rPr>
              <w:t>氧气的化学性质比较活泼。除了</w:t>
            </w:r>
            <w:hyperlink r:id="rId87" w:tgtFrame="https://baike.baidu.com/item/%E6%B0%A7%E6%B0%94/_blank" w:history="1">
              <w:r>
                <w:rPr>
                  <w:rFonts w:ascii="宋体" w:hAnsi="宋体"/>
                  <w:szCs w:val="21"/>
                </w:rPr>
                <w:t>稀有气体</w:t>
              </w:r>
            </w:hyperlink>
            <w:r>
              <w:rPr>
                <w:rFonts w:ascii="宋体" w:hAnsi="宋体"/>
                <w:szCs w:val="21"/>
              </w:rPr>
              <w:t>、活性小的</w:t>
            </w:r>
            <w:hyperlink r:id="rId88" w:tgtFrame="https://baike.baidu.com/item/%E6%B0%A7%E6%B0%94/_blank" w:history="1">
              <w:r>
                <w:rPr>
                  <w:rFonts w:ascii="宋体" w:hAnsi="宋体"/>
                  <w:szCs w:val="21"/>
                </w:rPr>
                <w:t>金属元素</w:t>
              </w:r>
            </w:hyperlink>
            <w:r>
              <w:rPr>
                <w:rFonts w:ascii="宋体" w:hAnsi="宋体"/>
                <w:szCs w:val="21"/>
              </w:rPr>
              <w:t>如金、铂、</w:t>
            </w:r>
            <w:hyperlink r:id="rId89" w:tgtFrame="https://baike.baidu.com/item/%E6%B0%A7%E6%B0%94/_blank" w:history="1">
              <w:r>
                <w:rPr>
                  <w:rFonts w:ascii="宋体" w:hAnsi="宋体"/>
                  <w:szCs w:val="21"/>
                </w:rPr>
                <w:t>银</w:t>
              </w:r>
            </w:hyperlink>
            <w:r>
              <w:rPr>
                <w:rFonts w:ascii="宋体" w:hAnsi="宋体"/>
                <w:szCs w:val="21"/>
              </w:rPr>
              <w:t>之外，大部分的元素都能与氧气反应，这些反应称为</w:t>
            </w:r>
            <w:hyperlink r:id="rId90" w:tgtFrame="https://baike.baidu.com/item/%E6%B0%A7%E6%B0%94/_blank" w:history="1">
              <w:r>
                <w:rPr>
                  <w:rFonts w:ascii="宋体" w:hAnsi="宋体"/>
                  <w:szCs w:val="21"/>
                </w:rPr>
                <w:t>氧化反应</w:t>
              </w:r>
            </w:hyperlink>
            <w:r>
              <w:rPr>
                <w:rFonts w:ascii="宋体" w:hAnsi="宋体"/>
                <w:szCs w:val="21"/>
              </w:rPr>
              <w:t>，而经过反应产生的化合物（有两种元素构成，且一种元素为氧元素）称为氧化物。一般而言，</w:t>
            </w:r>
            <w:hyperlink r:id="rId91" w:tgtFrame="https://baike.baidu.com/item/%E6%B0%A7%E6%B0%94/_blank" w:history="1">
              <w:r>
                <w:rPr>
                  <w:rFonts w:ascii="宋体" w:hAnsi="宋体"/>
                  <w:szCs w:val="21"/>
                </w:rPr>
                <w:t>非金属氧化物</w:t>
              </w:r>
            </w:hyperlink>
            <w:r>
              <w:rPr>
                <w:rFonts w:ascii="宋体" w:hAnsi="宋体"/>
                <w:szCs w:val="21"/>
              </w:rPr>
              <w:t>的水溶液呈酸性，而碱金属或碱土金属氧化物则为碱性。此外，几乎所有的有机化合物，可在氧中剧烈燃生成二氧化碳与水。化学上曾将物质与氧气发生的</w:t>
            </w:r>
            <w:hyperlink r:id="rId92" w:tgtFrame="https://baike.baidu.com/item/%E6%B0%A7%E6%B0%94/_blank" w:history="1">
              <w:r>
                <w:rPr>
                  <w:rFonts w:ascii="宋体" w:hAnsi="宋体"/>
                  <w:szCs w:val="21"/>
                </w:rPr>
                <w:t>化学反应</w:t>
              </w:r>
            </w:hyperlink>
            <w:r>
              <w:rPr>
                <w:rFonts w:ascii="宋体" w:hAnsi="宋体"/>
                <w:szCs w:val="21"/>
              </w:rPr>
              <w:t>定义为氧化反应，氧化还原反应指发生电子转移或偏移的反应。氧气具有助燃性，氧化性。</w:t>
            </w:r>
          </w:p>
        </w:tc>
      </w:tr>
      <w:tr>
        <w:tblPrEx>
          <w:tblW w:w="8923" w:type="dxa"/>
          <w:jc w:val="center"/>
          <w:tblCellMar>
            <w:top w:w="0" w:type="dxa"/>
            <w:left w:w="108" w:type="dxa"/>
            <w:bottom w:w="0" w:type="dxa"/>
            <w:right w:w="108" w:type="dxa"/>
          </w:tblCellMar>
          <w:tblLook w:val="0000"/>
        </w:tblPrEx>
        <w:trPr>
          <w:trHeight w:val="2142"/>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hint="eastAsia"/>
                <w:b/>
                <w:bCs/>
                <w:szCs w:val="21"/>
                <w:shd w:val="clear" w:color="auto" w:fill="FFFFFF"/>
              </w:rPr>
              <w:t>毒理性质</w:t>
            </w:r>
          </w:p>
        </w:tc>
        <w:tc>
          <w:tcPr>
            <w:tcW w:w="7775" w:type="dxa"/>
          </w:tcPr>
          <w:p>
            <w:pPr>
              <w:spacing w:line="240" w:lineRule="auto"/>
              <w:rPr>
                <w:rFonts w:ascii="宋体" w:hAnsi="宋体" w:hint="eastAsia"/>
                <w:szCs w:val="21"/>
              </w:rPr>
            </w:pPr>
            <w:r>
              <w:rPr>
                <w:rFonts w:ascii="宋体" w:hAnsi="宋体"/>
                <w:szCs w:val="21"/>
              </w:rPr>
              <w:t>1．</w:t>
            </w:r>
            <w:hyperlink r:id="rId93" w:tgtFrame="https://baike.baidu.com/item/%E6%B0%A7%E6%B0%94/_blank" w:history="1">
              <w:r>
                <w:rPr>
                  <w:rFonts w:ascii="宋体" w:hAnsi="宋体"/>
                  <w:szCs w:val="21"/>
                </w:rPr>
                <w:t>急性毒性</w:t>
              </w:r>
            </w:hyperlink>
            <w:r>
              <w:rPr>
                <w:rFonts w:ascii="宋体" w:hAnsi="宋体"/>
                <w:szCs w:val="21"/>
              </w:rPr>
              <w:t xml:space="preserve">：人类吸入TCLo：100pph/14H； [2]  </w:t>
            </w:r>
          </w:p>
          <w:p>
            <w:pPr>
              <w:spacing w:line="240" w:lineRule="auto"/>
              <w:rPr>
                <w:rFonts w:ascii="宋体" w:hAnsi="宋体"/>
                <w:szCs w:val="21"/>
              </w:rPr>
            </w:pPr>
            <w:r>
              <w:rPr>
                <w:rFonts w:ascii="宋体" w:hAnsi="宋体"/>
                <w:szCs w:val="21"/>
              </w:rPr>
              <w:t>2．繁殖数据：</w:t>
            </w:r>
          </w:p>
          <w:p>
            <w:pPr>
              <w:spacing w:line="240" w:lineRule="auto"/>
              <w:rPr>
                <w:rFonts w:ascii="宋体" w:hAnsi="宋体"/>
                <w:szCs w:val="21"/>
              </w:rPr>
            </w:pPr>
            <w:r>
              <w:rPr>
                <w:rFonts w:ascii="宋体" w:hAnsi="宋体"/>
                <w:szCs w:val="21"/>
              </w:rPr>
              <w:t>女人怀孕后26-39周吸入TCLo：12pph/10M</w:t>
            </w:r>
            <w:hyperlink r:id="rId94" w:tgtFrame="https://baike.baidu.com/item/%E6%B0%A7%E6%B0%94/_blank" w:history="1">
              <w:r>
                <w:rPr>
                  <w:rFonts w:ascii="宋体" w:hAnsi="宋体"/>
                  <w:szCs w:val="21"/>
                </w:rPr>
                <w:t>生殖系统</w:t>
              </w:r>
            </w:hyperlink>
            <w:r>
              <w:rPr>
                <w:rFonts w:ascii="宋体" w:hAnsi="宋体"/>
                <w:szCs w:val="21"/>
              </w:rPr>
              <w:t>和</w:t>
            </w:r>
            <w:hyperlink r:id="rId95" w:tgtFrame="https://baike.baidu.com/item/%E6%B0%A7%E6%B0%94/_blank" w:history="1">
              <w:r>
                <w:rPr>
                  <w:rFonts w:ascii="宋体" w:hAnsi="宋体"/>
                  <w:szCs w:val="21"/>
                </w:rPr>
                <w:t>心血管系统</w:t>
              </w:r>
            </w:hyperlink>
            <w:r>
              <w:rPr>
                <w:rFonts w:ascii="宋体" w:hAnsi="宋体"/>
                <w:szCs w:val="21"/>
              </w:rPr>
              <w:t>出现异常；</w:t>
            </w:r>
          </w:p>
          <w:p>
            <w:pPr>
              <w:spacing w:line="240" w:lineRule="auto"/>
              <w:rPr>
                <w:rFonts w:ascii="宋体" w:hAnsi="宋体"/>
                <w:szCs w:val="21"/>
              </w:rPr>
            </w:pPr>
            <w:r>
              <w:rPr>
                <w:rFonts w:ascii="宋体" w:hAnsi="宋体"/>
                <w:szCs w:val="21"/>
              </w:rPr>
              <w:t>大母鼠受孕后22天吸入TDLo：10pph/12H生殖和呼吸系统出现异常；</w:t>
            </w:r>
          </w:p>
          <w:p>
            <w:pPr>
              <w:spacing w:line="240" w:lineRule="auto"/>
              <w:rPr>
                <w:rFonts w:ascii="宋体" w:hAnsi="宋体"/>
                <w:szCs w:val="21"/>
              </w:rPr>
            </w:pPr>
            <w:r>
              <w:rPr>
                <w:rFonts w:ascii="宋体" w:hAnsi="宋体"/>
                <w:szCs w:val="21"/>
              </w:rPr>
              <w:t>大母鼠受孕后22天吸入TDLo：10pph/9H对生殖、呼吸系统和新生儿生长出现抑制作用；小鼠受孕后8天吸入TCLo：10pph/24H皮肤和</w:t>
            </w:r>
            <w:hyperlink r:id="rId96" w:tgtFrame="https://baike.baidu.com/item/%E6%B0%A7%E6%B0%94/_blank" w:history="1">
              <w:r>
                <w:rPr>
                  <w:rFonts w:ascii="宋体" w:hAnsi="宋体"/>
                  <w:szCs w:val="21"/>
                </w:rPr>
                <w:t>皮下组织</w:t>
              </w:r>
            </w:hyperlink>
            <w:r>
              <w:rPr>
                <w:rFonts w:ascii="宋体" w:hAnsi="宋体"/>
                <w:szCs w:val="21"/>
              </w:rPr>
              <w:t xml:space="preserve">及生殖出现异常； </w:t>
            </w:r>
          </w:p>
          <w:p>
            <w:pPr>
              <w:spacing w:line="240" w:lineRule="auto"/>
              <w:rPr>
                <w:rFonts w:ascii="宋体" w:hAnsi="宋体"/>
                <w:szCs w:val="21"/>
              </w:rPr>
            </w:pPr>
            <w:r>
              <w:rPr>
                <w:rFonts w:ascii="宋体" w:hAnsi="宋体"/>
                <w:szCs w:val="21"/>
              </w:rPr>
              <w:t>3．</w:t>
            </w:r>
            <w:hyperlink r:id="rId97" w:tgtFrame="https://baike.baidu.com/item/%E6%B0%A7%E6%B0%94/_blank" w:history="1">
              <w:r>
                <w:rPr>
                  <w:rFonts w:ascii="宋体" w:hAnsi="宋体"/>
                  <w:szCs w:val="21"/>
                </w:rPr>
                <w:t>致突变性</w:t>
              </w:r>
            </w:hyperlink>
            <w:r>
              <w:rPr>
                <w:rFonts w:ascii="宋体" w:hAnsi="宋体"/>
                <w:szCs w:val="21"/>
              </w:rPr>
              <w:t>：</w:t>
            </w:r>
          </w:p>
          <w:p>
            <w:pPr>
              <w:spacing w:line="240" w:lineRule="auto"/>
              <w:rPr>
                <w:rFonts w:ascii="宋体" w:hAnsi="宋体"/>
                <w:szCs w:val="21"/>
              </w:rPr>
            </w:pPr>
            <w:r>
              <w:rPr>
                <w:rFonts w:ascii="宋体" w:hAnsi="宋体"/>
                <w:szCs w:val="21"/>
              </w:rPr>
              <w:t>人类</w:t>
            </w:r>
            <w:hyperlink r:id="rId98" w:tgtFrame="https://baike.baidu.com/item/%E6%B0%A7%E6%B0%94/_blank" w:history="1">
              <w:r>
                <w:rPr>
                  <w:rFonts w:ascii="宋体" w:hAnsi="宋体"/>
                  <w:szCs w:val="21"/>
                </w:rPr>
                <w:t>淋巴细胞</w:t>
              </w:r>
            </w:hyperlink>
            <w:r>
              <w:rPr>
                <w:rFonts w:ascii="宋体" w:hAnsi="宋体"/>
                <w:szCs w:val="21"/>
              </w:rPr>
              <w:t>40pph/4D对细胞遗传有影响；</w:t>
            </w:r>
            <w:hyperlink r:id="rId99" w:tgtFrame="https://baike.baidu.com/item/%E6%B0%A7%E6%B0%94/_blank" w:history="1">
              <w:r>
                <w:rPr>
                  <w:rFonts w:ascii="宋体" w:hAnsi="宋体"/>
                  <w:szCs w:val="21"/>
                </w:rPr>
                <w:t>啮齿动物</w:t>
              </w:r>
            </w:hyperlink>
            <w:r>
              <w:rPr>
                <w:rFonts w:ascii="宋体" w:hAnsi="宋体"/>
                <w:szCs w:val="21"/>
              </w:rPr>
              <w:t>-仓鼠卵巢20pph/3D （Continuous） 对细胞遗传有影响；啮齿动物-仓鼠肺80pph对细胞遗传有影响；啮齿动物-仓鼠卵巢</w:t>
            </w:r>
            <w:hyperlink r:id="rId100" w:tgtFrame="https://baike.baidu.com/item/%E6%B0%A7%E6%B0%94/_blank" w:history="1">
              <w:r>
                <w:rPr>
                  <w:rFonts w:ascii="宋体" w:hAnsi="宋体"/>
                  <w:szCs w:val="21"/>
                </w:rPr>
                <w:t>姐妹染色体</w:t>
              </w:r>
            </w:hyperlink>
            <w:r>
              <w:rPr>
                <w:rFonts w:ascii="宋体" w:hAnsi="宋体"/>
                <w:szCs w:val="21"/>
              </w:rPr>
              <w:t xml:space="preserve">20pph复制受影响；啮齿动物-仓鼠肺95pph/24H引起细胞突变。 </w:t>
            </w:r>
          </w:p>
          <w:p>
            <w:pPr>
              <w:spacing w:line="240" w:lineRule="auto"/>
              <w:rPr>
                <w:rFonts w:ascii="宋体" w:hAnsi="宋体"/>
                <w:szCs w:val="21"/>
              </w:rPr>
            </w:pPr>
            <w:r>
              <w:rPr>
                <w:rFonts w:ascii="宋体" w:hAnsi="宋体"/>
                <w:szCs w:val="21"/>
              </w:rPr>
              <w:t>4．亚急性与慢性毒性：常压下，在80%氧中生活4d，大鼠开始陆续死亡，兔的视细胞全部损毁；在纯氧中，兔48h</w:t>
            </w:r>
            <w:hyperlink r:id="rId101" w:tgtFrame="https://baike.baidu.com/item/%E6%B0%A7%E6%B0%94/_blank" w:history="1">
              <w:r>
                <w:rPr>
                  <w:rFonts w:ascii="宋体" w:hAnsi="宋体"/>
                  <w:szCs w:val="21"/>
                </w:rPr>
                <w:t>视细胞</w:t>
              </w:r>
            </w:hyperlink>
            <w:r>
              <w:rPr>
                <w:rFonts w:ascii="宋体" w:hAnsi="宋体"/>
                <w:szCs w:val="21"/>
              </w:rPr>
              <w:t xml:space="preserve">全部损毁，狗60h有死亡，猴3d出现呼吸困难，6~9d死亡。 </w:t>
            </w:r>
          </w:p>
          <w:p>
            <w:pPr>
              <w:spacing w:line="240" w:lineRule="auto"/>
              <w:rPr>
                <w:rFonts w:ascii="宋体" w:hAnsi="宋体" w:hint="eastAsia"/>
                <w:szCs w:val="21"/>
                <w:shd w:val="clear" w:color="auto" w:fill="FFFFFF"/>
              </w:rPr>
            </w:pPr>
            <w:r>
              <w:rPr>
                <w:rFonts w:ascii="宋体" w:hAnsi="宋体"/>
                <w:szCs w:val="21"/>
              </w:rPr>
              <w:t>5．其他毒害作用：TCLo：100%（100%）（人吸入，14h）；TCLo：80%（大鼠吸入）。</w:t>
            </w:r>
          </w:p>
        </w:tc>
      </w:tr>
      <w:tr>
        <w:tblPrEx>
          <w:tblW w:w="8923" w:type="dxa"/>
          <w:jc w:val="center"/>
          <w:tblCellMar>
            <w:top w:w="0" w:type="dxa"/>
            <w:left w:w="108" w:type="dxa"/>
            <w:bottom w:w="0" w:type="dxa"/>
            <w:right w:w="108" w:type="dxa"/>
          </w:tblCellMar>
          <w:tblLook w:val="0000"/>
        </w:tblPrEx>
        <w:trPr>
          <w:trHeight w:val="2321"/>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b/>
                <w:bCs/>
                <w:szCs w:val="21"/>
                <w:shd w:val="clear" w:color="auto" w:fill="FFFFFF"/>
              </w:rPr>
              <w:t>急救措施</w:t>
            </w:r>
          </w:p>
          <w:p>
            <w:pPr>
              <w:widowControl/>
              <w:spacing w:line="240" w:lineRule="auto"/>
              <w:jc w:val="center"/>
              <w:rPr>
                <w:rFonts w:ascii="宋体" w:hAnsi="宋体" w:hint="eastAsia"/>
                <w:b/>
                <w:bCs/>
                <w:szCs w:val="21"/>
                <w:shd w:val="clear" w:color="auto" w:fill="FFFFFF"/>
              </w:rPr>
            </w:pPr>
          </w:p>
        </w:tc>
        <w:tc>
          <w:tcPr>
            <w:tcW w:w="7775" w:type="dxa"/>
          </w:tcPr>
          <w:p>
            <w:pPr>
              <w:spacing w:line="240" w:lineRule="auto"/>
              <w:rPr>
                <w:rFonts w:ascii="宋体" w:hAnsi="宋体"/>
                <w:szCs w:val="21"/>
              </w:rPr>
            </w:pPr>
            <w:r>
              <w:rPr>
                <w:rFonts w:ascii="宋体" w:hAnsi="宋体"/>
                <w:szCs w:val="21"/>
              </w:rPr>
              <w:t>吸入：迅速脱离现场至空气新鲜处。保持呼吸道通畅。如呼吸停止，立即进行人工呼吸</w:t>
            </w:r>
            <w:r>
              <w:rPr>
                <w:rFonts w:ascii="宋体" w:hAnsi="宋体" w:hint="eastAsia"/>
                <w:szCs w:val="21"/>
              </w:rPr>
              <w:t>或</w:t>
            </w:r>
            <w:r>
              <w:rPr>
                <w:rFonts w:ascii="宋体" w:hAnsi="宋体"/>
                <w:szCs w:val="21"/>
              </w:rPr>
              <w:t>就医。</w:t>
            </w:r>
          </w:p>
          <w:p>
            <w:pPr>
              <w:spacing w:line="240" w:lineRule="auto"/>
              <w:rPr>
                <w:rFonts w:ascii="宋体" w:hAnsi="宋体" w:hint="eastAsia"/>
                <w:szCs w:val="21"/>
                <w:shd w:val="clear" w:color="auto" w:fill="FFFFFF"/>
              </w:rPr>
            </w:pPr>
            <w:r>
              <w:rPr>
                <w:rFonts w:ascii="宋体" w:hAnsi="宋体"/>
                <w:szCs w:val="21"/>
              </w:rPr>
              <w:t>灭火方法：用水保持容器冷却，以防受热爆炸，急剧助长火势。迅速切断气源，用水喷淋保护切断气源的人员，然后根据着火原因选择适当灭火剂灭火。</w:t>
            </w:r>
          </w:p>
        </w:tc>
      </w:tr>
      <w:tr>
        <w:tblPrEx>
          <w:tblW w:w="8923" w:type="dxa"/>
          <w:jc w:val="center"/>
          <w:tblCellMar>
            <w:top w:w="0" w:type="dxa"/>
            <w:left w:w="108" w:type="dxa"/>
            <w:bottom w:w="0" w:type="dxa"/>
            <w:right w:w="108" w:type="dxa"/>
          </w:tblCellMar>
          <w:tblLook w:val="0000"/>
        </w:tblPrEx>
        <w:trPr>
          <w:trHeight w:val="90"/>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hint="eastAsia"/>
                <w:b/>
                <w:bCs/>
                <w:szCs w:val="21"/>
                <w:shd w:val="clear" w:color="auto" w:fill="FFFFFF"/>
              </w:rPr>
              <w:t>操作处置与储存</w:t>
            </w:r>
          </w:p>
        </w:tc>
        <w:tc>
          <w:tcPr>
            <w:tcW w:w="7775" w:type="dxa"/>
          </w:tcPr>
          <w:p>
            <w:pPr>
              <w:spacing w:line="240" w:lineRule="auto"/>
              <w:rPr>
                <w:rFonts w:ascii="宋体" w:hAnsi="宋体" w:hint="eastAsia"/>
                <w:szCs w:val="21"/>
              </w:rPr>
            </w:pPr>
            <w:r>
              <w:rPr>
                <w:rFonts w:ascii="宋体" w:hAnsi="宋体"/>
                <w:szCs w:val="21"/>
              </w:rPr>
              <w:t>操作注意事项：密闭操作。密闭操作，提供良好的自然通风条件。操作人员必须经过专门培训，严格遵守操作规程。远离火种、热源，工作场所严禁吸烟。远离易燃、可燃物。防止气体泄漏到工作场所空气中。避免与活性金属粉末接触。搬运时轻装轻卸，防止钢瓶及附件破损。配备相应品种和数量的消防器材及泄漏应急处理设备。 [15]</w:t>
            </w:r>
            <w:bookmarkStart w:id="54" w:name="ref_[15]_9792585"/>
            <w:r>
              <w:rPr>
                <w:rFonts w:ascii="宋体" w:hAnsi="宋体"/>
                <w:szCs w:val="21"/>
              </w:rPr>
              <w:t> </w:t>
            </w:r>
            <w:bookmarkEnd w:id="54"/>
            <w:r>
              <w:rPr>
                <w:rFonts w:ascii="宋体" w:hAnsi="宋体"/>
                <w:szCs w:val="21"/>
              </w:rPr>
              <w:t xml:space="preserve"> </w:t>
            </w:r>
          </w:p>
        </w:tc>
      </w:tr>
    </w:tbl>
    <w:p>
      <w:pPr>
        <w:sectPr>
          <w:headerReference w:type="default" r:id="rId102"/>
          <w:footerReference w:type="even" r:id="rId103"/>
          <w:footerReference w:type="default" r:id="rId104"/>
          <w:type w:val="nextPage"/>
          <w:pgSz w:w="11906" w:h="16838"/>
          <w:pgMar w:top="1440" w:right="1418" w:bottom="1440" w:left="1418" w:header="851" w:footer="992" w:gutter="0"/>
          <w:pgNumType w:start="23"/>
          <w:cols w:space="708"/>
          <w:titlePg w:val="0"/>
          <w:docGrid w:type="lines" w:linePitch="312"/>
        </w:sectPr>
      </w:pPr>
    </w:p>
    <w:tbl>
      <w:tblPr>
        <w:tblStyle w:val="TableNormal"/>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48"/>
        <w:gridCol w:w="7775"/>
      </w:tblGrid>
      <w:tr>
        <w:tblPrEx>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148" w:type="dxa"/>
          </w:tcPr>
          <w:p/>
        </w:tc>
        <w:tc>
          <w:tcPr>
            <w:tcW w:w="7775" w:type="dxa"/>
          </w:tcPr>
          <w:p>
            <w:pPr>
              <w:spacing w:line="240" w:lineRule="auto"/>
              <w:rPr>
                <w:rFonts w:ascii="宋体" w:hAnsi="宋体" w:hint="eastAsia"/>
                <w:szCs w:val="21"/>
              </w:rPr>
            </w:pPr>
            <w:r>
              <w:rPr>
                <w:rFonts w:ascii="宋体" w:hAnsi="宋体"/>
                <w:szCs w:val="21"/>
              </w:rPr>
              <w:t>储存注意事项：储存于阴凉、通风的库房。远离火种、热源。库温不宜超过30</w:t>
            </w:r>
            <w:r>
              <w:rPr>
                <w:rFonts w:ascii="宋体" w:hAnsi="宋体" w:cs="宋体" w:hint="eastAsia"/>
                <w:szCs w:val="21"/>
              </w:rPr>
              <w:t>℃</w:t>
            </w:r>
            <w:r>
              <w:rPr>
                <w:rFonts w:ascii="宋体" w:hAnsi="宋体"/>
                <w:szCs w:val="21"/>
              </w:rPr>
              <w:t>。应与易（可）燃物、活性金属粉末等分开存放，切忌混储。储区应备有泄漏应急处理设备。</w:t>
            </w:r>
          </w:p>
        </w:tc>
      </w:tr>
      <w:tr>
        <w:tblPrEx>
          <w:tblW w:w="8923" w:type="dxa"/>
          <w:jc w:val="center"/>
          <w:tblCellMar>
            <w:top w:w="0" w:type="dxa"/>
            <w:left w:w="108" w:type="dxa"/>
            <w:bottom w:w="0" w:type="dxa"/>
            <w:right w:w="108" w:type="dxa"/>
          </w:tblCellMar>
          <w:tblLook w:val="0000"/>
        </w:tblPrEx>
        <w:trPr>
          <w:trHeight w:val="1253"/>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hint="eastAsia"/>
                <w:b/>
                <w:bCs/>
                <w:szCs w:val="21"/>
                <w:shd w:val="clear" w:color="auto" w:fill="FFFFFF"/>
              </w:rPr>
              <w:t>贮运方法</w:t>
            </w:r>
          </w:p>
          <w:p>
            <w:pPr>
              <w:widowControl/>
              <w:spacing w:line="240" w:lineRule="auto"/>
              <w:jc w:val="center"/>
              <w:rPr>
                <w:rFonts w:ascii="宋体" w:hAnsi="宋体" w:hint="eastAsia"/>
                <w:b/>
                <w:bCs/>
                <w:szCs w:val="21"/>
                <w:shd w:val="clear" w:color="auto" w:fill="FFFFFF"/>
              </w:rPr>
            </w:pPr>
          </w:p>
        </w:tc>
        <w:tc>
          <w:tcPr>
            <w:tcW w:w="7775" w:type="dxa"/>
          </w:tcPr>
          <w:p>
            <w:pPr>
              <w:spacing w:line="240" w:lineRule="auto"/>
              <w:rPr>
                <w:rFonts w:ascii="宋体" w:hAnsi="宋体" w:hint="eastAsia"/>
                <w:szCs w:val="21"/>
              </w:rPr>
            </w:pPr>
            <w:r>
              <w:rPr>
                <w:rFonts w:ascii="宋体" w:hAnsi="宋体"/>
                <w:szCs w:val="21"/>
              </w:rPr>
              <w:t>包装方法：钢质气瓶。</w:t>
            </w:r>
          </w:p>
          <w:p>
            <w:pPr>
              <w:spacing w:line="240" w:lineRule="auto"/>
              <w:rPr>
                <w:rFonts w:ascii="宋体" w:hAnsi="宋体" w:hint="eastAsia"/>
                <w:szCs w:val="21"/>
              </w:rPr>
            </w:pPr>
            <w:r>
              <w:rPr>
                <w:rFonts w:ascii="宋体" w:hAnsi="宋体"/>
                <w:szCs w:val="21"/>
              </w:rPr>
              <w:t>运输方法：氧气钢瓶不得沾污油脂。采用刚瓶运输时必须戴好钢瓶上的</w:t>
            </w:r>
            <w:hyperlink r:id="rId105" w:tgtFrame="https://baike.baidu.com/item/%E6%B0%A7%E6%B0%94/_blank" w:history="1">
              <w:r>
                <w:rPr>
                  <w:rFonts w:ascii="宋体" w:hAnsi="宋体"/>
                  <w:szCs w:val="21"/>
                </w:rPr>
                <w:t>安全帽</w:t>
              </w:r>
            </w:hyperlink>
            <w:r>
              <w:rPr>
                <w:rFonts w:ascii="宋体" w:hAnsi="宋体"/>
                <w:szCs w:val="21"/>
              </w:rPr>
              <w:t>。钢瓶一般平放，并应将瓶口朝同一方向，不可交叉；高度不得超过车辆的防护栏板，并用三角木垫卡牢，防止滚动。严禁与易燃物或可燃物、活性金属粉末等混装混运。夏季应早晚运输，防止日光曝晒。铁路运输时要禁止溜放。</w:t>
            </w:r>
          </w:p>
        </w:tc>
      </w:tr>
      <w:tr>
        <w:tblPrEx>
          <w:tblW w:w="8923" w:type="dxa"/>
          <w:jc w:val="center"/>
          <w:tblCellMar>
            <w:top w:w="0" w:type="dxa"/>
            <w:left w:w="108" w:type="dxa"/>
            <w:bottom w:w="0" w:type="dxa"/>
            <w:right w:w="108" w:type="dxa"/>
          </w:tblCellMar>
          <w:tblLook w:val="0000"/>
        </w:tblPrEx>
        <w:trPr>
          <w:trHeight w:val="875"/>
          <w:jc w:val="center"/>
        </w:trPr>
        <w:tc>
          <w:tcPr>
            <w:tcW w:w="1148" w:type="dxa"/>
          </w:tcPr>
          <w:p>
            <w:pPr>
              <w:widowControl/>
              <w:spacing w:line="240" w:lineRule="auto"/>
              <w:jc w:val="center"/>
              <w:rPr>
                <w:rFonts w:ascii="宋体" w:hAnsi="宋体" w:hint="eastAsia"/>
                <w:b/>
                <w:bCs/>
                <w:szCs w:val="21"/>
                <w:shd w:val="clear" w:color="auto" w:fill="FFFFFF"/>
              </w:rPr>
            </w:pPr>
            <w:r>
              <w:rPr>
                <w:rFonts w:ascii="宋体" w:hAnsi="宋体"/>
                <w:b/>
                <w:bCs/>
                <w:szCs w:val="21"/>
                <w:shd w:val="clear" w:color="auto" w:fill="FFFFFF"/>
              </w:rPr>
              <w:t>个体防护</w:t>
            </w:r>
          </w:p>
          <w:p>
            <w:pPr>
              <w:widowControl/>
              <w:spacing w:line="240" w:lineRule="auto"/>
              <w:jc w:val="center"/>
              <w:rPr>
                <w:rFonts w:ascii="宋体" w:hAnsi="宋体" w:hint="eastAsia"/>
                <w:b/>
                <w:bCs/>
                <w:szCs w:val="21"/>
                <w:shd w:val="clear" w:color="auto" w:fill="FFFFFF"/>
              </w:rPr>
            </w:pPr>
          </w:p>
        </w:tc>
        <w:tc>
          <w:tcPr>
            <w:tcW w:w="7775" w:type="dxa"/>
          </w:tcPr>
          <w:p>
            <w:pPr>
              <w:spacing w:line="240" w:lineRule="auto"/>
              <w:rPr>
                <w:rFonts w:ascii="宋体" w:hAnsi="宋体"/>
                <w:szCs w:val="21"/>
              </w:rPr>
            </w:pPr>
            <w:r>
              <w:rPr>
                <w:rFonts w:ascii="宋体" w:hAnsi="宋体"/>
                <w:szCs w:val="21"/>
              </w:rPr>
              <w:t>工程控制：密闭操作。提供良好的自然通风条件。身体防护：穿一般作业工作服。</w:t>
            </w:r>
          </w:p>
          <w:p>
            <w:pPr>
              <w:spacing w:line="240" w:lineRule="auto"/>
              <w:rPr>
                <w:rFonts w:ascii="宋体" w:hAnsi="宋体" w:hint="eastAsia"/>
                <w:szCs w:val="21"/>
                <w:shd w:val="clear" w:color="auto" w:fill="FFFFFF"/>
              </w:rPr>
            </w:pPr>
            <w:r>
              <w:rPr>
                <w:rFonts w:ascii="宋体" w:hAnsi="宋体"/>
                <w:szCs w:val="21"/>
              </w:rPr>
              <w:t>手防护：戴一般作业</w:t>
            </w:r>
            <w:hyperlink r:id="rId106" w:tgtFrame="https://baike.baidu.com/item/%E6%B0%A7%E6%B0%94/_blank" w:history="1">
              <w:r>
                <w:rPr>
                  <w:rFonts w:ascii="宋体" w:hAnsi="宋体"/>
                  <w:szCs w:val="21"/>
                </w:rPr>
                <w:t>防护手套</w:t>
              </w:r>
            </w:hyperlink>
            <w:r>
              <w:rPr>
                <w:rFonts w:ascii="宋体" w:hAnsi="宋体"/>
                <w:szCs w:val="21"/>
              </w:rPr>
              <w:t>。其他防护：避免高浓度吸入。</w:t>
            </w:r>
          </w:p>
        </w:tc>
      </w:tr>
    </w:tbl>
    <w:p>
      <w:pPr>
        <w:tabs>
          <w:tab w:val="left" w:pos="420"/>
        </w:tabs>
        <w:spacing w:line="600" w:lineRule="exact"/>
        <w:rPr>
          <w:rFonts w:hint="eastAsia"/>
          <w:b/>
          <w:bCs/>
          <w:sz w:val="28"/>
          <w:szCs w:val="28"/>
        </w:rPr>
      </w:pPr>
      <w:r>
        <w:rPr>
          <w:rFonts w:hint="eastAsia"/>
          <w:b/>
          <w:bCs/>
          <w:sz w:val="28"/>
          <w:szCs w:val="28"/>
        </w:rPr>
        <w:t>（5）二氧化碳</w:t>
      </w:r>
    </w:p>
    <w:p>
      <w:pPr>
        <w:spacing w:line="360" w:lineRule="auto"/>
        <w:jc w:val="center"/>
        <w:rPr>
          <w:rFonts w:hint="eastAsia"/>
          <w:b/>
          <w:bCs/>
          <w:sz w:val="28"/>
          <w:szCs w:val="28"/>
        </w:rPr>
        <w:sectPr>
          <w:headerReference w:type="default" r:id="rId107"/>
          <w:footerReference w:type="even" r:id="rId108"/>
          <w:footerReference w:type="default" r:id="rId109"/>
          <w:type w:val="nextPage"/>
          <w:pgSz w:w="11906" w:h="16838"/>
          <w:pgMar w:top="1440" w:right="1418" w:bottom="1440" w:left="1418" w:header="851" w:footer="992" w:gutter="0"/>
          <w:pgNumType w:start="24"/>
          <w:cols w:space="708"/>
          <w:titlePg w:val="0"/>
          <w:docGrid w:type="lines" w:linePitch="312"/>
        </w:sectPr>
      </w:pPr>
      <w:r>
        <w:rPr>
          <w:rFonts w:hint="eastAsia"/>
          <w:b/>
          <w:bCs/>
          <w:sz w:val="28"/>
          <w:szCs w:val="28"/>
        </w:rPr>
        <w:t>二氧化碳的理化性质及危险特性表</w:t>
      </w:r>
    </w:p>
    <w:p>
      <w:pPr>
        <w:pStyle w:val="BodyTextFirstIndent2"/>
        <w:rPr>
          <w:rFonts w:hint="eastAsia"/>
          <w:lang w:eastAsia="zh-CN"/>
        </w:rPr>
        <w:sectPr>
          <w:headerReference w:type="default" r:id="rId110"/>
          <w:footerReference w:type="even" r:id="rId111"/>
          <w:footerReference w:type="default" r:id="rId112"/>
          <w:type w:val="nextPage"/>
          <w:pgSz w:w="11906" w:h="16838"/>
          <w:pgMar w:top="1440" w:right="1418" w:bottom="1440" w:left="1418" w:header="851" w:footer="992" w:gutter="0"/>
          <w:pgNumType w:start="25"/>
          <w:cols w:space="708"/>
          <w:titlePg w:val="0"/>
          <w:docGrid w:type="lines" w:linePitch="312"/>
        </w:sectPr>
      </w:pPr>
      <w:r>
        <w:rPr>
          <w:rFonts w:hint="eastAsia"/>
          <w:lang w:eastAsia="zh-CN"/>
        </w:rPr>
        <w:pict>
          <v:shape id="图片 88" o:spid="_x0000_i1028" type="#_x0000_t75" alt="1578500013(1)" style="width:421.07pt;height:642.14pt;mso-position-horizontal-relative:page;mso-position-vertical-relative:page;mso-wrap-style:square" o:preferrelative="t" filled="f" stroked="f">
            <v:fill o:detectmouseclick="t"/>
            <v:stroke linestyle="single"/>
            <v:imagedata r:id="rId113" o:title="1578500013(1)"/>
            <v:path o:extrusionok="f"/>
            <o:lock v:ext="edit" aspectratio="t"/>
          </v:shape>
        </w:pict>
      </w:r>
    </w:p>
    <w:p>
      <w:pPr>
        <w:pStyle w:val="BodyTextFirstIndent2"/>
        <w:rPr>
          <w:rFonts w:hint="eastAsia"/>
          <w:lang w:eastAsia="zh-CN"/>
        </w:rPr>
        <w:sectPr>
          <w:headerReference w:type="default" r:id="rId114"/>
          <w:footerReference w:type="even" r:id="rId115"/>
          <w:footerReference w:type="default" r:id="rId116"/>
          <w:type w:val="nextPage"/>
          <w:pgSz w:w="11906" w:h="16838"/>
          <w:pgMar w:top="1440" w:right="1418" w:bottom="1440" w:left="1418" w:header="851" w:footer="992" w:gutter="0"/>
          <w:pgNumType w:start="26"/>
          <w:cols w:space="708"/>
          <w:titlePg w:val="0"/>
          <w:docGrid w:type="lines" w:linePitch="312"/>
        </w:sectPr>
      </w:pPr>
      <w:r>
        <w:rPr>
          <w:rFonts w:hint="eastAsia"/>
          <w:lang w:eastAsia="zh-CN"/>
        </w:rPr>
        <w:pict>
          <v:shape id="图片 87" o:spid="_x0000_i1029" type="#_x0000_t75" alt="1578500307(1)" style="width:399.45pt;height:651.35pt;mso-position-horizontal-relative:page;mso-position-vertical-relative:page;mso-wrap-style:square" o:preferrelative="t" filled="f" stroked="f">
            <v:fill o:detectmouseclick="t"/>
            <v:stroke linestyle="single"/>
            <v:imagedata r:id="rId117" o:title="1578500307(1)"/>
            <v:path o:extrusionok="f"/>
            <o:lock v:ext="edit" aspectratio="t"/>
          </v:shape>
        </w:pict>
      </w:r>
    </w:p>
    <w:p>
      <w:pPr>
        <w:spacing w:line="360" w:lineRule="auto"/>
        <w:rPr>
          <w:rFonts w:hint="eastAsia"/>
          <w:b/>
          <w:bCs/>
          <w:sz w:val="28"/>
          <w:szCs w:val="28"/>
        </w:rPr>
      </w:pPr>
      <w:r>
        <w:rPr>
          <w:rFonts w:hint="eastAsia"/>
          <w:b/>
          <w:bCs/>
          <w:sz w:val="28"/>
          <w:szCs w:val="28"/>
        </w:rPr>
        <w:pict>
          <v:shape id="图片 89" o:spid="_x0000_i1030" type="#_x0000_t75" alt="1578500366(1)" style="width:393.6pt;height:236.05pt;mso-position-horizontal-relative:page;mso-position-vertical-relative:page;mso-wrap-style:square" o:preferrelative="t" filled="f" stroked="f">
            <v:fill o:detectmouseclick="t"/>
            <v:stroke linestyle="single"/>
            <v:imagedata r:id="rId118" o:title="1578500366(1)"/>
            <v:path o:extrusionok="f"/>
            <o:lock v:ext="edit" aspectratio="t"/>
          </v:shape>
        </w:pict>
      </w:r>
    </w:p>
    <w:p>
      <w:pPr>
        <w:pStyle w:val="Subtitle"/>
        <w:spacing w:line="600" w:lineRule="exact"/>
        <w:ind w:firstLine="562"/>
        <w:rPr>
          <w:rFonts w:hint="eastAsia"/>
          <w:sz w:val="28"/>
          <w:szCs w:val="28"/>
        </w:rPr>
      </w:pPr>
      <w:bookmarkStart w:id="55" w:name="_Toc46132543"/>
      <w:r>
        <w:rPr>
          <w:rFonts w:ascii="Times New Roman" w:eastAsia="楷体" w:hAnsi="Times New Roman"/>
          <w:sz w:val="28"/>
          <w:szCs w:val="28"/>
        </w:rPr>
        <w:t>3.2</w:t>
      </w:r>
      <w:r>
        <w:rPr>
          <w:rFonts w:ascii="Times New Roman" w:eastAsia="楷体" w:hAnsi="Times New Roman" w:hint="eastAsia"/>
          <w:sz w:val="28"/>
          <w:szCs w:val="28"/>
          <w:lang w:val="en-US" w:eastAsia="zh-CN"/>
        </w:rPr>
        <w:t xml:space="preserve">  </w:t>
      </w:r>
      <w:r>
        <w:rPr>
          <w:rFonts w:ascii="Times New Roman" w:eastAsia="楷体" w:hAnsi="Times New Roman"/>
          <w:sz w:val="28"/>
          <w:szCs w:val="28"/>
        </w:rPr>
        <w:t>危险</w:t>
      </w:r>
      <w:r>
        <w:rPr>
          <w:rFonts w:ascii="Times New Roman" w:eastAsia="楷体" w:hAnsi="Times New Roman" w:hint="eastAsia"/>
          <w:sz w:val="28"/>
          <w:szCs w:val="28"/>
        </w:rPr>
        <w:t>和</w:t>
      </w:r>
      <w:r>
        <w:rPr>
          <w:rFonts w:ascii="Times New Roman" w:eastAsia="楷体" w:hAnsi="Times New Roman"/>
          <w:sz w:val="28"/>
          <w:szCs w:val="28"/>
        </w:rPr>
        <w:t>有害因素辨识与分析</w:t>
      </w:r>
      <w:bookmarkEnd w:id="47"/>
      <w:bookmarkEnd w:id="48"/>
      <w:bookmarkEnd w:id="49"/>
      <w:bookmarkEnd w:id="55"/>
    </w:p>
    <w:p>
      <w:pPr>
        <w:pStyle w:val="Heading3"/>
        <w:numPr>
          <w:ilvl w:val="0"/>
          <w:numId w:val="0"/>
        </w:numPr>
        <w:tabs>
          <w:tab w:val="clear" w:pos="720"/>
        </w:tabs>
        <w:spacing w:before="156" w:after="120"/>
        <w:jc w:val="left"/>
        <w:rPr>
          <w:rFonts w:hint="eastAsia"/>
          <w:szCs w:val="28"/>
        </w:rPr>
      </w:pPr>
      <w:bookmarkStart w:id="56" w:name="_Toc25713"/>
      <w:r>
        <w:rPr>
          <w:rFonts w:hint="eastAsia"/>
          <w:szCs w:val="28"/>
        </w:rPr>
        <w:t>3.</w:t>
      </w:r>
      <w:r>
        <w:rPr>
          <w:rFonts w:hint="eastAsia"/>
          <w:szCs w:val="28"/>
          <w:lang w:eastAsia="zh-CN"/>
        </w:rPr>
        <w:t>2</w:t>
      </w:r>
      <w:r>
        <w:rPr>
          <w:rFonts w:hint="eastAsia"/>
          <w:szCs w:val="28"/>
        </w:rPr>
        <w:t>.</w:t>
      </w:r>
      <w:bookmarkEnd w:id="50"/>
      <w:r>
        <w:rPr>
          <w:rFonts w:hint="eastAsia"/>
          <w:szCs w:val="28"/>
          <w:lang w:val="en-US" w:eastAsia="zh-CN"/>
        </w:rPr>
        <w:t xml:space="preserve">1  </w:t>
      </w:r>
      <w:r>
        <w:rPr>
          <w:rFonts w:hint="eastAsia"/>
          <w:szCs w:val="28"/>
        </w:rPr>
        <w:t>周边环境的危险因素分析</w:t>
      </w:r>
      <w:bookmarkEnd w:id="56"/>
    </w:p>
    <w:p>
      <w:pPr>
        <w:spacing w:line="600" w:lineRule="exact"/>
        <w:ind w:firstLine="560" w:firstLineChars="200"/>
        <w:rPr>
          <w:sz w:val="28"/>
          <w:szCs w:val="28"/>
        </w:rPr>
      </w:pPr>
      <w:r>
        <w:rPr>
          <w:sz w:val="28"/>
          <w:szCs w:val="28"/>
        </w:rPr>
        <w:t>(1)建设项目内在的危险、有害因素对建设项目周边单位生产、经营活动或者居民生活的影响</w:t>
      </w:r>
    </w:p>
    <w:p>
      <w:pPr>
        <w:spacing w:line="600" w:lineRule="exact"/>
        <w:ind w:firstLine="560" w:firstLineChars="200"/>
        <w:rPr>
          <w:sz w:val="28"/>
          <w:szCs w:val="28"/>
        </w:rPr>
      </w:pPr>
      <w:r>
        <w:rPr>
          <w:sz w:val="28"/>
          <w:szCs w:val="28"/>
        </w:rPr>
        <w:t>本项目存在的其他危险有害因素有作业场所的机械伤害、物体打击、高处坠落、触电、车辆伤害等，主要对本项目现场作业人员产生危害，对周边单位的影响较小。</w:t>
      </w:r>
    </w:p>
    <w:p>
      <w:pPr>
        <w:spacing w:line="600" w:lineRule="exact"/>
        <w:ind w:firstLine="560" w:firstLineChars="200"/>
        <w:rPr>
          <w:sz w:val="28"/>
          <w:szCs w:val="28"/>
        </w:rPr>
      </w:pPr>
      <w:r>
        <w:rPr>
          <w:sz w:val="28"/>
          <w:szCs w:val="28"/>
        </w:rPr>
        <w:t>(2)建设项目周边对建设项目的影响</w:t>
      </w:r>
    </w:p>
    <w:p>
      <w:pPr>
        <w:spacing w:line="600" w:lineRule="exact"/>
        <w:ind w:firstLine="560" w:firstLineChars="200"/>
        <w:rPr>
          <w:kern w:val="0"/>
          <w:sz w:val="28"/>
        </w:rPr>
      </w:pPr>
      <w:r>
        <w:rPr>
          <w:sz w:val="28"/>
          <w:szCs w:val="28"/>
        </w:rPr>
        <w:t>本项目周边无生产型企业，防火间距够，因此周围单位生产、经营活动或者居民生活对本项目的影响较小。</w:t>
      </w:r>
    </w:p>
    <w:p>
      <w:pPr>
        <w:pStyle w:val="Heading3"/>
        <w:numPr>
          <w:ilvl w:val="0"/>
          <w:numId w:val="0"/>
        </w:numPr>
        <w:tabs>
          <w:tab w:val="clear" w:pos="720"/>
        </w:tabs>
        <w:spacing w:before="156" w:after="120"/>
        <w:jc w:val="left"/>
        <w:rPr>
          <w:rFonts w:hint="eastAsia"/>
          <w:szCs w:val="28"/>
          <w:lang w:eastAsia="zh-CN"/>
        </w:rPr>
      </w:pPr>
      <w:bookmarkStart w:id="57" w:name="_Toc23218"/>
      <w:r>
        <w:rPr>
          <w:rFonts w:hint="eastAsia"/>
          <w:szCs w:val="28"/>
          <w:lang w:eastAsia="zh-CN"/>
        </w:rPr>
        <w:t>3.2.</w:t>
      </w:r>
      <w:r>
        <w:rPr>
          <w:rFonts w:hint="eastAsia"/>
          <w:szCs w:val="28"/>
          <w:lang w:val="en-US" w:eastAsia="zh-CN"/>
        </w:rPr>
        <w:t xml:space="preserve">2  </w:t>
      </w:r>
      <w:r>
        <w:rPr>
          <w:rFonts w:hint="eastAsia"/>
          <w:szCs w:val="28"/>
        </w:rPr>
        <w:t>总平面布局及建筑物危险有害因素分析</w:t>
      </w:r>
      <w:bookmarkEnd w:id="57"/>
    </w:p>
    <w:p>
      <w:pPr>
        <w:ind w:firstLine="560" w:firstLineChars="200"/>
        <w:rPr>
          <w:b/>
          <w:bCs/>
          <w:kern w:val="0"/>
          <w:sz w:val="28"/>
          <w:szCs w:val="22"/>
        </w:rPr>
        <w:sectPr>
          <w:headerReference w:type="default" r:id="rId119"/>
          <w:footerReference w:type="even" r:id="rId120"/>
          <w:footerReference w:type="default" r:id="rId121"/>
          <w:type w:val="nextPage"/>
          <w:pgSz w:w="11906" w:h="16838"/>
          <w:pgMar w:top="1440" w:right="1418" w:bottom="1440" w:left="1418" w:header="851" w:footer="992" w:gutter="0"/>
          <w:pgNumType w:start="27"/>
          <w:cols w:space="708"/>
          <w:titlePg w:val="0"/>
          <w:docGrid w:type="lines" w:linePitch="312"/>
        </w:sectPr>
      </w:pPr>
      <w:r>
        <w:rPr>
          <w:b/>
          <w:bCs/>
          <w:kern w:val="0"/>
          <w:sz w:val="28"/>
          <w:szCs w:val="22"/>
        </w:rPr>
        <w:t>1</w:t>
      </w:r>
      <w:r>
        <w:rPr>
          <w:rFonts w:hint="eastAsia"/>
          <w:b/>
          <w:bCs/>
          <w:kern w:val="0"/>
          <w:sz w:val="28"/>
          <w:szCs w:val="22"/>
        </w:rPr>
        <w:t>、</w:t>
      </w:r>
      <w:r>
        <w:rPr>
          <w:b/>
          <w:bCs/>
          <w:kern w:val="0"/>
          <w:sz w:val="28"/>
          <w:szCs w:val="22"/>
        </w:rPr>
        <w:t>总平面布局危险有害因素分析</w:t>
      </w:r>
    </w:p>
    <w:p>
      <w:pPr>
        <w:ind w:firstLine="560" w:firstLineChars="200"/>
        <w:rPr>
          <w:kern w:val="0"/>
          <w:sz w:val="28"/>
        </w:rPr>
      </w:pPr>
      <w:r>
        <w:rPr>
          <w:rFonts w:hint="eastAsia"/>
          <w:kern w:val="0"/>
          <w:sz w:val="28"/>
        </w:rPr>
        <w:t>（</w:t>
      </w:r>
      <w:r>
        <w:rPr>
          <w:kern w:val="0"/>
          <w:sz w:val="28"/>
        </w:rPr>
        <w:t>1</w:t>
      </w:r>
      <w:r>
        <w:rPr>
          <w:rFonts w:hint="eastAsia"/>
          <w:kern w:val="0"/>
          <w:sz w:val="28"/>
        </w:rPr>
        <w:t>）</w:t>
      </w:r>
      <w:r>
        <w:rPr>
          <w:kern w:val="0"/>
          <w:sz w:val="28"/>
        </w:rPr>
        <w:t>总平面布局</w:t>
      </w:r>
    </w:p>
    <w:p>
      <w:pPr>
        <w:ind w:firstLine="560" w:firstLineChars="200"/>
        <w:rPr>
          <w:kern w:val="0"/>
          <w:sz w:val="28"/>
        </w:rPr>
      </w:pPr>
      <w:r>
        <w:rPr>
          <w:kern w:val="0"/>
          <w:sz w:val="28"/>
        </w:rPr>
        <w:t>若车间耐火等级、防火间距不符合要求，功能分区不合理，各项设施的布置不合理，朝向、采光和自然通风条件不良，人员位于散发有害气体、烟、雾、粉尘的污染源主导风向的下风侧，车间安全出口、疏散线路设置缺陷，安全通道设置不合理等情况，都有可能影响安全生产。</w:t>
      </w:r>
    </w:p>
    <w:p>
      <w:pPr>
        <w:ind w:firstLine="560" w:firstLineChars="200"/>
        <w:rPr>
          <w:kern w:val="0"/>
          <w:sz w:val="28"/>
        </w:rPr>
      </w:pPr>
      <w:r>
        <w:rPr>
          <w:rFonts w:hint="eastAsia"/>
          <w:kern w:val="0"/>
          <w:sz w:val="28"/>
        </w:rPr>
        <w:t>（</w:t>
      </w:r>
      <w:r>
        <w:rPr>
          <w:kern w:val="0"/>
          <w:sz w:val="28"/>
        </w:rPr>
        <w:t>2</w:t>
      </w:r>
      <w:r>
        <w:rPr>
          <w:rFonts w:hint="eastAsia"/>
          <w:kern w:val="0"/>
          <w:sz w:val="28"/>
        </w:rPr>
        <w:t>）</w:t>
      </w:r>
      <w:r>
        <w:rPr>
          <w:kern w:val="0"/>
          <w:sz w:val="28"/>
        </w:rPr>
        <w:t>采光不良</w:t>
      </w:r>
    </w:p>
    <w:p>
      <w:pPr>
        <w:ind w:firstLine="560" w:firstLineChars="200"/>
        <w:rPr>
          <w:kern w:val="0"/>
          <w:sz w:val="28"/>
        </w:rPr>
      </w:pPr>
      <w:r>
        <w:rPr>
          <w:kern w:val="0"/>
          <w:sz w:val="28"/>
        </w:rPr>
        <w:t>生产车间采光是生产必须的条件，如果采光不良、照度不足、视线不清或光线过强等，长期作业容易使操作者眼睛疲劳，视力下降，产生误操作或发生意外伤亡事故。同时合理采光对提高生产效率和保证产品质量有直接的影响。</w:t>
      </w:r>
    </w:p>
    <w:p>
      <w:pPr>
        <w:ind w:firstLine="560" w:firstLineChars="200"/>
        <w:rPr>
          <w:kern w:val="0"/>
          <w:sz w:val="28"/>
        </w:rPr>
      </w:pPr>
      <w:r>
        <w:rPr>
          <w:rFonts w:hint="eastAsia"/>
          <w:kern w:val="0"/>
          <w:sz w:val="28"/>
        </w:rPr>
        <w:t>（</w:t>
      </w:r>
      <w:r>
        <w:rPr>
          <w:kern w:val="0"/>
          <w:sz w:val="28"/>
        </w:rPr>
        <w:t>3</w:t>
      </w:r>
      <w:r>
        <w:rPr>
          <w:rFonts w:hint="eastAsia"/>
          <w:kern w:val="0"/>
          <w:sz w:val="28"/>
        </w:rPr>
        <w:t>）</w:t>
      </w:r>
      <w:r>
        <w:rPr>
          <w:kern w:val="0"/>
          <w:sz w:val="28"/>
        </w:rPr>
        <w:t>设备设施布局不合理</w:t>
      </w:r>
    </w:p>
    <w:p>
      <w:pPr>
        <w:ind w:firstLine="560" w:firstLineChars="200"/>
        <w:rPr>
          <w:kern w:val="0"/>
          <w:sz w:val="28"/>
        </w:rPr>
      </w:pPr>
      <w:r>
        <w:rPr>
          <w:kern w:val="0"/>
          <w:sz w:val="28"/>
        </w:rPr>
        <w:t>生产车间内设备设施的布局，相互之间的距离，设备与墙柱的距离，操作者的活动空间，高处运输线的防护罩网，都与人员的安全有很大关系。如果设备布局不合理，操作者活动空间狭窄，当工件、材料等飞出时，容易造成人员的伤害；如果操作工序设计或配置不安全，交叉作业过多，也会使意外事故多发。</w:t>
      </w:r>
    </w:p>
    <w:p>
      <w:pPr>
        <w:ind w:firstLine="560" w:firstLineChars="200"/>
        <w:rPr>
          <w:kern w:val="0"/>
          <w:sz w:val="28"/>
        </w:rPr>
      </w:pPr>
      <w:r>
        <w:rPr>
          <w:rFonts w:hint="eastAsia"/>
          <w:kern w:val="0"/>
          <w:sz w:val="28"/>
        </w:rPr>
        <w:t>（</w:t>
      </w:r>
      <w:r>
        <w:rPr>
          <w:kern w:val="0"/>
          <w:sz w:val="28"/>
        </w:rPr>
        <w:t>4</w:t>
      </w:r>
      <w:r>
        <w:rPr>
          <w:rFonts w:hint="eastAsia"/>
          <w:kern w:val="0"/>
          <w:sz w:val="28"/>
        </w:rPr>
        <w:t>）</w:t>
      </w:r>
      <w:r>
        <w:rPr>
          <w:kern w:val="0"/>
          <w:sz w:val="28"/>
        </w:rPr>
        <w:t>通道不畅</w:t>
      </w:r>
    </w:p>
    <w:p>
      <w:pPr>
        <w:ind w:firstLine="560" w:firstLineChars="200"/>
        <w:rPr>
          <w:kern w:val="0"/>
          <w:sz w:val="28"/>
        </w:rPr>
      </w:pPr>
      <w:r>
        <w:rPr>
          <w:kern w:val="0"/>
          <w:sz w:val="28"/>
        </w:rPr>
        <w:t>通道包括厂区的主干道和厂房的安全通道。厂区主干道是车辆通行的道路，是保证厂区车辆行驶、人员流动以及消防灭火、救灾的主要通道；厂房内安全通道是指为了保证职工通行和安全运送材料、工件而设置的通道。通道的不畅或者通道设计不合理极易造成人员伤害。</w:t>
      </w:r>
    </w:p>
    <w:p>
      <w:pPr>
        <w:ind w:firstLine="560" w:firstLineChars="200"/>
        <w:rPr>
          <w:b/>
          <w:bCs/>
          <w:kern w:val="0"/>
          <w:sz w:val="28"/>
          <w:szCs w:val="22"/>
        </w:rPr>
      </w:pPr>
      <w:bookmarkStart w:id="58" w:name="_Toc10415"/>
      <w:bookmarkStart w:id="59" w:name="_Toc502834262"/>
      <w:r>
        <w:rPr>
          <w:b/>
          <w:bCs/>
          <w:kern w:val="0"/>
          <w:sz w:val="28"/>
          <w:szCs w:val="22"/>
        </w:rPr>
        <w:t>2</w:t>
      </w:r>
      <w:r>
        <w:rPr>
          <w:rFonts w:hint="eastAsia"/>
          <w:b/>
          <w:bCs/>
          <w:kern w:val="0"/>
          <w:sz w:val="28"/>
          <w:szCs w:val="22"/>
        </w:rPr>
        <w:t>、</w:t>
      </w:r>
      <w:r>
        <w:rPr>
          <w:b/>
          <w:bCs/>
          <w:kern w:val="0"/>
          <w:sz w:val="28"/>
          <w:szCs w:val="22"/>
        </w:rPr>
        <w:t>建筑物危险有害因素分析</w:t>
      </w:r>
      <w:bookmarkEnd w:id="58"/>
      <w:bookmarkEnd w:id="59"/>
    </w:p>
    <w:p>
      <w:pPr>
        <w:ind w:firstLine="560" w:firstLineChars="200"/>
        <w:rPr>
          <w:kern w:val="0"/>
          <w:sz w:val="28"/>
        </w:rPr>
      </w:pPr>
      <w:r>
        <w:rPr>
          <w:kern w:val="0"/>
          <w:sz w:val="28"/>
        </w:rPr>
        <w:t>建筑物的建筑结构和内部布局，如耐火等级、防火分区、防火面积、防雷设施、门、窗、地面、安全出口、安全通道、疏散路线等，不符合要求，有可能引发事故或扩大事故后果。</w:t>
      </w:r>
    </w:p>
    <w:p>
      <w:pPr>
        <w:ind w:firstLine="560" w:firstLineChars="200"/>
        <w:rPr>
          <w:kern w:val="0"/>
          <w:sz w:val="28"/>
        </w:rPr>
        <w:sectPr>
          <w:headerReference w:type="default" r:id="rId122"/>
          <w:footerReference w:type="even" r:id="rId123"/>
          <w:footerReference w:type="default" r:id="rId124"/>
          <w:type w:val="nextPage"/>
          <w:pgSz w:w="11906" w:h="16838"/>
          <w:pgMar w:top="1440" w:right="1418" w:bottom="1440" w:left="1418" w:header="851" w:footer="992" w:gutter="0"/>
          <w:pgNumType w:start="28"/>
          <w:cols w:space="708"/>
          <w:titlePg w:val="0"/>
          <w:docGrid w:type="lines" w:linePitch="312"/>
        </w:sectPr>
      </w:pPr>
    </w:p>
    <w:p>
      <w:pPr>
        <w:ind w:firstLine="560" w:firstLineChars="200"/>
        <w:rPr>
          <w:kern w:val="0"/>
          <w:sz w:val="28"/>
        </w:rPr>
      </w:pPr>
      <w:r>
        <w:rPr>
          <w:kern w:val="0"/>
          <w:sz w:val="28"/>
        </w:rPr>
        <w:t>建筑物的配套设施，如电气设施、防雷设施、防静电设施、消防设施和防噪、照明、通风设施等，不符合要求，会增加发生事故的可能性，或者增加事故后果的严重性。</w:t>
      </w:r>
    </w:p>
    <w:p>
      <w:pPr>
        <w:pStyle w:val="Heading3"/>
        <w:numPr>
          <w:ilvl w:val="0"/>
          <w:numId w:val="0"/>
        </w:numPr>
        <w:tabs>
          <w:tab w:val="clear" w:pos="720"/>
        </w:tabs>
        <w:spacing w:before="156" w:after="120"/>
        <w:jc w:val="left"/>
        <w:rPr>
          <w:rFonts w:hint="eastAsia"/>
          <w:szCs w:val="28"/>
          <w:lang w:eastAsia="zh-CN"/>
        </w:rPr>
      </w:pPr>
      <w:bookmarkStart w:id="60" w:name="_Toc14375"/>
      <w:r>
        <w:rPr>
          <w:rFonts w:hint="eastAsia"/>
          <w:szCs w:val="28"/>
          <w:lang w:eastAsia="zh-CN"/>
        </w:rPr>
        <w:t>3.2.</w:t>
      </w:r>
      <w:r>
        <w:rPr>
          <w:rFonts w:hint="eastAsia"/>
          <w:szCs w:val="28"/>
          <w:lang w:val="en-US" w:eastAsia="zh-CN"/>
        </w:rPr>
        <w:t xml:space="preserve">3  </w:t>
      </w:r>
      <w:r>
        <w:rPr>
          <w:rFonts w:hint="eastAsia"/>
          <w:szCs w:val="28"/>
          <w:lang w:eastAsia="zh-CN"/>
        </w:rPr>
        <w:t>安全管理缺陷的危险性分析</w:t>
      </w:r>
      <w:bookmarkEnd w:id="60"/>
    </w:p>
    <w:p>
      <w:pPr>
        <w:ind w:firstLine="560" w:firstLineChars="200"/>
        <w:rPr>
          <w:kern w:val="0"/>
          <w:sz w:val="28"/>
        </w:rPr>
      </w:pPr>
      <w:r>
        <w:rPr>
          <w:kern w:val="0"/>
          <w:sz w:val="28"/>
        </w:rPr>
        <w:t>安全管理在企业的安全生产工作中起着重要的作用，在安全管理中，如果存在如下几个方面的缺陷，就可能给安全生产带来潜在的危险。</w:t>
      </w:r>
    </w:p>
    <w:p>
      <w:pPr>
        <w:ind w:firstLine="560" w:firstLineChars="200"/>
        <w:rPr>
          <w:kern w:val="0"/>
          <w:sz w:val="28"/>
        </w:rPr>
      </w:pPr>
      <w:r>
        <w:rPr>
          <w:kern w:val="0"/>
          <w:sz w:val="28"/>
        </w:rPr>
        <w:t>1、安全生产责任制不落实，工艺、设备、安全操作规程、规章制度未建立或不完善。</w:t>
      </w:r>
    </w:p>
    <w:p>
      <w:pPr>
        <w:ind w:firstLine="560" w:firstLineChars="200"/>
        <w:rPr>
          <w:kern w:val="0"/>
          <w:sz w:val="28"/>
        </w:rPr>
      </w:pPr>
      <w:r>
        <w:rPr>
          <w:kern w:val="0"/>
          <w:sz w:val="28"/>
        </w:rPr>
        <w:t>2、安全管理机构和人员配置不完善，特别是未设置安全机构，安全管理人员未经安全培训等。</w:t>
      </w:r>
    </w:p>
    <w:p>
      <w:pPr>
        <w:ind w:firstLine="560" w:firstLineChars="200"/>
        <w:rPr>
          <w:kern w:val="0"/>
          <w:sz w:val="28"/>
        </w:rPr>
      </w:pPr>
      <w:r>
        <w:rPr>
          <w:kern w:val="0"/>
          <w:sz w:val="28"/>
        </w:rPr>
        <w:t>3、安全培训、教育和考核存在缺陷，安全管理法规的宣传和执行不力；实施监督与日常检查不到位。</w:t>
      </w:r>
    </w:p>
    <w:p>
      <w:pPr>
        <w:ind w:firstLine="560" w:firstLineChars="200"/>
        <w:rPr>
          <w:kern w:val="0"/>
          <w:sz w:val="28"/>
        </w:rPr>
      </w:pPr>
      <w:r>
        <w:rPr>
          <w:kern w:val="0"/>
          <w:sz w:val="28"/>
        </w:rPr>
        <w:t>4、安全资金投入不够，安全设施不完善，安全隐患得不到及时整改。</w:t>
      </w:r>
    </w:p>
    <w:p>
      <w:pPr>
        <w:ind w:firstLine="560" w:firstLineChars="200"/>
        <w:rPr>
          <w:kern w:val="0"/>
          <w:sz w:val="28"/>
        </w:rPr>
      </w:pPr>
      <w:bookmarkStart w:id="61" w:name="_Toc144885503"/>
      <w:r>
        <w:rPr>
          <w:kern w:val="0"/>
          <w:sz w:val="28"/>
        </w:rPr>
        <w:t>5</w:t>
      </w:r>
      <w:bookmarkEnd w:id="61"/>
      <w:r>
        <w:rPr>
          <w:kern w:val="0"/>
          <w:sz w:val="28"/>
        </w:rPr>
        <w:t>、未制定或事故应急救援预案不完善，或流于形式，未组织演练。</w:t>
      </w:r>
    </w:p>
    <w:p>
      <w:pPr>
        <w:ind w:firstLine="560" w:firstLineChars="200"/>
        <w:rPr>
          <w:kern w:val="0"/>
          <w:sz w:val="28"/>
        </w:rPr>
      </w:pPr>
      <w:r>
        <w:rPr>
          <w:kern w:val="0"/>
          <w:sz w:val="28"/>
        </w:rPr>
        <w:t>6、违章作业，包括违章指挥、违章操作、操作错误等。</w:t>
      </w:r>
    </w:p>
    <w:p>
      <w:pPr>
        <w:pStyle w:val="Heading3"/>
        <w:numPr>
          <w:ilvl w:val="0"/>
          <w:numId w:val="0"/>
        </w:numPr>
        <w:tabs>
          <w:tab w:val="clear" w:pos="720"/>
        </w:tabs>
        <w:spacing w:before="156" w:after="120"/>
        <w:jc w:val="left"/>
        <w:rPr>
          <w:rFonts w:hint="eastAsia"/>
          <w:szCs w:val="28"/>
          <w:lang w:eastAsia="zh-CN"/>
        </w:rPr>
      </w:pPr>
      <w:bookmarkStart w:id="62" w:name="_Toc17488"/>
      <w:r>
        <w:rPr>
          <w:rFonts w:hint="eastAsia"/>
          <w:szCs w:val="28"/>
          <w:lang w:eastAsia="zh-CN"/>
        </w:rPr>
        <w:t>3.2.</w:t>
      </w:r>
      <w:r>
        <w:rPr>
          <w:rFonts w:hint="eastAsia"/>
          <w:szCs w:val="28"/>
          <w:lang w:val="en-US" w:eastAsia="zh-CN"/>
        </w:rPr>
        <w:t xml:space="preserve">4  </w:t>
      </w:r>
      <w:r>
        <w:rPr>
          <w:rFonts w:hint="eastAsia"/>
          <w:szCs w:val="28"/>
          <w:lang w:eastAsia="zh-CN"/>
        </w:rPr>
        <w:t>自然条件有害因素分析</w:t>
      </w:r>
      <w:bookmarkEnd w:id="62"/>
    </w:p>
    <w:p>
      <w:pPr>
        <w:ind w:firstLine="560" w:firstLineChars="200"/>
        <w:rPr>
          <w:kern w:val="0"/>
          <w:sz w:val="28"/>
        </w:rPr>
      </w:pPr>
      <w:r>
        <w:rPr>
          <w:kern w:val="0"/>
          <w:sz w:val="28"/>
        </w:rPr>
        <w:t>1）雷电危害辨识</w:t>
      </w:r>
    </w:p>
    <w:p>
      <w:pPr>
        <w:ind w:firstLine="560" w:firstLineChars="200"/>
        <w:rPr>
          <w:kern w:val="0"/>
          <w:sz w:val="28"/>
        </w:rPr>
      </w:pPr>
      <w:r>
        <w:rPr>
          <w:kern w:val="0"/>
          <w:sz w:val="28"/>
        </w:rPr>
        <w:t>在雷电天气，生产厂房和库房有遭雷击的可能性，如防雷接闪器和接地装置损坏或接地电阻过大，不能有效导除雷电产生的巨大电流，有可能造成建构筑物损坏，或者引燃储可燃物。</w:t>
      </w:r>
    </w:p>
    <w:p>
      <w:pPr>
        <w:ind w:firstLine="560" w:firstLineChars="200"/>
        <w:rPr>
          <w:kern w:val="0"/>
          <w:sz w:val="28"/>
        </w:rPr>
      </w:pPr>
      <w:r>
        <w:rPr>
          <w:kern w:val="0"/>
          <w:sz w:val="28"/>
        </w:rPr>
        <w:t>雷击可能造成变配电系统短路跳闸爆炸、破坏电气设备和供电系统。</w:t>
      </w:r>
    </w:p>
    <w:p>
      <w:pPr>
        <w:ind w:firstLine="560" w:firstLineChars="200"/>
        <w:rPr>
          <w:kern w:val="0"/>
          <w:sz w:val="28"/>
        </w:rPr>
      </w:pPr>
      <w:r>
        <w:rPr>
          <w:kern w:val="0"/>
          <w:sz w:val="28"/>
        </w:rPr>
        <w:t>2）地震危害辨识</w:t>
      </w:r>
    </w:p>
    <w:p>
      <w:pPr>
        <w:ind w:firstLine="560" w:firstLineChars="200"/>
        <w:rPr>
          <w:kern w:val="0"/>
          <w:sz w:val="28"/>
        </w:rPr>
      </w:pPr>
      <w:r>
        <w:rPr>
          <w:kern w:val="0"/>
          <w:sz w:val="28"/>
        </w:rPr>
        <w:t>当发生破坏性强地震时，有可能造成反应釜或中间储罐连接管道断裂，可燃液体泄漏，应发火灾，造成地震次生事故。</w:t>
      </w:r>
    </w:p>
    <w:p>
      <w:pPr>
        <w:ind w:firstLine="560" w:firstLineChars="200"/>
        <w:rPr>
          <w:kern w:val="0"/>
          <w:sz w:val="28"/>
        </w:rPr>
      </w:pPr>
      <w:r>
        <w:rPr>
          <w:kern w:val="0"/>
          <w:sz w:val="28"/>
        </w:rPr>
        <w:t>当发生破坏性强地震时，有可能造成厂房倒塌。</w:t>
      </w:r>
    </w:p>
    <w:p>
      <w:pPr>
        <w:ind w:firstLine="560" w:firstLineChars="200"/>
        <w:rPr>
          <w:kern w:val="0"/>
          <w:sz w:val="28"/>
        </w:rPr>
        <w:sectPr>
          <w:headerReference w:type="default" r:id="rId125"/>
          <w:footerReference w:type="even" r:id="rId126"/>
          <w:footerReference w:type="default" r:id="rId127"/>
          <w:type w:val="nextPage"/>
          <w:pgSz w:w="11906" w:h="16838"/>
          <w:pgMar w:top="1440" w:right="1418" w:bottom="1440" w:left="1418" w:header="851" w:footer="992" w:gutter="0"/>
          <w:pgNumType w:start="29"/>
          <w:cols w:space="708"/>
          <w:titlePg w:val="0"/>
          <w:docGrid w:type="lines" w:linePitch="312"/>
        </w:sectPr>
      </w:pPr>
      <w:r>
        <w:rPr>
          <w:kern w:val="0"/>
          <w:sz w:val="28"/>
        </w:rPr>
        <w:t>3）暴雨、大风、冰雹、冰雪危害辨识</w:t>
      </w:r>
    </w:p>
    <w:p>
      <w:pPr>
        <w:ind w:firstLine="560" w:firstLineChars="200"/>
        <w:rPr>
          <w:kern w:val="0"/>
          <w:sz w:val="28"/>
        </w:rPr>
      </w:pPr>
      <w:r>
        <w:rPr>
          <w:kern w:val="0"/>
          <w:sz w:val="28"/>
        </w:rPr>
        <w:t>如果连续或短时大量降雨，可能在地面大面积积水造成洪涝灾害。如果遭遇水灾，可能损毁设备设施，甚至造成人员伤亡；大风、冰雹、冰雪天气，可能损坏厂内设备，甚至对人员产生伤害，也容易造成车辆伤害事故。</w:t>
      </w:r>
    </w:p>
    <w:p>
      <w:pPr>
        <w:pStyle w:val="Subtitle"/>
        <w:spacing w:line="600" w:lineRule="exact"/>
        <w:ind w:firstLine="562"/>
        <w:rPr>
          <w:rFonts w:ascii="Times New Roman" w:eastAsia="楷体" w:hAnsi="Times New Roman"/>
          <w:sz w:val="28"/>
          <w:szCs w:val="28"/>
          <w:lang w:eastAsia="zh-CN"/>
        </w:rPr>
      </w:pPr>
      <w:bookmarkStart w:id="63" w:name="_Toc46132544"/>
      <w:bookmarkStart w:id="64" w:name="_Toc17065"/>
      <w:r>
        <w:rPr>
          <w:rFonts w:ascii="Times New Roman" w:eastAsia="楷体" w:hAnsi="Times New Roman"/>
          <w:sz w:val="28"/>
          <w:szCs w:val="28"/>
        </w:rPr>
        <w:t>3.</w:t>
      </w:r>
      <w:r>
        <w:rPr>
          <w:rFonts w:ascii="Times New Roman" w:eastAsia="楷体" w:hAnsi="Times New Roman" w:hint="eastAsia"/>
          <w:sz w:val="28"/>
          <w:szCs w:val="28"/>
          <w:lang w:val="en-US" w:eastAsia="zh-CN"/>
        </w:rPr>
        <w:t xml:space="preserve">3  </w:t>
      </w:r>
      <w:r>
        <w:rPr>
          <w:rFonts w:ascii="Times New Roman" w:eastAsia="楷体" w:hAnsi="Times New Roman"/>
          <w:sz w:val="28"/>
          <w:szCs w:val="28"/>
        </w:rPr>
        <w:t>生产经营过程危险、有害因素辨识结果</w:t>
      </w:r>
      <w:bookmarkEnd w:id="51"/>
      <w:bookmarkEnd w:id="63"/>
      <w:bookmarkEnd w:id="64"/>
    </w:p>
    <w:p>
      <w:pPr>
        <w:adjustRightInd w:val="0"/>
        <w:snapToGrid w:val="0"/>
        <w:spacing w:line="600" w:lineRule="exact"/>
        <w:ind w:firstLine="560" w:firstLineChars="200"/>
        <w:rPr>
          <w:rFonts w:hint="eastAsia"/>
          <w:sz w:val="28"/>
          <w:szCs w:val="28"/>
        </w:rPr>
      </w:pPr>
      <w:r>
        <w:rPr>
          <w:rFonts w:hint="eastAsia"/>
          <w:sz w:val="28"/>
          <w:szCs w:val="28"/>
        </w:rPr>
        <w:t>该项目的生产过程可能存在的主要危险、有害因素有：火灾、触电、机械伤害、物体打击、坍塌、车辆伤害、高处坠落、起重伤害、噪声等。</w:t>
      </w:r>
    </w:p>
    <w:p>
      <w:pPr>
        <w:pStyle w:val="Heading3"/>
        <w:numPr>
          <w:ilvl w:val="0"/>
          <w:numId w:val="0"/>
        </w:numPr>
        <w:tabs>
          <w:tab w:val="clear" w:pos="720"/>
        </w:tabs>
        <w:spacing w:before="156" w:after="120"/>
        <w:jc w:val="left"/>
        <w:rPr>
          <w:rFonts w:hint="eastAsia"/>
          <w:szCs w:val="28"/>
          <w:lang w:eastAsia="zh-CN"/>
        </w:rPr>
      </w:pPr>
      <w:bookmarkStart w:id="65" w:name="_Toc28114"/>
      <w:r>
        <w:rPr>
          <w:rFonts w:hint="eastAsia"/>
          <w:szCs w:val="28"/>
        </w:rPr>
        <w:t>3.</w:t>
      </w:r>
      <w:r>
        <w:rPr>
          <w:rFonts w:hint="eastAsia"/>
          <w:szCs w:val="28"/>
          <w:lang w:val="en-US" w:eastAsia="zh-CN"/>
        </w:rPr>
        <w:t>3</w:t>
      </w:r>
      <w:r>
        <w:rPr>
          <w:rFonts w:hint="eastAsia"/>
          <w:szCs w:val="28"/>
        </w:rPr>
        <w:t>.</w:t>
      </w:r>
      <w:r>
        <w:rPr>
          <w:rFonts w:hint="eastAsia"/>
          <w:szCs w:val="28"/>
          <w:lang w:eastAsia="zh-CN"/>
        </w:rPr>
        <w:t>1</w:t>
      </w:r>
      <w:r>
        <w:rPr>
          <w:rFonts w:hint="eastAsia"/>
          <w:szCs w:val="28"/>
          <w:lang w:val="en-US" w:eastAsia="zh-CN"/>
        </w:rPr>
        <w:t xml:space="preserve">  </w:t>
      </w:r>
      <w:r>
        <w:rPr>
          <w:rFonts w:hint="eastAsia"/>
          <w:szCs w:val="28"/>
        </w:rPr>
        <w:t>火灾</w:t>
      </w:r>
      <w:bookmarkEnd w:id="65"/>
      <w:r>
        <w:rPr>
          <w:rFonts w:hint="eastAsia"/>
          <w:szCs w:val="28"/>
          <w:lang w:eastAsia="zh-CN"/>
        </w:rPr>
        <w:t>、爆炸</w:t>
      </w:r>
    </w:p>
    <w:p>
      <w:pPr>
        <w:adjustRightInd w:val="0"/>
        <w:snapToGrid w:val="0"/>
        <w:spacing w:line="600" w:lineRule="exact"/>
        <w:ind w:firstLine="560" w:firstLineChars="200"/>
        <w:rPr>
          <w:rFonts w:hint="eastAsia"/>
          <w:sz w:val="28"/>
          <w:szCs w:val="28"/>
        </w:rPr>
      </w:pPr>
      <w:r>
        <w:rPr>
          <w:rFonts w:hint="eastAsia"/>
          <w:sz w:val="28"/>
          <w:szCs w:val="28"/>
        </w:rPr>
        <w:t>火灾是指火失去控制而形成的灾害性燃烧现象，通常会造成财产损失和人员伤亡。发生火灾的三要素是助燃物、可燃物和点火源。在火灾防治中，如果能够阻断火灾三要素的任何一个就可以扑灭火灾。</w:t>
      </w:r>
    </w:p>
    <w:p>
      <w:pPr>
        <w:adjustRightInd w:val="0"/>
        <w:snapToGrid w:val="0"/>
        <w:spacing w:line="600" w:lineRule="exact"/>
        <w:ind w:firstLine="560" w:firstLineChars="200"/>
        <w:rPr>
          <w:rFonts w:hint="eastAsia"/>
          <w:sz w:val="28"/>
          <w:szCs w:val="28"/>
        </w:rPr>
      </w:pPr>
      <w:r>
        <w:rPr>
          <w:rFonts w:hint="eastAsia"/>
          <w:sz w:val="28"/>
          <w:szCs w:val="28"/>
        </w:rPr>
        <w:t>本项目主要生产原料均为难燃烧或不燃烧物质，发生火灾可能性较低。其余造成火灾事故的主要原因有：</w:t>
      </w:r>
    </w:p>
    <w:p>
      <w:pPr>
        <w:adjustRightInd w:val="0"/>
        <w:snapToGrid w:val="0"/>
        <w:spacing w:line="600" w:lineRule="exact"/>
        <w:ind w:firstLine="560" w:firstLineChars="200"/>
        <w:rPr>
          <w:rFonts w:hint="eastAsia"/>
          <w:sz w:val="28"/>
          <w:szCs w:val="28"/>
        </w:rPr>
      </w:pPr>
      <w:r>
        <w:rPr>
          <w:rFonts w:hint="eastAsia"/>
          <w:sz w:val="28"/>
          <w:szCs w:val="28"/>
        </w:rPr>
        <w:t>(1)用电设施如果发生电器设施超负何运行、接地不良、过热、绝缘损坏等，易发生电气、电缆火灾事故。</w:t>
      </w:r>
    </w:p>
    <w:p>
      <w:pPr>
        <w:adjustRightInd w:val="0"/>
        <w:snapToGrid w:val="0"/>
        <w:spacing w:line="600" w:lineRule="exact"/>
        <w:ind w:firstLine="560" w:firstLineChars="200"/>
        <w:rPr>
          <w:rFonts w:hint="eastAsia"/>
          <w:sz w:val="28"/>
          <w:szCs w:val="28"/>
        </w:rPr>
      </w:pPr>
      <w:r>
        <w:rPr>
          <w:rFonts w:hint="eastAsia"/>
          <w:sz w:val="28"/>
          <w:szCs w:val="28"/>
        </w:rPr>
        <w:t>(2)如地线不良、避雷装置失效可导致雷击或静电伤害，雷电也可能引起火灾、爆炸事故的发生。</w:t>
      </w:r>
    </w:p>
    <w:p>
      <w:pPr>
        <w:adjustRightInd w:val="0"/>
        <w:snapToGrid w:val="0"/>
        <w:spacing w:line="600" w:lineRule="exact"/>
        <w:ind w:firstLine="560" w:firstLineChars="200"/>
        <w:rPr>
          <w:rFonts w:hint="eastAsia"/>
          <w:sz w:val="28"/>
          <w:szCs w:val="28"/>
        </w:rPr>
      </w:pPr>
      <w:r>
        <w:rPr>
          <w:rFonts w:hint="eastAsia"/>
          <w:sz w:val="28"/>
          <w:szCs w:val="28"/>
        </w:rPr>
        <w:t>(3)由于电气设备短路、过载、接触不良、散热不良等原因导致电气设备过热，设备周围如果存在可燃物质，易引起火灾。</w:t>
      </w:r>
    </w:p>
    <w:p>
      <w:pPr>
        <w:adjustRightInd w:val="0"/>
        <w:snapToGrid w:val="0"/>
        <w:spacing w:line="600" w:lineRule="exact"/>
        <w:ind w:firstLine="560" w:firstLineChars="200"/>
        <w:rPr>
          <w:rFonts w:hint="eastAsia"/>
          <w:sz w:val="28"/>
          <w:szCs w:val="28"/>
        </w:rPr>
      </w:pPr>
      <w:r>
        <w:rPr>
          <w:rFonts w:hint="eastAsia"/>
          <w:sz w:val="28"/>
          <w:szCs w:val="28"/>
        </w:rPr>
        <w:t>(4)电缆的各种保护措施不到位、消防设施没有安装或失效，引起电缆火灾或使火灾扩大、蔓延。</w:t>
      </w:r>
    </w:p>
    <w:p>
      <w:pPr>
        <w:pStyle w:val="BodyTextFirstIndent2"/>
        <w:ind w:firstLine="560"/>
        <w:rPr>
          <w:rFonts w:hint="eastAsia"/>
          <w:sz w:val="28"/>
          <w:szCs w:val="28"/>
          <w:lang w:eastAsia="zh-CN"/>
        </w:rPr>
        <w:sectPr>
          <w:headerReference w:type="default" r:id="rId128"/>
          <w:footerReference w:type="even" r:id="rId129"/>
          <w:footerReference w:type="default" r:id="rId130"/>
          <w:type w:val="nextPage"/>
          <w:pgSz w:w="11906" w:h="16838"/>
          <w:pgMar w:top="1440" w:right="1418" w:bottom="1440" w:left="1418" w:header="851" w:footer="992" w:gutter="0"/>
          <w:pgNumType w:start="30"/>
          <w:cols w:space="708"/>
          <w:titlePg w:val="0"/>
          <w:docGrid w:type="lines" w:linePitch="312"/>
        </w:sectPr>
      </w:pPr>
      <w:r>
        <w:rPr>
          <w:rFonts w:hint="eastAsia"/>
          <w:sz w:val="28"/>
          <w:szCs w:val="28"/>
          <w:lang w:eastAsia="zh-CN"/>
        </w:rPr>
        <w:t>（</w:t>
      </w:r>
      <w:r>
        <w:rPr>
          <w:rFonts w:hint="eastAsia"/>
          <w:sz w:val="28"/>
          <w:szCs w:val="28"/>
          <w:lang w:val="en-US" w:eastAsia="zh-CN"/>
        </w:rPr>
        <w:t>5</w:t>
      </w:r>
    </w:p>
    <w:p>
      <w:pPr>
        <w:pStyle w:val="BodyTextFirstIndent2"/>
        <w:ind w:firstLine="560"/>
        <w:rPr>
          <w:rFonts w:hint="eastAsia"/>
          <w:sz w:val="28"/>
          <w:szCs w:val="28"/>
          <w:lang w:eastAsia="zh-CN"/>
        </w:rPr>
      </w:pPr>
      <w:r>
        <w:rPr>
          <w:rFonts w:hint="eastAsia"/>
          <w:sz w:val="28"/>
          <w:szCs w:val="28"/>
          <w:lang w:eastAsia="zh-CN"/>
        </w:rPr>
        <w:t>）充装氧气、二氧化碳的罐装瓶遇高温、暴晒可能发生物理，氧气有助燃作用泄露遇明火可能导致火势加大</w:t>
      </w:r>
    </w:p>
    <w:p>
      <w:pPr>
        <w:pStyle w:val="BodyTextFirstIndent2"/>
        <w:ind w:firstLine="560"/>
        <w:rPr>
          <w:rFonts w:hint="eastAsia"/>
          <w:sz w:val="28"/>
          <w:szCs w:val="28"/>
          <w:lang w:eastAsia="zh-CN"/>
        </w:rPr>
      </w:pPr>
      <w:r>
        <w:rPr>
          <w:rFonts w:hint="eastAsia"/>
          <w:sz w:val="28"/>
          <w:szCs w:val="28"/>
          <w:lang w:eastAsia="zh-CN"/>
        </w:rPr>
        <w:t>（</w:t>
      </w:r>
      <w:r>
        <w:rPr>
          <w:rFonts w:hint="eastAsia"/>
          <w:sz w:val="28"/>
          <w:szCs w:val="28"/>
          <w:lang w:val="en-US" w:eastAsia="zh-CN"/>
        </w:rPr>
        <w:t>6</w:t>
      </w:r>
      <w:r>
        <w:rPr>
          <w:rFonts w:hint="eastAsia"/>
          <w:sz w:val="28"/>
          <w:szCs w:val="28"/>
          <w:lang w:eastAsia="zh-CN"/>
        </w:rPr>
        <w:t>）液压管道材质不符合要求或损坏可能导致液压管爆裂，发生物理爆炸。</w:t>
      </w:r>
    </w:p>
    <w:p>
      <w:pPr>
        <w:pStyle w:val="BodyTextFirstIndent2"/>
        <w:ind w:firstLine="560"/>
        <w:rPr>
          <w:rFonts w:hint="eastAsia"/>
          <w:sz w:val="28"/>
          <w:szCs w:val="28"/>
          <w:lang w:eastAsia="zh-CN"/>
        </w:rPr>
      </w:pPr>
      <w:r>
        <w:rPr>
          <w:rFonts w:hint="eastAsia"/>
          <w:sz w:val="28"/>
          <w:szCs w:val="28"/>
          <w:lang w:eastAsia="zh-CN"/>
        </w:rPr>
        <w:t>（</w:t>
      </w:r>
      <w:r>
        <w:rPr>
          <w:rFonts w:hint="eastAsia"/>
          <w:sz w:val="28"/>
          <w:szCs w:val="28"/>
          <w:lang w:val="en-US" w:eastAsia="zh-CN"/>
        </w:rPr>
        <w:t>7</w:t>
      </w:r>
      <w:r>
        <w:rPr>
          <w:rFonts w:hint="eastAsia"/>
          <w:sz w:val="28"/>
          <w:szCs w:val="28"/>
          <w:lang w:eastAsia="zh-CN"/>
        </w:rPr>
        <w:t>）激光切割机操作不当有遇可燃物质可能导致火灾事故。</w:t>
      </w:r>
    </w:p>
    <w:p>
      <w:pPr>
        <w:pStyle w:val="BodyTextFirstIndent2"/>
        <w:ind w:firstLine="560"/>
        <w:rPr>
          <w:rFonts w:hint="eastAsia"/>
          <w:sz w:val="28"/>
          <w:szCs w:val="28"/>
          <w:lang w:eastAsia="zh-CN"/>
        </w:rPr>
      </w:pPr>
      <w:r>
        <w:rPr>
          <w:rFonts w:hint="eastAsia"/>
          <w:sz w:val="28"/>
          <w:szCs w:val="28"/>
          <w:lang w:eastAsia="zh-CN"/>
        </w:rPr>
        <w:t>（</w:t>
      </w:r>
      <w:r>
        <w:rPr>
          <w:rFonts w:hint="eastAsia"/>
          <w:sz w:val="28"/>
          <w:szCs w:val="28"/>
          <w:lang w:val="en-US" w:eastAsia="zh-CN"/>
        </w:rPr>
        <w:t>8</w:t>
      </w:r>
      <w:r>
        <w:rPr>
          <w:rFonts w:hint="eastAsia"/>
          <w:sz w:val="28"/>
          <w:szCs w:val="28"/>
          <w:lang w:eastAsia="zh-CN"/>
        </w:rPr>
        <w:t>）空气压缩机储罐及管道选用材质不合格，超负荷运行或操作不当有可能发生物理爆炸等事故。</w:t>
      </w:r>
    </w:p>
    <w:p>
      <w:pPr>
        <w:pStyle w:val="Heading3"/>
        <w:numPr>
          <w:ilvl w:val="0"/>
          <w:numId w:val="0"/>
        </w:numPr>
        <w:tabs>
          <w:tab w:val="clear" w:pos="720"/>
        </w:tabs>
        <w:spacing w:before="156" w:after="120"/>
        <w:jc w:val="left"/>
        <w:rPr>
          <w:rFonts w:hint="eastAsia"/>
          <w:szCs w:val="28"/>
          <w:lang w:eastAsia="zh-CN"/>
        </w:rPr>
      </w:pPr>
      <w:bookmarkStart w:id="66" w:name="_Toc3499"/>
      <w:r>
        <w:rPr>
          <w:rFonts w:hint="eastAsia"/>
          <w:szCs w:val="28"/>
        </w:rPr>
        <w:t>3.</w:t>
      </w:r>
      <w:r>
        <w:rPr>
          <w:rFonts w:hint="eastAsia"/>
          <w:szCs w:val="28"/>
          <w:lang w:val="en-US" w:eastAsia="zh-CN"/>
        </w:rPr>
        <w:t>3</w:t>
      </w:r>
      <w:r>
        <w:rPr>
          <w:rFonts w:hint="eastAsia"/>
          <w:szCs w:val="28"/>
        </w:rPr>
        <w:t>.2</w:t>
      </w:r>
      <w:r>
        <w:rPr>
          <w:rFonts w:hint="eastAsia"/>
          <w:szCs w:val="28"/>
          <w:lang w:val="en-US" w:eastAsia="zh-CN"/>
        </w:rPr>
        <w:t xml:space="preserve">  </w:t>
      </w:r>
      <w:r>
        <w:rPr>
          <w:rFonts w:hint="eastAsia"/>
          <w:szCs w:val="28"/>
        </w:rPr>
        <w:t>触电</w:t>
      </w:r>
      <w:bookmarkEnd w:id="66"/>
    </w:p>
    <w:p>
      <w:pPr>
        <w:adjustRightInd w:val="0"/>
        <w:snapToGrid w:val="0"/>
        <w:spacing w:line="600" w:lineRule="exact"/>
        <w:ind w:firstLine="560" w:firstLineChars="200"/>
        <w:rPr>
          <w:rFonts w:hint="eastAsia"/>
          <w:sz w:val="28"/>
          <w:szCs w:val="28"/>
        </w:rPr>
      </w:pPr>
      <w:r>
        <w:rPr>
          <w:rFonts w:hint="eastAsia"/>
          <w:sz w:val="28"/>
          <w:szCs w:val="28"/>
        </w:rPr>
        <w:t>触电事故是由电流及其转换成的其他形式的能量造成的事故，分为电击和电伤。电击是电流直接作用于人体造成的伤害，包括正常状态下的电击和故障状态下的电击以及雷击。电伤分为电弧灼伤、电流灼伤、皮肤金属化、电烙印、机械性损伤、电光眼等伤害。</w:t>
      </w:r>
    </w:p>
    <w:p>
      <w:pPr>
        <w:adjustRightInd w:val="0"/>
        <w:snapToGrid w:val="0"/>
        <w:spacing w:line="600" w:lineRule="exact"/>
        <w:ind w:firstLine="560" w:firstLineChars="200"/>
        <w:rPr>
          <w:rFonts w:hint="eastAsia"/>
          <w:sz w:val="28"/>
          <w:szCs w:val="28"/>
        </w:rPr>
      </w:pPr>
      <w:r>
        <w:rPr>
          <w:rFonts w:hint="eastAsia"/>
          <w:sz w:val="28"/>
          <w:szCs w:val="28"/>
        </w:rPr>
        <w:t>造成触电事故的主要原因包括：</w:t>
      </w:r>
    </w:p>
    <w:p>
      <w:pPr>
        <w:adjustRightInd w:val="0"/>
        <w:snapToGrid w:val="0"/>
        <w:spacing w:line="600" w:lineRule="exact"/>
        <w:ind w:firstLine="560" w:firstLineChars="200"/>
        <w:rPr>
          <w:rFonts w:hint="eastAsia"/>
          <w:sz w:val="28"/>
          <w:szCs w:val="28"/>
        </w:rPr>
      </w:pPr>
      <w:r>
        <w:rPr>
          <w:rFonts w:hint="eastAsia"/>
          <w:sz w:val="28"/>
          <w:szCs w:val="28"/>
        </w:rPr>
        <w:t>(1)供配电设备、设施在生产运行中，由于产品质量不佳、绝缘不好；现场环境恶劣(如高温、潮湿、腐蚀、振动等)、运行不当、机械损伤、维修不善等导致的绝缘老化或放电；</w:t>
      </w:r>
    </w:p>
    <w:p>
      <w:pPr>
        <w:adjustRightInd w:val="0"/>
        <w:snapToGrid w:val="0"/>
        <w:spacing w:line="600" w:lineRule="exact"/>
        <w:ind w:firstLine="560" w:firstLineChars="200"/>
        <w:rPr>
          <w:rFonts w:hint="eastAsia"/>
          <w:sz w:val="28"/>
          <w:szCs w:val="28"/>
        </w:rPr>
      </w:pPr>
      <w:r>
        <w:rPr>
          <w:rFonts w:hint="eastAsia"/>
          <w:sz w:val="28"/>
          <w:szCs w:val="28"/>
        </w:rPr>
        <w:t>(2)设计不合理、安装工艺不规范、各种电气设备安全距离不足；</w:t>
      </w:r>
    </w:p>
    <w:p>
      <w:pPr>
        <w:adjustRightInd w:val="0"/>
        <w:snapToGrid w:val="0"/>
        <w:spacing w:line="600" w:lineRule="exact"/>
        <w:ind w:firstLine="560" w:firstLineChars="200"/>
        <w:rPr>
          <w:rFonts w:hint="eastAsia"/>
          <w:sz w:val="28"/>
          <w:szCs w:val="28"/>
        </w:rPr>
      </w:pPr>
      <w:r>
        <w:rPr>
          <w:rFonts w:hint="eastAsia"/>
          <w:sz w:val="28"/>
          <w:szCs w:val="28"/>
        </w:rPr>
        <w:t>(3)电气设备与人体、大地或其他设备的安全距离不符合要求；</w:t>
      </w:r>
    </w:p>
    <w:p>
      <w:pPr>
        <w:adjustRightInd w:val="0"/>
        <w:snapToGrid w:val="0"/>
        <w:spacing w:line="600" w:lineRule="exact"/>
        <w:ind w:firstLine="560" w:firstLineChars="200"/>
        <w:rPr>
          <w:rFonts w:hint="eastAsia"/>
          <w:sz w:val="28"/>
          <w:szCs w:val="28"/>
        </w:rPr>
      </w:pPr>
      <w:r>
        <w:rPr>
          <w:rFonts w:hint="eastAsia"/>
          <w:sz w:val="28"/>
          <w:szCs w:val="28"/>
        </w:rPr>
        <w:t>(4)电气设备未采取保护措施(电机保护接零或保护接地)，电气设备漏电造成人员触电；</w:t>
      </w:r>
    </w:p>
    <w:p>
      <w:pPr>
        <w:adjustRightInd w:val="0"/>
        <w:snapToGrid w:val="0"/>
        <w:spacing w:line="600" w:lineRule="exact"/>
        <w:ind w:firstLine="560" w:firstLineChars="200"/>
        <w:rPr>
          <w:rFonts w:hint="eastAsia"/>
          <w:sz w:val="28"/>
          <w:szCs w:val="28"/>
        </w:rPr>
      </w:pPr>
      <w:r>
        <w:rPr>
          <w:rFonts w:hint="eastAsia"/>
          <w:sz w:val="28"/>
          <w:szCs w:val="28"/>
        </w:rPr>
        <w:t>(5)电气人员作业时未按照规定采取各种防护措施，违章作业；</w:t>
      </w:r>
    </w:p>
    <w:p>
      <w:pPr>
        <w:adjustRightInd w:val="0"/>
        <w:snapToGrid w:val="0"/>
        <w:spacing w:line="600" w:lineRule="exact"/>
        <w:ind w:firstLine="560" w:firstLineChars="200"/>
        <w:rPr>
          <w:rFonts w:hint="eastAsia"/>
          <w:sz w:val="28"/>
          <w:szCs w:val="28"/>
        </w:rPr>
        <w:sectPr>
          <w:headerReference w:type="default" r:id="rId131"/>
          <w:footerReference w:type="even" r:id="rId132"/>
          <w:footerReference w:type="default" r:id="rId133"/>
          <w:type w:val="nextPage"/>
          <w:pgSz w:w="11906" w:h="16838"/>
          <w:pgMar w:top="1440" w:right="1418" w:bottom="1440" w:left="1418" w:header="851" w:footer="992" w:gutter="0"/>
          <w:pgNumType w:start="31"/>
          <w:cols w:space="708"/>
          <w:titlePg w:val="0"/>
          <w:docGrid w:type="lines" w:linePitch="312"/>
        </w:sectPr>
      </w:pPr>
    </w:p>
    <w:p>
      <w:pPr>
        <w:adjustRightInd w:val="0"/>
        <w:snapToGrid w:val="0"/>
        <w:spacing w:line="600" w:lineRule="exact"/>
        <w:ind w:firstLine="560" w:firstLineChars="200"/>
        <w:rPr>
          <w:rFonts w:hint="eastAsia"/>
          <w:sz w:val="28"/>
          <w:szCs w:val="28"/>
        </w:rPr>
      </w:pPr>
      <w:r>
        <w:rPr>
          <w:rFonts w:hint="eastAsia"/>
          <w:sz w:val="28"/>
          <w:szCs w:val="28"/>
        </w:rPr>
        <w:t>(6)电气设备的触电保护、漏电保护、短路保护、绝缘、电气隔离、屏护、安全距离不符合要求，而引起的人员触电；</w:t>
      </w:r>
    </w:p>
    <w:p>
      <w:pPr>
        <w:adjustRightInd w:val="0"/>
        <w:snapToGrid w:val="0"/>
        <w:spacing w:line="600" w:lineRule="exact"/>
        <w:ind w:firstLine="560" w:firstLineChars="200"/>
        <w:rPr>
          <w:rFonts w:hint="eastAsia"/>
          <w:sz w:val="28"/>
          <w:szCs w:val="28"/>
        </w:rPr>
      </w:pPr>
      <w:r>
        <w:rPr>
          <w:rFonts w:hint="eastAsia"/>
          <w:sz w:val="28"/>
          <w:szCs w:val="28"/>
        </w:rPr>
        <w:t>(7)重要配电设施未设警示标识，造成人员误入而引起触电。电气检修未设警示标识，人员误操作而引起检修人员触电；</w:t>
      </w:r>
    </w:p>
    <w:p>
      <w:pPr>
        <w:adjustRightInd w:val="0"/>
        <w:snapToGrid w:val="0"/>
        <w:spacing w:line="600" w:lineRule="exact"/>
        <w:ind w:firstLine="560" w:firstLineChars="200"/>
        <w:rPr>
          <w:rFonts w:hint="eastAsia"/>
          <w:sz w:val="28"/>
          <w:szCs w:val="28"/>
        </w:rPr>
      </w:pPr>
      <w:r>
        <w:rPr>
          <w:rFonts w:hint="eastAsia"/>
          <w:sz w:val="28"/>
          <w:szCs w:val="28"/>
        </w:rPr>
        <w:t>(8)非电气专业人员私接乱扯电缆电线和违章作业造成触电。</w:t>
      </w:r>
    </w:p>
    <w:p>
      <w:pPr>
        <w:adjustRightInd w:val="0"/>
        <w:snapToGrid w:val="0"/>
        <w:spacing w:line="600" w:lineRule="exact"/>
        <w:ind w:firstLine="560" w:firstLineChars="200"/>
        <w:rPr>
          <w:rFonts w:hint="eastAsia"/>
          <w:sz w:val="28"/>
          <w:szCs w:val="28"/>
        </w:rPr>
      </w:pPr>
      <w:r>
        <w:rPr>
          <w:rFonts w:hint="eastAsia"/>
          <w:sz w:val="28"/>
          <w:szCs w:val="28"/>
        </w:rPr>
        <w:t>存在触电危险因素的主要场所为：使用电气设备的所有车间、岗位，电气设备电缆、电线、配电箱以及电工作业、电气检修等过程。</w:t>
      </w:r>
    </w:p>
    <w:p>
      <w:pPr>
        <w:pStyle w:val="Heading3"/>
        <w:numPr>
          <w:ilvl w:val="0"/>
          <w:numId w:val="0"/>
        </w:numPr>
        <w:tabs>
          <w:tab w:val="clear" w:pos="720"/>
        </w:tabs>
        <w:spacing w:before="156" w:after="120"/>
        <w:jc w:val="left"/>
        <w:rPr>
          <w:rFonts w:hint="eastAsia"/>
          <w:szCs w:val="28"/>
        </w:rPr>
      </w:pPr>
      <w:bookmarkStart w:id="67" w:name="_Toc20054"/>
      <w:r>
        <w:rPr>
          <w:rFonts w:hint="eastAsia"/>
          <w:szCs w:val="28"/>
        </w:rPr>
        <w:t>3.</w:t>
      </w:r>
      <w:r>
        <w:rPr>
          <w:rFonts w:hint="eastAsia"/>
          <w:szCs w:val="28"/>
          <w:lang w:val="en-US" w:eastAsia="zh-CN"/>
        </w:rPr>
        <w:t>3</w:t>
      </w:r>
      <w:r>
        <w:rPr>
          <w:rFonts w:hint="eastAsia"/>
          <w:szCs w:val="28"/>
        </w:rPr>
        <w:t>.</w:t>
      </w:r>
      <w:r>
        <w:rPr>
          <w:rFonts w:hint="eastAsia"/>
          <w:szCs w:val="28"/>
          <w:lang w:val="en-US" w:eastAsia="zh-CN"/>
        </w:rPr>
        <w:t xml:space="preserve">3  </w:t>
      </w:r>
      <w:r>
        <w:rPr>
          <w:rFonts w:hint="eastAsia"/>
          <w:szCs w:val="28"/>
        </w:rPr>
        <w:t>机械伤害</w:t>
      </w:r>
      <w:bookmarkEnd w:id="67"/>
    </w:p>
    <w:p>
      <w:pPr>
        <w:spacing w:line="600" w:lineRule="exact"/>
        <w:ind w:firstLine="560" w:firstLineChars="200"/>
        <w:rPr>
          <w:sz w:val="28"/>
          <w:szCs w:val="28"/>
        </w:rPr>
      </w:pPr>
      <w:r>
        <w:rPr>
          <w:sz w:val="28"/>
          <w:szCs w:val="28"/>
        </w:rPr>
        <w:t>机械伤害是指机械设备运动(静止)部件、工具、加工件直接与人体接触引起的卷入、绞绕</w:t>
      </w:r>
      <w:r>
        <w:rPr>
          <w:rFonts w:hint="eastAsia"/>
          <w:sz w:val="28"/>
          <w:szCs w:val="28"/>
        </w:rPr>
        <w:t>和</w:t>
      </w:r>
      <w:r>
        <w:rPr>
          <w:sz w:val="28"/>
          <w:szCs w:val="28"/>
        </w:rPr>
        <w:t>甩</w:t>
      </w:r>
      <w:r>
        <w:rPr>
          <w:rFonts w:hint="eastAsia"/>
          <w:sz w:val="28"/>
          <w:szCs w:val="28"/>
        </w:rPr>
        <w:t>出</w:t>
      </w:r>
      <w:r>
        <w:rPr>
          <w:sz w:val="28"/>
          <w:szCs w:val="28"/>
        </w:rPr>
        <w:t>等伤害。</w:t>
      </w:r>
    </w:p>
    <w:p>
      <w:pPr>
        <w:spacing w:line="600" w:lineRule="exact"/>
        <w:ind w:firstLine="560" w:firstLineChars="200"/>
        <w:rPr>
          <w:sz w:val="28"/>
          <w:szCs w:val="28"/>
        </w:rPr>
      </w:pPr>
      <w:r>
        <w:rPr>
          <w:sz w:val="28"/>
          <w:szCs w:val="28"/>
        </w:rPr>
        <w:t>造成机械伤害的主要原因是：</w:t>
      </w:r>
    </w:p>
    <w:p>
      <w:pPr>
        <w:spacing w:line="600" w:lineRule="exact"/>
        <w:ind w:firstLine="560" w:firstLineChars="200"/>
        <w:rPr>
          <w:sz w:val="28"/>
          <w:szCs w:val="28"/>
        </w:rPr>
      </w:pPr>
      <w:r>
        <w:rPr>
          <w:sz w:val="28"/>
          <w:szCs w:val="28"/>
        </w:rPr>
        <w:t>(1)机械设备老化、损坏，缺乏必要的维护保养；</w:t>
      </w:r>
    </w:p>
    <w:p>
      <w:pPr>
        <w:spacing w:line="600" w:lineRule="exact"/>
        <w:ind w:firstLine="560" w:firstLineChars="200"/>
        <w:rPr>
          <w:sz w:val="28"/>
          <w:szCs w:val="28"/>
        </w:rPr>
      </w:pPr>
      <w:r>
        <w:rPr>
          <w:sz w:val="28"/>
          <w:szCs w:val="28"/>
        </w:rPr>
        <w:t>(2)机械设备转动、运动、传动部分缺少安全防护措施或防护措施存在重大缺陷；</w:t>
      </w:r>
    </w:p>
    <w:p>
      <w:pPr>
        <w:spacing w:line="600" w:lineRule="exact"/>
        <w:ind w:firstLine="560" w:firstLineChars="200"/>
        <w:rPr>
          <w:sz w:val="28"/>
          <w:szCs w:val="28"/>
        </w:rPr>
      </w:pPr>
      <w:r>
        <w:rPr>
          <w:sz w:val="28"/>
          <w:szCs w:val="28"/>
        </w:rPr>
        <w:t>(3)操作人员违章作业或违犯劳动纪律；</w:t>
      </w:r>
    </w:p>
    <w:p>
      <w:pPr>
        <w:spacing w:line="600" w:lineRule="exact"/>
        <w:ind w:firstLine="560" w:firstLineChars="200"/>
        <w:rPr>
          <w:sz w:val="28"/>
          <w:szCs w:val="28"/>
        </w:rPr>
      </w:pPr>
      <w:r>
        <w:rPr>
          <w:sz w:val="28"/>
          <w:szCs w:val="28"/>
        </w:rPr>
        <w:t>(4)机械设备检修时误操作、误合闸造成人员伤害；</w:t>
      </w:r>
    </w:p>
    <w:p>
      <w:pPr>
        <w:spacing w:line="600" w:lineRule="exact"/>
        <w:ind w:firstLine="560" w:firstLineChars="200"/>
        <w:rPr>
          <w:sz w:val="28"/>
          <w:szCs w:val="28"/>
        </w:rPr>
      </w:pPr>
      <w:r>
        <w:rPr>
          <w:sz w:val="28"/>
          <w:szCs w:val="28"/>
        </w:rPr>
        <w:t>(5)操作人员精神不集中；</w:t>
      </w:r>
    </w:p>
    <w:p>
      <w:pPr>
        <w:spacing w:line="600" w:lineRule="exact"/>
        <w:ind w:firstLine="560" w:firstLineChars="200"/>
        <w:rPr>
          <w:sz w:val="28"/>
          <w:szCs w:val="28"/>
        </w:rPr>
      </w:pPr>
      <w:r>
        <w:rPr>
          <w:sz w:val="28"/>
          <w:szCs w:val="28"/>
        </w:rPr>
        <w:t>(6)机械设备安全防护距离不能满足要求；</w:t>
      </w:r>
    </w:p>
    <w:p>
      <w:pPr>
        <w:spacing w:line="600" w:lineRule="exact"/>
        <w:ind w:firstLine="560" w:firstLineChars="200"/>
        <w:rPr>
          <w:sz w:val="28"/>
          <w:szCs w:val="28"/>
        </w:rPr>
      </w:pPr>
      <w:r>
        <w:rPr>
          <w:sz w:val="28"/>
          <w:szCs w:val="28"/>
        </w:rPr>
        <w:t>(7)产品质量制造缺陷。</w:t>
      </w:r>
    </w:p>
    <w:p>
      <w:pPr>
        <w:spacing w:line="600" w:lineRule="exact"/>
        <w:ind w:firstLine="560" w:firstLineChars="200"/>
        <w:rPr>
          <w:sz w:val="28"/>
          <w:szCs w:val="28"/>
        </w:rPr>
      </w:pPr>
      <w:r>
        <w:rPr>
          <w:sz w:val="28"/>
          <w:szCs w:val="28"/>
        </w:rPr>
        <w:t>机械伤害主要存在位置为电机、</w:t>
      </w:r>
      <w:r>
        <w:rPr>
          <w:rFonts w:hint="eastAsia"/>
          <w:sz w:val="28"/>
          <w:szCs w:val="28"/>
        </w:rPr>
        <w:t>切割机、叉车</w:t>
      </w:r>
      <w:r>
        <w:rPr>
          <w:sz w:val="28"/>
          <w:szCs w:val="28"/>
        </w:rPr>
        <w:t>等</w:t>
      </w:r>
      <w:r>
        <w:rPr>
          <w:rFonts w:hint="eastAsia"/>
          <w:sz w:val="28"/>
          <w:szCs w:val="28"/>
        </w:rPr>
        <w:t>作业</w:t>
      </w:r>
      <w:r>
        <w:rPr>
          <w:sz w:val="28"/>
          <w:szCs w:val="28"/>
        </w:rPr>
        <w:t>场所。</w:t>
      </w:r>
    </w:p>
    <w:p>
      <w:pPr>
        <w:pStyle w:val="Heading3"/>
        <w:numPr>
          <w:ilvl w:val="0"/>
          <w:numId w:val="0"/>
        </w:numPr>
        <w:tabs>
          <w:tab w:val="clear" w:pos="720"/>
        </w:tabs>
        <w:spacing w:before="156" w:after="120"/>
        <w:jc w:val="left"/>
        <w:rPr>
          <w:rFonts w:hint="eastAsia"/>
          <w:szCs w:val="28"/>
        </w:rPr>
      </w:pPr>
      <w:bookmarkStart w:id="68" w:name="_Toc24354"/>
      <w:r>
        <w:rPr>
          <w:rFonts w:hint="eastAsia"/>
          <w:szCs w:val="28"/>
        </w:rPr>
        <w:t>3.</w:t>
      </w:r>
      <w:r>
        <w:rPr>
          <w:rFonts w:hint="eastAsia"/>
          <w:szCs w:val="28"/>
          <w:lang w:val="en-US" w:eastAsia="zh-CN"/>
        </w:rPr>
        <w:t>3</w:t>
      </w:r>
      <w:r>
        <w:rPr>
          <w:rFonts w:hint="eastAsia"/>
          <w:szCs w:val="28"/>
        </w:rPr>
        <w:t>.</w:t>
      </w:r>
      <w:r>
        <w:rPr>
          <w:rFonts w:hint="eastAsia"/>
          <w:szCs w:val="28"/>
          <w:lang w:val="en-US" w:eastAsia="zh-CN"/>
        </w:rPr>
        <w:t xml:space="preserve">4  </w:t>
      </w:r>
      <w:r>
        <w:rPr>
          <w:rFonts w:hint="eastAsia"/>
          <w:szCs w:val="28"/>
        </w:rPr>
        <w:t>物体打击</w:t>
      </w:r>
      <w:bookmarkEnd w:id="68"/>
    </w:p>
    <w:p>
      <w:pPr>
        <w:spacing w:line="600" w:lineRule="exact"/>
        <w:ind w:firstLine="560" w:firstLineChars="200"/>
        <w:rPr>
          <w:sz w:val="28"/>
        </w:rPr>
      </w:pPr>
      <w:r>
        <w:rPr>
          <w:sz w:val="28"/>
        </w:rPr>
        <w:br/>
      </w:r>
      <w:r>
        <w:rPr>
          <w:sz w:val="28"/>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4" w:history="1">
        <w:r>
          <w:rPr>
            <w:rFonts w:ascii="SimSun" w:eastAsia="SimSun" w:hAnsi="SimSun" w:cs="SimSun"/>
            <w:b/>
            <w:bCs/>
            <w:color w:val="0000EE"/>
            <w:kern w:val="0"/>
            <w:sz w:val="30"/>
            <w:szCs w:val="30"/>
            <w:u w:val="single" w:color="0000EE"/>
          </w:rPr>
          <w:t>https://d.book118.com/577032066102006025</w:t>
        </w:r>
      </w:hyperlink>
    </w:p>
    <w:p>
      <w:pPr>
        <w:spacing w:line="600" w:lineRule="exact"/>
        <w:ind w:firstLine="560" w:firstLineChars="200"/>
        <w:rPr>
          <w:sz w:val="28"/>
        </w:rPr>
      </w:pPr>
    </w:p>
    <w:sectPr>
      <w:headerReference w:type="default" r:id="rId135"/>
      <w:footerReference w:type="even" r:id="rId136"/>
      <w:footerReference w:type="default" r:id="rId137"/>
      <w:type w:val="nextPage"/>
      <w:pgSz w:w="11906" w:h="16838"/>
      <w:pgMar w:top="1440" w:right="1418" w:bottom="1440" w:left="1418" w:header="851" w:footer="992" w:gutter="0"/>
      <w:pgNumType w:start="3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80E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lotter">
    <w:altName w:val="Times New Roman"/>
    <w:panose1 w:val="00000000000000000000"/>
    <w:charset w:val="00"/>
    <w:family w:val="roman"/>
    <w:pitch w:val="default"/>
    <w:sig w:usb0="00000003" w:usb1="00000000" w:usb2="00000000" w:usb3="00000000" w:csb0="00000001" w:csb1="00000000"/>
  </w:font>
  <w:font w:name="Angsana New">
    <w:altName w:val="DejaVu Math TeX Gyre"/>
    <w:panose1 w:val="02020603050405020304"/>
    <w:charset w:val="00"/>
    <w:family w:val="roman"/>
    <w:pitch w:val="default"/>
    <w:sig w:usb0="81000003" w:usb1="00000000" w:usb2="00000000" w:usb3="00000000" w:csb0="0001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Times">
    <w:altName w:val="Times New Roman"/>
    <w:panose1 w:val="02020603050405020304"/>
    <w:charset w:val="00"/>
    <w:family w:val="roman"/>
    <w:pitch w:val="default"/>
    <w:sig w:usb0="E0002AF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A00002FF" w:usb1="28CFFCFA" w:usb2="00000016" w:usb3="00000000" w:csb0="0010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49" type="#_x0000_t202" style="width:6pt;height:20.7pt;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I</w:t>
                </w:r>
                <w:r>
                  <w:fldChar w:fldCharType="end"/>
                </w:r>
                <w:r>
                  <w:rPr>
                    <w:rStyle w:val="PageNumber"/>
                    <w:rFonts w:hint="eastAsia"/>
                  </w:rP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30" o:spid="_x0000_s2050" type="#_x0000_t202" style="width:6pt;height:20.7pt;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jc w:val="right"/>
                </w:pPr>
                <w:r>
                  <w:fldChar w:fldCharType="begin"/>
                </w:r>
                <w:r>
                  <w:rPr>
                    <w:rStyle w:val="PageNumber"/>
                  </w:rPr>
                  <w:instrText xml:space="preserve"> PAGE </w:instrText>
                </w:r>
                <w:r>
                  <w:fldChar w:fldCharType="separate"/>
                </w:r>
                <w:r>
                  <w:rPr>
                    <w:rStyle w:val="PageNumber"/>
                  </w:rPr>
                  <w:t>II</w:t>
                </w:r>
                <w:r>
                  <w:fldChar w:fldCharType="end"/>
                </w:r>
                <w:r>
                  <w:rPr>
                    <w:rStyle w:val="PageNumber"/>
                    <w:rFonts w:hint="eastAsia"/>
                  </w:rPr>
                  <w:t xml:space="preserve">                         </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w:t>
    </w:r>
    <w:r>
      <w:fldChar w:fldCharType="end"/>
    </w:r>
  </w:p>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3</w:t>
    </w:r>
    <w:r>
      <w:fldChar w:fldCharType="end"/>
    </w:r>
  </w:p>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3</w:t>
    </w:r>
    <w:r>
      <w:fldChar w:fldCharType="end"/>
    </w:r>
  </w:p>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4</w:t>
    </w:r>
    <w:r>
      <w:fldChar w:fldCharType="end"/>
    </w:r>
  </w:p>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5</w:t>
    </w:r>
    <w:r>
      <w:fldChar w:fldCharType="end"/>
    </w:r>
  </w:p>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6</w:t>
    </w:r>
    <w:r>
      <w:fldChar w:fldCharType="end"/>
    </w:r>
  </w:p>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7</w:t>
    </w:r>
    <w:r>
      <w:fldChar w:fldCharType="end"/>
    </w:r>
  </w:p>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8</w:t>
    </w:r>
    <w:r>
      <w:fldChar w:fldCharType="end"/>
    </w:r>
  </w:p>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9</w:t>
    </w:r>
    <w:r>
      <w:fldChar w:fldCharType="end"/>
    </w:r>
  </w:p>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10</w:t>
    </w:r>
    <w:r>
      <w:fldChar w:fldCharType="end"/>
    </w:r>
  </w:p>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12</w:t>
    </w:r>
    <w:r>
      <w:fldChar w:fldCharType="end"/>
    </w:r>
  </w:p>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12</w:t>
    </w:r>
    <w:r>
      <w:fldChar w:fldCharType="end"/>
    </w:r>
  </w:p>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14</w:t>
    </w:r>
    <w:r>
      <w:fldChar w:fldCharType="end"/>
    </w:r>
  </w:p>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14</w:t>
    </w:r>
    <w:r>
      <w:fldChar w:fldCharType="end"/>
    </w:r>
  </w:p>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15</w:t>
    </w:r>
    <w:r>
      <w:fldChar w:fldCharType="end"/>
    </w:r>
  </w:p>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16</w:t>
    </w:r>
    <w:r>
      <w:fldChar w:fldCharType="end"/>
    </w:r>
  </w:p>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17</w:t>
    </w:r>
    <w:r>
      <w:fldChar w:fldCharType="end"/>
    </w:r>
  </w:p>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18</w:t>
    </w:r>
    <w:r>
      <w:fldChar w:fldCharType="end"/>
    </w:r>
  </w:p>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19</w:t>
    </w:r>
    <w:r>
      <w:fldChar w:fldCharType="end"/>
    </w:r>
  </w:p>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20</w:t>
    </w:r>
    <w:r>
      <w:fldChar w:fldCharType="end"/>
    </w:r>
  </w:p>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22</w:t>
    </w:r>
    <w:r>
      <w:fldChar w:fldCharType="end"/>
    </w:r>
  </w:p>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22</w:t>
    </w:r>
    <w:r>
      <w:fldChar w:fldCharType="end"/>
    </w:r>
  </w:p>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23</w:t>
    </w:r>
    <w:r>
      <w:fldChar w:fldCharType="end"/>
    </w:r>
  </w:p>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24</w:t>
    </w:r>
    <w:r>
      <w:fldChar w:fldCharType="end"/>
    </w:r>
  </w:p>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25</w:t>
    </w:r>
    <w:r>
      <w:fldChar w:fldCharType="end"/>
    </w:r>
  </w:p>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26</w:t>
    </w:r>
    <w:r>
      <w:fldChar w:fldCharType="end"/>
    </w:r>
  </w:p>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27</w:t>
    </w:r>
    <w:r>
      <w:fldChar w:fldCharType="end"/>
    </w:r>
  </w:p>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28</w:t>
    </w:r>
    <w:r>
      <w:fldChar w:fldCharType="end"/>
    </w:r>
  </w:p>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30</w:t>
    </w:r>
    <w:r>
      <w:fldChar w:fldCharType="end"/>
    </w:r>
  </w:p>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30</w:t>
    </w:r>
    <w:r>
      <w:fldChar w:fldCharType="end"/>
    </w:r>
  </w:p>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32</w:t>
    </w:r>
    <w:r>
      <w:fldChar w:fldCharType="end"/>
    </w:r>
  </w:p>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100</w:t>
    </w:r>
    <w:r>
      <w:fldChar w:fldCharType="end"/>
    </w:r>
  </w:p>
  <w:p>
    <w:pPr>
      <w:pStyle w:val="Footer"/>
      <w:tabs>
        <w:tab w:val="center" w:pos="4153"/>
        <w:tab w:val="right" w:pos="8306"/>
      </w:tabs>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883"/>
      <w:jc w:val="center"/>
    </w:pPr>
    <w:r>
      <w:fldChar w:fldCharType="begin"/>
    </w:r>
    <w:r>
      <w:instrText xml:space="preserve"> PAGE   \* MERGEFORMAT </w:instrText>
    </w:r>
    <w:r>
      <w:fldChar w:fldCharType="separate"/>
    </w:r>
    <w:r>
      <w:rPr>
        <w:lang w:val="zh-CN"/>
      </w:rPr>
      <w:t>33</w:t>
    </w:r>
    <w:r>
      <w:fldChar w:fldCharType="end"/>
    </w:r>
  </w:p>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left w:val="none" w:sz="0" w:space="4" w:color="auto"/>
        <w:bottom w:val="single" w:sz="4" w:space="1" w:color="auto"/>
        <w:right w:val="none" w:sz="0" w:space="4" w:color="auto"/>
      </w:pBdr>
      <w:tabs>
        <w:tab w:val="center" w:pos="4153"/>
        <w:tab w:val="right" w:pos="8306"/>
      </w:tabs>
      <w:rPr>
        <w:rFonts w:hint="eastAsia"/>
      </w:rPr>
    </w:pPr>
    <w:r>
      <w:rPr>
        <w:rFonts w:hint="eastAsia"/>
        <w:lang w:eastAsia="zh-CN"/>
      </w:rPr>
      <w:t>XX机电设备有限公司</w:t>
    </w:r>
    <w:r>
      <w:rPr>
        <w:rFonts w:hint="eastAsia"/>
      </w:rPr>
      <w:t xml:space="preserve"> 年产10万件机械零部件生产线建设项目 安全设施设计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bullet"/>
      <w:lvlText w:val=""/>
      <w:lvlJc w:val="left"/>
      <w:pPr>
        <w:tabs>
          <w:tab w:val="num" w:pos="924"/>
        </w:tabs>
        <w:ind w:left="924" w:hanging="420"/>
      </w:pPr>
      <w:rPr>
        <w:rFonts w:ascii="Wingdings" w:hAnsi="Wingdings" w:hint="default"/>
      </w:rPr>
    </w:lvl>
    <w:lvl w:ilvl="1">
      <w:start w:val="1"/>
      <w:numFmt w:val="bullet"/>
      <w:lvlText w:val=""/>
      <w:lvlJc w:val="left"/>
      <w:pPr>
        <w:tabs>
          <w:tab w:val="num" w:pos="1344"/>
        </w:tabs>
        <w:ind w:left="1344" w:hanging="420"/>
      </w:pPr>
      <w:rPr>
        <w:rFonts w:ascii="Wingdings" w:hAnsi="Wingdings" w:hint="default"/>
      </w:rPr>
    </w:lvl>
    <w:lvl w:ilvl="2">
      <w:start w:val="1"/>
      <w:numFmt w:val="bullet"/>
      <w:lvlText w:val=""/>
      <w:lvlJc w:val="left"/>
      <w:pPr>
        <w:tabs>
          <w:tab w:val="num" w:pos="1764"/>
        </w:tabs>
        <w:ind w:left="1764" w:hanging="420"/>
      </w:pPr>
      <w:rPr>
        <w:rFonts w:ascii="Wingdings" w:hAnsi="Wingdings" w:hint="default"/>
      </w:rPr>
    </w:lvl>
    <w:lvl w:ilvl="3">
      <w:start w:val="1"/>
      <w:numFmt w:val="bullet"/>
      <w:lvlText w:val=""/>
      <w:lvlJc w:val="left"/>
      <w:pPr>
        <w:tabs>
          <w:tab w:val="num" w:pos="2184"/>
        </w:tabs>
        <w:ind w:left="2184" w:hanging="420"/>
      </w:pPr>
      <w:rPr>
        <w:rFonts w:ascii="Wingdings" w:hAnsi="Wingdings" w:hint="default"/>
      </w:rPr>
    </w:lvl>
    <w:lvl w:ilvl="4">
      <w:start w:val="1"/>
      <w:numFmt w:val="bullet"/>
      <w:lvlText w:val=""/>
      <w:lvlJc w:val="left"/>
      <w:pPr>
        <w:tabs>
          <w:tab w:val="num" w:pos="2604"/>
        </w:tabs>
        <w:ind w:left="2604" w:hanging="420"/>
      </w:pPr>
      <w:rPr>
        <w:rFonts w:ascii="Wingdings" w:hAnsi="Wingdings" w:hint="default"/>
      </w:rPr>
    </w:lvl>
    <w:lvl w:ilvl="5">
      <w:start w:val="1"/>
      <w:numFmt w:val="bullet"/>
      <w:lvlText w:val=""/>
      <w:lvlJc w:val="left"/>
      <w:pPr>
        <w:tabs>
          <w:tab w:val="num" w:pos="3024"/>
        </w:tabs>
        <w:ind w:left="3024" w:hanging="420"/>
      </w:pPr>
      <w:rPr>
        <w:rFonts w:ascii="Wingdings" w:hAnsi="Wingdings" w:hint="default"/>
      </w:rPr>
    </w:lvl>
    <w:lvl w:ilvl="6">
      <w:start w:val="1"/>
      <w:numFmt w:val="bullet"/>
      <w:lvlText w:val=""/>
      <w:lvlJc w:val="left"/>
      <w:pPr>
        <w:tabs>
          <w:tab w:val="num" w:pos="3444"/>
        </w:tabs>
        <w:ind w:left="3444" w:hanging="420"/>
      </w:pPr>
      <w:rPr>
        <w:rFonts w:ascii="Wingdings" w:hAnsi="Wingdings" w:hint="default"/>
      </w:rPr>
    </w:lvl>
    <w:lvl w:ilvl="7">
      <w:start w:val="1"/>
      <w:numFmt w:val="bullet"/>
      <w:lvlText w:val=""/>
      <w:lvlJc w:val="left"/>
      <w:pPr>
        <w:tabs>
          <w:tab w:val="num" w:pos="3864"/>
        </w:tabs>
        <w:ind w:left="3864" w:hanging="420"/>
      </w:pPr>
      <w:rPr>
        <w:rFonts w:ascii="Wingdings" w:hAnsi="Wingdings" w:hint="default"/>
      </w:rPr>
    </w:lvl>
    <w:lvl w:ilvl="8">
      <w:start w:val="1"/>
      <w:numFmt w:val="bullet"/>
      <w:lvlText w:val=""/>
      <w:lvlJc w:val="left"/>
      <w:pPr>
        <w:tabs>
          <w:tab w:val="num" w:pos="4284"/>
        </w:tabs>
        <w:ind w:left="4284" w:hanging="420"/>
      </w:pPr>
      <w:rPr>
        <w:rFonts w:ascii="Wingdings" w:hAnsi="Wingdings" w:hint="default"/>
      </w:rPr>
    </w:lvl>
  </w:abstractNum>
  <w:abstractNum w:abstractNumId="1">
    <w:nsid w:val="0000000D"/>
    <w:multiLevelType w:val="multilevel"/>
    <w:tmpl w:val="0000000D"/>
    <w:lvl w:ilvl="0">
      <w:start w:val="11"/>
      <w:numFmt w:val="decimal"/>
      <w:suff w:val="space"/>
      <w:lvlText w:val="%1"/>
      <w:lvlJc w:val="left"/>
      <w:pPr>
        <w:ind w:left="0" w:firstLine="0"/>
      </w:pPr>
      <w:rPr>
        <w:rFonts w:ascii="Times New Roman" w:eastAsia="宋体" w:hAnsi="Times New Roman" w:hint="default"/>
        <w:b w:val="0"/>
        <w:i w:val="0"/>
        <w:sz w:val="28"/>
      </w:rPr>
    </w:lvl>
    <w:lvl w:ilvl="1">
      <w:start w:val="1"/>
      <w:numFmt w:val="decimal"/>
      <w:suff w:val="space"/>
      <w:lvlText w:val="%1.%2"/>
      <w:lvlJc w:val="left"/>
      <w:pPr>
        <w:ind w:left="0" w:firstLine="0"/>
      </w:pPr>
      <w:rPr>
        <w:rFonts w:ascii="Times New Roman" w:hAnsi="Times New Roman" w:hint="default"/>
        <w:b w:val="0"/>
        <w:i w:val="0"/>
        <w:sz w:val="28"/>
      </w:rPr>
    </w:lvl>
    <w:lvl w:ilvl="2">
      <w:start w:val="1"/>
      <w:numFmt w:val="decimal"/>
      <w:suff w:val="space"/>
      <w:lvlText w:val="%1.%2.%3"/>
      <w:lvlJc w:val="left"/>
      <w:pPr>
        <w:ind w:left="0" w:firstLine="0"/>
      </w:pPr>
      <w:rPr>
        <w:rFonts w:ascii="Times New Roman" w:hAnsi="Times New Roman" w:hint="default"/>
        <w:b w:val="0"/>
        <w:i w:val="0"/>
        <w:sz w:val="28"/>
      </w:rPr>
    </w:lvl>
    <w:lvl w:ilvl="3">
      <w:start w:val="1"/>
      <w:numFmt w:val="decimal"/>
      <w:suff w:val="space"/>
      <w:lvlText w:val="%1.%2.%3.%4"/>
      <w:lvlJc w:val="left"/>
      <w:pPr>
        <w:ind w:left="0" w:firstLine="0"/>
      </w:pPr>
      <w:rPr>
        <w:rFonts w:ascii="Times New Roman" w:hAnsi="Times New Roman" w:hint="default"/>
        <w:b w:val="0"/>
        <w:i w:val="0"/>
        <w:sz w:val="28"/>
      </w:rPr>
    </w:lvl>
    <w:lvl w:ilvl="4">
      <w:start w:val="1"/>
      <w:numFmt w:val="decimal"/>
      <w:suff w:val="space"/>
      <w:lvlText w:val="%1.%2.%3.%4.%5"/>
      <w:lvlJc w:val="left"/>
      <w:pPr>
        <w:ind w:left="0" w:firstLine="0"/>
      </w:pPr>
      <w:rPr>
        <w:rFonts w:ascii="Times New Roman" w:hAnsi="Times New Roman" w:hint="default"/>
        <w:b w:val="0"/>
        <w:i w:val="0"/>
        <w:sz w:val="28"/>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
    <w:nsid w:val="0000000E"/>
    <w:multiLevelType w:val="multilevel"/>
    <w:tmpl w:val="0000000E"/>
    <w:lvl w:ilvl="0">
      <w:start w:val="1"/>
      <w:numFmt w:val="decimal"/>
      <w:lvlText w:val="%1"/>
      <w:lvlJc w:val="left"/>
      <w:pPr>
        <w:tabs>
          <w:tab w:val="num" w:pos="360"/>
        </w:tabs>
        <w:ind w:left="0" w:firstLine="0"/>
      </w:pPr>
      <w:rPr>
        <w:rFonts w:ascii="Arial Unicode MS" w:eastAsia="宋体" w:hAnsi="Arial Unicode MS" w:hint="eastAsia"/>
        <w:b/>
        <w:i w:val="0"/>
        <w:sz w:val="28"/>
      </w:rPr>
    </w:lvl>
    <w:lvl w:ilvl="1">
      <w:start w:val="1"/>
      <w:numFmt w:val="decimal"/>
      <w:lvlText w:val="%1.%2"/>
      <w:lvlJc w:val="left"/>
      <w:pPr>
        <w:tabs>
          <w:tab w:val="num" w:pos="720"/>
        </w:tabs>
        <w:ind w:left="0" w:firstLine="0"/>
      </w:pPr>
      <w:rPr>
        <w:rFonts w:ascii="Arial Unicode MS" w:eastAsia="宋体" w:hAnsi="Arial Unicode MS" w:hint="eastAsia"/>
        <w:b/>
        <w:i w:val="0"/>
        <w:sz w:val="24"/>
        <w:szCs w:val="24"/>
      </w:rPr>
    </w:lvl>
    <w:lvl w:ilvl="2">
      <w:start w:val="1"/>
      <w:numFmt w:val="decimal"/>
      <w:lvlText w:val="%1.%2.%3"/>
      <w:lvlJc w:val="left"/>
      <w:pPr>
        <w:tabs>
          <w:tab w:val="num" w:pos="720"/>
        </w:tabs>
        <w:ind w:left="0" w:firstLine="0"/>
      </w:pPr>
      <w:rPr>
        <w:rFonts w:ascii="Arial Unicode MS" w:eastAsia="宋体" w:hAnsi="Arial Unicode MS" w:hint="eastAsia"/>
        <w:b/>
        <w:i w:val="0"/>
        <w:sz w:val="28"/>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
    <w:nsid w:val="0000000F"/>
    <w:multiLevelType w:val="multilevel"/>
    <w:tmpl w:val="0000000F"/>
    <w:lvl w:ilvl="0">
      <w:start w:val="1"/>
      <w:numFmt w:val="decimal"/>
      <w:suff w:val="space"/>
      <w:lvlText w:val="%1 "/>
      <w:lvlJc w:val="left"/>
      <w:pPr>
        <w:ind w:left="0" w:firstLine="0"/>
      </w:pPr>
      <w:rPr>
        <w:rFonts w:ascii="Times New Roman" w:hAnsi="Times New Roman" w:hint="default"/>
        <w:b/>
        <w:i w:val="0"/>
        <w:sz w:val="28"/>
      </w:rPr>
    </w:lvl>
    <w:lvl w:ilvl="1">
      <w:start w:val="1"/>
      <w:numFmt w:val="decimal"/>
      <w:suff w:val="space"/>
      <w:lvlText w:val="%1.%2"/>
      <w:lvlJc w:val="left"/>
      <w:pPr>
        <w:ind w:left="0" w:firstLine="0"/>
      </w:pPr>
      <w:rPr>
        <w:rFonts w:ascii="Times New Roman" w:hAnsi="Times New Roman" w:hint="default"/>
        <w:sz w:val="28"/>
      </w:rPr>
    </w:lvl>
    <w:lvl w:ilvl="2">
      <w:start w:val="1"/>
      <w:numFmt w:val="decimal"/>
      <w:suff w:val="space"/>
      <w:lvlText w:val="%1.%2.%3"/>
      <w:lvlJc w:val="left"/>
      <w:pPr>
        <w:ind w:left="0" w:firstLine="0"/>
      </w:pPr>
      <w:rPr>
        <w:rFonts w:ascii="Times New Roman" w:hAnsi="Times New Roman" w:hint="default"/>
        <w:sz w:val="28"/>
      </w:rPr>
    </w:lvl>
    <w:lvl w:ilvl="3">
      <w:start w:val="1"/>
      <w:numFmt w:val="decimal"/>
      <w:suff w:val="space"/>
      <w:lvlText w:val="%1.%2.%3.%4"/>
      <w:lvlJc w:val="left"/>
      <w:pPr>
        <w:ind w:left="0" w:firstLine="0"/>
      </w:pPr>
      <w:rPr>
        <w:rFonts w:ascii="Times New Roman" w:hAnsi="Times New Roman" w:hint="default"/>
        <w:sz w:val="28"/>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
    <w:nsid w:val="39024FAF"/>
    <w:multiLevelType w:val="multilevel"/>
    <w:tmpl w:val="39024FAF"/>
    <w:lvl w:ilvl="0">
      <w:start w:val="1"/>
      <w:numFmt w:val="decimal"/>
      <w:lvlText w:val="(%1)"/>
      <w:lvlJc w:val="left"/>
      <w:pPr>
        <w:ind w:left="920" w:hanging="3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7FE"/>
    <w:rsid w:val="00005C90"/>
    <w:rsid w:val="00007402"/>
    <w:rsid w:val="00007CB1"/>
    <w:rsid w:val="00011098"/>
    <w:rsid w:val="00011837"/>
    <w:rsid w:val="00012125"/>
    <w:rsid w:val="00017611"/>
    <w:rsid w:val="00026594"/>
    <w:rsid w:val="00030101"/>
    <w:rsid w:val="00031BB8"/>
    <w:rsid w:val="00032086"/>
    <w:rsid w:val="0003229C"/>
    <w:rsid w:val="000322F6"/>
    <w:rsid w:val="00037825"/>
    <w:rsid w:val="00037973"/>
    <w:rsid w:val="00040C62"/>
    <w:rsid w:val="00043C50"/>
    <w:rsid w:val="00045103"/>
    <w:rsid w:val="00045BF5"/>
    <w:rsid w:val="00045F69"/>
    <w:rsid w:val="0004621D"/>
    <w:rsid w:val="00051E38"/>
    <w:rsid w:val="00052623"/>
    <w:rsid w:val="0005481C"/>
    <w:rsid w:val="00057CD0"/>
    <w:rsid w:val="00057D98"/>
    <w:rsid w:val="000605D9"/>
    <w:rsid w:val="00060758"/>
    <w:rsid w:val="00060C8F"/>
    <w:rsid w:val="000625FC"/>
    <w:rsid w:val="00064742"/>
    <w:rsid w:val="0006526B"/>
    <w:rsid w:val="00065B5D"/>
    <w:rsid w:val="00065E6B"/>
    <w:rsid w:val="00072F35"/>
    <w:rsid w:val="00073402"/>
    <w:rsid w:val="00073881"/>
    <w:rsid w:val="0007402F"/>
    <w:rsid w:val="00077DD8"/>
    <w:rsid w:val="00080E0E"/>
    <w:rsid w:val="000810FF"/>
    <w:rsid w:val="0008275B"/>
    <w:rsid w:val="00086FD3"/>
    <w:rsid w:val="000903F1"/>
    <w:rsid w:val="000914A7"/>
    <w:rsid w:val="00091B5F"/>
    <w:rsid w:val="00091C2C"/>
    <w:rsid w:val="000A01EF"/>
    <w:rsid w:val="000A194E"/>
    <w:rsid w:val="000A413B"/>
    <w:rsid w:val="000A45EB"/>
    <w:rsid w:val="000A4752"/>
    <w:rsid w:val="000A4FC2"/>
    <w:rsid w:val="000A577F"/>
    <w:rsid w:val="000A5D03"/>
    <w:rsid w:val="000A7E77"/>
    <w:rsid w:val="000B131D"/>
    <w:rsid w:val="000B18B5"/>
    <w:rsid w:val="000B1E17"/>
    <w:rsid w:val="000B5765"/>
    <w:rsid w:val="000B5C0C"/>
    <w:rsid w:val="000C1DAD"/>
    <w:rsid w:val="000C5207"/>
    <w:rsid w:val="000C5DA1"/>
    <w:rsid w:val="000C71B9"/>
    <w:rsid w:val="000D1E04"/>
    <w:rsid w:val="000D2C2F"/>
    <w:rsid w:val="000D2CB4"/>
    <w:rsid w:val="000D3606"/>
    <w:rsid w:val="000D516F"/>
    <w:rsid w:val="000D7D4D"/>
    <w:rsid w:val="000E5882"/>
    <w:rsid w:val="000F0387"/>
    <w:rsid w:val="000F0DCA"/>
    <w:rsid w:val="000F3D68"/>
    <w:rsid w:val="000F57A2"/>
    <w:rsid w:val="000F5FAA"/>
    <w:rsid w:val="000F6266"/>
    <w:rsid w:val="000F67A0"/>
    <w:rsid w:val="000F6AEC"/>
    <w:rsid w:val="00102320"/>
    <w:rsid w:val="00106F9B"/>
    <w:rsid w:val="00107892"/>
    <w:rsid w:val="001124D9"/>
    <w:rsid w:val="00112518"/>
    <w:rsid w:val="00112EB9"/>
    <w:rsid w:val="00112FDC"/>
    <w:rsid w:val="001161C8"/>
    <w:rsid w:val="00116B34"/>
    <w:rsid w:val="00117734"/>
    <w:rsid w:val="00120FC4"/>
    <w:rsid w:val="00122DFE"/>
    <w:rsid w:val="001230C6"/>
    <w:rsid w:val="00123464"/>
    <w:rsid w:val="0012502A"/>
    <w:rsid w:val="00126B1F"/>
    <w:rsid w:val="00130506"/>
    <w:rsid w:val="00131A81"/>
    <w:rsid w:val="00131F12"/>
    <w:rsid w:val="00132C47"/>
    <w:rsid w:val="00132CBB"/>
    <w:rsid w:val="00133276"/>
    <w:rsid w:val="00134222"/>
    <w:rsid w:val="00136256"/>
    <w:rsid w:val="00137BAC"/>
    <w:rsid w:val="00141C30"/>
    <w:rsid w:val="0014354A"/>
    <w:rsid w:val="00144A49"/>
    <w:rsid w:val="001459A3"/>
    <w:rsid w:val="00153F66"/>
    <w:rsid w:val="001577B0"/>
    <w:rsid w:val="001579C5"/>
    <w:rsid w:val="00160735"/>
    <w:rsid w:val="00160977"/>
    <w:rsid w:val="00163361"/>
    <w:rsid w:val="0016377D"/>
    <w:rsid w:val="00164FE2"/>
    <w:rsid w:val="00166BF4"/>
    <w:rsid w:val="00167600"/>
    <w:rsid w:val="00171ACB"/>
    <w:rsid w:val="001722EC"/>
    <w:rsid w:val="001724CC"/>
    <w:rsid w:val="0017257C"/>
    <w:rsid w:val="00174CEF"/>
    <w:rsid w:val="00176416"/>
    <w:rsid w:val="0017650B"/>
    <w:rsid w:val="0017752F"/>
    <w:rsid w:val="00181B22"/>
    <w:rsid w:val="0018697D"/>
    <w:rsid w:val="00191D48"/>
    <w:rsid w:val="00192207"/>
    <w:rsid w:val="00192DDB"/>
    <w:rsid w:val="00194CA9"/>
    <w:rsid w:val="00196322"/>
    <w:rsid w:val="00196EF5"/>
    <w:rsid w:val="001A0560"/>
    <w:rsid w:val="001A11EB"/>
    <w:rsid w:val="001A2501"/>
    <w:rsid w:val="001A626F"/>
    <w:rsid w:val="001B1A2B"/>
    <w:rsid w:val="001B2BB3"/>
    <w:rsid w:val="001B2CEA"/>
    <w:rsid w:val="001B3ED0"/>
    <w:rsid w:val="001B5776"/>
    <w:rsid w:val="001B6E08"/>
    <w:rsid w:val="001C0C4F"/>
    <w:rsid w:val="001C1609"/>
    <w:rsid w:val="001C3290"/>
    <w:rsid w:val="001C3927"/>
    <w:rsid w:val="001C581F"/>
    <w:rsid w:val="001C67A1"/>
    <w:rsid w:val="001D1810"/>
    <w:rsid w:val="001D199B"/>
    <w:rsid w:val="001D5CEF"/>
    <w:rsid w:val="001D756D"/>
    <w:rsid w:val="001E2720"/>
    <w:rsid w:val="001E2E92"/>
    <w:rsid w:val="001E323C"/>
    <w:rsid w:val="001E4A2C"/>
    <w:rsid w:val="001E795A"/>
    <w:rsid w:val="001F16F3"/>
    <w:rsid w:val="001F1B96"/>
    <w:rsid w:val="001F1C77"/>
    <w:rsid w:val="001F3140"/>
    <w:rsid w:val="001F3BEE"/>
    <w:rsid w:val="001F3F1F"/>
    <w:rsid w:val="001F4AE0"/>
    <w:rsid w:val="001F537B"/>
    <w:rsid w:val="001F5ADC"/>
    <w:rsid w:val="002004B9"/>
    <w:rsid w:val="0020070D"/>
    <w:rsid w:val="00200C91"/>
    <w:rsid w:val="00201B75"/>
    <w:rsid w:val="002021DD"/>
    <w:rsid w:val="00202550"/>
    <w:rsid w:val="00203862"/>
    <w:rsid w:val="0020633E"/>
    <w:rsid w:val="002065FE"/>
    <w:rsid w:val="00206B54"/>
    <w:rsid w:val="002101A7"/>
    <w:rsid w:val="00210536"/>
    <w:rsid w:val="0021105D"/>
    <w:rsid w:val="002124C4"/>
    <w:rsid w:val="00213ED5"/>
    <w:rsid w:val="00215347"/>
    <w:rsid w:val="00215E7E"/>
    <w:rsid w:val="0021714B"/>
    <w:rsid w:val="0022092A"/>
    <w:rsid w:val="00220FCF"/>
    <w:rsid w:val="0022211E"/>
    <w:rsid w:val="0022581E"/>
    <w:rsid w:val="00225DCD"/>
    <w:rsid w:val="00226383"/>
    <w:rsid w:val="0023060D"/>
    <w:rsid w:val="00230C90"/>
    <w:rsid w:val="00231729"/>
    <w:rsid w:val="0023191E"/>
    <w:rsid w:val="0023356E"/>
    <w:rsid w:val="00233BE9"/>
    <w:rsid w:val="00234EC4"/>
    <w:rsid w:val="002350FF"/>
    <w:rsid w:val="00236829"/>
    <w:rsid w:val="00237009"/>
    <w:rsid w:val="00237FCF"/>
    <w:rsid w:val="00240876"/>
    <w:rsid w:val="0024170F"/>
    <w:rsid w:val="00243DC7"/>
    <w:rsid w:val="00244647"/>
    <w:rsid w:val="00244661"/>
    <w:rsid w:val="00245D06"/>
    <w:rsid w:val="00246A56"/>
    <w:rsid w:val="00247034"/>
    <w:rsid w:val="00252CA7"/>
    <w:rsid w:val="002535DA"/>
    <w:rsid w:val="00253708"/>
    <w:rsid w:val="002554A7"/>
    <w:rsid w:val="00257D3A"/>
    <w:rsid w:val="002601DB"/>
    <w:rsid w:val="00261F91"/>
    <w:rsid w:val="00262838"/>
    <w:rsid w:val="00263096"/>
    <w:rsid w:val="00264312"/>
    <w:rsid w:val="00264F64"/>
    <w:rsid w:val="002671AE"/>
    <w:rsid w:val="00267D6E"/>
    <w:rsid w:val="00271282"/>
    <w:rsid w:val="00271714"/>
    <w:rsid w:val="00272388"/>
    <w:rsid w:val="002742EA"/>
    <w:rsid w:val="0027435C"/>
    <w:rsid w:val="00275911"/>
    <w:rsid w:val="0027633D"/>
    <w:rsid w:val="00281396"/>
    <w:rsid w:val="002849DB"/>
    <w:rsid w:val="00286C65"/>
    <w:rsid w:val="00286E76"/>
    <w:rsid w:val="002879C3"/>
    <w:rsid w:val="002902AB"/>
    <w:rsid w:val="00292CA6"/>
    <w:rsid w:val="00292E67"/>
    <w:rsid w:val="002939D8"/>
    <w:rsid w:val="00293C1E"/>
    <w:rsid w:val="0029412C"/>
    <w:rsid w:val="00297842"/>
    <w:rsid w:val="002A285E"/>
    <w:rsid w:val="002A45BD"/>
    <w:rsid w:val="002A5E7C"/>
    <w:rsid w:val="002A6328"/>
    <w:rsid w:val="002B1387"/>
    <w:rsid w:val="002B486A"/>
    <w:rsid w:val="002B4E32"/>
    <w:rsid w:val="002B6A83"/>
    <w:rsid w:val="002C104B"/>
    <w:rsid w:val="002C1F1D"/>
    <w:rsid w:val="002C2DBD"/>
    <w:rsid w:val="002D2812"/>
    <w:rsid w:val="002D3E74"/>
    <w:rsid w:val="002D5B19"/>
    <w:rsid w:val="002D5F14"/>
    <w:rsid w:val="002E06A9"/>
    <w:rsid w:val="002E56FA"/>
    <w:rsid w:val="002E622E"/>
    <w:rsid w:val="002F4BC4"/>
    <w:rsid w:val="002F7FA4"/>
    <w:rsid w:val="003016EC"/>
    <w:rsid w:val="0030536E"/>
    <w:rsid w:val="0030590F"/>
    <w:rsid w:val="0030601B"/>
    <w:rsid w:val="0030637E"/>
    <w:rsid w:val="00306F72"/>
    <w:rsid w:val="00310183"/>
    <w:rsid w:val="00312D6A"/>
    <w:rsid w:val="003134D1"/>
    <w:rsid w:val="00313D03"/>
    <w:rsid w:val="00313D99"/>
    <w:rsid w:val="003148C7"/>
    <w:rsid w:val="00314C39"/>
    <w:rsid w:val="00320A9D"/>
    <w:rsid w:val="00321127"/>
    <w:rsid w:val="003211F3"/>
    <w:rsid w:val="003245DF"/>
    <w:rsid w:val="00324742"/>
    <w:rsid w:val="00327AF0"/>
    <w:rsid w:val="00327F77"/>
    <w:rsid w:val="0033218D"/>
    <w:rsid w:val="00332880"/>
    <w:rsid w:val="003333A9"/>
    <w:rsid w:val="0033352E"/>
    <w:rsid w:val="0033640F"/>
    <w:rsid w:val="003365B7"/>
    <w:rsid w:val="00343AFC"/>
    <w:rsid w:val="00343E2F"/>
    <w:rsid w:val="00350125"/>
    <w:rsid w:val="00350BC5"/>
    <w:rsid w:val="00350E24"/>
    <w:rsid w:val="00351994"/>
    <w:rsid w:val="00351C36"/>
    <w:rsid w:val="00352A18"/>
    <w:rsid w:val="00352D87"/>
    <w:rsid w:val="003532FD"/>
    <w:rsid w:val="00353795"/>
    <w:rsid w:val="003556F4"/>
    <w:rsid w:val="00357293"/>
    <w:rsid w:val="00360185"/>
    <w:rsid w:val="00364F38"/>
    <w:rsid w:val="0036637D"/>
    <w:rsid w:val="003676EA"/>
    <w:rsid w:val="00370B0B"/>
    <w:rsid w:val="00376ED8"/>
    <w:rsid w:val="00381B9F"/>
    <w:rsid w:val="00382A14"/>
    <w:rsid w:val="003838F2"/>
    <w:rsid w:val="00384C6D"/>
    <w:rsid w:val="00385396"/>
    <w:rsid w:val="00386459"/>
    <w:rsid w:val="003909A1"/>
    <w:rsid w:val="00390C5F"/>
    <w:rsid w:val="00394CB6"/>
    <w:rsid w:val="0039539E"/>
    <w:rsid w:val="00395CA6"/>
    <w:rsid w:val="00396799"/>
    <w:rsid w:val="00396C1F"/>
    <w:rsid w:val="0039712D"/>
    <w:rsid w:val="00397795"/>
    <w:rsid w:val="003978BD"/>
    <w:rsid w:val="003A2034"/>
    <w:rsid w:val="003A439C"/>
    <w:rsid w:val="003A58A3"/>
    <w:rsid w:val="003A5EEE"/>
    <w:rsid w:val="003A6F24"/>
    <w:rsid w:val="003A7FBE"/>
    <w:rsid w:val="003B08D4"/>
    <w:rsid w:val="003B2153"/>
    <w:rsid w:val="003B2B06"/>
    <w:rsid w:val="003B557E"/>
    <w:rsid w:val="003B5904"/>
    <w:rsid w:val="003B6DC2"/>
    <w:rsid w:val="003C2D1C"/>
    <w:rsid w:val="003C4017"/>
    <w:rsid w:val="003D0C42"/>
    <w:rsid w:val="003D4BE3"/>
    <w:rsid w:val="003E0A8D"/>
    <w:rsid w:val="003E1630"/>
    <w:rsid w:val="003E55AC"/>
    <w:rsid w:val="003E59D2"/>
    <w:rsid w:val="003F38C1"/>
    <w:rsid w:val="003F3AB4"/>
    <w:rsid w:val="003F6750"/>
    <w:rsid w:val="003F704C"/>
    <w:rsid w:val="004025AE"/>
    <w:rsid w:val="004028C5"/>
    <w:rsid w:val="00405369"/>
    <w:rsid w:val="00407146"/>
    <w:rsid w:val="0040783A"/>
    <w:rsid w:val="0041064D"/>
    <w:rsid w:val="00411241"/>
    <w:rsid w:val="004114A8"/>
    <w:rsid w:val="00412AC5"/>
    <w:rsid w:val="00413FAE"/>
    <w:rsid w:val="00416B84"/>
    <w:rsid w:val="00417684"/>
    <w:rsid w:val="00417A57"/>
    <w:rsid w:val="00420117"/>
    <w:rsid w:val="00421434"/>
    <w:rsid w:val="004215D6"/>
    <w:rsid w:val="00422993"/>
    <w:rsid w:val="0042504F"/>
    <w:rsid w:val="00425E4C"/>
    <w:rsid w:val="00426651"/>
    <w:rsid w:val="00426EC5"/>
    <w:rsid w:val="00426F1D"/>
    <w:rsid w:val="00427201"/>
    <w:rsid w:val="004310D4"/>
    <w:rsid w:val="00432D0C"/>
    <w:rsid w:val="00433302"/>
    <w:rsid w:val="004355A3"/>
    <w:rsid w:val="00444F0A"/>
    <w:rsid w:val="004450BA"/>
    <w:rsid w:val="00446230"/>
    <w:rsid w:val="00446533"/>
    <w:rsid w:val="00446D20"/>
    <w:rsid w:val="0044756E"/>
    <w:rsid w:val="00447C2E"/>
    <w:rsid w:val="004518CF"/>
    <w:rsid w:val="00452A7D"/>
    <w:rsid w:val="004568C5"/>
    <w:rsid w:val="00456B12"/>
    <w:rsid w:val="00460BCC"/>
    <w:rsid w:val="00464D76"/>
    <w:rsid w:val="00465AE0"/>
    <w:rsid w:val="0046612E"/>
    <w:rsid w:val="00466131"/>
    <w:rsid w:val="00473106"/>
    <w:rsid w:val="00475688"/>
    <w:rsid w:val="00476EEA"/>
    <w:rsid w:val="00480694"/>
    <w:rsid w:val="00480F2E"/>
    <w:rsid w:val="004875D4"/>
    <w:rsid w:val="00490321"/>
    <w:rsid w:val="004925A1"/>
    <w:rsid w:val="0049448C"/>
    <w:rsid w:val="004957E5"/>
    <w:rsid w:val="00496D16"/>
    <w:rsid w:val="0049758E"/>
    <w:rsid w:val="004A2FB2"/>
    <w:rsid w:val="004A630A"/>
    <w:rsid w:val="004A64EB"/>
    <w:rsid w:val="004A66C7"/>
    <w:rsid w:val="004A6FBD"/>
    <w:rsid w:val="004A7182"/>
    <w:rsid w:val="004A75DD"/>
    <w:rsid w:val="004B0205"/>
    <w:rsid w:val="004B0DBD"/>
    <w:rsid w:val="004B4A49"/>
    <w:rsid w:val="004B64FC"/>
    <w:rsid w:val="004B6FC7"/>
    <w:rsid w:val="004C0D8F"/>
    <w:rsid w:val="004C11C4"/>
    <w:rsid w:val="004C21F9"/>
    <w:rsid w:val="004C4341"/>
    <w:rsid w:val="004C4ED4"/>
    <w:rsid w:val="004C5BA6"/>
    <w:rsid w:val="004C5BBB"/>
    <w:rsid w:val="004C68A8"/>
    <w:rsid w:val="004C76CB"/>
    <w:rsid w:val="004D05E9"/>
    <w:rsid w:val="004D193E"/>
    <w:rsid w:val="004D2DC4"/>
    <w:rsid w:val="004D3BE4"/>
    <w:rsid w:val="004D4C95"/>
    <w:rsid w:val="004D75BF"/>
    <w:rsid w:val="004E0EA4"/>
    <w:rsid w:val="004E19C5"/>
    <w:rsid w:val="004E19C7"/>
    <w:rsid w:val="004E3074"/>
    <w:rsid w:val="004E5314"/>
    <w:rsid w:val="004E53D9"/>
    <w:rsid w:val="004E6E58"/>
    <w:rsid w:val="004E7A8B"/>
    <w:rsid w:val="004F37B2"/>
    <w:rsid w:val="004F3C3F"/>
    <w:rsid w:val="004F40CE"/>
    <w:rsid w:val="004F4E77"/>
    <w:rsid w:val="004F5213"/>
    <w:rsid w:val="004F5DA8"/>
    <w:rsid w:val="00500490"/>
    <w:rsid w:val="00501F42"/>
    <w:rsid w:val="005020D1"/>
    <w:rsid w:val="005026BD"/>
    <w:rsid w:val="00502A3F"/>
    <w:rsid w:val="00502C91"/>
    <w:rsid w:val="0050449D"/>
    <w:rsid w:val="00506AFB"/>
    <w:rsid w:val="00507C40"/>
    <w:rsid w:val="005105F3"/>
    <w:rsid w:val="00512560"/>
    <w:rsid w:val="005125B1"/>
    <w:rsid w:val="0051324A"/>
    <w:rsid w:val="0051360B"/>
    <w:rsid w:val="00513772"/>
    <w:rsid w:val="00513E03"/>
    <w:rsid w:val="00515FF6"/>
    <w:rsid w:val="005168FB"/>
    <w:rsid w:val="005171E8"/>
    <w:rsid w:val="0052224E"/>
    <w:rsid w:val="005231AB"/>
    <w:rsid w:val="005237FD"/>
    <w:rsid w:val="0052429D"/>
    <w:rsid w:val="00524C55"/>
    <w:rsid w:val="005262BF"/>
    <w:rsid w:val="00527256"/>
    <w:rsid w:val="00527C34"/>
    <w:rsid w:val="005300CA"/>
    <w:rsid w:val="00530904"/>
    <w:rsid w:val="0053181A"/>
    <w:rsid w:val="005332BA"/>
    <w:rsid w:val="00535C80"/>
    <w:rsid w:val="005366CD"/>
    <w:rsid w:val="00540EEA"/>
    <w:rsid w:val="00542A1C"/>
    <w:rsid w:val="005455CB"/>
    <w:rsid w:val="00546AC3"/>
    <w:rsid w:val="00547CAF"/>
    <w:rsid w:val="0055191B"/>
    <w:rsid w:val="005520D2"/>
    <w:rsid w:val="005522DE"/>
    <w:rsid w:val="0055286B"/>
    <w:rsid w:val="00554FDC"/>
    <w:rsid w:val="00556158"/>
    <w:rsid w:val="00557C4F"/>
    <w:rsid w:val="005600EA"/>
    <w:rsid w:val="00562D81"/>
    <w:rsid w:val="0056445B"/>
    <w:rsid w:val="00564A03"/>
    <w:rsid w:val="00570159"/>
    <w:rsid w:val="00570421"/>
    <w:rsid w:val="00571BD9"/>
    <w:rsid w:val="00571E2F"/>
    <w:rsid w:val="00573128"/>
    <w:rsid w:val="00574EF0"/>
    <w:rsid w:val="00575EE0"/>
    <w:rsid w:val="00576C43"/>
    <w:rsid w:val="0057709C"/>
    <w:rsid w:val="00577F77"/>
    <w:rsid w:val="0058070C"/>
    <w:rsid w:val="00580CD3"/>
    <w:rsid w:val="00581086"/>
    <w:rsid w:val="005821F2"/>
    <w:rsid w:val="00585002"/>
    <w:rsid w:val="00585EF5"/>
    <w:rsid w:val="00585F6B"/>
    <w:rsid w:val="00587BD7"/>
    <w:rsid w:val="0059038A"/>
    <w:rsid w:val="00591E19"/>
    <w:rsid w:val="00591EB9"/>
    <w:rsid w:val="0059416E"/>
    <w:rsid w:val="00595502"/>
    <w:rsid w:val="005961C5"/>
    <w:rsid w:val="00596604"/>
    <w:rsid w:val="00597FFA"/>
    <w:rsid w:val="005A3F1C"/>
    <w:rsid w:val="005A4F3E"/>
    <w:rsid w:val="005A6B66"/>
    <w:rsid w:val="005A6C9E"/>
    <w:rsid w:val="005A6EFA"/>
    <w:rsid w:val="005B1424"/>
    <w:rsid w:val="005B184C"/>
    <w:rsid w:val="005B38CA"/>
    <w:rsid w:val="005B7ECC"/>
    <w:rsid w:val="005C04E7"/>
    <w:rsid w:val="005C19C8"/>
    <w:rsid w:val="005C3143"/>
    <w:rsid w:val="005C3F92"/>
    <w:rsid w:val="005C5D2A"/>
    <w:rsid w:val="005C6C2A"/>
    <w:rsid w:val="005C7AAE"/>
    <w:rsid w:val="005D06EA"/>
    <w:rsid w:val="005D19F3"/>
    <w:rsid w:val="005D3B00"/>
    <w:rsid w:val="005D3E05"/>
    <w:rsid w:val="005D3E51"/>
    <w:rsid w:val="005D50A4"/>
    <w:rsid w:val="005D55EB"/>
    <w:rsid w:val="005D5748"/>
    <w:rsid w:val="005D5DDA"/>
    <w:rsid w:val="005D7EEC"/>
    <w:rsid w:val="005E210B"/>
    <w:rsid w:val="005E229B"/>
    <w:rsid w:val="005E22AF"/>
    <w:rsid w:val="005E2D85"/>
    <w:rsid w:val="005E3D8B"/>
    <w:rsid w:val="005E7720"/>
    <w:rsid w:val="005F0844"/>
    <w:rsid w:val="005F1C1D"/>
    <w:rsid w:val="005F1D64"/>
    <w:rsid w:val="005F26F3"/>
    <w:rsid w:val="005F3AF4"/>
    <w:rsid w:val="005F606B"/>
    <w:rsid w:val="0060149C"/>
    <w:rsid w:val="00602F71"/>
    <w:rsid w:val="006031D9"/>
    <w:rsid w:val="00604FD8"/>
    <w:rsid w:val="0060532E"/>
    <w:rsid w:val="00607094"/>
    <w:rsid w:val="0060788C"/>
    <w:rsid w:val="0061056F"/>
    <w:rsid w:val="00610895"/>
    <w:rsid w:val="00611A79"/>
    <w:rsid w:val="00613A2B"/>
    <w:rsid w:val="006141C1"/>
    <w:rsid w:val="00615FC4"/>
    <w:rsid w:val="0062245D"/>
    <w:rsid w:val="00623888"/>
    <w:rsid w:val="006264B6"/>
    <w:rsid w:val="0063127A"/>
    <w:rsid w:val="0063490F"/>
    <w:rsid w:val="00634AB5"/>
    <w:rsid w:val="006355FB"/>
    <w:rsid w:val="00636327"/>
    <w:rsid w:val="006363FA"/>
    <w:rsid w:val="00643741"/>
    <w:rsid w:val="006443EA"/>
    <w:rsid w:val="00644C52"/>
    <w:rsid w:val="00644D76"/>
    <w:rsid w:val="00646054"/>
    <w:rsid w:val="006465C2"/>
    <w:rsid w:val="0065063F"/>
    <w:rsid w:val="00650B48"/>
    <w:rsid w:val="00651C72"/>
    <w:rsid w:val="0065342E"/>
    <w:rsid w:val="00655037"/>
    <w:rsid w:val="00656311"/>
    <w:rsid w:val="006605DE"/>
    <w:rsid w:val="00663FC1"/>
    <w:rsid w:val="006642FA"/>
    <w:rsid w:val="00664B57"/>
    <w:rsid w:val="00666CDA"/>
    <w:rsid w:val="00667991"/>
    <w:rsid w:val="00673B4B"/>
    <w:rsid w:val="00673DA2"/>
    <w:rsid w:val="006810E5"/>
    <w:rsid w:val="006846BE"/>
    <w:rsid w:val="00687BCD"/>
    <w:rsid w:val="0069025A"/>
    <w:rsid w:val="00690DDB"/>
    <w:rsid w:val="0069169A"/>
    <w:rsid w:val="006926CA"/>
    <w:rsid w:val="00693DE2"/>
    <w:rsid w:val="00693E29"/>
    <w:rsid w:val="006A0B19"/>
    <w:rsid w:val="006A1039"/>
    <w:rsid w:val="006A3111"/>
    <w:rsid w:val="006A4C0C"/>
    <w:rsid w:val="006A58AE"/>
    <w:rsid w:val="006A5F35"/>
    <w:rsid w:val="006B0E9F"/>
    <w:rsid w:val="006B7253"/>
    <w:rsid w:val="006C202A"/>
    <w:rsid w:val="006C3AF3"/>
    <w:rsid w:val="006C47F4"/>
    <w:rsid w:val="006C51AD"/>
    <w:rsid w:val="006C5B04"/>
    <w:rsid w:val="006C5CDE"/>
    <w:rsid w:val="006C625E"/>
    <w:rsid w:val="006C6447"/>
    <w:rsid w:val="006C650D"/>
    <w:rsid w:val="006C65B9"/>
    <w:rsid w:val="006C7BB4"/>
    <w:rsid w:val="006C7E1D"/>
    <w:rsid w:val="006D09CE"/>
    <w:rsid w:val="006D1599"/>
    <w:rsid w:val="006D1E24"/>
    <w:rsid w:val="006D318D"/>
    <w:rsid w:val="006D3EFB"/>
    <w:rsid w:val="006D575C"/>
    <w:rsid w:val="006E00ED"/>
    <w:rsid w:val="006E4D10"/>
    <w:rsid w:val="006E4F12"/>
    <w:rsid w:val="006E76AF"/>
    <w:rsid w:val="006F120E"/>
    <w:rsid w:val="006F2568"/>
    <w:rsid w:val="006F2D25"/>
    <w:rsid w:val="006F35BC"/>
    <w:rsid w:val="006F36FF"/>
    <w:rsid w:val="006F5AB6"/>
    <w:rsid w:val="006F6A52"/>
    <w:rsid w:val="007006D0"/>
    <w:rsid w:val="00701EAD"/>
    <w:rsid w:val="00702A7C"/>
    <w:rsid w:val="007034BF"/>
    <w:rsid w:val="007047AC"/>
    <w:rsid w:val="007049E9"/>
    <w:rsid w:val="0070636F"/>
    <w:rsid w:val="0070701D"/>
    <w:rsid w:val="00710342"/>
    <w:rsid w:val="00710486"/>
    <w:rsid w:val="00712E6C"/>
    <w:rsid w:val="00713A52"/>
    <w:rsid w:val="00715F00"/>
    <w:rsid w:val="00715FF6"/>
    <w:rsid w:val="00716D8D"/>
    <w:rsid w:val="007172CE"/>
    <w:rsid w:val="0072089C"/>
    <w:rsid w:val="00721018"/>
    <w:rsid w:val="00721382"/>
    <w:rsid w:val="0072324F"/>
    <w:rsid w:val="00723718"/>
    <w:rsid w:val="00724786"/>
    <w:rsid w:val="0072483F"/>
    <w:rsid w:val="00724A5D"/>
    <w:rsid w:val="00727CB8"/>
    <w:rsid w:val="00731CDF"/>
    <w:rsid w:val="007334E1"/>
    <w:rsid w:val="00735C4F"/>
    <w:rsid w:val="007400AD"/>
    <w:rsid w:val="00743205"/>
    <w:rsid w:val="007438EF"/>
    <w:rsid w:val="007476A0"/>
    <w:rsid w:val="00751E5D"/>
    <w:rsid w:val="007527D6"/>
    <w:rsid w:val="007543B8"/>
    <w:rsid w:val="00754607"/>
    <w:rsid w:val="007548BE"/>
    <w:rsid w:val="00754D28"/>
    <w:rsid w:val="0075604B"/>
    <w:rsid w:val="0075660B"/>
    <w:rsid w:val="00761196"/>
    <w:rsid w:val="0076185E"/>
    <w:rsid w:val="007633B3"/>
    <w:rsid w:val="00764024"/>
    <w:rsid w:val="00764478"/>
    <w:rsid w:val="007644AC"/>
    <w:rsid w:val="0076568E"/>
    <w:rsid w:val="00766146"/>
    <w:rsid w:val="00770779"/>
    <w:rsid w:val="00772236"/>
    <w:rsid w:val="00774688"/>
    <w:rsid w:val="00775AF6"/>
    <w:rsid w:val="00776BB7"/>
    <w:rsid w:val="0078234B"/>
    <w:rsid w:val="00782AE9"/>
    <w:rsid w:val="00783732"/>
    <w:rsid w:val="00783AEA"/>
    <w:rsid w:val="00785AEC"/>
    <w:rsid w:val="0078730D"/>
    <w:rsid w:val="007921AD"/>
    <w:rsid w:val="0079407B"/>
    <w:rsid w:val="007A0B2B"/>
    <w:rsid w:val="007A19D2"/>
    <w:rsid w:val="007A3D96"/>
    <w:rsid w:val="007A5E04"/>
    <w:rsid w:val="007A649A"/>
    <w:rsid w:val="007A7D27"/>
    <w:rsid w:val="007B0286"/>
    <w:rsid w:val="007B0ACD"/>
    <w:rsid w:val="007B0C1B"/>
    <w:rsid w:val="007B3934"/>
    <w:rsid w:val="007B584D"/>
    <w:rsid w:val="007B60C4"/>
    <w:rsid w:val="007C16E1"/>
    <w:rsid w:val="007C2CDC"/>
    <w:rsid w:val="007C2FF3"/>
    <w:rsid w:val="007C614A"/>
    <w:rsid w:val="007C69AD"/>
    <w:rsid w:val="007C78FB"/>
    <w:rsid w:val="007D05E3"/>
    <w:rsid w:val="007D1DE1"/>
    <w:rsid w:val="007D2DFC"/>
    <w:rsid w:val="007D3438"/>
    <w:rsid w:val="007D673B"/>
    <w:rsid w:val="007D6FDF"/>
    <w:rsid w:val="007E1B15"/>
    <w:rsid w:val="007E1C2F"/>
    <w:rsid w:val="007E22B5"/>
    <w:rsid w:val="007E2D11"/>
    <w:rsid w:val="007E3FA1"/>
    <w:rsid w:val="007E4420"/>
    <w:rsid w:val="007E44DF"/>
    <w:rsid w:val="007F00AB"/>
    <w:rsid w:val="007F0A16"/>
    <w:rsid w:val="007F0E94"/>
    <w:rsid w:val="007F4DA2"/>
    <w:rsid w:val="007F5024"/>
    <w:rsid w:val="007F7419"/>
    <w:rsid w:val="007F7EAA"/>
    <w:rsid w:val="00802F29"/>
    <w:rsid w:val="00802F8E"/>
    <w:rsid w:val="00802F96"/>
    <w:rsid w:val="0080692C"/>
    <w:rsid w:val="00806D45"/>
    <w:rsid w:val="00814B18"/>
    <w:rsid w:val="0082019D"/>
    <w:rsid w:val="0082031A"/>
    <w:rsid w:val="008217F9"/>
    <w:rsid w:val="00821E3B"/>
    <w:rsid w:val="0082217D"/>
    <w:rsid w:val="008235C8"/>
    <w:rsid w:val="00825F48"/>
    <w:rsid w:val="00831365"/>
    <w:rsid w:val="00831D1A"/>
    <w:rsid w:val="008328ED"/>
    <w:rsid w:val="0083360F"/>
    <w:rsid w:val="008346EA"/>
    <w:rsid w:val="00834993"/>
    <w:rsid w:val="00834F46"/>
    <w:rsid w:val="00835064"/>
    <w:rsid w:val="0083522C"/>
    <w:rsid w:val="0084067E"/>
    <w:rsid w:val="0084394A"/>
    <w:rsid w:val="00844C62"/>
    <w:rsid w:val="00846C16"/>
    <w:rsid w:val="008503A3"/>
    <w:rsid w:val="00851FBE"/>
    <w:rsid w:val="00852430"/>
    <w:rsid w:val="00852618"/>
    <w:rsid w:val="0085316A"/>
    <w:rsid w:val="00854CDC"/>
    <w:rsid w:val="00855D98"/>
    <w:rsid w:val="0085677A"/>
    <w:rsid w:val="00857871"/>
    <w:rsid w:val="00861544"/>
    <w:rsid w:val="008623D6"/>
    <w:rsid w:val="00862545"/>
    <w:rsid w:val="00862D22"/>
    <w:rsid w:val="008641D8"/>
    <w:rsid w:val="0086647E"/>
    <w:rsid w:val="008718E8"/>
    <w:rsid w:val="008723C8"/>
    <w:rsid w:val="008725FC"/>
    <w:rsid w:val="0087294B"/>
    <w:rsid w:val="00872E6F"/>
    <w:rsid w:val="00874C46"/>
    <w:rsid w:val="00875DBD"/>
    <w:rsid w:val="00875E79"/>
    <w:rsid w:val="00876951"/>
    <w:rsid w:val="008777C9"/>
    <w:rsid w:val="008813EE"/>
    <w:rsid w:val="008820E6"/>
    <w:rsid w:val="0088323F"/>
    <w:rsid w:val="0088364D"/>
    <w:rsid w:val="008846C4"/>
    <w:rsid w:val="00884E1E"/>
    <w:rsid w:val="00891285"/>
    <w:rsid w:val="00891940"/>
    <w:rsid w:val="00891A48"/>
    <w:rsid w:val="00892FEF"/>
    <w:rsid w:val="00893959"/>
    <w:rsid w:val="00893B7E"/>
    <w:rsid w:val="0089622D"/>
    <w:rsid w:val="008A095C"/>
    <w:rsid w:val="008A2BD0"/>
    <w:rsid w:val="008A37B1"/>
    <w:rsid w:val="008A3EF0"/>
    <w:rsid w:val="008A60C2"/>
    <w:rsid w:val="008A6C00"/>
    <w:rsid w:val="008A6C01"/>
    <w:rsid w:val="008B127E"/>
    <w:rsid w:val="008B268F"/>
    <w:rsid w:val="008B51B3"/>
    <w:rsid w:val="008B5DF5"/>
    <w:rsid w:val="008B7602"/>
    <w:rsid w:val="008C104D"/>
    <w:rsid w:val="008C36E1"/>
    <w:rsid w:val="008C51B1"/>
    <w:rsid w:val="008C5C1D"/>
    <w:rsid w:val="008D4837"/>
    <w:rsid w:val="008D4E2E"/>
    <w:rsid w:val="008D59D1"/>
    <w:rsid w:val="008D5E3E"/>
    <w:rsid w:val="008E0013"/>
    <w:rsid w:val="008E04E0"/>
    <w:rsid w:val="008E44CE"/>
    <w:rsid w:val="008E7081"/>
    <w:rsid w:val="008E79B4"/>
    <w:rsid w:val="008E7D36"/>
    <w:rsid w:val="008F02E2"/>
    <w:rsid w:val="008F0709"/>
    <w:rsid w:val="008F2933"/>
    <w:rsid w:val="008F2B70"/>
    <w:rsid w:val="008F36C0"/>
    <w:rsid w:val="008F3E2F"/>
    <w:rsid w:val="008F7A15"/>
    <w:rsid w:val="009008A3"/>
    <w:rsid w:val="00902FAA"/>
    <w:rsid w:val="00907C13"/>
    <w:rsid w:val="009133DA"/>
    <w:rsid w:val="00914A9C"/>
    <w:rsid w:val="009157B4"/>
    <w:rsid w:val="00917F56"/>
    <w:rsid w:val="00921EF4"/>
    <w:rsid w:val="009222EB"/>
    <w:rsid w:val="00922D2B"/>
    <w:rsid w:val="009241E6"/>
    <w:rsid w:val="009335C3"/>
    <w:rsid w:val="00935004"/>
    <w:rsid w:val="00935031"/>
    <w:rsid w:val="009357DA"/>
    <w:rsid w:val="00935970"/>
    <w:rsid w:val="0093604F"/>
    <w:rsid w:val="009376FC"/>
    <w:rsid w:val="00937976"/>
    <w:rsid w:val="00937A1A"/>
    <w:rsid w:val="009409A9"/>
    <w:rsid w:val="00941938"/>
    <w:rsid w:val="00944C5A"/>
    <w:rsid w:val="00946A22"/>
    <w:rsid w:val="00950D93"/>
    <w:rsid w:val="00953997"/>
    <w:rsid w:val="00953AD7"/>
    <w:rsid w:val="00954962"/>
    <w:rsid w:val="00957573"/>
    <w:rsid w:val="0096009E"/>
    <w:rsid w:val="00962CD2"/>
    <w:rsid w:val="00964AE4"/>
    <w:rsid w:val="00966595"/>
    <w:rsid w:val="00971909"/>
    <w:rsid w:val="00971B7D"/>
    <w:rsid w:val="00973088"/>
    <w:rsid w:val="00973BCB"/>
    <w:rsid w:val="0097520D"/>
    <w:rsid w:val="00975792"/>
    <w:rsid w:val="00977E42"/>
    <w:rsid w:val="009807B0"/>
    <w:rsid w:val="009809D2"/>
    <w:rsid w:val="00980CA8"/>
    <w:rsid w:val="009811DF"/>
    <w:rsid w:val="00981683"/>
    <w:rsid w:val="009823E7"/>
    <w:rsid w:val="009845B8"/>
    <w:rsid w:val="0098525C"/>
    <w:rsid w:val="0098634C"/>
    <w:rsid w:val="00986CCE"/>
    <w:rsid w:val="009873BA"/>
    <w:rsid w:val="00987600"/>
    <w:rsid w:val="00991F83"/>
    <w:rsid w:val="00992022"/>
    <w:rsid w:val="00992EDD"/>
    <w:rsid w:val="00993334"/>
    <w:rsid w:val="009946E7"/>
    <w:rsid w:val="0099767C"/>
    <w:rsid w:val="009A1627"/>
    <w:rsid w:val="009A2902"/>
    <w:rsid w:val="009A2CA0"/>
    <w:rsid w:val="009A3030"/>
    <w:rsid w:val="009A4FA7"/>
    <w:rsid w:val="009B0BD0"/>
    <w:rsid w:val="009B3E78"/>
    <w:rsid w:val="009B5A80"/>
    <w:rsid w:val="009B67F4"/>
    <w:rsid w:val="009B7A3F"/>
    <w:rsid w:val="009B7C00"/>
    <w:rsid w:val="009C04BF"/>
    <w:rsid w:val="009C0716"/>
    <w:rsid w:val="009C089B"/>
    <w:rsid w:val="009C1BED"/>
    <w:rsid w:val="009C4BA4"/>
    <w:rsid w:val="009C5A57"/>
    <w:rsid w:val="009C64BD"/>
    <w:rsid w:val="009C6C8B"/>
    <w:rsid w:val="009D0C46"/>
    <w:rsid w:val="009D1AC8"/>
    <w:rsid w:val="009D1EE8"/>
    <w:rsid w:val="009D21E9"/>
    <w:rsid w:val="009D32D5"/>
    <w:rsid w:val="009D4234"/>
    <w:rsid w:val="009D481C"/>
    <w:rsid w:val="009D5C9D"/>
    <w:rsid w:val="009D6181"/>
    <w:rsid w:val="009D6F13"/>
    <w:rsid w:val="009D6FE5"/>
    <w:rsid w:val="009D76B7"/>
    <w:rsid w:val="009E176C"/>
    <w:rsid w:val="009E1BE8"/>
    <w:rsid w:val="009E1CD6"/>
    <w:rsid w:val="009E41EC"/>
    <w:rsid w:val="009E47CE"/>
    <w:rsid w:val="009E551A"/>
    <w:rsid w:val="009E5D67"/>
    <w:rsid w:val="009E6275"/>
    <w:rsid w:val="009E668A"/>
    <w:rsid w:val="009E74E9"/>
    <w:rsid w:val="009F5717"/>
    <w:rsid w:val="009F5C31"/>
    <w:rsid w:val="009F6703"/>
    <w:rsid w:val="009F6DE7"/>
    <w:rsid w:val="00A00590"/>
    <w:rsid w:val="00A00CF5"/>
    <w:rsid w:val="00A0163E"/>
    <w:rsid w:val="00A022BC"/>
    <w:rsid w:val="00A029A6"/>
    <w:rsid w:val="00A02E26"/>
    <w:rsid w:val="00A051FE"/>
    <w:rsid w:val="00A06E16"/>
    <w:rsid w:val="00A148A6"/>
    <w:rsid w:val="00A14D9D"/>
    <w:rsid w:val="00A14FF9"/>
    <w:rsid w:val="00A1573C"/>
    <w:rsid w:val="00A16C13"/>
    <w:rsid w:val="00A20E93"/>
    <w:rsid w:val="00A21597"/>
    <w:rsid w:val="00A21D1D"/>
    <w:rsid w:val="00A224E7"/>
    <w:rsid w:val="00A23DAD"/>
    <w:rsid w:val="00A24E42"/>
    <w:rsid w:val="00A2664D"/>
    <w:rsid w:val="00A31AD1"/>
    <w:rsid w:val="00A33761"/>
    <w:rsid w:val="00A33D53"/>
    <w:rsid w:val="00A3460D"/>
    <w:rsid w:val="00A36F1C"/>
    <w:rsid w:val="00A3756D"/>
    <w:rsid w:val="00A42010"/>
    <w:rsid w:val="00A42EEF"/>
    <w:rsid w:val="00A440FF"/>
    <w:rsid w:val="00A44C39"/>
    <w:rsid w:val="00A47700"/>
    <w:rsid w:val="00A47C8D"/>
    <w:rsid w:val="00A5007A"/>
    <w:rsid w:val="00A55851"/>
    <w:rsid w:val="00A55B4F"/>
    <w:rsid w:val="00A5624B"/>
    <w:rsid w:val="00A6284D"/>
    <w:rsid w:val="00A643D5"/>
    <w:rsid w:val="00A66BE6"/>
    <w:rsid w:val="00A70F19"/>
    <w:rsid w:val="00A713E1"/>
    <w:rsid w:val="00A72D3D"/>
    <w:rsid w:val="00A730AB"/>
    <w:rsid w:val="00A742EC"/>
    <w:rsid w:val="00A75554"/>
    <w:rsid w:val="00A768B5"/>
    <w:rsid w:val="00A76B55"/>
    <w:rsid w:val="00A770B6"/>
    <w:rsid w:val="00A810A1"/>
    <w:rsid w:val="00A835E3"/>
    <w:rsid w:val="00A859F5"/>
    <w:rsid w:val="00A86597"/>
    <w:rsid w:val="00A86A9A"/>
    <w:rsid w:val="00A90077"/>
    <w:rsid w:val="00A91CDE"/>
    <w:rsid w:val="00A92221"/>
    <w:rsid w:val="00A93066"/>
    <w:rsid w:val="00A94B00"/>
    <w:rsid w:val="00A97FB9"/>
    <w:rsid w:val="00AA0ED1"/>
    <w:rsid w:val="00AA1991"/>
    <w:rsid w:val="00AA1D61"/>
    <w:rsid w:val="00AA5807"/>
    <w:rsid w:val="00AB0E21"/>
    <w:rsid w:val="00AB376D"/>
    <w:rsid w:val="00AB712E"/>
    <w:rsid w:val="00AB76C8"/>
    <w:rsid w:val="00AC173B"/>
    <w:rsid w:val="00AC352F"/>
    <w:rsid w:val="00AC5A36"/>
    <w:rsid w:val="00AC6208"/>
    <w:rsid w:val="00AC69C3"/>
    <w:rsid w:val="00AD0BC8"/>
    <w:rsid w:val="00AD16B1"/>
    <w:rsid w:val="00AD279D"/>
    <w:rsid w:val="00AD2C84"/>
    <w:rsid w:val="00AD452E"/>
    <w:rsid w:val="00AD4E48"/>
    <w:rsid w:val="00AD6C67"/>
    <w:rsid w:val="00AE158B"/>
    <w:rsid w:val="00AE2AAF"/>
    <w:rsid w:val="00AE2C11"/>
    <w:rsid w:val="00AE2CF4"/>
    <w:rsid w:val="00AF179F"/>
    <w:rsid w:val="00AF1B1B"/>
    <w:rsid w:val="00AF1EE7"/>
    <w:rsid w:val="00AF3814"/>
    <w:rsid w:val="00AF42CF"/>
    <w:rsid w:val="00AF44D8"/>
    <w:rsid w:val="00AF4EB8"/>
    <w:rsid w:val="00AF5684"/>
    <w:rsid w:val="00AF5AEF"/>
    <w:rsid w:val="00AF6F70"/>
    <w:rsid w:val="00AF765A"/>
    <w:rsid w:val="00B020B2"/>
    <w:rsid w:val="00B04667"/>
    <w:rsid w:val="00B110DA"/>
    <w:rsid w:val="00B11EFE"/>
    <w:rsid w:val="00B1510F"/>
    <w:rsid w:val="00B15A2C"/>
    <w:rsid w:val="00B16E66"/>
    <w:rsid w:val="00B22869"/>
    <w:rsid w:val="00B24D17"/>
    <w:rsid w:val="00B26B8E"/>
    <w:rsid w:val="00B31440"/>
    <w:rsid w:val="00B332B2"/>
    <w:rsid w:val="00B3570F"/>
    <w:rsid w:val="00B36C59"/>
    <w:rsid w:val="00B40076"/>
    <w:rsid w:val="00B40E28"/>
    <w:rsid w:val="00B41B35"/>
    <w:rsid w:val="00B42A27"/>
    <w:rsid w:val="00B43374"/>
    <w:rsid w:val="00B4582D"/>
    <w:rsid w:val="00B4715D"/>
    <w:rsid w:val="00B5019D"/>
    <w:rsid w:val="00B51252"/>
    <w:rsid w:val="00B51276"/>
    <w:rsid w:val="00B52BB6"/>
    <w:rsid w:val="00B54C67"/>
    <w:rsid w:val="00B55407"/>
    <w:rsid w:val="00B57CED"/>
    <w:rsid w:val="00B601F3"/>
    <w:rsid w:val="00B635A4"/>
    <w:rsid w:val="00B65CDB"/>
    <w:rsid w:val="00B6620E"/>
    <w:rsid w:val="00B674E6"/>
    <w:rsid w:val="00B74BCE"/>
    <w:rsid w:val="00B7664A"/>
    <w:rsid w:val="00B77EAC"/>
    <w:rsid w:val="00B8050D"/>
    <w:rsid w:val="00B827E8"/>
    <w:rsid w:val="00B82B29"/>
    <w:rsid w:val="00B84533"/>
    <w:rsid w:val="00B854F0"/>
    <w:rsid w:val="00B85C31"/>
    <w:rsid w:val="00B8757F"/>
    <w:rsid w:val="00B9162F"/>
    <w:rsid w:val="00B9211E"/>
    <w:rsid w:val="00B95116"/>
    <w:rsid w:val="00B962DB"/>
    <w:rsid w:val="00B9642A"/>
    <w:rsid w:val="00B96956"/>
    <w:rsid w:val="00B969A9"/>
    <w:rsid w:val="00B96D1C"/>
    <w:rsid w:val="00B9742F"/>
    <w:rsid w:val="00BA04D9"/>
    <w:rsid w:val="00BA2299"/>
    <w:rsid w:val="00BB042C"/>
    <w:rsid w:val="00BB0D53"/>
    <w:rsid w:val="00BB2891"/>
    <w:rsid w:val="00BB44CE"/>
    <w:rsid w:val="00BB47FF"/>
    <w:rsid w:val="00BB4FED"/>
    <w:rsid w:val="00BB6348"/>
    <w:rsid w:val="00BB7526"/>
    <w:rsid w:val="00BC3CF3"/>
    <w:rsid w:val="00BC6403"/>
    <w:rsid w:val="00BC7407"/>
    <w:rsid w:val="00BD3845"/>
    <w:rsid w:val="00BD4EF8"/>
    <w:rsid w:val="00BD695A"/>
    <w:rsid w:val="00BD6A53"/>
    <w:rsid w:val="00BD6FEE"/>
    <w:rsid w:val="00BD708B"/>
    <w:rsid w:val="00BD7818"/>
    <w:rsid w:val="00BD7C76"/>
    <w:rsid w:val="00BE05D5"/>
    <w:rsid w:val="00BE1DD8"/>
    <w:rsid w:val="00BE46C0"/>
    <w:rsid w:val="00BE7275"/>
    <w:rsid w:val="00BE733A"/>
    <w:rsid w:val="00BE7DF4"/>
    <w:rsid w:val="00BF5DC4"/>
    <w:rsid w:val="00BF660E"/>
    <w:rsid w:val="00BF7C7C"/>
    <w:rsid w:val="00C01343"/>
    <w:rsid w:val="00C02063"/>
    <w:rsid w:val="00C0237B"/>
    <w:rsid w:val="00C05047"/>
    <w:rsid w:val="00C11A2E"/>
    <w:rsid w:val="00C11C40"/>
    <w:rsid w:val="00C129CC"/>
    <w:rsid w:val="00C13E36"/>
    <w:rsid w:val="00C15EC4"/>
    <w:rsid w:val="00C202ED"/>
    <w:rsid w:val="00C20F23"/>
    <w:rsid w:val="00C217B0"/>
    <w:rsid w:val="00C23057"/>
    <w:rsid w:val="00C2319C"/>
    <w:rsid w:val="00C251FB"/>
    <w:rsid w:val="00C25AD6"/>
    <w:rsid w:val="00C30EB3"/>
    <w:rsid w:val="00C31E6F"/>
    <w:rsid w:val="00C3379D"/>
    <w:rsid w:val="00C339CD"/>
    <w:rsid w:val="00C33CF1"/>
    <w:rsid w:val="00C368E9"/>
    <w:rsid w:val="00C4108D"/>
    <w:rsid w:val="00C41856"/>
    <w:rsid w:val="00C4697A"/>
    <w:rsid w:val="00C46FA6"/>
    <w:rsid w:val="00C47869"/>
    <w:rsid w:val="00C50A0E"/>
    <w:rsid w:val="00C51495"/>
    <w:rsid w:val="00C5330F"/>
    <w:rsid w:val="00C53871"/>
    <w:rsid w:val="00C542AF"/>
    <w:rsid w:val="00C54875"/>
    <w:rsid w:val="00C54A89"/>
    <w:rsid w:val="00C54D36"/>
    <w:rsid w:val="00C553F0"/>
    <w:rsid w:val="00C57484"/>
    <w:rsid w:val="00C607A9"/>
    <w:rsid w:val="00C65160"/>
    <w:rsid w:val="00C65854"/>
    <w:rsid w:val="00C66F3C"/>
    <w:rsid w:val="00C67D34"/>
    <w:rsid w:val="00C67D9D"/>
    <w:rsid w:val="00C70260"/>
    <w:rsid w:val="00C703B1"/>
    <w:rsid w:val="00C75245"/>
    <w:rsid w:val="00C754F0"/>
    <w:rsid w:val="00C766C2"/>
    <w:rsid w:val="00C768C5"/>
    <w:rsid w:val="00C76982"/>
    <w:rsid w:val="00C76ED9"/>
    <w:rsid w:val="00C80C88"/>
    <w:rsid w:val="00C81151"/>
    <w:rsid w:val="00C81480"/>
    <w:rsid w:val="00C8229F"/>
    <w:rsid w:val="00C82542"/>
    <w:rsid w:val="00C827E1"/>
    <w:rsid w:val="00C83FE2"/>
    <w:rsid w:val="00C868A6"/>
    <w:rsid w:val="00C877E8"/>
    <w:rsid w:val="00C9304A"/>
    <w:rsid w:val="00C97A42"/>
    <w:rsid w:val="00CA2C3C"/>
    <w:rsid w:val="00CA3AA3"/>
    <w:rsid w:val="00CA4018"/>
    <w:rsid w:val="00CA41F0"/>
    <w:rsid w:val="00CA58A9"/>
    <w:rsid w:val="00CA6815"/>
    <w:rsid w:val="00CA7973"/>
    <w:rsid w:val="00CB0116"/>
    <w:rsid w:val="00CB099A"/>
    <w:rsid w:val="00CB135D"/>
    <w:rsid w:val="00CB45BF"/>
    <w:rsid w:val="00CB732E"/>
    <w:rsid w:val="00CC0B72"/>
    <w:rsid w:val="00CC10E1"/>
    <w:rsid w:val="00CC124C"/>
    <w:rsid w:val="00CC29AE"/>
    <w:rsid w:val="00CC4883"/>
    <w:rsid w:val="00CC5C25"/>
    <w:rsid w:val="00CC685A"/>
    <w:rsid w:val="00CC69A8"/>
    <w:rsid w:val="00CC6D2F"/>
    <w:rsid w:val="00CC6D65"/>
    <w:rsid w:val="00CC7583"/>
    <w:rsid w:val="00CC76DD"/>
    <w:rsid w:val="00CD332C"/>
    <w:rsid w:val="00CD35F8"/>
    <w:rsid w:val="00CD3E29"/>
    <w:rsid w:val="00CD60D4"/>
    <w:rsid w:val="00CD67D1"/>
    <w:rsid w:val="00CD690C"/>
    <w:rsid w:val="00CD775B"/>
    <w:rsid w:val="00CE18D7"/>
    <w:rsid w:val="00CE25F5"/>
    <w:rsid w:val="00CE4551"/>
    <w:rsid w:val="00CF3726"/>
    <w:rsid w:val="00CF4C13"/>
    <w:rsid w:val="00CF502D"/>
    <w:rsid w:val="00CF5C3C"/>
    <w:rsid w:val="00CF6CA2"/>
    <w:rsid w:val="00CF7DDD"/>
    <w:rsid w:val="00D02F75"/>
    <w:rsid w:val="00D0354E"/>
    <w:rsid w:val="00D04EFB"/>
    <w:rsid w:val="00D072EA"/>
    <w:rsid w:val="00D113D5"/>
    <w:rsid w:val="00D13A15"/>
    <w:rsid w:val="00D13ED7"/>
    <w:rsid w:val="00D15941"/>
    <w:rsid w:val="00D20C52"/>
    <w:rsid w:val="00D2323F"/>
    <w:rsid w:val="00D25321"/>
    <w:rsid w:val="00D25E6A"/>
    <w:rsid w:val="00D26E24"/>
    <w:rsid w:val="00D26F5E"/>
    <w:rsid w:val="00D31CD5"/>
    <w:rsid w:val="00D32C1B"/>
    <w:rsid w:val="00D33016"/>
    <w:rsid w:val="00D3731A"/>
    <w:rsid w:val="00D4196E"/>
    <w:rsid w:val="00D438D5"/>
    <w:rsid w:val="00D4644C"/>
    <w:rsid w:val="00D46DD1"/>
    <w:rsid w:val="00D46E89"/>
    <w:rsid w:val="00D50341"/>
    <w:rsid w:val="00D5304A"/>
    <w:rsid w:val="00D54A07"/>
    <w:rsid w:val="00D55AF8"/>
    <w:rsid w:val="00D561C5"/>
    <w:rsid w:val="00D5710C"/>
    <w:rsid w:val="00D57406"/>
    <w:rsid w:val="00D57451"/>
    <w:rsid w:val="00D60487"/>
    <w:rsid w:val="00D6087F"/>
    <w:rsid w:val="00D61EDA"/>
    <w:rsid w:val="00D62411"/>
    <w:rsid w:val="00D62567"/>
    <w:rsid w:val="00D67D3B"/>
    <w:rsid w:val="00D71990"/>
    <w:rsid w:val="00D71CBE"/>
    <w:rsid w:val="00D7241E"/>
    <w:rsid w:val="00D73A39"/>
    <w:rsid w:val="00D75416"/>
    <w:rsid w:val="00D77331"/>
    <w:rsid w:val="00D81C11"/>
    <w:rsid w:val="00D82A43"/>
    <w:rsid w:val="00D85572"/>
    <w:rsid w:val="00D85D4D"/>
    <w:rsid w:val="00D90A48"/>
    <w:rsid w:val="00D91AC8"/>
    <w:rsid w:val="00D93137"/>
    <w:rsid w:val="00D939AF"/>
    <w:rsid w:val="00D95893"/>
    <w:rsid w:val="00D9592F"/>
    <w:rsid w:val="00D960E6"/>
    <w:rsid w:val="00D97EAB"/>
    <w:rsid w:val="00DA1AAA"/>
    <w:rsid w:val="00DA56B1"/>
    <w:rsid w:val="00DA6A61"/>
    <w:rsid w:val="00DA7300"/>
    <w:rsid w:val="00DA7A4F"/>
    <w:rsid w:val="00DB5C9C"/>
    <w:rsid w:val="00DB6C50"/>
    <w:rsid w:val="00DB7462"/>
    <w:rsid w:val="00DC0791"/>
    <w:rsid w:val="00DC0A8D"/>
    <w:rsid w:val="00DC0F47"/>
    <w:rsid w:val="00DC2B3B"/>
    <w:rsid w:val="00DC2F1F"/>
    <w:rsid w:val="00DC6834"/>
    <w:rsid w:val="00DD2901"/>
    <w:rsid w:val="00DD2AE0"/>
    <w:rsid w:val="00DD2D3B"/>
    <w:rsid w:val="00DD4D04"/>
    <w:rsid w:val="00DD4D3F"/>
    <w:rsid w:val="00DE027F"/>
    <w:rsid w:val="00DE368E"/>
    <w:rsid w:val="00DE5699"/>
    <w:rsid w:val="00DE617A"/>
    <w:rsid w:val="00DE6C8D"/>
    <w:rsid w:val="00DF36B9"/>
    <w:rsid w:val="00E00070"/>
    <w:rsid w:val="00E005CD"/>
    <w:rsid w:val="00E00CAC"/>
    <w:rsid w:val="00E01256"/>
    <w:rsid w:val="00E019E5"/>
    <w:rsid w:val="00E06582"/>
    <w:rsid w:val="00E06F53"/>
    <w:rsid w:val="00E108AB"/>
    <w:rsid w:val="00E10BD8"/>
    <w:rsid w:val="00E14D9C"/>
    <w:rsid w:val="00E171C2"/>
    <w:rsid w:val="00E20269"/>
    <w:rsid w:val="00E21C44"/>
    <w:rsid w:val="00E24520"/>
    <w:rsid w:val="00E25C5A"/>
    <w:rsid w:val="00E27C1C"/>
    <w:rsid w:val="00E30B05"/>
    <w:rsid w:val="00E37A0A"/>
    <w:rsid w:val="00E37E91"/>
    <w:rsid w:val="00E46855"/>
    <w:rsid w:val="00E46876"/>
    <w:rsid w:val="00E537C6"/>
    <w:rsid w:val="00E54388"/>
    <w:rsid w:val="00E56A4E"/>
    <w:rsid w:val="00E600B4"/>
    <w:rsid w:val="00E607C8"/>
    <w:rsid w:val="00E61C29"/>
    <w:rsid w:val="00E633B5"/>
    <w:rsid w:val="00E63889"/>
    <w:rsid w:val="00E66976"/>
    <w:rsid w:val="00E67D47"/>
    <w:rsid w:val="00E70585"/>
    <w:rsid w:val="00E70E31"/>
    <w:rsid w:val="00E75573"/>
    <w:rsid w:val="00E75F0C"/>
    <w:rsid w:val="00E75F34"/>
    <w:rsid w:val="00E761BB"/>
    <w:rsid w:val="00E779F6"/>
    <w:rsid w:val="00E85029"/>
    <w:rsid w:val="00E85A3C"/>
    <w:rsid w:val="00E86090"/>
    <w:rsid w:val="00E92416"/>
    <w:rsid w:val="00E92D2E"/>
    <w:rsid w:val="00E95DFF"/>
    <w:rsid w:val="00E97CB4"/>
    <w:rsid w:val="00EA064E"/>
    <w:rsid w:val="00EA1989"/>
    <w:rsid w:val="00EA20FB"/>
    <w:rsid w:val="00EA3B19"/>
    <w:rsid w:val="00EA6E0B"/>
    <w:rsid w:val="00EA7F4B"/>
    <w:rsid w:val="00EB088C"/>
    <w:rsid w:val="00EB1FCA"/>
    <w:rsid w:val="00EB20E5"/>
    <w:rsid w:val="00EB2180"/>
    <w:rsid w:val="00EB33E5"/>
    <w:rsid w:val="00EB40D2"/>
    <w:rsid w:val="00EB4BD6"/>
    <w:rsid w:val="00EC132D"/>
    <w:rsid w:val="00EC1B21"/>
    <w:rsid w:val="00ED26E7"/>
    <w:rsid w:val="00ED5BA0"/>
    <w:rsid w:val="00ED6C52"/>
    <w:rsid w:val="00ED79A1"/>
    <w:rsid w:val="00EE0F78"/>
    <w:rsid w:val="00EE21ED"/>
    <w:rsid w:val="00EE2641"/>
    <w:rsid w:val="00EE5D0F"/>
    <w:rsid w:val="00EE773D"/>
    <w:rsid w:val="00EF11AB"/>
    <w:rsid w:val="00EF1592"/>
    <w:rsid w:val="00EF1744"/>
    <w:rsid w:val="00EF7C0E"/>
    <w:rsid w:val="00EF7C14"/>
    <w:rsid w:val="00EF7C4F"/>
    <w:rsid w:val="00F013EF"/>
    <w:rsid w:val="00F013FB"/>
    <w:rsid w:val="00F04B1B"/>
    <w:rsid w:val="00F04E3D"/>
    <w:rsid w:val="00F057CF"/>
    <w:rsid w:val="00F104F9"/>
    <w:rsid w:val="00F11320"/>
    <w:rsid w:val="00F11B41"/>
    <w:rsid w:val="00F12445"/>
    <w:rsid w:val="00F14C57"/>
    <w:rsid w:val="00F15386"/>
    <w:rsid w:val="00F15DE3"/>
    <w:rsid w:val="00F2123C"/>
    <w:rsid w:val="00F2177D"/>
    <w:rsid w:val="00F21A20"/>
    <w:rsid w:val="00F24342"/>
    <w:rsid w:val="00F24C31"/>
    <w:rsid w:val="00F25045"/>
    <w:rsid w:val="00F2595F"/>
    <w:rsid w:val="00F25BC7"/>
    <w:rsid w:val="00F26568"/>
    <w:rsid w:val="00F27CF2"/>
    <w:rsid w:val="00F3044B"/>
    <w:rsid w:val="00F30750"/>
    <w:rsid w:val="00F3160A"/>
    <w:rsid w:val="00F316CB"/>
    <w:rsid w:val="00F35358"/>
    <w:rsid w:val="00F4250E"/>
    <w:rsid w:val="00F454AF"/>
    <w:rsid w:val="00F45EBD"/>
    <w:rsid w:val="00F465BE"/>
    <w:rsid w:val="00F47010"/>
    <w:rsid w:val="00F47F19"/>
    <w:rsid w:val="00F50ABE"/>
    <w:rsid w:val="00F515F2"/>
    <w:rsid w:val="00F51C39"/>
    <w:rsid w:val="00F53EEE"/>
    <w:rsid w:val="00F547F3"/>
    <w:rsid w:val="00F54AC9"/>
    <w:rsid w:val="00F54D87"/>
    <w:rsid w:val="00F5549D"/>
    <w:rsid w:val="00F556E6"/>
    <w:rsid w:val="00F55867"/>
    <w:rsid w:val="00F5660F"/>
    <w:rsid w:val="00F61660"/>
    <w:rsid w:val="00F621BC"/>
    <w:rsid w:val="00F652D1"/>
    <w:rsid w:val="00F6549D"/>
    <w:rsid w:val="00F67238"/>
    <w:rsid w:val="00F70071"/>
    <w:rsid w:val="00F71FB8"/>
    <w:rsid w:val="00F721D9"/>
    <w:rsid w:val="00F750FF"/>
    <w:rsid w:val="00F76257"/>
    <w:rsid w:val="00F815B0"/>
    <w:rsid w:val="00F82D2E"/>
    <w:rsid w:val="00F83986"/>
    <w:rsid w:val="00F83CA7"/>
    <w:rsid w:val="00F8444E"/>
    <w:rsid w:val="00F84B9B"/>
    <w:rsid w:val="00F85AC8"/>
    <w:rsid w:val="00F865A0"/>
    <w:rsid w:val="00F87191"/>
    <w:rsid w:val="00F87272"/>
    <w:rsid w:val="00F9472A"/>
    <w:rsid w:val="00F9722A"/>
    <w:rsid w:val="00FA05E0"/>
    <w:rsid w:val="00FA38A3"/>
    <w:rsid w:val="00FA3C96"/>
    <w:rsid w:val="00FA4BC5"/>
    <w:rsid w:val="00FA6648"/>
    <w:rsid w:val="00FA6681"/>
    <w:rsid w:val="00FA7A2A"/>
    <w:rsid w:val="00FB33A7"/>
    <w:rsid w:val="00FB3D90"/>
    <w:rsid w:val="00FB6265"/>
    <w:rsid w:val="00FC0CE6"/>
    <w:rsid w:val="00FC1AF3"/>
    <w:rsid w:val="00FC2A6A"/>
    <w:rsid w:val="00FC442B"/>
    <w:rsid w:val="00FC4A0D"/>
    <w:rsid w:val="00FC548F"/>
    <w:rsid w:val="00FC672F"/>
    <w:rsid w:val="00FC76AE"/>
    <w:rsid w:val="00FD00F2"/>
    <w:rsid w:val="00FD0154"/>
    <w:rsid w:val="00FD2C27"/>
    <w:rsid w:val="00FD2CB4"/>
    <w:rsid w:val="00FD3F4C"/>
    <w:rsid w:val="00FD458B"/>
    <w:rsid w:val="00FD6B09"/>
    <w:rsid w:val="00FE0FA9"/>
    <w:rsid w:val="00FE21D9"/>
    <w:rsid w:val="00FE24DF"/>
    <w:rsid w:val="00FE25D0"/>
    <w:rsid w:val="00FE28E5"/>
    <w:rsid w:val="00FE6C62"/>
    <w:rsid w:val="00FF0077"/>
    <w:rsid w:val="00FF14DD"/>
    <w:rsid w:val="00FF1C9F"/>
    <w:rsid w:val="00FF1F94"/>
    <w:rsid w:val="00FF226D"/>
    <w:rsid w:val="00FF3F97"/>
    <w:rsid w:val="00FF5A76"/>
    <w:rsid w:val="00FF5D84"/>
    <w:rsid w:val="00FF664E"/>
    <w:rsid w:val="00FF7F59"/>
    <w:rsid w:val="02490BBD"/>
  </w:rsids>
  <w:docVars>
    <w:docVar w:name="commondata" w:val="eyJoZGlkIjoiOWU0NmRlMDE4YmMwMTJiN2MwOTJhMTc2M2U1ODFiOGQifQ=="/>
    <w:docVar w:name="KSO_WPS_MARK_KEY" w:val="5b0bd785-dd4f-4780-a81d-593437f5e18f"/>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Table Grid" w:semiHidden="0" w:uiPriority="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500" w:lineRule="exact"/>
      <w:jc w:val="both"/>
    </w:pPr>
    <w:rPr>
      <w:kern w:val="2"/>
      <w:sz w:val="21"/>
      <w:szCs w:val="24"/>
      <w:lang w:val="en-US" w:eastAsia="zh-CN" w:bidi="ar-SA"/>
    </w:rPr>
  </w:style>
  <w:style w:type="paragraph" w:styleId="Heading1">
    <w:name w:val="heading 1"/>
    <w:basedOn w:val="Normal"/>
    <w:next w:val="Normal"/>
    <w:link w:val="1Char"/>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link w:val="2Char"/>
    <w:qFormat/>
    <w:pPr>
      <w:keepNext/>
      <w:keepLines/>
      <w:numPr>
        <w:ilvl w:val="1"/>
        <w:numId w:val="1"/>
      </w:numPr>
      <w:tabs>
        <w:tab w:val="left" w:pos="720"/>
      </w:tabs>
      <w:spacing w:before="100" w:beforeLines="100" w:after="50" w:afterLines="50" w:line="360" w:lineRule="auto"/>
      <w:outlineLvl w:val="1"/>
    </w:pPr>
    <w:rPr>
      <w:rFonts w:ascii="Arial" w:hAnsi="Arial"/>
      <w:b/>
      <w:bCs/>
      <w:sz w:val="28"/>
      <w:szCs w:val="32"/>
    </w:rPr>
  </w:style>
  <w:style w:type="paragraph" w:styleId="Heading3">
    <w:name w:val="heading 3"/>
    <w:basedOn w:val="Normal"/>
    <w:next w:val="Normal"/>
    <w:link w:val="3Char"/>
    <w:qFormat/>
    <w:pPr>
      <w:keepNext/>
      <w:keepLines/>
      <w:numPr>
        <w:ilvl w:val="2"/>
        <w:numId w:val="1"/>
      </w:numPr>
      <w:tabs>
        <w:tab w:val="left" w:pos="720"/>
      </w:tabs>
      <w:spacing w:before="50" w:beforeLines="50" w:line="360" w:lineRule="auto"/>
      <w:outlineLvl w:val="2"/>
    </w:pPr>
    <w:rPr>
      <w:rFonts w:ascii="Arial" w:hAnsi="Arial"/>
      <w:b/>
      <w:bCs/>
      <w:sz w:val="28"/>
      <w:szCs w:val="32"/>
    </w:rPr>
  </w:style>
  <w:style w:type="paragraph" w:styleId="Heading4">
    <w:name w:val="heading 4"/>
    <w:basedOn w:val="Normal"/>
    <w:next w:val="Normal"/>
    <w:link w:val="4Char"/>
    <w:qFormat/>
    <w:pPr>
      <w:keepNext/>
      <w:ind w:firstLine="562" w:firstLineChars="200"/>
      <w:outlineLvl w:val="3"/>
    </w:pPr>
    <w:rPr>
      <w:rFonts w:ascii="仿宋_GB2312" w:eastAsia="仿宋_GB2312" w:hAnsi="华文中宋"/>
      <w:b/>
      <w:bCs/>
      <w:sz w:val="28"/>
    </w:rPr>
  </w:style>
  <w:style w:type="paragraph" w:styleId="Heading5">
    <w:name w:val="heading 5"/>
    <w:basedOn w:val="Normal"/>
    <w:next w:val="Normal"/>
    <w:link w:val="5Char"/>
    <w:qFormat/>
    <w:pPr>
      <w:keepNext/>
      <w:keepLines/>
      <w:spacing w:before="280" w:beforeLines="0" w:after="290" w:afterLines="0" w:line="376" w:lineRule="auto"/>
      <w:ind w:firstLine="200" w:firstLineChars="200"/>
      <w:outlineLvl w:val="4"/>
    </w:pPr>
    <w:rPr>
      <w:rFonts w:ascii="Calibri" w:hAnsi="Calibri"/>
      <w:b/>
      <w:bCs/>
      <w:kern w:val="0"/>
      <w:sz w:val="28"/>
      <w:szCs w:val="28"/>
    </w:rPr>
  </w:style>
  <w:style w:type="paragraph" w:styleId="Heading6">
    <w:name w:val="heading 6"/>
    <w:basedOn w:val="Normal"/>
    <w:next w:val="Normal"/>
    <w:link w:val="6Char"/>
    <w:qFormat/>
    <w:pPr>
      <w:keepNext/>
      <w:keepLines/>
      <w:numPr>
        <w:ilvl w:val="5"/>
        <w:numId w:val="2"/>
      </w:numPr>
      <w:tabs>
        <w:tab w:val="left" w:pos="3024"/>
      </w:tabs>
      <w:adjustRightInd w:val="0"/>
      <w:spacing w:before="240" w:after="64" w:line="320" w:lineRule="atLeast"/>
      <w:jc w:val="left"/>
      <w:textAlignment w:val="baseline"/>
      <w:outlineLvl w:val="5"/>
    </w:pPr>
    <w:rPr>
      <w:rFonts w:ascii="Arial" w:eastAsia="黑体" w:hAnsi="Arial"/>
      <w:b/>
      <w:bCs/>
      <w:kern w:val="0"/>
      <w:sz w:val="24"/>
    </w:rPr>
  </w:style>
  <w:style w:type="paragraph" w:styleId="Heading7">
    <w:name w:val="heading 7"/>
    <w:basedOn w:val="Normal"/>
    <w:next w:val="Normal"/>
    <w:link w:val="7Char"/>
    <w:qFormat/>
    <w:pPr>
      <w:keepNext/>
      <w:keepLines/>
      <w:spacing w:before="240" w:beforeLines="0" w:after="64" w:afterLines="0" w:line="320" w:lineRule="auto"/>
      <w:ind w:firstLine="200" w:firstLineChars="200"/>
      <w:outlineLvl w:val="6"/>
    </w:pPr>
    <w:rPr>
      <w:rFonts w:ascii="Calibri" w:hAnsi="Calibri"/>
      <w:b/>
      <w:bCs/>
      <w:kern w:val="0"/>
      <w:sz w:val="24"/>
    </w:rPr>
  </w:style>
  <w:style w:type="paragraph" w:styleId="Heading8">
    <w:name w:val="heading 8"/>
    <w:basedOn w:val="Normal"/>
    <w:next w:val="Normal"/>
    <w:link w:val="8Char"/>
    <w:qFormat/>
    <w:pPr>
      <w:keepNext/>
      <w:keepLines/>
      <w:numPr>
        <w:ilvl w:val="7"/>
        <w:numId w:val="2"/>
      </w:numPr>
      <w:tabs>
        <w:tab w:val="left" w:pos="3864"/>
      </w:tabs>
      <w:adjustRightInd w:val="0"/>
      <w:spacing w:before="240" w:after="64" w:line="320" w:lineRule="atLeast"/>
      <w:jc w:val="left"/>
      <w:textAlignment w:val="baseline"/>
      <w:outlineLvl w:val="7"/>
    </w:pPr>
    <w:rPr>
      <w:rFonts w:ascii="Arial" w:eastAsia="黑体" w:hAnsi="Arial"/>
      <w:kern w:val="0"/>
      <w:sz w:val="24"/>
    </w:rPr>
  </w:style>
  <w:style w:type="paragraph" w:styleId="Heading9">
    <w:name w:val="heading 9"/>
    <w:basedOn w:val="Normal"/>
    <w:next w:val="Normal"/>
    <w:link w:val="9Char"/>
    <w:qFormat/>
    <w:pPr>
      <w:keepNext/>
      <w:keepLines/>
      <w:numPr>
        <w:ilvl w:val="8"/>
        <w:numId w:val="2"/>
      </w:numPr>
      <w:tabs>
        <w:tab w:val="left" w:pos="4284"/>
      </w:tabs>
      <w:adjustRightInd w:val="0"/>
      <w:spacing w:before="240" w:after="64" w:line="320" w:lineRule="atLeast"/>
      <w:jc w:val="left"/>
      <w:textAlignment w:val="baseline"/>
      <w:outlineLvl w:val="8"/>
    </w:pPr>
    <w:rPr>
      <w:rFonts w:ascii="Arial" w:eastAsia="黑体" w:hAnsi="Arial"/>
      <w:kern w:val="0"/>
      <w:szCs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rFonts w:eastAsia="宋体"/>
      <w:b/>
      <w:bCs/>
      <w:kern w:val="44"/>
      <w:sz w:val="44"/>
      <w:szCs w:val="44"/>
      <w:lang w:val="en-US" w:eastAsia="zh-CN" w:bidi="ar-SA"/>
    </w:rPr>
  </w:style>
  <w:style w:type="character" w:customStyle="1" w:styleId="2Char">
    <w:name w:val="标题 2 Char"/>
    <w:link w:val="Heading2"/>
    <w:rPr>
      <w:rFonts w:ascii="Arial" w:hAnsi="Arial"/>
      <w:b/>
      <w:bCs/>
      <w:kern w:val="2"/>
      <w:sz w:val="28"/>
      <w:szCs w:val="32"/>
    </w:rPr>
  </w:style>
  <w:style w:type="character" w:customStyle="1" w:styleId="3Char">
    <w:name w:val="标题 3 Char"/>
    <w:link w:val="Heading3"/>
    <w:rPr>
      <w:rFonts w:ascii="Arial" w:hAnsi="Arial"/>
      <w:b/>
      <w:bCs/>
      <w:kern w:val="2"/>
      <w:sz w:val="28"/>
      <w:szCs w:val="32"/>
    </w:rPr>
  </w:style>
  <w:style w:type="character" w:customStyle="1" w:styleId="4Char">
    <w:name w:val="标题 4 Char"/>
    <w:link w:val="Heading4"/>
    <w:rPr>
      <w:rFonts w:ascii="仿宋_GB2312" w:eastAsia="仿宋_GB2312" w:hAnsi="华文中宋"/>
      <w:b/>
      <w:bCs/>
      <w:kern w:val="2"/>
      <w:sz w:val="28"/>
      <w:szCs w:val="24"/>
      <w:lang w:val="en-US" w:eastAsia="zh-CN" w:bidi="ar-SA"/>
    </w:rPr>
  </w:style>
  <w:style w:type="character" w:customStyle="1" w:styleId="5Char">
    <w:name w:val="标题 5 Char"/>
    <w:link w:val="Heading5"/>
    <w:rPr>
      <w:rFonts w:ascii="Calibri" w:eastAsia="宋体" w:hAnsi="Calibri"/>
      <w:b/>
      <w:bCs/>
      <w:sz w:val="28"/>
      <w:szCs w:val="28"/>
      <w:lang w:bidi="ar-SA"/>
    </w:rPr>
  </w:style>
  <w:style w:type="character" w:customStyle="1" w:styleId="6Char">
    <w:name w:val="标题 6 Char"/>
    <w:link w:val="Heading6"/>
    <w:rPr>
      <w:rFonts w:ascii="Arial" w:eastAsia="黑体" w:hAnsi="Arial"/>
      <w:b/>
      <w:bCs/>
      <w:sz w:val="24"/>
      <w:szCs w:val="24"/>
      <w:lang w:bidi="ar-SA"/>
    </w:rPr>
  </w:style>
  <w:style w:type="character" w:customStyle="1" w:styleId="7Char">
    <w:name w:val="标题 7 Char"/>
    <w:link w:val="Heading7"/>
    <w:rPr>
      <w:rFonts w:ascii="Calibri" w:eastAsia="宋体" w:hAnsi="Calibri"/>
      <w:b/>
      <w:bCs/>
      <w:sz w:val="24"/>
      <w:szCs w:val="24"/>
      <w:lang w:bidi="ar-SA"/>
    </w:rPr>
  </w:style>
  <w:style w:type="character" w:customStyle="1" w:styleId="8Char">
    <w:name w:val="标题 8 Char"/>
    <w:link w:val="Heading8"/>
    <w:rPr>
      <w:rFonts w:ascii="Arial" w:eastAsia="黑体" w:hAnsi="Arial"/>
      <w:sz w:val="24"/>
      <w:szCs w:val="24"/>
      <w:lang w:bidi="ar-SA"/>
    </w:rPr>
  </w:style>
  <w:style w:type="character" w:customStyle="1" w:styleId="9Char">
    <w:name w:val="标题 9 Char"/>
    <w:link w:val="Heading9"/>
    <w:rPr>
      <w:rFonts w:ascii="Arial" w:eastAsia="黑体" w:hAnsi="Arial"/>
      <w:sz w:val="21"/>
      <w:szCs w:val="21"/>
      <w:lang w:bidi="ar-SA"/>
    </w:rPr>
  </w:style>
  <w:style w:type="paragraph" w:styleId="List3">
    <w:name w:val="List 3"/>
    <w:basedOn w:val="Normal"/>
    <w:pPr>
      <w:spacing w:line="348" w:lineRule="auto"/>
      <w:ind w:left="1260" w:hanging="420" w:firstLineChars="200"/>
    </w:pPr>
    <w:rPr>
      <w:rFonts w:ascii="Calibri" w:hAnsi="Calibri"/>
      <w:szCs w:val="20"/>
    </w:rPr>
  </w:style>
  <w:style w:type="paragraph" w:styleId="TOC7">
    <w:name w:val="toc 7"/>
    <w:basedOn w:val="Normal"/>
    <w:next w:val="Normal"/>
    <w:uiPriority w:val="39"/>
    <w:pPr>
      <w:ind w:left="2520" w:leftChars="1200"/>
    </w:pPr>
    <w:rPr>
      <w:rFonts w:ascii="Calibri" w:hAnsi="Calibri"/>
      <w:szCs w:val="22"/>
    </w:rPr>
  </w:style>
  <w:style w:type="paragraph" w:styleId="NoteHeading">
    <w:name w:val="Note Heading"/>
    <w:basedOn w:val="Normal"/>
    <w:next w:val="Normal"/>
    <w:pPr>
      <w:jc w:val="center"/>
    </w:pPr>
  </w:style>
  <w:style w:type="paragraph" w:styleId="NormalIndent">
    <w:name w:val="Normal Indent"/>
    <w:basedOn w:val="Normal"/>
    <w:link w:val="Char"/>
    <w:pPr>
      <w:ind w:firstLine="420" w:firstLineChars="200"/>
    </w:pPr>
  </w:style>
  <w:style w:type="character" w:customStyle="1" w:styleId="Char">
    <w:name w:val="正文缩进 Char"/>
    <w:link w:val="NormalIndent"/>
    <w:rPr>
      <w:rFonts w:eastAsia="宋体"/>
      <w:kern w:val="2"/>
      <w:sz w:val="21"/>
      <w:szCs w:val="24"/>
      <w:lang w:val="en-US" w:eastAsia="zh-CN" w:bidi="ar-SA"/>
    </w:rPr>
  </w:style>
  <w:style w:type="paragraph" w:styleId="Caption">
    <w:name w:val="caption"/>
    <w:basedOn w:val="Normal"/>
    <w:next w:val="Normal"/>
    <w:qFormat/>
    <w:pPr>
      <w:spacing w:line="348" w:lineRule="auto"/>
      <w:ind w:firstLine="200" w:firstLineChars="200"/>
    </w:pPr>
    <w:rPr>
      <w:rFonts w:ascii="Cambria" w:eastAsia="黑体" w:hAnsi="Cambria"/>
      <w:sz w:val="20"/>
      <w:szCs w:val="20"/>
    </w:rPr>
  </w:style>
  <w:style w:type="paragraph" w:styleId="DocumentMap">
    <w:name w:val="Document Map"/>
    <w:basedOn w:val="Normal"/>
    <w:link w:val="Char0"/>
    <w:pPr>
      <w:shd w:val="clear" w:color="auto" w:fill="000080"/>
    </w:pPr>
  </w:style>
  <w:style w:type="character" w:customStyle="1" w:styleId="Char0">
    <w:name w:val="文档结构图 Char"/>
    <w:link w:val="DocumentMap"/>
    <w:rPr>
      <w:rFonts w:eastAsia="宋体"/>
      <w:kern w:val="2"/>
      <w:sz w:val="21"/>
      <w:szCs w:val="24"/>
      <w:lang w:val="en-US" w:eastAsia="zh-CN" w:bidi="ar-SA"/>
    </w:rPr>
  </w:style>
  <w:style w:type="paragraph" w:styleId="CommentText">
    <w:name w:val="annotation text"/>
    <w:basedOn w:val="Normal"/>
    <w:link w:val="Char1"/>
    <w:pPr>
      <w:spacing w:line="348" w:lineRule="auto"/>
      <w:ind w:firstLine="200" w:firstLineChars="200"/>
      <w:jc w:val="left"/>
    </w:pPr>
    <w:rPr>
      <w:rFonts w:ascii="黑体" w:eastAsia="黑体"/>
      <w:sz w:val="72"/>
      <w:szCs w:val="20"/>
    </w:rPr>
  </w:style>
  <w:style w:type="character" w:customStyle="1" w:styleId="Char1">
    <w:name w:val="批注文字 Char"/>
    <w:link w:val="CommentText"/>
    <w:rPr>
      <w:rFonts w:ascii="黑体" w:eastAsia="黑体"/>
      <w:kern w:val="2"/>
      <w:sz w:val="72"/>
      <w:lang w:bidi="ar-SA"/>
    </w:rPr>
  </w:style>
  <w:style w:type="paragraph" w:styleId="BodyText3">
    <w:name w:val="Body Text 3"/>
    <w:basedOn w:val="Normal"/>
    <w:pPr>
      <w:spacing w:after="120" w:afterLines="0" w:line="348" w:lineRule="auto"/>
      <w:ind w:firstLine="200" w:firstLineChars="200"/>
    </w:pPr>
    <w:rPr>
      <w:sz w:val="16"/>
      <w:szCs w:val="16"/>
    </w:rPr>
  </w:style>
  <w:style w:type="paragraph" w:styleId="BodyText">
    <w:name w:val="Body Text"/>
    <w:basedOn w:val="Normal"/>
    <w:link w:val="Char2"/>
    <w:rPr>
      <w:sz w:val="28"/>
    </w:rPr>
  </w:style>
  <w:style w:type="character" w:customStyle="1" w:styleId="Char2">
    <w:name w:val="正文文本 Char"/>
    <w:link w:val="BodyText"/>
    <w:rPr>
      <w:kern w:val="2"/>
      <w:sz w:val="28"/>
      <w:szCs w:val="24"/>
      <w:lang w:bidi="ar-SA"/>
    </w:rPr>
  </w:style>
  <w:style w:type="paragraph" w:styleId="BodyTextIndent">
    <w:name w:val="Body Text Indent"/>
    <w:basedOn w:val="Normal"/>
    <w:link w:val="Char3"/>
    <w:pPr>
      <w:spacing w:line="560" w:lineRule="exact"/>
      <w:ind w:firstLine="549" w:firstLineChars="200"/>
    </w:pPr>
    <w:rPr>
      <w:rFonts w:ascii="仿宋_GB2312" w:eastAsia="仿宋_GB2312"/>
      <w:color w:val="0000FF"/>
      <w:sz w:val="28"/>
    </w:rPr>
  </w:style>
  <w:style w:type="character" w:customStyle="1" w:styleId="Char3">
    <w:name w:val="正文文本缩进 Char"/>
    <w:link w:val="BodyTextIndent"/>
    <w:rPr>
      <w:rFonts w:ascii="仿宋_GB2312" w:eastAsia="仿宋_GB2312"/>
      <w:color w:val="0000FF"/>
      <w:kern w:val="2"/>
      <w:sz w:val="28"/>
      <w:szCs w:val="24"/>
      <w:lang w:val="en-US" w:eastAsia="zh-CN" w:bidi="ar-SA"/>
    </w:rPr>
  </w:style>
  <w:style w:type="paragraph" w:styleId="List2">
    <w:name w:val="List 2"/>
    <w:basedOn w:val="Normal"/>
    <w:pPr>
      <w:ind w:left="100" w:hanging="200" w:leftChars="200" w:hangingChars="200"/>
    </w:pPr>
    <w:rPr>
      <w:rFonts w:ascii="仿宋_GB2312" w:eastAsia="仿宋_GB2312" w:hAnsi="华文中宋"/>
      <w:sz w:val="28"/>
    </w:rPr>
  </w:style>
  <w:style w:type="paragraph" w:styleId="BlockText">
    <w:name w:val="Block Text"/>
    <w:basedOn w:val="Normal"/>
    <w:qFormat/>
    <w:pPr>
      <w:autoSpaceDE w:val="0"/>
      <w:autoSpaceDN w:val="0"/>
      <w:adjustRightInd w:val="0"/>
      <w:ind w:left="11" w:right="57" w:firstLine="567"/>
    </w:pPr>
    <w:rPr>
      <w:kern w:val="0"/>
      <w:sz w:val="32"/>
      <w:szCs w:val="20"/>
    </w:rPr>
  </w:style>
  <w:style w:type="paragraph" w:styleId="ListBullet2">
    <w:name w:val="List Bullet 2"/>
    <w:basedOn w:val="Normal"/>
    <w:pPr>
      <w:numPr>
        <w:ilvl w:val="0"/>
        <w:numId w:val="1"/>
      </w:numPr>
      <w:tabs>
        <w:tab w:val="left" w:pos="360"/>
      </w:tabs>
      <w:spacing w:line="360" w:lineRule="exact"/>
    </w:pPr>
    <w:rPr>
      <w:rFonts w:eastAsia="仿宋_GB2312"/>
      <w:sz w:val="28"/>
      <w:szCs w:val="20"/>
    </w:rPr>
  </w:style>
  <w:style w:type="paragraph" w:styleId="TOC5">
    <w:name w:val="toc 5"/>
    <w:basedOn w:val="Normal"/>
    <w:next w:val="Normal"/>
    <w:uiPriority w:val="39"/>
    <w:pPr>
      <w:ind w:left="1680" w:leftChars="800"/>
    </w:pPr>
    <w:rPr>
      <w:rFonts w:ascii="Calibri" w:hAnsi="Calibri"/>
      <w:szCs w:val="22"/>
    </w:rPr>
  </w:style>
  <w:style w:type="paragraph" w:styleId="TOC3">
    <w:name w:val="toc 3"/>
    <w:basedOn w:val="Normal"/>
    <w:next w:val="Normal"/>
    <w:uiPriority w:val="39"/>
    <w:pPr>
      <w:spacing w:line="348" w:lineRule="auto"/>
      <w:ind w:left="840" w:firstLine="200" w:leftChars="400" w:firstLineChars="200"/>
    </w:pPr>
    <w:rPr>
      <w:rFonts w:ascii="Calibri" w:hAnsi="Calibri"/>
      <w:szCs w:val="22"/>
    </w:rPr>
  </w:style>
  <w:style w:type="paragraph" w:styleId="PlainText">
    <w:name w:val="Plain Text"/>
    <w:basedOn w:val="Normal"/>
    <w:link w:val="Char4"/>
    <w:qFormat/>
    <w:rPr>
      <w:rFonts w:ascii="宋体" w:hAnsi="Courier New"/>
      <w:szCs w:val="20"/>
    </w:rPr>
  </w:style>
  <w:style w:type="character" w:customStyle="1" w:styleId="Char4">
    <w:name w:val="纯文本 Char"/>
    <w:link w:val="PlainText"/>
    <w:qFormat/>
    <w:rPr>
      <w:rFonts w:ascii="宋体" w:eastAsia="宋体" w:hAnsi="Courier New"/>
      <w:kern w:val="2"/>
      <w:sz w:val="21"/>
      <w:lang w:val="en-US" w:eastAsia="zh-CN" w:bidi="ar-SA"/>
    </w:rPr>
  </w:style>
  <w:style w:type="paragraph" w:styleId="TOC8">
    <w:name w:val="toc 8"/>
    <w:basedOn w:val="Normal"/>
    <w:next w:val="Normal"/>
    <w:uiPriority w:val="39"/>
    <w:pPr>
      <w:ind w:left="2940" w:leftChars="1400"/>
    </w:pPr>
    <w:rPr>
      <w:rFonts w:ascii="Calibri" w:hAnsi="Calibri"/>
      <w:szCs w:val="22"/>
    </w:rPr>
  </w:style>
  <w:style w:type="paragraph" w:styleId="Date">
    <w:name w:val="Date"/>
    <w:basedOn w:val="Normal"/>
    <w:next w:val="Normal"/>
    <w:pPr>
      <w:ind w:left="100" w:leftChars="2500"/>
    </w:pPr>
    <w:rPr>
      <w:rFonts w:eastAsia="仿宋_GB2312"/>
      <w:sz w:val="28"/>
    </w:rPr>
  </w:style>
  <w:style w:type="paragraph" w:styleId="BodyTextIndent2">
    <w:name w:val="Body Text Indent 2"/>
    <w:basedOn w:val="Normal"/>
    <w:link w:val="2Char0"/>
    <w:pPr>
      <w:ind w:firstLine="549" w:firstLineChars="200"/>
    </w:pPr>
    <w:rPr>
      <w:rFonts w:ascii="仿宋_GB2312" w:eastAsia="仿宋_GB2312"/>
      <w:sz w:val="28"/>
    </w:rPr>
  </w:style>
  <w:style w:type="character" w:customStyle="1" w:styleId="2Char0">
    <w:name w:val="正文文本缩进 2 Char"/>
    <w:link w:val="BodyTextIndent2"/>
    <w:rPr>
      <w:rFonts w:ascii="仿宋_GB2312" w:eastAsia="仿宋_GB2312"/>
      <w:kern w:val="2"/>
      <w:sz w:val="28"/>
      <w:szCs w:val="24"/>
      <w:lang w:val="en-US" w:eastAsia="zh-CN" w:bidi="ar-SA"/>
    </w:rPr>
  </w:style>
  <w:style w:type="paragraph" w:styleId="BalloonText">
    <w:name w:val="Balloon Text"/>
    <w:basedOn w:val="Normal"/>
    <w:link w:val="Char5"/>
    <w:rPr>
      <w:rFonts w:ascii="仿宋_GB2312" w:eastAsia="仿宋_GB2312" w:hAnsi="华文中宋"/>
      <w:sz w:val="18"/>
      <w:szCs w:val="18"/>
    </w:rPr>
  </w:style>
  <w:style w:type="character" w:customStyle="1" w:styleId="Char5">
    <w:name w:val="批注框文本 Char"/>
    <w:link w:val="BalloonText"/>
    <w:rPr>
      <w:rFonts w:ascii="仿宋_GB2312" w:eastAsia="仿宋_GB2312" w:hAnsi="华文中宋"/>
      <w:kern w:val="2"/>
      <w:sz w:val="18"/>
      <w:szCs w:val="18"/>
      <w:lang w:val="en-US" w:eastAsia="zh-CN" w:bidi="ar-SA"/>
    </w:rPr>
  </w:style>
  <w:style w:type="paragraph" w:styleId="Footer">
    <w:name w:val="footer"/>
    <w:basedOn w:val="Normal"/>
    <w:link w:val="Char6"/>
    <w:uiPriority w:val="99"/>
    <w:pPr>
      <w:tabs>
        <w:tab w:val="center" w:pos="4153"/>
        <w:tab w:val="right" w:pos="8306"/>
      </w:tabs>
      <w:snapToGrid w:val="0"/>
      <w:jc w:val="left"/>
    </w:pPr>
    <w:rPr>
      <w:sz w:val="18"/>
      <w:szCs w:val="18"/>
    </w:rPr>
  </w:style>
  <w:style w:type="character" w:customStyle="1" w:styleId="Char6">
    <w:name w:val="页脚 Char"/>
    <w:link w:val="Footer"/>
    <w:uiPriority w:val="99"/>
    <w:rPr>
      <w:rFonts w:eastAsia="宋体"/>
      <w:kern w:val="2"/>
      <w:sz w:val="18"/>
      <w:szCs w:val="18"/>
      <w:lang w:val="en-US" w:eastAsia="zh-CN" w:bidi="ar-SA"/>
    </w:rPr>
  </w:style>
  <w:style w:type="paragraph" w:styleId="Header">
    <w:name w:val="header"/>
    <w:basedOn w:val="Normal"/>
    <w:link w:val="Char7"/>
    <w:pPr>
      <w:pBdr>
        <w:bottom w:val="single" w:sz="6" w:space="1" w:color="auto"/>
      </w:pBdr>
      <w:tabs>
        <w:tab w:val="center" w:pos="4153"/>
        <w:tab w:val="right" w:pos="8306"/>
      </w:tabs>
      <w:snapToGrid w:val="0"/>
      <w:jc w:val="center"/>
    </w:pPr>
    <w:rPr>
      <w:sz w:val="18"/>
      <w:szCs w:val="18"/>
    </w:rPr>
  </w:style>
  <w:style w:type="character" w:customStyle="1" w:styleId="Char7">
    <w:name w:val="页眉 Char"/>
    <w:link w:val="Header"/>
    <w:rPr>
      <w:rFonts w:eastAsia="宋体"/>
      <w:kern w:val="2"/>
      <w:sz w:val="18"/>
      <w:szCs w:val="18"/>
      <w:lang w:val="en-US" w:eastAsia="zh-CN" w:bidi="ar-SA"/>
    </w:rPr>
  </w:style>
  <w:style w:type="paragraph" w:styleId="TOC1">
    <w:name w:val="toc 1"/>
    <w:basedOn w:val="Normal"/>
    <w:next w:val="Normal"/>
    <w:uiPriority w:val="39"/>
    <w:pPr>
      <w:tabs>
        <w:tab w:val="right" w:leader="dot" w:pos="8720"/>
      </w:tabs>
      <w:spacing w:line="520" w:lineRule="exact"/>
      <w:jc w:val="left"/>
    </w:pPr>
    <w:rPr>
      <w:rFonts w:ascii="宋体" w:hAnsi="宋体"/>
      <w:b/>
      <w:bCs/>
      <w:caps/>
      <w:sz w:val="28"/>
      <w:szCs w:val="28"/>
    </w:rPr>
  </w:style>
  <w:style w:type="paragraph" w:styleId="TOC4">
    <w:name w:val="toc 4"/>
    <w:basedOn w:val="Normal"/>
    <w:next w:val="Normal"/>
    <w:uiPriority w:val="39"/>
    <w:pPr>
      <w:ind w:left="1260" w:leftChars="600"/>
    </w:pPr>
    <w:rPr>
      <w:rFonts w:ascii="Calibri" w:hAnsi="Calibri"/>
      <w:szCs w:val="22"/>
    </w:rPr>
  </w:style>
  <w:style w:type="paragraph" w:styleId="IndexHeading">
    <w:name w:val="index heading"/>
    <w:basedOn w:val="Normal"/>
    <w:next w:val="Index1"/>
    <w:pPr>
      <w:spacing w:line="348" w:lineRule="auto"/>
      <w:ind w:firstLine="200" w:firstLineChars="200"/>
    </w:pPr>
    <w:rPr>
      <w:rFonts w:ascii="Calibri" w:hAnsi="Calibri"/>
      <w:szCs w:val="22"/>
    </w:rPr>
  </w:style>
  <w:style w:type="paragraph" w:styleId="Index1">
    <w:name w:val="index 1"/>
    <w:basedOn w:val="Normal"/>
    <w:next w:val="Normal"/>
    <w:pPr>
      <w:spacing w:line="348" w:lineRule="auto"/>
      <w:ind w:firstLine="200" w:firstLineChars="200"/>
    </w:pPr>
    <w:rPr>
      <w:rFonts w:ascii="Calibri" w:hAnsi="Calibri"/>
      <w:szCs w:val="22"/>
    </w:rPr>
  </w:style>
  <w:style w:type="paragraph" w:styleId="Subtitle">
    <w:name w:val="Subtitle"/>
    <w:basedOn w:val="Normal"/>
    <w:next w:val="Normal"/>
    <w:link w:val="Char8"/>
    <w:qFormat/>
    <w:pPr>
      <w:spacing w:before="240" w:beforeLines="0" w:after="60" w:afterLines="0" w:line="312" w:lineRule="auto"/>
      <w:ind w:firstLine="200" w:firstLineChars="200"/>
      <w:jc w:val="center"/>
      <w:outlineLvl w:val="1"/>
    </w:pPr>
    <w:rPr>
      <w:rFonts w:ascii="Cambria" w:hAnsi="Cambria"/>
      <w:b/>
      <w:bCs/>
      <w:kern w:val="28"/>
      <w:sz w:val="32"/>
      <w:szCs w:val="32"/>
    </w:rPr>
  </w:style>
  <w:style w:type="character" w:customStyle="1" w:styleId="Char8">
    <w:name w:val="副标题 Char"/>
    <w:link w:val="Subtitle"/>
    <w:rPr>
      <w:rFonts w:ascii="Cambria" w:eastAsia="宋体" w:hAnsi="Cambria"/>
      <w:b/>
      <w:bCs/>
      <w:kern w:val="28"/>
      <w:sz w:val="32"/>
      <w:szCs w:val="32"/>
      <w:lang w:bidi="ar-SA"/>
    </w:rPr>
  </w:style>
  <w:style w:type="paragraph" w:styleId="List">
    <w:name w:val="List"/>
    <w:basedOn w:val="Normal"/>
    <w:pPr>
      <w:suppressAutoHyphens/>
      <w:adjustRightInd w:val="0"/>
      <w:jc w:val="center"/>
      <w:textAlignment w:val="baseline"/>
    </w:pPr>
    <w:rPr>
      <w:kern w:val="0"/>
      <w:szCs w:val="20"/>
    </w:rPr>
  </w:style>
  <w:style w:type="paragraph" w:styleId="FootnoteText">
    <w:name w:val="footnote text"/>
    <w:basedOn w:val="Normal"/>
    <w:pPr>
      <w:snapToGrid w:val="0"/>
      <w:spacing w:line="348" w:lineRule="auto"/>
      <w:ind w:firstLine="200" w:firstLineChars="200"/>
      <w:jc w:val="left"/>
    </w:pPr>
    <w:rPr>
      <w:kern w:val="0"/>
      <w:sz w:val="18"/>
      <w:szCs w:val="18"/>
    </w:rPr>
  </w:style>
  <w:style w:type="paragraph" w:styleId="TOC6">
    <w:name w:val="toc 6"/>
    <w:basedOn w:val="Normal"/>
    <w:next w:val="Normal"/>
    <w:uiPriority w:val="39"/>
    <w:pPr>
      <w:ind w:left="2100" w:leftChars="1000"/>
    </w:pPr>
    <w:rPr>
      <w:rFonts w:ascii="Calibri" w:hAnsi="Calibri"/>
      <w:szCs w:val="22"/>
    </w:rPr>
  </w:style>
  <w:style w:type="paragraph" w:styleId="BodyTextIndent3">
    <w:name w:val="Body Text Indent 3"/>
    <w:basedOn w:val="Normal"/>
    <w:pPr>
      <w:ind w:firstLine="480"/>
    </w:pPr>
    <w:rPr>
      <w:rFonts w:ascii="仿宋_GB2312" w:eastAsia="仿宋_GB2312"/>
      <w:spacing w:val="16"/>
      <w:sz w:val="28"/>
    </w:rPr>
  </w:style>
  <w:style w:type="paragraph" w:styleId="TOC2">
    <w:name w:val="toc 2"/>
    <w:basedOn w:val="Normal"/>
    <w:next w:val="Normal"/>
    <w:uiPriority w:val="39"/>
    <w:pPr>
      <w:tabs>
        <w:tab w:val="left" w:pos="635"/>
        <w:tab w:val="right" w:leader="dot" w:pos="9060"/>
      </w:tabs>
      <w:ind w:right="400" w:rightChars="400"/>
      <w:jc w:val="left"/>
    </w:pPr>
    <w:rPr>
      <w:rFonts w:ascii="Calibri" w:hAnsi="Calibri"/>
      <w:smallCaps/>
      <w:sz w:val="24"/>
      <w:szCs w:val="20"/>
    </w:rPr>
  </w:style>
  <w:style w:type="paragraph" w:styleId="TOC9">
    <w:name w:val="toc 9"/>
    <w:basedOn w:val="Normal"/>
    <w:next w:val="Normal"/>
    <w:uiPriority w:val="39"/>
    <w:pPr>
      <w:ind w:left="3360" w:leftChars="1600"/>
    </w:pPr>
    <w:rPr>
      <w:rFonts w:ascii="Calibri" w:hAnsi="Calibri"/>
      <w:szCs w:val="22"/>
    </w:rPr>
  </w:style>
  <w:style w:type="paragraph" w:styleId="BodyText2">
    <w:name w:val="Body Text 2"/>
    <w:basedOn w:val="Normal"/>
    <w:link w:val="2Char1"/>
    <w:pPr>
      <w:spacing w:after="120" w:afterLines="0" w:line="480" w:lineRule="auto"/>
    </w:pPr>
    <w:rPr>
      <w:rFonts w:ascii="仿宋_GB2312" w:eastAsia="仿宋_GB2312" w:hAnsi="华文中宋"/>
      <w:sz w:val="28"/>
    </w:rPr>
  </w:style>
  <w:style w:type="character" w:customStyle="1" w:styleId="2Char1">
    <w:name w:val="正文文本 2 Char"/>
    <w:link w:val="BodyText2"/>
    <w:rPr>
      <w:rFonts w:ascii="仿宋_GB2312" w:eastAsia="仿宋_GB2312" w:hAnsi="华文中宋"/>
      <w:kern w:val="2"/>
      <w:sz w:val="28"/>
      <w:szCs w:val="24"/>
      <w:lang w:bidi="ar-SA"/>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link w:val="Char9"/>
    <w:qFormat/>
    <w:pPr>
      <w:widowControl/>
      <w:spacing w:before="100" w:beforeLines="0" w:beforeAutospacing="1" w:after="100" w:afterLines="0" w:afterAutospacing="1"/>
      <w:jc w:val="left"/>
    </w:pPr>
    <w:rPr>
      <w:rFonts w:ascii="宋体" w:hAnsi="宋体"/>
      <w:kern w:val="0"/>
      <w:sz w:val="24"/>
    </w:rPr>
  </w:style>
  <w:style w:type="character" w:customStyle="1" w:styleId="Char9">
    <w:name w:val="普通(网站) Char"/>
    <w:link w:val="NormalWeb"/>
    <w:qFormat/>
    <w:rPr>
      <w:rFonts w:ascii="宋体" w:hAnsi="宋体" w:cs="宋体"/>
      <w:sz w:val="24"/>
      <w:szCs w:val="24"/>
    </w:rPr>
  </w:style>
  <w:style w:type="paragraph" w:styleId="Title">
    <w:name w:val="Title"/>
    <w:basedOn w:val="Normal"/>
    <w:next w:val="Normal"/>
    <w:link w:val="Char10"/>
    <w:qFormat/>
    <w:pPr>
      <w:spacing w:before="240" w:beforeLines="0" w:after="60" w:afterLines="0" w:line="348" w:lineRule="auto"/>
      <w:ind w:firstLine="200" w:firstLineChars="200"/>
      <w:jc w:val="center"/>
      <w:outlineLvl w:val="0"/>
    </w:pPr>
    <w:rPr>
      <w:rFonts w:ascii="Cambria" w:hAnsi="Cambria"/>
      <w:b/>
      <w:bCs/>
      <w:kern w:val="0"/>
      <w:sz w:val="32"/>
      <w:szCs w:val="32"/>
    </w:rPr>
  </w:style>
  <w:style w:type="character" w:customStyle="1" w:styleId="Char10">
    <w:name w:val="标题 Char"/>
    <w:link w:val="Title"/>
    <w:rPr>
      <w:rFonts w:ascii="Cambria" w:eastAsia="宋体" w:hAnsi="Cambria"/>
      <w:b/>
      <w:bCs/>
      <w:sz w:val="32"/>
      <w:szCs w:val="32"/>
      <w:lang w:bidi="ar-SA"/>
    </w:rPr>
  </w:style>
  <w:style w:type="paragraph" w:styleId="CommentSubject">
    <w:name w:val="annotation subject"/>
    <w:basedOn w:val="CommentText"/>
    <w:next w:val="CommentText"/>
    <w:link w:val="Char11"/>
    <w:rPr>
      <w:b/>
    </w:rPr>
  </w:style>
  <w:style w:type="character" w:customStyle="1" w:styleId="Char11">
    <w:name w:val="批注主题 Char"/>
    <w:link w:val="CommentSubject"/>
    <w:rPr>
      <w:rFonts w:ascii="黑体" w:eastAsia="黑体"/>
      <w:b/>
      <w:kern w:val="2"/>
      <w:sz w:val="72"/>
      <w:lang w:bidi="ar-SA"/>
    </w:rPr>
  </w:style>
  <w:style w:type="paragraph" w:styleId="BodyTextFirstIndent">
    <w:name w:val="Body Text First Indent"/>
    <w:basedOn w:val="BodyText"/>
    <w:pPr>
      <w:spacing w:after="120" w:afterLines="0"/>
      <w:ind w:firstLine="420" w:firstLineChars="100"/>
    </w:pPr>
    <w:rPr>
      <w:rFonts w:eastAsia="宋体"/>
      <w:sz w:val="21"/>
      <w:lang w:val="en-US" w:eastAsia="zh-CN"/>
    </w:rPr>
  </w:style>
  <w:style w:type="paragraph" w:styleId="BodyTextFirstIndent2">
    <w:name w:val="Body Text First Indent 2"/>
    <w:basedOn w:val="BodyTextIndent"/>
    <w:next w:val="BodyTextFirstIndent"/>
    <w:link w:val="2Char10"/>
    <w:qFormat/>
    <w:pPr>
      <w:spacing w:after="120" w:line="240" w:lineRule="auto"/>
      <w:ind w:left="420" w:firstLine="420" w:leftChars="200"/>
    </w:pPr>
    <w:rPr>
      <w:rFonts w:ascii="Times New Roman" w:eastAsia="宋体"/>
      <w:color w:val="auto"/>
      <w:sz w:val="21"/>
    </w:rPr>
  </w:style>
  <w:style w:type="character" w:customStyle="1" w:styleId="2Char10">
    <w:name w:val="正文首行缩进 2 Char1"/>
    <w:link w:val="BodyTextFirstIndent2"/>
    <w:rPr>
      <w:rFonts w:ascii="仿宋_GB2312" w:eastAsia="仿宋_GB2312"/>
      <w:color w:val="0000FF"/>
      <w:kern w:val="2"/>
      <w:sz w:val="21"/>
      <w:szCs w:val="24"/>
      <w:lang w:val="en-US" w:eastAsia="zh-CN" w:bidi="ar-SA"/>
    </w:rPr>
  </w:style>
  <w:style w:type="table" w:styleId="TableGrid">
    <w:name w:val="Table Grid"/>
    <w:basedOn w:val="TableNormal"/>
    <w:unhideWhenUs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Pr>
      <w:b/>
      <w:bCs/>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qFormat/>
    <w:rPr>
      <w:i/>
      <w:iCs/>
    </w:rPr>
  </w:style>
  <w:style w:type="character" w:styleId="Hyperlink">
    <w:name w:val="Hyperlink"/>
    <w:uiPriority w:val="99"/>
    <w:rPr>
      <w:color w:val="0000FF"/>
      <w:u w:val="single"/>
    </w:rPr>
  </w:style>
  <w:style w:type="character" w:styleId="CommentReference">
    <w:name w:val="annotation reference"/>
    <w:rPr>
      <w:sz w:val="21"/>
      <w:szCs w:val="21"/>
    </w:rPr>
  </w:style>
  <w:style w:type="character" w:customStyle="1" w:styleId="edri-Char">
    <w:name w:val="edri-正文 Char"/>
    <w:link w:val="edri-"/>
    <w:rPr>
      <w:snapToGrid w:val="0"/>
      <w:kern w:val="2"/>
      <w:sz w:val="24"/>
      <w:szCs w:val="24"/>
    </w:rPr>
  </w:style>
  <w:style w:type="paragraph" w:customStyle="1" w:styleId="edri-">
    <w:name w:val="edri-正文"/>
    <w:basedOn w:val="Normal"/>
    <w:link w:val="edri-Char"/>
    <w:pPr>
      <w:spacing w:before="156" w:beforeLines="50" w:line="300" w:lineRule="auto"/>
      <w:ind w:right="15" w:firstLine="540" w:rightChars="7" w:firstLineChars="225"/>
      <w:jc w:val="left"/>
    </w:pPr>
    <w:rPr>
      <w:snapToGrid w:val="0"/>
      <w:sz w:val="24"/>
    </w:rPr>
  </w:style>
  <w:style w:type="character" w:customStyle="1" w:styleId="CharChar22">
    <w:name w:val="Char Char22"/>
    <w:rPr>
      <w:rFonts w:ascii="Plotter" w:hAnsi="Plotter"/>
      <w:b/>
      <w:kern w:val="20"/>
      <w:sz w:val="28"/>
    </w:rPr>
  </w:style>
  <w:style w:type="character" w:customStyle="1" w:styleId="Char12">
    <w:name w:val="正文文本缩进 Char1"/>
    <w:rPr>
      <w:rFonts w:ascii="Times New Roman" w:hAnsi="Times New Roman"/>
      <w:spacing w:val="20"/>
      <w:kern w:val="2"/>
      <w:sz w:val="21"/>
      <w:szCs w:val="24"/>
    </w:rPr>
  </w:style>
  <w:style w:type="character" w:customStyle="1" w:styleId="a">
    <w:name w:val="链接"/>
    <w:rPr>
      <w:rFonts w:ascii="Times New Roman" w:eastAsia="宋体"/>
      <w:dstrike w:val="0"/>
      <w:color w:val="0000FF"/>
      <w:sz w:val="21"/>
      <w:u w:val="single" w:color="0000FF"/>
      <w:vertAlign w:val="baseline"/>
      <w:lang w:val="en-US" w:eastAsia="zh-CN"/>
    </w:rPr>
  </w:style>
  <w:style w:type="character" w:customStyle="1" w:styleId="1Char0">
    <w:name w:val="普通文字1 Char"/>
    <w:aliases w:val="普通文字11 Char,普通文字2 Char,普通文字21 Char,普通文字3 Char,普通文字31 Char,普通文字4 Char,普通文字41 Char,普通文字5 Char,普通文字6 Char,普通文字7 Char Char"/>
    <w:rPr>
      <w:rFonts w:ascii="宋体" w:hAnsi="Courier New"/>
      <w:kern w:val="2"/>
      <w:sz w:val="21"/>
    </w:rPr>
  </w:style>
  <w:style w:type="character" w:customStyle="1" w:styleId="226Char1">
    <w:name w:val="样式 正文缩进 + 首行缩进:  2 字符 行距: 固定值 26 磅 Char1"/>
    <w:link w:val="226"/>
    <w:rPr>
      <w:rFonts w:eastAsia="宋体"/>
      <w:kern w:val="2"/>
      <w:sz w:val="28"/>
      <w:lang w:val="en-US" w:eastAsia="zh-CN" w:bidi="ar-SA"/>
    </w:rPr>
  </w:style>
  <w:style w:type="paragraph" w:customStyle="1" w:styleId="226">
    <w:name w:val="样式 正文缩进 + 首行缩进:  2 字符 行距: 固定值 26 磅"/>
    <w:basedOn w:val="NormalIndent"/>
    <w:link w:val="226Char1"/>
    <w:pPr>
      <w:spacing w:line="520" w:lineRule="exact"/>
      <w:ind w:firstLine="560"/>
    </w:pPr>
    <w:rPr>
      <w:sz w:val="28"/>
      <w:szCs w:val="20"/>
    </w:rPr>
  </w:style>
  <w:style w:type="character" w:customStyle="1" w:styleId="FeOCharChar">
    <w:name w:val="FeO正文仿宋+缩进 Char Char"/>
    <w:link w:val="FeO"/>
    <w:rPr>
      <w:rFonts w:eastAsia="宋体"/>
      <w:bCs/>
      <w:color w:val="000000"/>
      <w:spacing w:val="-2"/>
      <w:kern w:val="2"/>
      <w:sz w:val="28"/>
      <w:szCs w:val="28"/>
      <w:lang w:val="en-US" w:eastAsia="zh-CN" w:bidi="ar-SA"/>
    </w:rPr>
  </w:style>
  <w:style w:type="paragraph" w:customStyle="1" w:styleId="FeO">
    <w:name w:val="FeO正文仿宋+缩进"/>
    <w:basedOn w:val="Normal"/>
    <w:link w:val="FeOCharChar"/>
    <w:pPr>
      <w:ind w:firstLine="554" w:firstLineChars="200"/>
    </w:pPr>
    <w:rPr>
      <w:bCs/>
      <w:color w:val="000000"/>
      <w:spacing w:val="-2"/>
      <w:sz w:val="28"/>
      <w:szCs w:val="28"/>
    </w:rPr>
  </w:style>
  <w:style w:type="character" w:customStyle="1" w:styleId="style5style41">
    <w:name w:val="style5 style41"/>
    <w:basedOn w:val="DefaultParagraphFont"/>
  </w:style>
  <w:style w:type="character" w:customStyle="1" w:styleId="langwithname">
    <w:name w:val="langwithname"/>
    <w:basedOn w:val="DefaultParagraphFont"/>
  </w:style>
  <w:style w:type="character" w:customStyle="1" w:styleId="feonewtimeCharChar">
    <w:name w:val="feo正文宋体+new time Char Char"/>
    <w:link w:val="feonewtime"/>
    <w:rPr>
      <w:bCs/>
      <w:kern w:val="2"/>
      <w:sz w:val="28"/>
      <w:szCs w:val="28"/>
      <w:lang w:val="en-US" w:eastAsia="zh-CN" w:bidi="ar-SA"/>
    </w:rPr>
  </w:style>
  <w:style w:type="paragraph" w:customStyle="1" w:styleId="feonewtime">
    <w:name w:val="feo正文宋体+new time"/>
    <w:link w:val="feonewtimeCharChar"/>
    <w:pPr>
      <w:widowControl w:val="0"/>
      <w:ind w:firstLine="560" w:firstLineChars="200"/>
      <w:jc w:val="both"/>
    </w:pPr>
    <w:rPr>
      <w:bCs/>
      <w:kern w:val="2"/>
      <w:sz w:val="28"/>
      <w:szCs w:val="28"/>
      <w:lang w:val="en-US" w:eastAsia="zh-CN" w:bidi="ar-SA"/>
    </w:rPr>
  </w:style>
  <w:style w:type="character" w:customStyle="1" w:styleId="CharChar">
    <w:name w:val="无级正文 Char Char"/>
    <w:link w:val="a0"/>
    <w:rPr>
      <w:rFonts w:ascii="宋体" w:eastAsia="宋体" w:hAnsi="宋体"/>
      <w:kern w:val="2"/>
      <w:sz w:val="28"/>
      <w:szCs w:val="28"/>
      <w:lang w:bidi="ar-SA"/>
    </w:rPr>
  </w:style>
  <w:style w:type="paragraph" w:customStyle="1" w:styleId="a0">
    <w:name w:val="无级正文"/>
    <w:basedOn w:val="Normal"/>
    <w:link w:val="CharChar"/>
    <w:pPr>
      <w:tabs>
        <w:tab w:val="left" w:pos="5400"/>
      </w:tabs>
      <w:spacing w:line="480" w:lineRule="exact"/>
      <w:ind w:firstLine="560" w:firstLineChars="200"/>
    </w:pPr>
    <w:rPr>
      <w:rFonts w:ascii="宋体" w:hAnsi="宋体"/>
      <w:sz w:val="28"/>
      <w:szCs w:val="28"/>
    </w:rPr>
  </w:style>
  <w:style w:type="character" w:customStyle="1" w:styleId="1Char1">
    <w:name w:val="标题 1 Char1"/>
    <w:aliases w:val="-*+ Char,1st level Char,H1 Char,H11 Char,Section Head Char,b1 Char Char,b1 Char1,h1 Char,l1 Char,my标题1 Char,一级标题，黑粗，三号，序号 Char,可研-标题 1 Char,标1 Char,标题 1 Char Char Char,标题 1 Char Char1,标题yjm1 Char Char Char,章 Char,章标题 1 Char,章节标题 Char,第一章 Char"/>
    <w:rPr>
      <w:rFonts w:eastAsia="宋体"/>
      <w:b/>
      <w:bCs/>
      <w:kern w:val="44"/>
      <w:sz w:val="32"/>
      <w:szCs w:val="44"/>
      <w:lang w:val="en-US" w:eastAsia="zh-CN" w:bidi="ar-SA"/>
    </w:rPr>
  </w:style>
  <w:style w:type="character" w:customStyle="1" w:styleId="CharChar16">
    <w:name w:val="Char Char16"/>
    <w:rPr>
      <w:rFonts w:ascii="Plotter" w:hAnsi="Plotter"/>
      <w:b/>
      <w:kern w:val="2"/>
      <w:sz w:val="24"/>
    </w:rPr>
  </w:style>
  <w:style w:type="character" w:customStyle="1" w:styleId="CharChar15">
    <w:name w:val=" Char Char15"/>
    <w:rPr>
      <w:rFonts w:ascii="Times New Roman" w:hAnsi="Times New Roman"/>
      <w:spacing w:val="20"/>
      <w:kern w:val="2"/>
      <w:sz w:val="18"/>
      <w:szCs w:val="18"/>
    </w:rPr>
  </w:style>
  <w:style w:type="character" w:customStyle="1" w:styleId="textediteditable-title">
    <w:name w:val="text_edit editable-title"/>
    <w:basedOn w:val="DefaultParagraphFont"/>
  </w:style>
  <w:style w:type="character" w:customStyle="1" w:styleId="CS2CharChar">
    <w:name w:val="CS2 Char Char"/>
    <w:link w:val="CS2"/>
    <w:rPr>
      <w:rFonts w:ascii="Calibri" w:eastAsia="宋体" w:hAnsi="Calibri" w:cs="Angsana New"/>
      <w:color w:val="000000"/>
      <w:sz w:val="28"/>
      <w:szCs w:val="21"/>
      <w:u w:color="000000"/>
      <w:lang w:bidi="th-TH"/>
    </w:rPr>
  </w:style>
  <w:style w:type="paragraph" w:customStyle="1" w:styleId="CS2">
    <w:name w:val="CS2"/>
    <w:basedOn w:val="Normal"/>
    <w:next w:val="CS"/>
    <w:link w:val="CS2CharChar"/>
    <w:pPr>
      <w:numPr>
        <w:ilvl w:val="2"/>
        <w:numId w:val="3"/>
      </w:numPr>
      <w:adjustRightInd w:val="0"/>
      <w:snapToGrid w:val="0"/>
      <w:spacing w:line="480" w:lineRule="exact"/>
      <w:ind w:firstLineChars="200"/>
    </w:pPr>
    <w:rPr>
      <w:rFonts w:ascii="Calibri" w:hAnsi="Calibri" w:cs="Angsana New"/>
      <w:color w:val="000000"/>
      <w:kern w:val="0"/>
      <w:sz w:val="28"/>
      <w:szCs w:val="21"/>
      <w:u w:color="000000"/>
      <w:lang w:bidi="th-TH"/>
    </w:rPr>
  </w:style>
  <w:style w:type="paragraph" w:customStyle="1" w:styleId="CS">
    <w:name w:val="CS正文"/>
    <w:basedOn w:val="Normal"/>
    <w:link w:val="CSCharChar"/>
    <w:pPr>
      <w:adjustRightInd w:val="0"/>
      <w:snapToGrid w:val="0"/>
      <w:spacing w:line="480" w:lineRule="exact"/>
      <w:ind w:firstLine="560" w:firstLineChars="200"/>
    </w:pPr>
    <w:rPr>
      <w:rFonts w:cs="Angsana New"/>
      <w:color w:val="000000"/>
      <w:kern w:val="0"/>
      <w:sz w:val="28"/>
      <w:szCs w:val="21"/>
      <w:u w:color="000000"/>
      <w:lang w:bidi="th-TH"/>
    </w:rPr>
  </w:style>
  <w:style w:type="character" w:customStyle="1" w:styleId="CSCharChar">
    <w:name w:val="CS正文 Char Char"/>
    <w:link w:val="CS"/>
    <w:rPr>
      <w:rFonts w:eastAsia="宋体" w:cs="Angsana New"/>
      <w:color w:val="000000"/>
      <w:sz w:val="28"/>
      <w:szCs w:val="21"/>
      <w:u w:color="000000"/>
      <w:lang w:bidi="th-TH"/>
    </w:rPr>
  </w:style>
  <w:style w:type="character" w:customStyle="1" w:styleId="2Char11">
    <w:name w:val="正文文本缩进 2 Char1"/>
    <w:rPr>
      <w:rFonts w:ascii="Times New Roman" w:hAnsi="Times New Roman"/>
      <w:spacing w:val="20"/>
      <w:kern w:val="2"/>
      <w:sz w:val="21"/>
      <w:szCs w:val="24"/>
    </w:rPr>
  </w:style>
  <w:style w:type="character" w:customStyle="1" w:styleId="Char17">
    <w:name w:val="条 Char"/>
    <w:aliases w:val="- 3rd Order Heading Char,. (1.1.1) Char,1.1.1 Char,4.1.1标题 3 Char,H3 Char,H31 Char,H32 Char,H33 Char,H34 Char,Heading 3 - old Char,h3 sub heading Char,§1.1.1. Char,三级标题 Char,三级标题样式2004 Char,三级标题，黑粗，四号，序号 Char,可研-标题 3 Char,标3 Char,标题03 Char"/>
    <w:rPr>
      <w:b/>
      <w:bCs/>
      <w:sz w:val="32"/>
      <w:szCs w:val="32"/>
    </w:rPr>
  </w:style>
  <w:style w:type="character" w:customStyle="1" w:styleId="headline-content2">
    <w:name w:val="headline-content2"/>
    <w:basedOn w:val="DefaultParagraphFont"/>
  </w:style>
  <w:style w:type="character" w:customStyle="1" w:styleId="Char110">
    <w:name w:val="章 Char1"/>
    <w:aliases w:val="-*+ Char1,1st level Char1,H1 Char1,H12 Char,Part Char,Section Head Char1,b1 Char Char1,b1 Char2,h1 Char1,l1 Char1,my标题1 Char1,一级标题，黑粗，三号，序号 Char1,可研-标题 1 Char1,标1 Char1,标题 1 Char Char Char1,标题yjm1 Char Char Char1,章标题 1 Char1,章节标题 Char1,第一章 Char1"/>
    <w:rPr>
      <w:b/>
      <w:bCs/>
      <w:kern w:val="44"/>
      <w:sz w:val="44"/>
      <w:szCs w:val="44"/>
    </w:rPr>
  </w:style>
  <w:style w:type="character" w:customStyle="1" w:styleId="CharChar0">
    <w:name w:val="表格内容 Char Char"/>
    <w:link w:val="a1"/>
    <w:rPr>
      <w:rFonts w:ascii="Arial" w:eastAsia="宋体" w:hAnsi="Arial"/>
      <w:sz w:val="21"/>
      <w:lang w:val="en-US" w:eastAsia="zh-CN" w:bidi="ar-SA"/>
    </w:rPr>
  </w:style>
  <w:style w:type="paragraph" w:customStyle="1" w:styleId="a1">
    <w:name w:val="表格内容"/>
    <w:basedOn w:val="Normal"/>
    <w:link w:val="CharChar0"/>
    <w:pPr>
      <w:overflowPunct w:val="0"/>
      <w:adjustRightInd w:val="0"/>
      <w:textAlignment w:val="baseline"/>
    </w:pPr>
    <w:rPr>
      <w:rFonts w:ascii="Arial" w:hAnsi="Arial"/>
      <w:kern w:val="0"/>
      <w:szCs w:val="20"/>
    </w:rPr>
  </w:style>
  <w:style w:type="character" w:customStyle="1" w:styleId="CharChar160">
    <w:name w:val=" Char Char16"/>
    <w:rPr>
      <w:rFonts w:ascii="Times New Roman" w:hAnsi="Times New Roman"/>
      <w:spacing w:val="20"/>
      <w:kern w:val="2"/>
      <w:sz w:val="18"/>
      <w:szCs w:val="18"/>
    </w:rPr>
  </w:style>
  <w:style w:type="character" w:customStyle="1" w:styleId="content">
    <w:name w:val="content"/>
    <w:basedOn w:val="DefaultParagraphFont"/>
  </w:style>
  <w:style w:type="character" w:customStyle="1" w:styleId="CharChar17">
    <w:name w:val="Char Char17"/>
    <w:rPr>
      <w:rFonts w:ascii="Arial" w:eastAsia="黑体" w:hAnsi="Arial"/>
      <w:b/>
      <w:kern w:val="2"/>
      <w:sz w:val="24"/>
    </w:rPr>
  </w:style>
  <w:style w:type="character" w:customStyle="1" w:styleId="CharChar11">
    <w:name w:val="Char Char11"/>
    <w:rPr>
      <w:rFonts w:ascii="Times New Roman" w:hint="default"/>
      <w:kern w:val="2"/>
      <w:sz w:val="18"/>
    </w:rPr>
  </w:style>
  <w:style w:type="character" w:customStyle="1" w:styleId="style11">
    <w:name w:val="style11"/>
    <w:rPr>
      <w:rFonts w:ascii="Arial" w:hAnsi="Arial" w:cs="Arial" w:hint="default"/>
    </w:rPr>
  </w:style>
  <w:style w:type="character" w:customStyle="1" w:styleId="CharChar1">
    <w:name w:val="正文（首行缩进两字） Char Char1"/>
    <w:aliases w:val="s4 Char1,±êìa2 Char,标题4 Char Char,标题4 Char Char Char Char,正文不缩进 Char1,正文（首行缩进两字） Char Char Char Char Char Char Char Char Char Char1,正文（首行缩进两字） Char Char Char Char Char Char Char Char1,段1 Char,特点 Char1,表格标题 Char"/>
    <w:rPr>
      <w:rFonts w:eastAsia="宋体"/>
      <w:snapToGrid w:val="0"/>
      <w:sz w:val="28"/>
      <w:lang w:val="en-US" w:eastAsia="zh-CN" w:bidi="ar-SA"/>
    </w:rPr>
  </w:style>
  <w:style w:type="character" w:customStyle="1" w:styleId="diffchange">
    <w:name w:val="diffchange"/>
    <w:rPr>
      <w:b/>
      <w:bCs/>
      <w:color w:val="FF0000"/>
    </w:rPr>
  </w:style>
  <w:style w:type="character" w:customStyle="1" w:styleId="CharChar150">
    <w:name w:val="Char Char15"/>
    <w:rPr>
      <w:rFonts w:ascii="Arial" w:eastAsia="黑体" w:hAnsi="Arial"/>
      <w:kern w:val="2"/>
      <w:sz w:val="24"/>
    </w:rPr>
  </w:style>
  <w:style w:type="character" w:styleId="IntenseReference">
    <w:name w:val="Intense Reference"/>
    <w:qFormat/>
    <w:rPr>
      <w:b/>
      <w:bCs/>
      <w:smallCaps/>
      <w:color w:val="C0504D"/>
      <w:spacing w:val="5"/>
      <w:u w:val="single"/>
    </w:rPr>
  </w:style>
  <w:style w:type="character" w:customStyle="1" w:styleId="CharChar14">
    <w:name w:val=" Char Char14"/>
    <w:rPr>
      <w:rFonts w:ascii="Times New Roman" w:hAnsi="Times New Roman"/>
      <w:kern w:val="2"/>
      <w:sz w:val="28"/>
    </w:rPr>
  </w:style>
  <w:style w:type="character" w:styleId="BookTitle">
    <w:name w:val="Book Title"/>
    <w:qFormat/>
    <w:rPr>
      <w:b/>
      <w:bCs/>
      <w:smallCaps/>
      <w:spacing w:val="5"/>
    </w:rPr>
  </w:style>
  <w:style w:type="character" w:customStyle="1" w:styleId="Char21">
    <w:name w:val="明显引用 Char"/>
    <w:link w:val="IntenseQuote"/>
    <w:rPr>
      <w:rFonts w:ascii="Calibri" w:eastAsia="宋体" w:hAnsi="Calibri"/>
      <w:b/>
      <w:bCs/>
      <w:i/>
      <w:iCs/>
      <w:color w:val="4F81BD"/>
      <w:lang w:bidi="ar-SA"/>
    </w:rPr>
  </w:style>
  <w:style w:type="paragraph" w:styleId="IntenseQuote">
    <w:name w:val="Intense Quote"/>
    <w:basedOn w:val="Normal"/>
    <w:next w:val="Normal"/>
    <w:link w:val="Char21"/>
    <w:qFormat/>
    <w:pPr>
      <w:pBdr>
        <w:bottom w:val="single" w:sz="4" w:space="4" w:color="4F81BD"/>
      </w:pBdr>
      <w:spacing w:before="200" w:beforeLines="0" w:after="280" w:afterLines="0" w:line="348" w:lineRule="auto"/>
      <w:ind w:left="936" w:right="936" w:firstLine="200" w:firstLineChars="200"/>
    </w:pPr>
    <w:rPr>
      <w:rFonts w:ascii="Calibri" w:hAnsi="Calibri"/>
      <w:b/>
      <w:bCs/>
      <w:i/>
      <w:iCs/>
      <w:color w:val="4F81BD"/>
      <w:kern w:val="0"/>
      <w:sz w:val="20"/>
      <w:szCs w:val="20"/>
    </w:rPr>
  </w:style>
  <w:style w:type="character" w:customStyle="1" w:styleId="apple-style-span">
    <w:name w:val="apple-style-span"/>
    <w:basedOn w:val="DefaultParagraphFont"/>
  </w:style>
  <w:style w:type="character" w:customStyle="1" w:styleId="11CharChar">
    <w:name w:val="11无级正文 Char Char"/>
    <w:link w:val="11"/>
    <w:rPr>
      <w:rFonts w:ascii="宋体" w:hAnsi="宋体"/>
      <w:kern w:val="2"/>
      <w:sz w:val="28"/>
      <w:lang w:bidi="ar-SA"/>
    </w:rPr>
  </w:style>
  <w:style w:type="paragraph" w:customStyle="1" w:styleId="11">
    <w:name w:val="11无级正文"/>
    <w:basedOn w:val="Normal"/>
    <w:link w:val="11CharChar"/>
    <w:pPr>
      <w:tabs>
        <w:tab w:val="left" w:pos="5400"/>
      </w:tabs>
      <w:spacing w:line="480" w:lineRule="exact"/>
      <w:ind w:firstLine="560" w:firstLineChars="200"/>
    </w:pPr>
    <w:rPr>
      <w:rFonts w:ascii="宋体" w:hAnsi="宋体"/>
      <w:sz w:val="28"/>
      <w:szCs w:val="20"/>
    </w:rPr>
  </w:style>
  <w:style w:type="character" w:customStyle="1" w:styleId="puzi1">
    <w:name w:val="puzi1"/>
    <w:rPr>
      <w:rFonts w:ascii="ˎ̥" w:hAnsi="ˎ̥" w:hint="default"/>
      <w:color w:val="000000"/>
      <w:sz w:val="16"/>
      <w:szCs w:val="16"/>
    </w:rPr>
  </w:style>
  <w:style w:type="character" w:customStyle="1" w:styleId="2Char3">
    <w:name w:val="正文（行首缩进2字） Char"/>
    <w:link w:val="2"/>
    <w:rPr>
      <w:sz w:val="24"/>
    </w:rPr>
  </w:style>
  <w:style w:type="paragraph" w:customStyle="1" w:styleId="2">
    <w:name w:val="正文（行首缩进2字）"/>
    <w:basedOn w:val="Normal"/>
    <w:link w:val="2Char3"/>
    <w:pPr>
      <w:spacing w:after="156" w:afterLines="50" w:line="360" w:lineRule="auto"/>
      <w:ind w:firstLine="200" w:firstLineChars="200"/>
    </w:pPr>
    <w:rPr>
      <w:kern w:val="0"/>
      <w:sz w:val="24"/>
      <w:szCs w:val="20"/>
    </w:rPr>
  </w:style>
  <w:style w:type="character" w:styleId="SubtleEmphasis">
    <w:name w:val="Subtle Emphasis"/>
    <w:qFormat/>
    <w:rPr>
      <w:i/>
      <w:iCs/>
      <w:color w:val="808080"/>
    </w:rPr>
  </w:style>
  <w:style w:type="character" w:customStyle="1" w:styleId="11CharChar0">
    <w:name w:val="1.1标题 Char Char"/>
    <w:rPr>
      <w:rFonts w:ascii="Cambria" w:eastAsia="宋体" w:hAnsi="Cambria" w:cs="Times New Roman"/>
      <w:b/>
      <w:bCs/>
      <w:sz w:val="32"/>
      <w:szCs w:val="32"/>
    </w:rPr>
  </w:style>
  <w:style w:type="character" w:customStyle="1" w:styleId="1Char12">
    <w:name w:val="普通文字1 Char1"/>
    <w:aliases w:val="普通文字11 Char1,普通文字2 Char1,普通文字21 Char1,普通文字3 Char1,普通文字31 Char1,普通文字4 Char1,普通文字41 Char1,普通文字5 Char1,普通文字6 Char1,普通文字7 Char Char1"/>
    <w:rPr>
      <w:rFonts w:ascii="宋体" w:hAnsi="Courier New"/>
      <w:kern w:val="2"/>
      <w:sz w:val="21"/>
    </w:rPr>
  </w:style>
  <w:style w:type="character" w:customStyle="1" w:styleId="CharCharChar1">
    <w:name w:val="正文缩进 Char Char Char1"/>
    <w:aliases w:val="s4 Char,正文2 Char,正文缩进 Char Char Char Char Char Char,正文缩进 Char Char Char Char Char1,正文缩进 Char Char Char Char1,正文缩进 Char1 Char Char Char,正文缩进 Char2 Char Char,正文（首行缩进两字） Char Char,正文（首行缩进两字） Char Char Char Char,正文（首行缩进两字） Char1 Char Char"/>
    <w:rPr>
      <w:rFonts w:eastAsia="宋体"/>
      <w:kern w:val="2"/>
      <w:sz w:val="21"/>
      <w:lang w:val="en-US" w:eastAsia="zh-CN" w:bidi="ar-SA"/>
    </w:rPr>
  </w:style>
  <w:style w:type="character" w:customStyle="1" w:styleId="CS4CharChar">
    <w:name w:val="CS4 Char Char"/>
    <w:link w:val="CS4"/>
    <w:rPr>
      <w:rFonts w:ascii="Calibri" w:eastAsia="宋体" w:hAnsi="Calibri" w:cs="Angsana New"/>
      <w:color w:val="000000"/>
      <w:sz w:val="28"/>
      <w:szCs w:val="21"/>
      <w:u w:color="000000"/>
      <w:lang w:bidi="th-TH"/>
    </w:rPr>
  </w:style>
  <w:style w:type="paragraph" w:customStyle="1" w:styleId="CS4">
    <w:name w:val="CS4"/>
    <w:basedOn w:val="Normal"/>
    <w:next w:val="CS"/>
    <w:link w:val="CS4CharChar"/>
    <w:pPr>
      <w:tabs>
        <w:tab w:val="left" w:pos="345"/>
      </w:tabs>
      <w:adjustRightInd w:val="0"/>
      <w:snapToGrid w:val="0"/>
      <w:spacing w:line="480" w:lineRule="exact"/>
      <w:ind w:left="345" w:hanging="345" w:firstLineChars="200"/>
    </w:pPr>
    <w:rPr>
      <w:rFonts w:ascii="Calibri" w:hAnsi="Calibri" w:cs="Angsana New"/>
      <w:color w:val="000000"/>
      <w:kern w:val="0"/>
      <w:sz w:val="28"/>
      <w:szCs w:val="21"/>
      <w:u w:color="000000"/>
      <w:lang w:bidi="th-TH"/>
    </w:rPr>
  </w:style>
  <w:style w:type="character" w:customStyle="1" w:styleId="Char22">
    <w:name w:val="引用 Char"/>
    <w:link w:val="Quote"/>
    <w:rPr>
      <w:rFonts w:ascii="Calibri" w:eastAsia="宋体" w:hAnsi="Calibri"/>
      <w:i/>
      <w:iCs/>
      <w:color w:val="000000"/>
      <w:lang w:bidi="ar-SA"/>
    </w:rPr>
  </w:style>
  <w:style w:type="paragraph" w:styleId="Quote">
    <w:name w:val="Quote"/>
    <w:basedOn w:val="Normal"/>
    <w:next w:val="Normal"/>
    <w:link w:val="Char22"/>
    <w:qFormat/>
    <w:pPr>
      <w:spacing w:line="348" w:lineRule="auto"/>
      <w:ind w:firstLine="200" w:firstLineChars="200"/>
    </w:pPr>
    <w:rPr>
      <w:rFonts w:ascii="Calibri" w:hAnsi="Calibri"/>
      <w:i/>
      <w:iCs/>
      <w:color w:val="000000"/>
      <w:kern w:val="0"/>
      <w:sz w:val="20"/>
      <w:szCs w:val="20"/>
    </w:rPr>
  </w:style>
  <w:style w:type="character" w:customStyle="1" w:styleId="CharChar19">
    <w:name w:val="Char Char19"/>
    <w:rPr>
      <w:rFonts w:ascii="Arial" w:eastAsia="黑体" w:hAnsi="Arial"/>
      <w:b/>
      <w:kern w:val="2"/>
      <w:sz w:val="28"/>
    </w:rPr>
  </w:style>
  <w:style w:type="character" w:customStyle="1" w:styleId="Char116">
    <w:name w:val="批注框文本 Char1"/>
    <w:rPr>
      <w:kern w:val="2"/>
      <w:sz w:val="18"/>
      <w:szCs w:val="18"/>
    </w:rPr>
  </w:style>
  <w:style w:type="character" w:styleId="SubtleReference">
    <w:name w:val="Subtle Reference"/>
    <w:qFormat/>
    <w:rPr>
      <w:smallCaps/>
      <w:color w:val="C0504D"/>
      <w:u w:val="single"/>
    </w:rPr>
  </w:style>
  <w:style w:type="character" w:customStyle="1" w:styleId="3CharChar">
    <w:name w:val="评价标题3 Char Char"/>
    <w:link w:val="3"/>
    <w:rPr>
      <w:rFonts w:ascii="黑体" w:eastAsia="黑体" w:hAnsi="宋体"/>
      <w:bCs/>
      <w:kern w:val="2"/>
      <w:sz w:val="28"/>
      <w:szCs w:val="24"/>
      <w:lang w:val="en-US" w:eastAsia="zh-CN" w:bidi="ar-SA"/>
    </w:rPr>
  </w:style>
  <w:style w:type="paragraph" w:customStyle="1" w:styleId="3">
    <w:name w:val="评价标题3"/>
    <w:basedOn w:val="Normal"/>
    <w:link w:val="3CharChar"/>
    <w:pPr>
      <w:spacing w:before="156" w:beforeLines="50" w:after="156" w:afterLines="50" w:line="600" w:lineRule="exact"/>
      <w:jc w:val="left"/>
    </w:pPr>
    <w:rPr>
      <w:rFonts w:ascii="黑体" w:eastAsia="黑体" w:hAnsi="宋体"/>
      <w:bCs/>
      <w:sz w:val="28"/>
    </w:rPr>
  </w:style>
  <w:style w:type="character" w:customStyle="1" w:styleId="1">
    <w:name w:val="正文1"/>
    <w:rPr>
      <w:rFonts w:ascii="宋体" w:eastAsia="宋体" w:hAnsi="宋体" w:hint="eastAsia"/>
      <w:sz w:val="22"/>
    </w:rPr>
  </w:style>
  <w:style w:type="character" w:styleId="IntenseEmphasis">
    <w:name w:val="Intense Emphasis"/>
    <w:qFormat/>
    <w:rPr>
      <w:b/>
      <w:bCs/>
      <w:i/>
      <w:iCs/>
      <w:color w:val="4F81BD"/>
    </w:rPr>
  </w:style>
  <w:style w:type="character" w:customStyle="1" w:styleId="215CharChar">
    <w:name w:val="样式 正文缩进 + 首行缩进: 2字符 + 宋体 1.5倍行距 Char Char"/>
    <w:link w:val="215"/>
    <w:rPr>
      <w:kern w:val="2"/>
      <w:sz w:val="24"/>
      <w:lang w:bidi="ar-SA"/>
    </w:rPr>
  </w:style>
  <w:style w:type="paragraph" w:customStyle="1" w:styleId="215">
    <w:name w:val="样式 正文缩进 + 首行缩进: 2字符 + 宋体 1.5倍行距"/>
    <w:basedOn w:val="Normal"/>
    <w:link w:val="215CharChar"/>
    <w:pPr>
      <w:widowControl/>
      <w:adjustRightInd w:val="0"/>
      <w:snapToGrid w:val="0"/>
      <w:spacing w:line="360" w:lineRule="auto"/>
      <w:ind w:firstLine="200" w:firstLineChars="200"/>
    </w:pPr>
    <w:rPr>
      <w:sz w:val="24"/>
      <w:szCs w:val="20"/>
    </w:rPr>
  </w:style>
  <w:style w:type="character" w:customStyle="1" w:styleId="CharChar21">
    <w:name w:val="Char Char21"/>
    <w:rPr>
      <w:rFonts w:ascii="Arial" w:hAnsi="Arial"/>
      <w:kern w:val="2"/>
      <w:sz w:val="28"/>
    </w:rPr>
  </w:style>
  <w:style w:type="character" w:customStyle="1" w:styleId="CharChar18">
    <w:name w:val="Char Char18"/>
    <w:rPr>
      <w:rFonts w:ascii="Plotter" w:hAnsi="Plotter"/>
      <w:b/>
      <w:kern w:val="2"/>
      <w:sz w:val="28"/>
    </w:rPr>
  </w:style>
  <w:style w:type="character" w:customStyle="1" w:styleId="CharChar20">
    <w:name w:val="Char Char20"/>
    <w:rPr>
      <w:rFonts w:ascii="Plotter" w:hAnsi="Plotter"/>
      <w:kern w:val="2"/>
      <w:sz w:val="28"/>
    </w:rPr>
  </w:style>
  <w:style w:type="character" w:customStyle="1" w:styleId="1Char5">
    <w:name w:val="页眉1 Char"/>
    <w:aliases w:val="页眉2 Char Char"/>
    <w:rPr>
      <w:rFonts w:eastAsia="宋体"/>
      <w:kern w:val="2"/>
      <w:sz w:val="18"/>
      <w:szCs w:val="18"/>
      <w:lang w:val="en-US" w:eastAsia="zh-CN" w:bidi="ar-SA"/>
    </w:rPr>
  </w:style>
  <w:style w:type="character" w:customStyle="1" w:styleId="Char117">
    <w:name w:val="文档结构图 Char1"/>
    <w:rPr>
      <w:rFonts w:ascii="宋体"/>
      <w:kern w:val="2"/>
      <w:sz w:val="18"/>
      <w:szCs w:val="18"/>
    </w:rPr>
  </w:style>
  <w:style w:type="character" w:customStyle="1" w:styleId="CharChar8">
    <w:name w:val="Char Char8"/>
    <w:rPr>
      <w:rFonts w:ascii="仿宋_GB2312" w:eastAsia="仿宋_GB2312"/>
      <w:kern w:val="2"/>
      <w:sz w:val="28"/>
      <w:szCs w:val="24"/>
      <w:lang w:val="en-US" w:eastAsia="zh-CN" w:bidi="ar-SA"/>
    </w:rPr>
  </w:style>
  <w:style w:type="character" w:customStyle="1" w:styleId="style3">
    <w:name w:val="style3"/>
    <w:basedOn w:val="DefaultParagraphFont"/>
  </w:style>
  <w:style w:type="character" w:customStyle="1" w:styleId="CharChar3">
    <w:name w:val="普通文字 Char Char"/>
    <w:aliases w:val="孙普文字 Char,普通文字 Char Char Char Char Char Char Char,首行缩进 Char Char Char,首行缩进 Char Char1,首行缩进 Char1"/>
    <w:rPr>
      <w:rFonts w:ascii="宋体" w:eastAsia="宋体" w:hAnsi="Courier New"/>
      <w:kern w:val="2"/>
      <w:sz w:val="28"/>
      <w:lang w:val="en-US" w:eastAsia="zh-CN" w:bidi="ar-SA"/>
    </w:rPr>
  </w:style>
  <w:style w:type="character" w:customStyle="1" w:styleId="CharChar4">
    <w:name w:val="正文文本缩进 Char Char"/>
    <w:link w:val="BodyTextIndent0"/>
    <w:rPr>
      <w:rFonts w:eastAsia="宋体"/>
      <w:lang w:bidi="ar-SA"/>
    </w:rPr>
  </w:style>
  <w:style w:type="paragraph" w:customStyle="1" w:styleId="BodyTextIndent0">
    <w:name w:val="Body Text Indent"/>
    <w:basedOn w:val="Normal"/>
    <w:link w:val="CharChar4"/>
    <w:pPr>
      <w:spacing w:after="120" w:afterLines="0"/>
      <w:ind w:left="420" w:leftChars="200"/>
    </w:pPr>
    <w:rPr>
      <w:kern w:val="0"/>
      <w:sz w:val="20"/>
      <w:szCs w:val="20"/>
    </w:rPr>
  </w:style>
  <w:style w:type="character" w:customStyle="1" w:styleId="4Char2">
    <w:name w:val="标题 4 Char2"/>
    <w:aliases w:val="1.1.1.1 Char Char Char Char,1.1.1.1 Char Char1,1.1.1.1 Char1,H4 Char,H41 Char,H411 Char,H42 Char,H421 Char,H43 Char,H44 Char,h4 Char,h4 sub sub heading Char,四级标题，黑粗，小四，序号 Char,标4 Char1,标题 4 Char Char,标题 4.1.1.1.1 Char,款 Char,段 Char,第三层条 Char"/>
    <w:rPr>
      <w:rFonts w:ascii="Arial" w:eastAsia="黑体" w:hAnsi="Arial"/>
      <w:b/>
      <w:kern w:val="2"/>
      <w:sz w:val="28"/>
      <w:lang w:val="en-US" w:eastAsia="zh-CN" w:bidi="ar-SA"/>
    </w:rPr>
  </w:style>
  <w:style w:type="paragraph" w:customStyle="1" w:styleId="xl40">
    <w:name w:val="xl40"/>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xl24">
    <w:name w:val="xl24"/>
    <w:basedOn w:val="Normal"/>
    <w:pPr>
      <w:widowControl/>
      <w:pBdr>
        <w:bottom w:val="single" w:sz="4" w:space="0" w:color="auto"/>
        <w:right w:val="single" w:sz="4" w:space="0" w:color="auto"/>
      </w:pBdr>
      <w:spacing w:before="100" w:beforeLines="0" w:beforeAutospacing="1" w:after="100" w:afterLines="0" w:afterAutospacing="1"/>
      <w:textAlignment w:val="top"/>
    </w:pPr>
    <w:rPr>
      <w:rFonts w:ascii="宋体" w:hAnsi="宋体"/>
      <w:kern w:val="0"/>
      <w:szCs w:val="21"/>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71">
    <w:name w:val="xl71"/>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2">
    <w:name w:val="建设单位名称"/>
    <w:basedOn w:val="Normal"/>
    <w:pPr>
      <w:spacing w:line="960" w:lineRule="exact"/>
      <w:ind w:firstLine="200" w:firstLineChars="200"/>
      <w:jc w:val="center"/>
    </w:pPr>
    <w:rPr>
      <w:rFonts w:ascii="Calibri" w:hAnsi="Calibri" w:hint="eastAsia"/>
      <w:b/>
      <w:sz w:val="44"/>
      <w:szCs w:val="20"/>
    </w:rPr>
  </w:style>
  <w:style w:type="paragraph" w:customStyle="1" w:styleId="xl33">
    <w:name w:val="xl33"/>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宋体" w:hAnsi="宋体"/>
      <w:kern w:val="0"/>
      <w:sz w:val="20"/>
      <w:szCs w:val="20"/>
    </w:rPr>
  </w:style>
  <w:style w:type="paragraph" w:customStyle="1" w:styleId="font7">
    <w:name w:val="font7"/>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0"/>
      <w:szCs w:val="20"/>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10">
    <w:name w:val="节能1级"/>
    <w:basedOn w:val="12"/>
    <w:pPr>
      <w:spacing w:line="460" w:lineRule="atLeast"/>
    </w:pPr>
    <w:rPr>
      <w:rFonts w:ascii="宋体" w:eastAsia="宋体"/>
      <w:color w:val="000000"/>
    </w:rPr>
  </w:style>
  <w:style w:type="paragraph" w:customStyle="1" w:styleId="12">
    <w:name w:val="职安1级"/>
    <w:basedOn w:val="Normal"/>
    <w:pPr>
      <w:spacing w:line="480" w:lineRule="exact"/>
      <w:ind w:firstLine="200" w:firstLineChars="200"/>
    </w:pPr>
    <w:rPr>
      <w:rFonts w:ascii="黑体" w:eastAsia="黑体" w:hAnsi="宋体"/>
      <w:sz w:val="28"/>
      <w:szCs w:val="28"/>
    </w:rPr>
  </w:style>
  <w:style w:type="paragraph" w:customStyle="1" w:styleId="17">
    <w:name w:val="样式 宋体 五号 居中 行距: 固定值 17 磅"/>
    <w:basedOn w:val="Normal"/>
    <w:pPr>
      <w:spacing w:line="320" w:lineRule="exact"/>
      <w:jc w:val="center"/>
    </w:pPr>
    <w:rPr>
      <w:rFonts w:ascii="宋体" w:hAnsi="宋体" w:cs="宋体"/>
      <w:szCs w:val="20"/>
    </w:rPr>
  </w:style>
  <w:style w:type="paragraph" w:customStyle="1" w:styleId="20">
    <w:name w:val="职安2级"/>
    <w:basedOn w:val="Normal"/>
    <w:pPr>
      <w:spacing w:line="480" w:lineRule="exact"/>
      <w:ind w:firstLine="200" w:firstLineChars="200"/>
    </w:pPr>
    <w:rPr>
      <w:rFonts w:ascii="宋体" w:hAnsi="宋体"/>
      <w:sz w:val="28"/>
      <w:szCs w:val="28"/>
    </w:rPr>
  </w:style>
  <w:style w:type="paragraph" w:customStyle="1" w:styleId="xl36">
    <w:name w:val="xl36"/>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45">
    <w:name w:val="xl4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0"/>
      <w:szCs w:val="20"/>
    </w:rPr>
  </w:style>
  <w:style w:type="paragraph" w:customStyle="1" w:styleId="reader-word-layerreader-word-s1-1">
    <w:name w:val="reader-word-layer reader-word-s1-1"/>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xl66">
    <w:name w:val="xl66"/>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xl64">
    <w:name w:val="xl64"/>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13">
    <w:name w:val="样式 正文首行缩进 + 四号 首行缩进:  1 字符"/>
    <w:basedOn w:val="BodyTextFirstIndent"/>
    <w:pPr>
      <w:spacing w:after="0" w:afterLines="0" w:line="500" w:lineRule="exact"/>
      <w:ind w:firstLine="480" w:firstLineChars="200"/>
    </w:pPr>
    <w:rPr>
      <w:sz w:val="24"/>
    </w:rPr>
  </w:style>
  <w:style w:type="paragraph" w:customStyle="1" w:styleId="30">
    <w:name w:val="建筑3级"/>
    <w:basedOn w:val="Normal"/>
    <w:pPr>
      <w:spacing w:line="480" w:lineRule="exact"/>
      <w:ind w:firstLine="200" w:firstLineChars="200"/>
    </w:pPr>
    <w:rPr>
      <w:rFonts w:ascii="宋体" w:hAnsi="宋体"/>
      <w:sz w:val="28"/>
      <w:szCs w:val="28"/>
    </w:rPr>
  </w:style>
  <w:style w:type="paragraph" w:customStyle="1" w:styleId="a3">
    <w:name w:val="文章总标题"/>
    <w:basedOn w:val="Normal"/>
    <w:pPr>
      <w:widowControl/>
      <w:spacing w:before="566" w:beforeLines="0" w:after="544" w:afterLines="0" w:line="566" w:lineRule="atLeast"/>
      <w:ind w:firstLine="200" w:firstLineChars="200"/>
      <w:jc w:val="center"/>
      <w:textAlignment w:val="baseline"/>
    </w:pPr>
    <w:rPr>
      <w:rFonts w:ascii="Arial" w:eastAsia="黑体" w:hAnsi="Calibri"/>
      <w:color w:val="000000"/>
      <w:kern w:val="0"/>
      <w:sz w:val="54"/>
      <w:szCs w:val="20"/>
      <w:u w:color="000000"/>
    </w:rPr>
  </w:style>
  <w:style w:type="paragraph" w:customStyle="1" w:styleId="Normal1">
    <w:name w:val="Normal1"/>
    <w:basedOn w:val="Normal"/>
    <w:pPr>
      <w:adjustRightInd w:val="0"/>
      <w:spacing w:line="360" w:lineRule="auto"/>
      <w:ind w:firstLine="200" w:firstLineChars="200"/>
      <w:textAlignment w:val="baseline"/>
    </w:pPr>
    <w:rPr>
      <w:rFonts w:ascii="Calibri" w:hAnsi="Calibri"/>
      <w:kern w:val="0"/>
      <w:sz w:val="24"/>
      <w:szCs w:val="20"/>
    </w:rPr>
  </w:style>
  <w:style w:type="paragraph" w:customStyle="1" w:styleId="xl25">
    <w:name w:val="xl25"/>
    <w:basedOn w:val="Normal"/>
    <w:pPr>
      <w:widowControl/>
      <w:spacing w:before="100" w:beforeLines="0" w:beforeAutospacing="1" w:after="100" w:afterLines="0" w:afterAutospacing="1" w:line="348" w:lineRule="auto"/>
      <w:ind w:firstLine="200" w:firstLineChars="200"/>
      <w:jc w:val="center"/>
    </w:pPr>
    <w:rPr>
      <w:rFonts w:ascii="宋体" w:hAnsi="宋体"/>
      <w:kern w:val="0"/>
      <w:sz w:val="24"/>
      <w:szCs w:val="20"/>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2"/>
      <w:szCs w:val="22"/>
    </w:rPr>
  </w:style>
  <w:style w:type="paragraph" w:customStyle="1" w:styleId="bin3">
    <w:name w:val="bin 3"/>
    <w:basedOn w:val="Heading7"/>
    <w:next w:val="Normal"/>
    <w:pPr>
      <w:numPr>
        <w:ilvl w:val="2"/>
        <w:numId w:val="4"/>
      </w:numPr>
      <w:tabs>
        <w:tab w:val="left" w:pos="1260"/>
      </w:tabs>
      <w:spacing w:line="480" w:lineRule="exact"/>
      <w:ind w:left="1260" w:hanging="420"/>
      <w:outlineLvl w:val="2"/>
    </w:pPr>
    <w:rPr>
      <w:rFonts w:ascii="Times New Roman"/>
      <w:bCs w:val="0"/>
    </w:rPr>
  </w:style>
  <w:style w:type="paragraph" w:customStyle="1" w:styleId="21">
    <w:name w:val="2级电气"/>
    <w:basedOn w:val="Normal"/>
    <w:pPr>
      <w:spacing w:line="480" w:lineRule="exact"/>
      <w:ind w:firstLine="560" w:firstLineChars="200"/>
    </w:pPr>
    <w:rPr>
      <w:rFonts w:ascii="宋体" w:hAnsi="宋体"/>
      <w:color w:val="000000"/>
      <w:sz w:val="28"/>
      <w:szCs w:val="28"/>
    </w:rPr>
  </w:style>
  <w:style w:type="paragraph" w:customStyle="1" w:styleId="xl61">
    <w:name w:val="xl61"/>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xl43">
    <w:name w:val="xl4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xl22">
    <w:name w:val="xl22"/>
    <w:basedOn w:val="Normal"/>
    <w:pPr>
      <w:widowControl/>
      <w:pBdr>
        <w:bottom w:val="single" w:sz="4" w:space="0" w:color="auto"/>
        <w:right w:val="single" w:sz="4" w:space="0" w:color="auto"/>
      </w:pBdr>
      <w:spacing w:before="100" w:beforeLines="0" w:beforeAutospacing="1" w:after="100" w:afterLines="0" w:afterAutospacing="1"/>
    </w:pPr>
    <w:rPr>
      <w:kern w:val="0"/>
      <w:szCs w:val="21"/>
    </w:rPr>
  </w:style>
  <w:style w:type="paragraph" w:customStyle="1" w:styleId="14">
    <w:name w:val="1级"/>
    <w:basedOn w:val="Normal"/>
    <w:pPr>
      <w:spacing w:line="480" w:lineRule="exact"/>
      <w:ind w:firstLine="200" w:firstLineChars="200"/>
      <w:outlineLvl w:val="0"/>
    </w:pPr>
    <w:rPr>
      <w:rFonts w:ascii="宋体" w:hAnsi="宋体"/>
      <w:b/>
      <w:color w:val="000000"/>
      <w:sz w:val="28"/>
      <w:szCs w:val="28"/>
    </w:rPr>
  </w:style>
  <w:style w:type="paragraph" w:customStyle="1" w:styleId="reader-word-layerreader-word-s1-1reader-word-s1-5">
    <w:name w:val="reader-word-layer reader-word-s1-1 reader-word-s1-5"/>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a4">
    <w:name w:val="章标题"/>
    <w:basedOn w:val="Normal"/>
    <w:pPr>
      <w:widowControl/>
      <w:spacing w:before="158" w:beforeLines="0" w:after="153" w:afterLines="0" w:line="323" w:lineRule="atLeast"/>
      <w:ind w:firstLine="200" w:firstLineChars="200"/>
      <w:jc w:val="center"/>
      <w:textAlignment w:val="baseline"/>
    </w:pPr>
    <w:rPr>
      <w:rFonts w:ascii="Arial" w:eastAsia="黑体" w:hAnsi="Calibri"/>
      <w:color w:val="000000"/>
      <w:kern w:val="0"/>
      <w:sz w:val="31"/>
      <w:szCs w:val="20"/>
      <w:u w:color="000000"/>
    </w:rPr>
  </w:style>
  <w:style w:type="paragraph" w:customStyle="1" w:styleId="reader-word-layerreader-word-s1-1reader-word-s1-6">
    <w:name w:val="reader-word-layer reader-word-s1-1 reader-word-s1-6"/>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Default">
    <w:name w:val="Default"/>
    <w:pPr>
      <w:widowControl w:val="0"/>
      <w:autoSpaceDE w:val="0"/>
      <w:autoSpaceDN w:val="0"/>
      <w:adjustRightInd w:val="0"/>
    </w:pPr>
    <w:rPr>
      <w:rFonts w:ascii="仿宋_GB2312" w:eastAsia="仿宋_GB2312" w:cs="仿宋_GB2312"/>
      <w:color w:val="000000"/>
      <w:sz w:val="24"/>
      <w:szCs w:val="24"/>
      <w:lang w:val="en-US" w:eastAsia="zh-CN" w:bidi="ar-SA"/>
    </w:rPr>
  </w:style>
  <w:style w:type="paragraph" w:customStyle="1" w:styleId="bin1">
    <w:name w:val="bin 1"/>
    <w:basedOn w:val="Heading5"/>
    <w:next w:val="Normal"/>
    <w:pPr>
      <w:numPr>
        <w:ilvl w:val="0"/>
        <w:numId w:val="4"/>
      </w:numPr>
      <w:tabs>
        <w:tab w:val="left" w:pos="1340"/>
      </w:tabs>
      <w:spacing w:before="360" w:after="40" w:line="480" w:lineRule="exact"/>
      <w:ind w:left="946" w:firstLine="34"/>
      <w:outlineLvl w:val="0"/>
    </w:pPr>
    <w:rPr>
      <w:rFonts w:ascii="Times New Roman" w:eastAsia="黑体" w:hAnsi="Times New Roman"/>
      <w:bCs w:val="0"/>
    </w:rPr>
  </w:style>
  <w:style w:type="paragraph" w:customStyle="1" w:styleId="22">
    <w:name w:val="消防2级"/>
    <w:basedOn w:val="20"/>
  </w:style>
  <w:style w:type="paragraph" w:customStyle="1" w:styleId="15">
    <w:name w:val="动力1级"/>
    <w:basedOn w:val="Normal"/>
    <w:pPr>
      <w:spacing w:line="480" w:lineRule="exact"/>
      <w:ind w:firstLine="560" w:firstLineChars="200"/>
    </w:pPr>
    <w:rPr>
      <w:rFonts w:ascii="宋体" w:hAnsi="宋体"/>
      <w:color w:val="000000"/>
      <w:sz w:val="28"/>
      <w:szCs w:val="28"/>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color w:val="000000"/>
      <w:kern w:val="0"/>
      <w:sz w:val="20"/>
      <w:szCs w:val="20"/>
    </w:rPr>
  </w:style>
  <w:style w:type="paragraph" w:customStyle="1" w:styleId="a5">
    <w:name w:val="文章附标题"/>
    <w:basedOn w:val="Normal"/>
    <w:pPr>
      <w:widowControl/>
      <w:spacing w:before="187" w:beforeLines="0" w:after="175" w:afterLines="0" w:line="374" w:lineRule="atLeast"/>
      <w:ind w:firstLine="200" w:firstLineChars="200"/>
      <w:jc w:val="center"/>
      <w:textAlignment w:val="baseline"/>
    </w:pPr>
    <w:rPr>
      <w:rFonts w:ascii="Calibri" w:hAnsi="Calibri"/>
      <w:color w:val="000000"/>
      <w:kern w:val="0"/>
      <w:sz w:val="36"/>
      <w:szCs w:val="20"/>
      <w:u w:color="000000"/>
    </w:rPr>
  </w:style>
  <w:style w:type="paragraph" w:customStyle="1" w:styleId="xl55">
    <w:name w:val="xl5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textAlignment w:val="center"/>
    </w:pPr>
    <w:rPr>
      <w:rFonts w:ascii="Calibri" w:hAnsi="Calibri"/>
      <w:kern w:val="0"/>
      <w:sz w:val="22"/>
      <w:szCs w:val="22"/>
    </w:rPr>
  </w:style>
  <w:style w:type="paragraph" w:customStyle="1" w:styleId="31">
    <w:name w:val="3级"/>
    <w:basedOn w:val="23"/>
  </w:style>
  <w:style w:type="paragraph" w:customStyle="1" w:styleId="23">
    <w:name w:val="2级"/>
    <w:basedOn w:val="Normal"/>
    <w:pPr>
      <w:spacing w:line="480" w:lineRule="exact"/>
      <w:ind w:firstLine="200" w:firstLineChars="200"/>
    </w:pPr>
    <w:rPr>
      <w:rFonts w:ascii="宋体" w:hAnsi="宋体"/>
      <w:sz w:val="28"/>
      <w:szCs w:val="28"/>
    </w:rPr>
  </w:style>
  <w:style w:type="paragraph" w:customStyle="1" w:styleId="110">
    <w:name w:val="11正文"/>
    <w:basedOn w:val="11"/>
    <w:pPr>
      <w:tabs>
        <w:tab w:val="left" w:pos="5400"/>
      </w:tabs>
      <w:ind w:firstLine="0" w:firstLineChars="0"/>
    </w:pPr>
    <w:rPr>
      <w:rFonts w:cs="宋体"/>
      <w:snapToGrid w:val="0"/>
      <w:color w:val="000000"/>
      <w:kern w:val="0"/>
      <w:szCs w:val="28"/>
      <w:lang w:val="zh-CN"/>
    </w:rPr>
  </w:style>
  <w:style w:type="paragraph" w:styleId="ListParagraph">
    <w:name w:val="List Paragraph"/>
    <w:basedOn w:val="Normal"/>
    <w:qFormat/>
    <w:pPr>
      <w:spacing w:line="348" w:lineRule="auto"/>
      <w:ind w:firstLine="420" w:firstLineChars="200"/>
    </w:pPr>
    <w:rPr>
      <w:rFonts w:ascii="Calibri" w:hAnsi="Calibri"/>
      <w:szCs w:val="22"/>
    </w:rPr>
  </w:style>
  <w:style w:type="paragraph" w:customStyle="1" w:styleId="16">
    <w:name w:val="目录1"/>
    <w:basedOn w:val="Normal"/>
    <w:pPr>
      <w:widowControl/>
      <w:tabs>
        <w:tab w:val="left" w:leader="dot" w:pos="8503"/>
      </w:tabs>
      <w:spacing w:after="136" w:afterLines="0" w:line="289" w:lineRule="atLeast"/>
      <w:ind w:firstLine="200" w:firstLineChars="200"/>
      <w:jc w:val="left"/>
      <w:textAlignment w:val="baseline"/>
    </w:pPr>
    <w:rPr>
      <w:rFonts w:ascii="Arial" w:eastAsia="黑体" w:hAnsi="Calibri"/>
      <w:color w:val="000000"/>
      <w:kern w:val="0"/>
      <w:sz w:val="28"/>
      <w:szCs w:val="20"/>
      <w:u w:color="000000"/>
    </w:rPr>
  </w:style>
  <w:style w:type="paragraph" w:customStyle="1" w:styleId="xl54">
    <w:name w:val="xl5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32">
    <w:name w:val="目录3"/>
    <w:basedOn w:val="Normal"/>
    <w:pPr>
      <w:widowControl/>
      <w:tabs>
        <w:tab w:val="left" w:leader="dot" w:pos="7370"/>
      </w:tabs>
      <w:spacing w:line="317" w:lineRule="atLeast"/>
      <w:ind w:firstLine="419" w:firstLineChars="200"/>
      <w:textAlignment w:val="baseline"/>
    </w:pPr>
    <w:rPr>
      <w:rFonts w:ascii="Calibri" w:hAnsi="Calibri"/>
      <w:color w:val="000000"/>
      <w:kern w:val="0"/>
      <w:szCs w:val="20"/>
      <w:u w:color="000000"/>
    </w:rPr>
  </w:style>
  <w:style w:type="paragraph" w:customStyle="1" w:styleId="CS3">
    <w:name w:val="CS3"/>
    <w:basedOn w:val="Normal"/>
    <w:next w:val="CS"/>
    <w:pPr>
      <w:tabs>
        <w:tab w:val="left" w:pos="345"/>
      </w:tabs>
      <w:adjustRightInd w:val="0"/>
      <w:snapToGrid w:val="0"/>
      <w:spacing w:line="480" w:lineRule="exact"/>
      <w:ind w:left="345" w:hanging="345" w:firstLineChars="200"/>
    </w:pPr>
    <w:rPr>
      <w:rFonts w:ascii="Calibri" w:hAnsi="Calibri"/>
      <w:sz w:val="28"/>
      <w:szCs w:val="22"/>
    </w:rPr>
  </w:style>
  <w:style w:type="paragraph" w:customStyle="1" w:styleId="a6">
    <w:name w:val="工艺正文"/>
    <w:basedOn w:val="Normal"/>
    <w:pPr>
      <w:adjustRightInd w:val="0"/>
      <w:snapToGrid w:val="0"/>
      <w:spacing w:line="360" w:lineRule="auto"/>
      <w:ind w:firstLine="580"/>
    </w:pPr>
    <w:rPr>
      <w:rFonts w:ascii="宋体"/>
      <w:sz w:val="28"/>
      <w:szCs w:val="20"/>
    </w:rPr>
  </w:style>
  <w:style w:type="paragraph" w:customStyle="1" w:styleId="a7">
    <w:name w:val="流程图"/>
    <w:basedOn w:val="Normal"/>
    <w:pPr>
      <w:tabs>
        <w:tab w:val="left" w:pos="0"/>
      </w:tabs>
      <w:autoSpaceDE w:val="0"/>
      <w:autoSpaceDN w:val="0"/>
      <w:adjustRightInd w:val="0"/>
      <w:spacing w:line="240" w:lineRule="atLeast"/>
      <w:ind w:firstLine="200" w:firstLineChars="200"/>
      <w:jc w:val="center"/>
      <w:textAlignment w:val="bottom"/>
    </w:pPr>
    <w:rPr>
      <w:rFonts w:ascii="宋体" w:hAnsi="Calibri"/>
      <w:szCs w:val="20"/>
    </w:rPr>
  </w:style>
  <w:style w:type="paragraph" w:customStyle="1" w:styleId="CharChar23">
    <w:name w:val=" Char Char2"/>
    <w:basedOn w:val="Normal"/>
    <w:pPr>
      <w:widowControl/>
      <w:adjustRightInd w:val="0"/>
      <w:spacing w:after="160" w:afterLines="0" w:line="240" w:lineRule="exact"/>
      <w:jc w:val="left"/>
    </w:pPr>
    <w:rPr>
      <w:rFonts w:ascii="Verdana" w:hAnsi="Verdana" w:cs="Verdana"/>
      <w:kern w:val="0"/>
      <w:sz w:val="20"/>
      <w:szCs w:val="20"/>
      <w:lang w:eastAsia="en-US"/>
    </w:rPr>
  </w:style>
  <w:style w:type="paragraph" w:customStyle="1" w:styleId="a8">
    <w:name w:val="目录"/>
    <w:basedOn w:val="Normal"/>
    <w:pPr>
      <w:adjustRightInd w:val="0"/>
      <w:snapToGrid w:val="0"/>
      <w:spacing w:before="156" w:beforeLines="50" w:after="156" w:afterLines="50" w:line="348" w:lineRule="auto"/>
      <w:ind w:firstLine="200" w:firstLineChars="200"/>
    </w:pPr>
    <w:rPr>
      <w:rFonts w:ascii="黑体" w:eastAsia="黑体" w:hAnsi="Calibri"/>
      <w:color w:val="000000"/>
      <w:sz w:val="28"/>
      <w:szCs w:val="28"/>
    </w:rPr>
  </w:style>
  <w:style w:type="paragraph" w:customStyle="1" w:styleId="xl42">
    <w:name w:val="xl42"/>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ParaCharCharCharCharCharCharCharCharCharChar">
    <w:name w:val="默认段落字体 Para Char Char Char Char Char Char Char Char Char Char"/>
    <w:basedOn w:val="Heading3"/>
    <w:pPr>
      <w:numPr>
        <w:ilvl w:val="2"/>
        <w:numId w:val="0"/>
      </w:numPr>
      <w:tabs>
        <w:tab w:val="left" w:pos="360"/>
        <w:tab w:val="clear" w:pos="720"/>
        <w:tab w:val="left" w:pos="900"/>
      </w:tabs>
      <w:snapToGrid w:val="0"/>
      <w:spacing w:before="120" w:beforeLines="0" w:after="120" w:afterLines="0" w:line="360" w:lineRule="auto"/>
      <w:ind w:left="542" w:firstLine="200" w:leftChars="-12" w:firstLineChars="200"/>
      <w:jc w:val="left"/>
    </w:pPr>
    <w:rPr>
      <w:rFonts w:ascii="Calibri" w:eastAsia="黑体" w:hAnsi="Calibri"/>
      <w:b w:val="0"/>
      <w:snapToGrid w:val="0"/>
      <w:kern w:val="0"/>
      <w:sz w:val="24"/>
      <w:szCs w:val="24"/>
    </w:rPr>
  </w:style>
  <w:style w:type="paragraph" w:customStyle="1" w:styleId="font6">
    <w:name w:val="font6"/>
    <w:basedOn w:val="Normal"/>
    <w:pPr>
      <w:widowControl/>
      <w:spacing w:before="100" w:beforeLines="0" w:beforeAutospacing="1" w:after="100" w:afterLines="0" w:afterAutospacing="1"/>
      <w:jc w:val="left"/>
    </w:pPr>
    <w:rPr>
      <w:rFonts w:ascii="宋体" w:hAnsi="宋体" w:hint="eastAsia"/>
      <w:kern w:val="0"/>
      <w:sz w:val="18"/>
      <w:szCs w:val="18"/>
    </w:rPr>
  </w:style>
  <w:style w:type="paragraph" w:customStyle="1" w:styleId="xl39">
    <w:name w:val="xl39"/>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24">
    <w:name w:val="目录2"/>
    <w:basedOn w:val="Normal"/>
    <w:pPr>
      <w:widowControl/>
      <w:tabs>
        <w:tab w:val="left" w:leader="dot" w:pos="7370"/>
      </w:tabs>
      <w:spacing w:line="317" w:lineRule="atLeast"/>
      <w:ind w:firstLine="209" w:firstLineChars="200"/>
      <w:textAlignment w:val="baseline"/>
    </w:pPr>
    <w:rPr>
      <w:rFonts w:ascii="Calibri" w:hAnsi="Calibri"/>
      <w:color w:val="000000"/>
      <w:kern w:val="0"/>
      <w:szCs w:val="20"/>
      <w:u w:color="000000"/>
    </w:rPr>
  </w:style>
  <w:style w:type="paragraph" w:customStyle="1" w:styleId="CS1">
    <w:name w:val="CS1"/>
    <w:basedOn w:val="Normal"/>
    <w:next w:val="CS"/>
    <w:pPr>
      <w:numPr>
        <w:ilvl w:val="1"/>
        <w:numId w:val="3"/>
      </w:numPr>
      <w:spacing w:line="480" w:lineRule="exact"/>
      <w:ind w:firstLineChars="200"/>
      <w:jc w:val="left"/>
    </w:pPr>
    <w:rPr>
      <w:rFonts w:ascii="黑体" w:eastAsia="黑体" w:hAnsi="Calibri"/>
      <w:kern w:val="0"/>
      <w:sz w:val="28"/>
      <w:szCs w:val="28"/>
    </w:rPr>
  </w:style>
  <w:style w:type="paragraph" w:customStyle="1" w:styleId="reader-word-layerreader-word-s1-0">
    <w:name w:val="reader-word-layer reader-word-s1-0"/>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Char1CharCharChar0">
    <w:name w:val=" Char1 Char Char Char"/>
    <w:basedOn w:val="Normal"/>
    <w:pPr>
      <w:spacing w:line="360" w:lineRule="auto"/>
      <w:ind w:firstLine="200" w:firstLineChars="200"/>
    </w:pPr>
    <w:rPr>
      <w:sz w:val="28"/>
    </w:rPr>
  </w:style>
  <w:style w:type="paragraph" w:customStyle="1" w:styleId="xl31">
    <w:name w:val="xl31"/>
    <w:basedOn w:val="Normal"/>
    <w:pPr>
      <w:widowControl/>
      <w:spacing w:before="100" w:beforeLines="0" w:beforeAutospacing="1" w:after="100" w:afterLines="0" w:afterAutospacing="1" w:line="348" w:lineRule="auto"/>
      <w:ind w:firstLine="200" w:firstLineChars="200"/>
      <w:jc w:val="left"/>
    </w:pPr>
    <w:rPr>
      <w:rFonts w:ascii="黑体" w:eastAsia="黑体" w:hAnsi="宋体" w:hint="eastAsia"/>
      <w:kern w:val="0"/>
      <w:sz w:val="18"/>
      <w:szCs w:val="20"/>
    </w:rPr>
  </w:style>
  <w:style w:type="paragraph" w:customStyle="1" w:styleId="xl50">
    <w:name w:val="xl50"/>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xl59">
    <w:name w:val="xl59"/>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9">
    <w:name w:val="报告书正文"/>
    <w:basedOn w:val="Normal"/>
    <w:pPr>
      <w:adjustRightInd w:val="0"/>
      <w:snapToGrid w:val="0"/>
      <w:spacing w:line="360" w:lineRule="auto"/>
      <w:ind w:firstLine="425"/>
      <w:textAlignment w:val="baseline"/>
    </w:pPr>
    <w:rPr>
      <w:rFonts w:ascii="Arial" w:hAnsi="Arial"/>
      <w:kern w:val="0"/>
      <w:sz w:val="24"/>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35">
    <w:name w:val="xl35"/>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18">
    <w:name w:val="消防1级"/>
    <w:basedOn w:val="10"/>
  </w:style>
  <w:style w:type="paragraph" w:customStyle="1" w:styleId="xl65">
    <w:name w:val="xl65"/>
    <w:basedOn w:val="Normal"/>
    <w:pPr>
      <w:widowControl/>
      <w:pBdr>
        <w:top w:val="single" w:sz="8" w:space="0" w:color="auto"/>
        <w:left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a10">
    <w:name w:val="首缩正文"/>
    <w:basedOn w:val="Normal"/>
    <w:pPr>
      <w:spacing w:line="360" w:lineRule="auto"/>
      <w:ind w:firstLine="560" w:firstLineChars="200"/>
      <w:jc w:val="left"/>
    </w:pPr>
    <w:rPr>
      <w:sz w:val="28"/>
      <w:szCs w:val="20"/>
    </w:rPr>
  </w:style>
  <w:style w:type="paragraph" w:customStyle="1" w:styleId="33">
    <w:name w:val="职安3级"/>
    <w:basedOn w:val="Normal"/>
    <w:pPr>
      <w:spacing w:line="480" w:lineRule="exact"/>
      <w:ind w:firstLine="200" w:firstLineChars="200"/>
    </w:pPr>
    <w:rPr>
      <w:rFonts w:ascii="宋体" w:hAnsi="宋体"/>
      <w:sz w:val="28"/>
      <w:szCs w:val="28"/>
    </w:rPr>
  </w:style>
  <w:style w:type="paragraph" w:customStyle="1" w:styleId="xl69">
    <w:name w:val="xl69"/>
    <w:basedOn w:val="Normal"/>
    <w:pPr>
      <w:widowControl/>
      <w:pBdr>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2"/>
      <w:szCs w:val="22"/>
    </w:rPr>
  </w:style>
  <w:style w:type="paragraph" w:customStyle="1" w:styleId="2232">
    <w:name w:val="样式 样式 标题 2 + 右侧:  2 字符3 + 首行缩进:  2 字符"/>
    <w:basedOn w:val="Normal"/>
    <w:pPr>
      <w:spacing w:line="520" w:lineRule="exact"/>
      <w:outlineLvl w:val="1"/>
    </w:pPr>
    <w:rPr>
      <w:rFonts w:ascii="黑体" w:eastAsia="黑体" w:hAnsi="黑体" w:cs="宋体"/>
      <w:bCs/>
      <w:sz w:val="28"/>
      <w:szCs w:val="28"/>
    </w:rPr>
  </w:style>
  <w:style w:type="paragraph" w:customStyle="1" w:styleId="xl67">
    <w:name w:val="xl67"/>
    <w:basedOn w:val="Normal"/>
    <w:pPr>
      <w:widowControl/>
      <w:pBdr>
        <w:top w:val="single" w:sz="8"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styleId="TOCHeading">
    <w:name w:val="TOC Heading"/>
    <w:basedOn w:val="Heading1"/>
    <w:next w:val="Normal"/>
    <w:qFormat/>
    <w:pPr>
      <w:ind w:firstLine="200" w:firstLineChars="200"/>
      <w:outlineLvl w:val="9"/>
    </w:pPr>
    <w:rPr>
      <w:rFonts w:ascii="Calibri" w:hAnsi="Calibri"/>
    </w:rPr>
  </w:style>
  <w:style w:type="paragraph" w:customStyle="1" w:styleId="19">
    <w:name w:val="普通(网站)1"/>
    <w:basedOn w:val="Normal"/>
    <w:pPr>
      <w:widowControl/>
      <w:spacing w:before="100" w:beforeLines="0" w:beforeAutospacing="1" w:after="100" w:afterLines="0" w:afterAutospacing="1" w:line="348" w:lineRule="auto"/>
      <w:ind w:firstLine="200" w:firstLineChars="200"/>
      <w:jc w:val="left"/>
    </w:pPr>
    <w:rPr>
      <w:rFonts w:ascii="宋体" w:hAnsi="宋体" w:hint="eastAsia"/>
      <w:sz w:val="24"/>
      <w:szCs w:val="20"/>
    </w:rPr>
  </w:style>
  <w:style w:type="paragraph" w:customStyle="1" w:styleId="xl48">
    <w:name w:val="xl48"/>
    <w:basedOn w:val="Normal"/>
    <w:pPr>
      <w:widowControl/>
      <w:spacing w:before="100" w:beforeLines="0" w:beforeAutospacing="1" w:after="100" w:afterLines="0" w:afterAutospacing="1" w:line="348" w:lineRule="auto"/>
      <w:ind w:firstLine="200" w:firstLineChars="200"/>
      <w:jc w:val="center"/>
      <w:textAlignment w:val="center"/>
    </w:pPr>
    <w:rPr>
      <w:rFonts w:ascii="黑体" w:eastAsia="黑体" w:hAnsi="宋体" w:hint="eastAsia"/>
      <w:kern w:val="0"/>
      <w:sz w:val="24"/>
      <w:szCs w:val="20"/>
    </w:rPr>
  </w:style>
  <w:style w:type="paragraph" w:customStyle="1" w:styleId="reader-word-layerreader-word-s1-3">
    <w:name w:val="reader-word-layer reader-word-s1-3"/>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xl49">
    <w:name w:val="xl49"/>
    <w:basedOn w:val="Normal"/>
    <w:pPr>
      <w:widowControl/>
      <w:pBdr>
        <w:top w:val="single" w:sz="8"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a11">
    <w:name w:val="工业统一表格文字"/>
    <w:basedOn w:val="Normal"/>
    <w:pPr>
      <w:adjustRightInd w:val="0"/>
      <w:snapToGrid w:val="0"/>
      <w:spacing w:before="62" w:beforeLines="20" w:after="62" w:afterLines="20" w:line="348" w:lineRule="auto"/>
      <w:ind w:left="-20" w:right="-20" w:firstLine="200" w:leftChars="-20" w:rightChars="-20" w:firstLineChars="200"/>
      <w:jc w:val="center"/>
    </w:pPr>
    <w:rPr>
      <w:rFonts w:ascii="宋体" w:eastAsia="仿宋_GB2312" w:hAnsi="Calibri"/>
      <w:sz w:val="32"/>
      <w:szCs w:val="20"/>
    </w:rPr>
  </w:style>
  <w:style w:type="paragraph" w:customStyle="1" w:styleId="xl62">
    <w:name w:val="xl6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Char119">
    <w:name w:val="Char1"/>
    <w:basedOn w:val="Normal"/>
    <w:pPr>
      <w:spacing w:line="348" w:lineRule="auto"/>
      <w:ind w:firstLine="200" w:firstLineChars="200"/>
      <w:jc w:val="center"/>
    </w:pPr>
    <w:rPr>
      <w:rFonts w:ascii="宋体" w:eastAsia="楷体_GB2312" w:hAnsi="宋体"/>
      <w:szCs w:val="20"/>
    </w:rPr>
  </w:style>
  <w:style w:type="paragraph" w:customStyle="1" w:styleId="xl47">
    <w:name w:val="xl47"/>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25">
    <w:name w:val="建筑2级"/>
    <w:basedOn w:val="Normal"/>
    <w:pPr>
      <w:spacing w:line="480" w:lineRule="exact"/>
      <w:ind w:firstLine="200" w:firstLineChars="200"/>
    </w:pPr>
    <w:rPr>
      <w:rFonts w:ascii="宋体" w:hAnsi="宋体"/>
      <w:sz w:val="28"/>
      <w:szCs w:val="20"/>
    </w:rPr>
  </w:style>
  <w:style w:type="paragraph" w:customStyle="1" w:styleId="111">
    <w:name w:val="建筑1级"/>
    <w:basedOn w:val="Normal"/>
    <w:pPr>
      <w:spacing w:line="480" w:lineRule="exact"/>
      <w:ind w:firstLine="200" w:firstLineChars="200"/>
    </w:pPr>
    <w:rPr>
      <w:rFonts w:ascii="宋体" w:hAnsi="宋体"/>
      <w:sz w:val="28"/>
      <w:szCs w:val="28"/>
    </w:rPr>
  </w:style>
  <w:style w:type="paragraph" w:customStyle="1" w:styleId="120">
    <w:name w:val="12表头"/>
    <w:basedOn w:val="Normal"/>
    <w:pPr>
      <w:spacing w:line="480" w:lineRule="exact"/>
      <w:ind w:firstLine="280" w:firstLineChars="100"/>
    </w:pPr>
    <w:rPr>
      <w:rFonts w:ascii="宋体" w:hAnsi="宋体"/>
      <w:sz w:val="28"/>
      <w:szCs w:val="28"/>
    </w:rPr>
  </w:style>
  <w:style w:type="paragraph" w:customStyle="1" w:styleId="112">
    <w:name w:val="列出段落1"/>
    <w:basedOn w:val="Normal"/>
    <w:pPr>
      <w:spacing w:line="348" w:lineRule="auto"/>
      <w:ind w:firstLine="420" w:firstLineChars="200"/>
    </w:pPr>
    <w:rPr>
      <w:rFonts w:ascii="Calibri" w:hAnsi="Calibri"/>
      <w:szCs w:val="22"/>
    </w:rPr>
  </w:style>
  <w:style w:type="paragraph" w:customStyle="1" w:styleId="xl28">
    <w:name w:val="xl28"/>
    <w:basedOn w:val="Normal"/>
    <w:pPr>
      <w:widowControl/>
      <w:pBdr>
        <w:top w:val="single" w:sz="8" w:space="0" w:color="auto"/>
        <w:left w:val="single" w:sz="8" w:space="0" w:color="auto"/>
        <w:right w:val="single" w:sz="4" w:space="0" w:color="auto"/>
      </w:pBdr>
      <w:spacing w:before="100" w:beforeLines="0" w:beforeAutospacing="1" w:after="100" w:afterLines="0" w:afterAutospacing="1" w:line="348" w:lineRule="auto"/>
      <w:ind w:firstLine="200" w:firstLineChars="200"/>
      <w:jc w:val="center"/>
    </w:pPr>
    <w:rPr>
      <w:rFonts w:ascii="Arial Unicode MS" w:eastAsia="Arial Unicode MS" w:hAnsi="Arial Unicode MS"/>
      <w:kern w:val="0"/>
      <w:sz w:val="20"/>
      <w:szCs w:val="20"/>
    </w:rPr>
  </w:style>
  <w:style w:type="paragraph" w:customStyle="1" w:styleId="xl46">
    <w:name w:val="xl46"/>
    <w:basedOn w:val="Normal"/>
    <w:pPr>
      <w:widowControl/>
      <w:pBdr>
        <w:bottom w:val="single" w:sz="4" w:space="0" w:color="auto"/>
        <w:right w:val="single" w:sz="4" w:space="0" w:color="auto"/>
      </w:pBdr>
      <w:spacing w:before="100" w:beforeLines="0" w:beforeAutospacing="1" w:after="100" w:afterLines="0" w:afterAutospacing="1" w:line="348" w:lineRule="auto"/>
      <w:ind w:firstLine="200" w:firstLineChars="200"/>
    </w:pPr>
    <w:rPr>
      <w:rFonts w:ascii="Arial Unicode MS" w:eastAsia="Arial Unicode MS" w:hAnsi="Arial Unicode MS"/>
      <w:kern w:val="0"/>
      <w:szCs w:val="20"/>
    </w:rPr>
  </w:style>
  <w:style w:type="paragraph" w:customStyle="1" w:styleId="xl60">
    <w:name w:val="xl60"/>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pPr>
    <w:rPr>
      <w:rFonts w:ascii="Calibri" w:hAnsi="Calibri"/>
      <w:kern w:val="0"/>
      <w:sz w:val="22"/>
      <w:szCs w:val="22"/>
    </w:rPr>
  </w:style>
  <w:style w:type="paragraph" w:customStyle="1" w:styleId="a12">
    <w:name w:val="目录标题"/>
    <w:basedOn w:val="Normal"/>
    <w:pPr>
      <w:widowControl/>
      <w:spacing w:before="566" w:beforeLines="0" w:after="544" w:afterLines="0" w:line="566" w:lineRule="atLeast"/>
      <w:ind w:firstLine="419" w:firstLineChars="200"/>
      <w:jc w:val="center"/>
      <w:textAlignment w:val="baseline"/>
    </w:pPr>
    <w:rPr>
      <w:rFonts w:ascii="Arial" w:eastAsia="黑体" w:hAnsi="Calibri"/>
      <w:color w:val="000000"/>
      <w:spacing w:val="566"/>
      <w:kern w:val="0"/>
      <w:sz w:val="54"/>
      <w:szCs w:val="20"/>
      <w:u w:color="000000"/>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宋体" w:hAnsi="宋体"/>
      <w:kern w:val="0"/>
      <w:sz w:val="22"/>
      <w:szCs w:val="22"/>
    </w:rPr>
  </w:style>
  <w:style w:type="paragraph" w:customStyle="1" w:styleId="bin2">
    <w:name w:val="bin 2"/>
    <w:basedOn w:val="Heading6"/>
    <w:next w:val="Normal"/>
    <w:pPr>
      <w:numPr>
        <w:ilvl w:val="1"/>
        <w:numId w:val="4"/>
      </w:numPr>
      <w:tabs>
        <w:tab w:val="left" w:pos="3024"/>
      </w:tabs>
      <w:adjustRightInd/>
      <w:spacing w:before="0" w:after="0" w:line="480" w:lineRule="exact"/>
      <w:ind w:firstLineChars="200"/>
      <w:jc w:val="both"/>
      <w:textAlignment w:val="auto"/>
      <w:outlineLvl w:val="1"/>
    </w:pPr>
    <w:rPr>
      <w:rFonts w:ascii="Times New Roman" w:eastAsia="宋体" w:hAnsi="Times New Roman"/>
      <w:b w:val="0"/>
      <w:sz w:val="28"/>
    </w:rPr>
  </w:style>
  <w:style w:type="paragraph" w:customStyle="1" w:styleId="26">
    <w:name w:val="首行缩进2个字符"/>
    <w:basedOn w:val="Normal"/>
    <w:pPr>
      <w:spacing w:line="360" w:lineRule="auto"/>
      <w:ind w:firstLine="200" w:firstLineChars="200"/>
    </w:pPr>
    <w:rPr>
      <w:rFonts w:ascii="宋体"/>
      <w:kern w:val="28"/>
      <w:sz w:val="28"/>
      <w:szCs w:val="28"/>
    </w:rPr>
  </w:style>
  <w:style w:type="paragraph" w:customStyle="1" w:styleId="27">
    <w:name w:val="样式2"/>
    <w:basedOn w:val="Normal"/>
    <w:rPr>
      <w:rFonts w:eastAsia="黑体"/>
      <w:sz w:val="32"/>
      <w:szCs w:val="28"/>
    </w:rPr>
  </w:style>
  <w:style w:type="paragraph" w:customStyle="1" w:styleId="font10">
    <w:name w:val="font10"/>
    <w:basedOn w:val="Normal"/>
    <w:pPr>
      <w:widowControl/>
      <w:spacing w:before="100" w:beforeLines="0" w:beforeAutospacing="1" w:after="100" w:afterLines="0" w:afterAutospacing="1" w:line="348" w:lineRule="auto"/>
      <w:ind w:firstLine="200" w:firstLineChars="200"/>
      <w:jc w:val="left"/>
    </w:pPr>
    <w:rPr>
      <w:rFonts w:ascii="宋体" w:hAnsi="宋体" w:hint="eastAsia"/>
      <w:b/>
      <w:bCs/>
      <w:kern w:val="0"/>
      <w:sz w:val="24"/>
      <w:szCs w:val="22"/>
    </w:rPr>
  </w:style>
  <w:style w:type="paragraph" w:customStyle="1" w:styleId="xl73">
    <w:name w:val="xl73"/>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pPr>
    <w:rPr>
      <w:rFonts w:ascii="Calibri" w:hAnsi="Calibri"/>
      <w:kern w:val="0"/>
      <w:sz w:val="22"/>
      <w:szCs w:val="22"/>
    </w:rPr>
  </w:style>
  <w:style w:type="paragraph" w:customStyle="1" w:styleId="a13">
    <w:name w:val="表标"/>
    <w:next w:val="Normal"/>
    <w:pPr>
      <w:tabs>
        <w:tab w:val="left" w:pos="8207"/>
      </w:tabs>
      <w:adjustRightInd w:val="0"/>
      <w:snapToGrid w:val="0"/>
      <w:spacing w:line="300" w:lineRule="auto"/>
      <w:jc w:val="both"/>
    </w:pPr>
    <w:rPr>
      <w:rFonts w:ascii="Calibri" w:hAnsi="Calibri"/>
      <w:kern w:val="2"/>
      <w:sz w:val="24"/>
      <w:szCs w:val="24"/>
      <w:lang w:val="en-US" w:eastAsia="zh-CN" w:bidi="ar-SA"/>
    </w:rPr>
  </w:style>
  <w:style w:type="paragraph" w:customStyle="1" w:styleId="113">
    <w:name w:val="环保1级"/>
    <w:basedOn w:val="14"/>
    <w:pPr>
      <w:outlineLvl w:val="9"/>
    </w:pPr>
    <w:rPr>
      <w:rFonts w:ascii="黑体" w:eastAsia="黑体"/>
      <w:b w:val="0"/>
      <w:color w:val="0000FF"/>
    </w:rPr>
  </w:style>
  <w:style w:type="paragraph" w:customStyle="1" w:styleId="xl32">
    <w:name w:val="xl32"/>
    <w:basedOn w:val="Normal"/>
    <w:pPr>
      <w:widowControl/>
      <w:pBdr>
        <w:left w:val="single" w:sz="4" w:space="0" w:color="auto"/>
        <w:right w:val="single" w:sz="8" w:space="0" w:color="auto"/>
      </w:pBdr>
      <w:spacing w:before="100" w:beforeLines="0" w:beforeAutospacing="1" w:after="100" w:afterLines="0" w:afterAutospacing="1" w:line="348" w:lineRule="auto"/>
      <w:ind w:firstLine="200" w:firstLineChars="200"/>
      <w:jc w:val="center"/>
    </w:pPr>
    <w:rPr>
      <w:rFonts w:ascii="Arial Unicode MS" w:eastAsia="Arial Unicode MS" w:hAnsi="Arial Unicode MS"/>
      <w:kern w:val="0"/>
      <w:sz w:val="20"/>
      <w:szCs w:val="20"/>
    </w:rPr>
  </w:style>
  <w:style w:type="paragraph" w:customStyle="1" w:styleId="xl58">
    <w:name w:val="xl58"/>
    <w:basedOn w:val="Normal"/>
    <w:pPr>
      <w:widowControl/>
      <w:pBdr>
        <w:bottom w:val="single" w:sz="8"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Arial Unicode MS" w:eastAsia="Arial Unicode MS" w:hAnsi="Arial Unicode MS"/>
      <w:kern w:val="0"/>
      <w:szCs w:val="20"/>
    </w:rPr>
  </w:style>
  <w:style w:type="paragraph" w:customStyle="1" w:styleId="p15">
    <w:name w:val="p15"/>
    <w:basedOn w:val="Normal"/>
    <w:pPr>
      <w:widowControl/>
      <w:jc w:val="center"/>
    </w:pPr>
    <w:rPr>
      <w:rFonts w:ascii="Times" w:hAnsi="Times" w:hint="eastAsia"/>
      <w:color w:val="000000"/>
      <w:spacing w:val="-4"/>
      <w:szCs w:val="20"/>
    </w:rPr>
  </w:style>
  <w:style w:type="paragraph" w:customStyle="1" w:styleId="a14">
    <w:name w:val="高表内"/>
    <w:basedOn w:val="PlainText"/>
    <w:pPr>
      <w:autoSpaceDE w:val="0"/>
      <w:adjustRightInd w:val="0"/>
      <w:spacing w:line="348" w:lineRule="auto"/>
      <w:ind w:firstLine="200" w:firstLineChars="200"/>
      <w:jc w:val="center"/>
    </w:pPr>
    <w:rPr>
      <w:rFonts w:ascii="仿宋_GB2312" w:eastAsia="仿宋_GB2312" w:hAnsi="宋体"/>
    </w:rPr>
  </w:style>
  <w:style w:type="paragraph" w:customStyle="1" w:styleId="CharCharCharChar1CharCharChar">
    <w:name w:val="Char Char Char Char1 Char Char Char"/>
    <w:basedOn w:val="Normal"/>
    <w:pPr>
      <w:widowControl/>
      <w:spacing w:after="160" w:afterLines="0" w:line="240" w:lineRule="exact"/>
      <w:ind w:firstLine="200" w:firstLineChars="200"/>
      <w:jc w:val="left"/>
    </w:pPr>
    <w:rPr>
      <w:rFonts w:ascii="Verdana" w:hAnsi="Verdana"/>
      <w:kern w:val="0"/>
      <w:sz w:val="20"/>
      <w:szCs w:val="22"/>
      <w:lang w:eastAsia="en-US"/>
    </w:rPr>
  </w:style>
  <w:style w:type="paragraph" w:customStyle="1" w:styleId="xl70">
    <w:name w:val="xl70"/>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pPr>
    <w:rPr>
      <w:rFonts w:ascii="宋体" w:hAnsi="宋体"/>
      <w:kern w:val="0"/>
      <w:sz w:val="22"/>
      <w:szCs w:val="22"/>
    </w:rPr>
  </w:style>
  <w:style w:type="paragraph" w:customStyle="1" w:styleId="font8">
    <w:name w:val="font8"/>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4"/>
      <w:szCs w:val="22"/>
    </w:rPr>
  </w:style>
  <w:style w:type="paragraph" w:customStyle="1" w:styleId="xl68">
    <w:name w:val="xl68"/>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a15">
    <w:name w:val="段"/>
    <w:pPr>
      <w:autoSpaceDE w:val="0"/>
      <w:autoSpaceDN w:val="0"/>
      <w:spacing w:line="348" w:lineRule="auto"/>
      <w:ind w:firstLine="200" w:firstLineChars="200"/>
      <w:jc w:val="both"/>
    </w:pPr>
    <w:rPr>
      <w:rFonts w:ascii="Calibri"/>
      <w:kern w:val="2"/>
      <w:sz w:val="21"/>
      <w:szCs w:val="22"/>
      <w:lang w:val="en-US" w:eastAsia="zh-CN" w:bidi="ar-SA"/>
    </w:rPr>
  </w:style>
  <w:style w:type="paragraph" w:customStyle="1" w:styleId="114">
    <w:name w:val="正文11"/>
    <w:basedOn w:val="Normal"/>
    <w:pPr>
      <w:spacing w:line="500" w:lineRule="exact"/>
      <w:ind w:firstLine="560" w:firstLineChars="200"/>
      <w:jc w:val="left"/>
    </w:pPr>
    <w:rPr>
      <w:color w:val="000000"/>
      <w:sz w:val="28"/>
      <w:szCs w:val="20"/>
    </w:rPr>
  </w:style>
  <w:style w:type="paragraph" w:customStyle="1" w:styleId="xl37">
    <w:name w:val="xl37"/>
    <w:basedOn w:val="Normal"/>
    <w:pPr>
      <w:widowControl/>
      <w:pBdr>
        <w:top w:val="single" w:sz="4" w:space="0" w:color="auto"/>
        <w:left w:val="single" w:sz="8" w:space="0" w:color="auto"/>
        <w:bottom w:val="single" w:sz="8"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Calibri" w:hAnsi="Calibri"/>
      <w:kern w:val="0"/>
      <w:sz w:val="20"/>
      <w:szCs w:val="20"/>
    </w:rPr>
  </w:style>
  <w:style w:type="paragraph" w:customStyle="1" w:styleId="a16">
    <w:name w:val="表头"/>
    <w:basedOn w:val="Normal"/>
    <w:pPr>
      <w:jc w:val="center"/>
    </w:pPr>
    <w:rPr>
      <w:rFonts w:ascii="宋体" w:hAnsi="Arial"/>
      <w:kern w:val="0"/>
      <w:sz w:val="24"/>
      <w:szCs w:val="20"/>
    </w:rPr>
  </w:style>
  <w:style w:type="paragraph" w:customStyle="1" w:styleId="MTDisplayEquation">
    <w:name w:val="MTDisplayEquation"/>
    <w:basedOn w:val="Normal"/>
    <w:next w:val="Normal"/>
    <w:pPr>
      <w:tabs>
        <w:tab w:val="left" w:pos="2040"/>
        <w:tab w:val="center" w:pos="4320"/>
        <w:tab w:val="right" w:pos="8300"/>
      </w:tabs>
      <w:spacing w:line="520" w:lineRule="exact"/>
      <w:ind w:left="2040" w:hanging="420" w:firstLineChars="200"/>
    </w:pPr>
    <w:rPr>
      <w:rFonts w:ascii="Calibri" w:hAnsi="Calibri"/>
      <w:sz w:val="30"/>
      <w:szCs w:val="22"/>
    </w:rPr>
  </w:style>
  <w:style w:type="paragraph" w:customStyle="1" w:styleId="115">
    <w:name w:val="样式1"/>
    <w:basedOn w:val="Normal"/>
    <w:pPr>
      <w:tabs>
        <w:tab w:val="left" w:pos="6024"/>
      </w:tabs>
      <w:adjustRightInd w:val="0"/>
      <w:spacing w:line="480" w:lineRule="exact"/>
      <w:ind w:firstLine="567"/>
      <w:textAlignment w:val="baseline"/>
    </w:pPr>
    <w:rPr>
      <w:sz w:val="28"/>
      <w:szCs w:val="20"/>
    </w:rPr>
  </w:style>
  <w:style w:type="paragraph" w:customStyle="1" w:styleId="Char1CharCharChar1">
    <w:name w:val="Char1 Char Char Char"/>
    <w:basedOn w:val="Normal"/>
    <w:pPr>
      <w:spacing w:line="348" w:lineRule="auto"/>
      <w:ind w:firstLine="200" w:firstLineChars="200"/>
    </w:pPr>
    <w:rPr>
      <w:rFonts w:ascii="Tahoma" w:hAnsi="Tahoma"/>
      <w:sz w:val="24"/>
      <w:szCs w:val="20"/>
    </w:rPr>
  </w:style>
  <w:style w:type="paragraph" w:customStyle="1" w:styleId="CharCharChar1Char">
    <w:name w:val="Char Char Char1 Char"/>
    <w:basedOn w:val="Normal"/>
    <w:next w:val="Normal"/>
    <w:pPr>
      <w:shd w:val="clear" w:color="auto" w:fill="000080"/>
      <w:tabs>
        <w:tab w:val="left" w:pos="720"/>
      </w:tabs>
      <w:spacing w:line="348" w:lineRule="auto"/>
      <w:ind w:firstLineChars="200"/>
    </w:pPr>
    <w:rPr>
      <w:rFonts w:ascii="Tahoma" w:hAnsi="Tahoma"/>
      <w:sz w:val="32"/>
      <w:szCs w:val="22"/>
    </w:rPr>
  </w:style>
  <w:style w:type="paragraph" w:customStyle="1" w:styleId="font9">
    <w:name w:val="font9"/>
    <w:basedOn w:val="Normal"/>
    <w:pPr>
      <w:widowControl/>
      <w:spacing w:before="100" w:beforeLines="0" w:beforeAutospacing="1" w:after="100" w:afterLines="0" w:afterAutospacing="1" w:line="348" w:lineRule="auto"/>
      <w:ind w:firstLine="200" w:firstLineChars="200"/>
      <w:jc w:val="left"/>
    </w:pPr>
    <w:rPr>
      <w:rFonts w:ascii="Calibri" w:hAnsi="Calibri"/>
      <w:kern w:val="0"/>
      <w:sz w:val="22"/>
      <w:szCs w:val="22"/>
    </w:rPr>
  </w:style>
  <w:style w:type="paragraph" w:customStyle="1" w:styleId="Style41">
    <w:name w:val="_Style 41"/>
    <w:basedOn w:val="Normal"/>
    <w:rPr>
      <w:szCs w:val="20"/>
    </w:rPr>
  </w:style>
  <w:style w:type="paragraph" w:customStyle="1" w:styleId="xl72">
    <w:name w:val="xl72"/>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pPr>
    <w:rPr>
      <w:rFonts w:ascii="Calibri" w:hAnsi="Calibri"/>
      <w:kern w:val="0"/>
      <w:sz w:val="22"/>
      <w:szCs w:val="22"/>
    </w:rPr>
  </w:style>
  <w:style w:type="paragraph" w:customStyle="1" w:styleId="CharCharCharChar1CharCharCharCharCharCharCharCharChar">
    <w:name w:val=" Char Char Char Char1 Char Char Char Char Char Char Char Char Char"/>
    <w:basedOn w:val="Normal"/>
  </w:style>
  <w:style w:type="paragraph" w:customStyle="1" w:styleId="font5">
    <w:name w:val="font5"/>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18"/>
      <w:szCs w:val="20"/>
    </w:rPr>
  </w:style>
  <w:style w:type="paragraph" w:customStyle="1" w:styleId="4">
    <w:name w:val="目录4"/>
    <w:basedOn w:val="Normal"/>
    <w:pPr>
      <w:widowControl/>
      <w:tabs>
        <w:tab w:val="left" w:leader="dot" w:pos="7370"/>
      </w:tabs>
      <w:spacing w:line="317" w:lineRule="atLeast"/>
      <w:ind w:firstLine="629" w:firstLineChars="200"/>
      <w:textAlignment w:val="baseline"/>
    </w:pPr>
    <w:rPr>
      <w:rFonts w:ascii="Calibri" w:hAnsi="Calibri"/>
      <w:color w:val="000000"/>
      <w:kern w:val="0"/>
      <w:szCs w:val="20"/>
      <w:u w:color="000000"/>
    </w:rPr>
  </w:style>
  <w:style w:type="paragraph" w:customStyle="1" w:styleId="xl63">
    <w:name w:val="xl63"/>
    <w:basedOn w:val="Normal"/>
    <w:pPr>
      <w:widowControl/>
      <w:pBdr>
        <w:top w:val="single" w:sz="8"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2"/>
    </w:rPr>
  </w:style>
  <w:style w:type="paragraph" w:customStyle="1" w:styleId="bin">
    <w:name w:val="bin 正文"/>
    <w:basedOn w:val="Normal"/>
    <w:next w:val="Normal"/>
    <w:pPr>
      <w:spacing w:line="480" w:lineRule="exact"/>
      <w:ind w:firstLine="200" w:firstLineChars="200"/>
    </w:pPr>
    <w:rPr>
      <w:rFonts w:ascii="Calibri" w:hAnsi="Calibri"/>
      <w:sz w:val="28"/>
      <w:szCs w:val="22"/>
    </w:rPr>
  </w:style>
  <w:style w:type="paragraph" w:customStyle="1" w:styleId="xl56">
    <w:name w:val="xl56"/>
    <w:basedOn w:val="Normal"/>
    <w:pPr>
      <w:widowControl/>
      <w:pBdr>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right"/>
      <w:textAlignment w:val="center"/>
    </w:pPr>
    <w:rPr>
      <w:rFonts w:ascii="Calibri" w:hAnsi="Calibri"/>
      <w:kern w:val="0"/>
      <w:sz w:val="22"/>
      <w:szCs w:val="22"/>
    </w:rPr>
  </w:style>
  <w:style w:type="paragraph" w:customStyle="1" w:styleId="p0">
    <w:name w:val="p0"/>
    <w:basedOn w:val="Normal"/>
    <w:pPr>
      <w:widowControl/>
      <w:spacing w:line="348" w:lineRule="auto"/>
      <w:ind w:firstLine="200" w:firstLineChars="200"/>
    </w:pPr>
    <w:rPr>
      <w:rFonts w:ascii="Calibri" w:hAnsi="Calibri"/>
      <w:kern w:val="0"/>
      <w:szCs w:val="20"/>
    </w:rPr>
  </w:style>
  <w:style w:type="paragraph" w:styleId="NoSpacing">
    <w:name w:val="No Spacing"/>
    <w:qFormat/>
    <w:pPr>
      <w:widowControl w:val="0"/>
      <w:ind w:firstLine="200" w:firstLineChars="200"/>
      <w:jc w:val="both"/>
    </w:pPr>
    <w:rPr>
      <w:rFonts w:ascii="Calibri" w:hAnsi="Calibri"/>
      <w:kern w:val="2"/>
      <w:sz w:val="21"/>
      <w:szCs w:val="22"/>
      <w:lang w:val="en-US" w:eastAsia="zh-CN" w:bidi="ar-SA"/>
    </w:rPr>
  </w:style>
  <w:style w:type="paragraph" w:customStyle="1" w:styleId="bin4">
    <w:name w:val="bin 4"/>
    <w:basedOn w:val="Normal"/>
    <w:next w:val="Normal"/>
    <w:pPr>
      <w:numPr>
        <w:ilvl w:val="3"/>
        <w:numId w:val="4"/>
      </w:numPr>
      <w:snapToGrid w:val="0"/>
      <w:spacing w:line="480" w:lineRule="exact"/>
      <w:ind w:firstLineChars="200"/>
      <w:outlineLvl w:val="3"/>
    </w:pPr>
    <w:rPr>
      <w:rFonts w:ascii="Calibri" w:hAnsi="Calibri"/>
      <w:sz w:val="28"/>
      <w:szCs w:val="22"/>
    </w:rPr>
  </w:style>
  <w:style w:type="paragraph" w:customStyle="1" w:styleId="a17">
    <w:name w:val="小节标题"/>
    <w:basedOn w:val="Normal"/>
    <w:pPr>
      <w:widowControl/>
      <w:spacing w:before="175" w:beforeLines="0" w:after="102" w:afterLines="0" w:line="351" w:lineRule="atLeast"/>
      <w:ind w:firstLine="200" w:firstLineChars="200"/>
      <w:textAlignment w:val="baseline"/>
    </w:pPr>
    <w:rPr>
      <w:rFonts w:ascii="Calibri" w:eastAsia="黑体" w:hAnsi="Calibri"/>
      <w:color w:val="000000"/>
      <w:kern w:val="0"/>
      <w:szCs w:val="20"/>
      <w:u w:color="000000"/>
    </w:rPr>
  </w:style>
  <w:style w:type="paragraph" w:customStyle="1" w:styleId="xl57">
    <w:name w:val="xl57"/>
    <w:basedOn w:val="Normal"/>
    <w:pPr>
      <w:widowControl/>
      <w:pBdr>
        <w:top w:val="single" w:sz="4" w:space="0" w:color="auto"/>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pPr>
    <w:rPr>
      <w:rFonts w:ascii="宋体" w:hAnsi="宋体"/>
      <w:kern w:val="0"/>
      <w:sz w:val="24"/>
      <w:szCs w:val="22"/>
    </w:rPr>
  </w:style>
  <w:style w:type="paragraph" w:customStyle="1" w:styleId="a18">
    <w:name w:val="评价正文"/>
    <w:basedOn w:val="Normal"/>
    <w:pPr>
      <w:tabs>
        <w:tab w:val="left" w:pos="5040"/>
      </w:tabs>
      <w:spacing w:line="360" w:lineRule="auto"/>
      <w:ind w:firstLine="549" w:firstLineChars="196"/>
      <w:jc w:val="left"/>
    </w:pPr>
    <w:rPr>
      <w:rFonts w:ascii="宋体" w:hAnsi="宋体"/>
      <w:bCs/>
      <w:color w:val="000000"/>
      <w:kern w:val="0"/>
      <w:sz w:val="28"/>
      <w:szCs w:val="28"/>
    </w:rPr>
  </w:style>
  <w:style w:type="paragraph" w:customStyle="1" w:styleId="a19">
    <w:name w:val="简单回函地址"/>
    <w:basedOn w:val="Normal"/>
    <w:pPr>
      <w:adjustRightInd w:val="0"/>
      <w:spacing w:line="312" w:lineRule="atLeast"/>
      <w:textAlignment w:val="baseline"/>
    </w:pPr>
    <w:rPr>
      <w:kern w:val="0"/>
      <w:sz w:val="28"/>
      <w:szCs w:val="20"/>
    </w:rPr>
  </w:style>
  <w:style w:type="paragraph" w:customStyle="1" w:styleId="xl74">
    <w:name w:val="xl74"/>
    <w:basedOn w:val="Normal"/>
    <w:pPr>
      <w:widowControl/>
      <w:pBdr>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left"/>
    </w:pPr>
    <w:rPr>
      <w:rFonts w:ascii="宋体" w:hAnsi="宋体"/>
      <w:kern w:val="0"/>
      <w:sz w:val="24"/>
      <w:szCs w:val="22"/>
    </w:rPr>
  </w:style>
  <w:style w:type="paragraph" w:customStyle="1" w:styleId="a20">
    <w:name w:val="报告正文"/>
    <w:basedOn w:val="Normal"/>
    <w:pPr>
      <w:ind w:firstLine="538" w:firstLineChars="192"/>
    </w:pPr>
    <w:rPr>
      <w:rFonts w:hAnsi="ˎ̥"/>
      <w:color w:val="000000"/>
      <w:sz w:val="28"/>
      <w:szCs w:val="20"/>
    </w:rPr>
  </w:style>
  <w:style w:type="paragraph" w:customStyle="1" w:styleId="CharCharCharCharCharCharCharCharCharCharCharCharCharCharCharCharCharChar">
    <w:name w:val=" Char Char Char Char Char Char Char Char Char Char Char Char Char Char Char Char Char Char"/>
    <w:basedOn w:val="Normal"/>
  </w:style>
  <w:style w:type="paragraph" w:customStyle="1" w:styleId="ParaCharCharCharChar">
    <w:name w:val="默认段落字体 Para Char Char Char Char"/>
    <w:basedOn w:val="Normal"/>
  </w:style>
  <w:style w:type="paragraph" w:customStyle="1" w:styleId="116">
    <w:name w:val="正文样式1"/>
    <w:basedOn w:val="Normal"/>
    <w:pPr>
      <w:adjustRightInd w:val="0"/>
      <w:spacing w:line="360" w:lineRule="auto"/>
      <w:ind w:firstLine="482"/>
      <w:textAlignment w:val="baseline"/>
    </w:pPr>
    <w:rPr>
      <w:kern w:val="0"/>
      <w:sz w:val="24"/>
      <w:szCs w:val="20"/>
    </w:rPr>
  </w:style>
  <w:style w:type="paragraph" w:customStyle="1" w:styleId="28">
    <w:name w:val="首行缩进2字符"/>
    <w:basedOn w:val="Normal"/>
    <w:pPr>
      <w:spacing w:line="460" w:lineRule="exact"/>
      <w:ind w:firstLine="200"/>
    </w:pPr>
    <w:rPr>
      <w:sz w:val="28"/>
      <w:szCs w:val="20"/>
    </w:rPr>
  </w:style>
  <w:style w:type="paragraph" w:customStyle="1" w:styleId="xl41">
    <w:name w:val="xl41"/>
    <w:basedOn w:val="Normal"/>
    <w:pPr>
      <w:widowControl/>
      <w:pBdr>
        <w:left w:val="single" w:sz="4" w:space="0" w:color="auto"/>
        <w:bottom w:val="single" w:sz="4" w:space="0" w:color="auto"/>
        <w:right w:val="single" w:sz="8"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4"/>
      <w:szCs w:val="20"/>
    </w:rPr>
  </w:style>
  <w:style w:type="paragraph" w:customStyle="1" w:styleId="font0">
    <w:name w:val="font0"/>
    <w:basedOn w:val="Normal"/>
    <w:pPr>
      <w:widowControl/>
      <w:spacing w:before="100" w:beforeLines="0" w:beforeAutospacing="1" w:after="100" w:afterLines="0" w:afterAutospacing="1" w:line="348" w:lineRule="auto"/>
      <w:ind w:firstLine="200" w:firstLineChars="200"/>
      <w:jc w:val="left"/>
    </w:pPr>
    <w:rPr>
      <w:rFonts w:ascii="Calibri" w:hAnsi="Calibri"/>
      <w:kern w:val="0"/>
      <w:sz w:val="24"/>
      <w:szCs w:val="20"/>
    </w:rPr>
  </w:style>
  <w:style w:type="paragraph" w:customStyle="1" w:styleId="a21">
    <w:name w:val="封面标准文稿类别"/>
    <w:pPr>
      <w:spacing w:before="440" w:line="400" w:lineRule="exact"/>
      <w:ind w:firstLine="200" w:firstLineChars="200"/>
      <w:jc w:val="center"/>
    </w:pPr>
    <w:rPr>
      <w:rFonts w:ascii="Calibri"/>
      <w:kern w:val="2"/>
      <w:sz w:val="24"/>
      <w:szCs w:val="22"/>
      <w:lang w:val="en-US" w:eastAsia="zh-CN" w:bidi="ar-SA"/>
    </w:rPr>
  </w:style>
  <w:style w:type="paragraph" w:styleId="Revision">
    <w:name w:val="Revision"/>
    <w:pPr>
      <w:spacing w:line="348" w:lineRule="auto"/>
      <w:ind w:firstLine="200" w:firstLineChars="200"/>
      <w:jc w:val="both"/>
    </w:pPr>
    <w:rPr>
      <w:spacing w:val="20"/>
      <w:kern w:val="2"/>
      <w:sz w:val="21"/>
      <w:szCs w:val="24"/>
      <w:lang w:val="en-US" w:eastAsia="zh-CN" w:bidi="ar-SA"/>
    </w:rPr>
  </w:style>
  <w:style w:type="paragraph" w:customStyle="1" w:styleId="117">
    <w:name w:val="轻轿1级"/>
    <w:basedOn w:val="Normal"/>
    <w:pPr>
      <w:spacing w:line="480" w:lineRule="exact"/>
      <w:ind w:firstLine="200" w:firstLineChars="200"/>
    </w:pPr>
    <w:rPr>
      <w:rFonts w:ascii="宋体" w:hAnsi="宋体"/>
      <w:sz w:val="28"/>
      <w:szCs w:val="28"/>
    </w:rPr>
  </w:style>
  <w:style w:type="paragraph" w:customStyle="1" w:styleId="xl38">
    <w:name w:val="xl38"/>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left"/>
      <w:textAlignment w:val="center"/>
    </w:pPr>
    <w:rPr>
      <w:rFonts w:ascii="宋体" w:hAnsi="宋体"/>
      <w:kern w:val="0"/>
      <w:sz w:val="20"/>
      <w:szCs w:val="20"/>
    </w:rPr>
  </w:style>
  <w:style w:type="paragraph" w:customStyle="1" w:styleId="xl30">
    <w:name w:val="xl30"/>
    <w:basedOn w:val="Normal"/>
    <w:pPr>
      <w:widowControl/>
      <w:pBdr>
        <w:top w:val="single" w:sz="4" w:space="0" w:color="auto"/>
        <w:left w:val="single" w:sz="8"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a22">
    <w:name w:val="节标题"/>
    <w:basedOn w:val="Normal"/>
    <w:pPr>
      <w:widowControl/>
      <w:spacing w:line="289" w:lineRule="atLeast"/>
      <w:ind w:firstLine="200" w:firstLineChars="200"/>
      <w:jc w:val="center"/>
      <w:textAlignment w:val="baseline"/>
    </w:pPr>
    <w:rPr>
      <w:rFonts w:ascii="Calibri" w:hAnsi="Calibri"/>
      <w:color w:val="000000"/>
      <w:kern w:val="0"/>
      <w:sz w:val="28"/>
      <w:szCs w:val="20"/>
      <w:u w:color="000000"/>
    </w:rPr>
  </w:style>
  <w:style w:type="paragraph" w:customStyle="1" w:styleId="WPSPlain">
    <w:name w:val="WPS Plain"/>
    <w:pPr>
      <w:numPr>
        <w:ilvl w:val="0"/>
        <w:numId w:val="3"/>
      </w:numPr>
      <w:spacing w:line="348" w:lineRule="auto"/>
      <w:ind w:firstLine="200" w:firstLineChars="200"/>
      <w:jc w:val="both"/>
    </w:pPr>
    <w:rPr>
      <w:kern w:val="2"/>
      <w:sz w:val="21"/>
      <w:szCs w:val="22"/>
      <w:lang w:val="en-US" w:eastAsia="zh-CN" w:bidi="ar-SA"/>
    </w:rPr>
  </w:style>
  <w:style w:type="paragraph" w:customStyle="1" w:styleId="xl51">
    <w:name w:val="xl51"/>
    <w:basedOn w:val="Normal"/>
    <w:pPr>
      <w:widowControl/>
      <w:pBdr>
        <w:top w:val="single" w:sz="8"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Char28">
    <w:name w:val="Char"/>
    <w:basedOn w:val="Normal"/>
    <w:pPr>
      <w:keepNext/>
      <w:keepLines/>
      <w:spacing w:line="348" w:lineRule="auto"/>
      <w:ind w:firstLine="200" w:firstLineChars="200"/>
    </w:pPr>
    <w:rPr>
      <w:rFonts w:ascii="Calibri" w:hAnsi="Calibri" w:hint="eastAsia"/>
      <w:szCs w:val="20"/>
    </w:rPr>
  </w:style>
  <w:style w:type="paragraph" w:customStyle="1" w:styleId="CharCharCharCharCharCharCharCharCharCharCharCharCharCharCharCharCharCharChar">
    <w:name w:val="Char Char Char Char Char Char Char Char Char Char Char Char Char Char Char Char Char Char Char"/>
    <w:basedOn w:val="Normal"/>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348" w:lineRule="auto"/>
      <w:ind w:firstLine="200" w:firstLineChars="200"/>
      <w:jc w:val="center"/>
      <w:textAlignment w:val="center"/>
    </w:pPr>
    <w:rPr>
      <w:rFonts w:ascii="宋体" w:hAnsi="宋体"/>
      <w:kern w:val="0"/>
      <w:sz w:val="20"/>
      <w:szCs w:val="20"/>
    </w:rPr>
  </w:style>
  <w:style w:type="paragraph" w:customStyle="1" w:styleId="font1">
    <w:name w:val="font1"/>
    <w:basedOn w:val="Normal"/>
    <w:pPr>
      <w:widowControl/>
      <w:spacing w:before="100" w:beforeLines="0" w:beforeAutospacing="1" w:after="100" w:afterLines="0" w:afterAutospacing="1" w:line="348" w:lineRule="auto"/>
      <w:ind w:firstLine="200" w:firstLineChars="200"/>
      <w:jc w:val="left"/>
    </w:pPr>
    <w:rPr>
      <w:rFonts w:ascii="宋体" w:hAnsi="宋体" w:hint="eastAsia"/>
      <w:kern w:val="0"/>
      <w:sz w:val="24"/>
      <w:szCs w:val="22"/>
    </w:rPr>
  </w:style>
  <w:style w:type="paragraph" w:customStyle="1" w:styleId="118">
    <w:name w:val="水道1级"/>
    <w:basedOn w:val="Normal"/>
    <w:pPr>
      <w:spacing w:line="480" w:lineRule="exact"/>
      <w:ind w:firstLine="200" w:firstLineChars="200"/>
    </w:pPr>
    <w:rPr>
      <w:rFonts w:ascii="黑体" w:eastAsia="黑体" w:hAnsi="宋体"/>
      <w:sz w:val="28"/>
      <w:szCs w:val="28"/>
    </w:rPr>
  </w:style>
  <w:style w:type="paragraph" w:customStyle="1" w:styleId="119">
    <w:name w:val="说明式1"/>
    <w:basedOn w:val="Normal"/>
    <w:pPr>
      <w:tabs>
        <w:tab w:val="left" w:pos="360"/>
      </w:tabs>
      <w:spacing w:line="348" w:lineRule="auto"/>
      <w:ind w:firstLine="200" w:firstLineChars="200"/>
    </w:pPr>
    <w:rPr>
      <w:rFonts w:ascii="Calibri" w:hAnsi="Calibri"/>
      <w:szCs w:val="20"/>
    </w:rPr>
  </w:style>
  <w:style w:type="paragraph" w:customStyle="1" w:styleId="a23">
    <w:name w:val="红色图表标题"/>
    <w:basedOn w:val="Normal"/>
    <w:pPr>
      <w:adjustRightInd w:val="0"/>
      <w:snapToGrid w:val="0"/>
      <w:spacing w:line="520" w:lineRule="exact"/>
      <w:ind w:left="210"/>
      <w:jc w:val="center"/>
    </w:pPr>
    <w:rPr>
      <w:rFonts w:ascii="宋体" w:hAnsi="宋体"/>
      <w:kern w:val="28"/>
      <w:szCs w:val="21"/>
    </w:rPr>
  </w:style>
  <w:style w:type="character" w:customStyle="1" w:styleId="B3Char">
    <w:name w:val="B3 Char"/>
    <w:link w:val="B3"/>
    <w:rPr>
      <w:rFonts w:ascii="仿宋_GB2312" w:eastAsia="仿宋_GB2312" w:hAnsi="黑体"/>
      <w:b/>
      <w:kern w:val="2"/>
      <w:sz w:val="28"/>
    </w:rPr>
  </w:style>
  <w:style w:type="paragraph" w:customStyle="1" w:styleId="B3">
    <w:name w:val="B3"/>
    <w:basedOn w:val="Normal"/>
    <w:link w:val="B3Char"/>
    <w:pPr>
      <w:spacing w:line="640" w:lineRule="exact"/>
      <w:ind w:firstLine="562" w:firstLineChars="200"/>
    </w:pPr>
    <w:rPr>
      <w:rFonts w:ascii="仿宋_GB2312" w:eastAsia="仿宋_GB2312" w:hAnsi="黑体"/>
      <w:b/>
      <w:sz w:val="28"/>
      <w:szCs w:val="20"/>
    </w:rPr>
  </w:style>
  <w:style w:type="character" w:customStyle="1" w:styleId="Char29">
    <w:name w:val="表格文字 Char"/>
    <w:link w:val="a24"/>
    <w:rPr>
      <w:sz w:val="21"/>
    </w:rPr>
  </w:style>
  <w:style w:type="paragraph" w:customStyle="1" w:styleId="a24">
    <w:name w:val="表格文字"/>
    <w:basedOn w:val="Normal"/>
    <w:link w:val="Char29"/>
    <w:qFormat/>
    <w:pPr>
      <w:spacing w:line="288" w:lineRule="auto"/>
      <w:jc w:val="left"/>
    </w:pPr>
    <w:rPr>
      <w:kern w:val="0"/>
      <w:szCs w:val="20"/>
    </w:rPr>
  </w:style>
  <w:style w:type="paragraph" w:customStyle="1" w:styleId="TableParagraph">
    <w:name w:val="Table Paragraph"/>
    <w:basedOn w:val="Normal"/>
    <w:pPr>
      <w:jc w:val="left"/>
    </w:pPr>
    <w:rPr>
      <w:rFonts w:ascii="Calibri" w:hAnsi="Calibri"/>
      <w:kern w:val="0"/>
      <w:sz w:val="22"/>
      <w:szCs w:val="22"/>
      <w:lang w:eastAsia="en-US"/>
    </w:rPr>
  </w:style>
  <w:style w:type="character" w:customStyle="1" w:styleId="29">
    <w:name w:val="正文文本 (2)_"/>
    <w:link w:val="210"/>
    <w:rPr>
      <w:rFonts w:ascii="MingLiU" w:eastAsia="MingLiU"/>
      <w:sz w:val="22"/>
      <w:szCs w:val="22"/>
      <w:lang w:bidi="ar-SA"/>
    </w:rPr>
  </w:style>
  <w:style w:type="paragraph" w:customStyle="1" w:styleId="210">
    <w:name w:val="正文文本 (2)1"/>
    <w:basedOn w:val="Normal"/>
    <w:link w:val="29"/>
    <w:pPr>
      <w:shd w:val="clear" w:color="auto" w:fill="FFFFFF"/>
      <w:spacing w:after="360" w:line="240" w:lineRule="atLeast"/>
      <w:ind w:hanging="1060"/>
      <w:jc w:val="center"/>
    </w:pPr>
    <w:rPr>
      <w:rFonts w:ascii="MingLiU" w:eastAsia="MingLiU"/>
      <w:kern w:val="0"/>
      <w:sz w:val="22"/>
      <w:szCs w:val="22"/>
    </w:rPr>
  </w:style>
  <w:style w:type="character" w:customStyle="1" w:styleId="apple-converted-space">
    <w:name w:val="apple-converted-space"/>
    <w:basedOn w:val="DefaultParagraphFont"/>
  </w:style>
  <w:style w:type="character" w:customStyle="1" w:styleId="2105pt5">
    <w:name w:val="正文文本 (2) + 10.5 pt5"/>
    <w:rPr>
      <w:rFonts w:ascii="MingLiU" w:eastAsia="MingLiU" w:cs="MingLiU"/>
      <w:sz w:val="21"/>
      <w:szCs w:val="21"/>
      <w:u w:val="none"/>
      <w:lang w:bidi="ar-SA"/>
    </w:rPr>
  </w:style>
  <w:style w:type="paragraph" w:customStyle="1" w:styleId="CharCharCharCharCharCharChar0">
    <w:name w:val=" Char Char Char Char Char Char Char"/>
    <w:basedOn w:val="Normal"/>
    <w:pPr>
      <w:spacing w:line="360" w:lineRule="auto"/>
      <w:ind w:firstLine="200" w:firstLineChars="200"/>
    </w:pPr>
    <w:rPr>
      <w:rFonts w:ascii="宋体" w:hAnsi="宋体" w:cs="宋体"/>
      <w:sz w:val="24"/>
    </w:rPr>
  </w:style>
  <w:style w:type="character" w:customStyle="1" w:styleId="CharChar5">
    <w:name w:val="报告正文 Char Char"/>
    <w:rPr>
      <w:rFonts w:eastAsia="宋体"/>
      <w:sz w:val="21"/>
      <w:szCs w:val="21"/>
      <w:lang w:val="en-US" w:eastAsia="zh-CN" w:bidi="ar-SA"/>
    </w:rPr>
  </w:style>
  <w:style w:type="character" w:customStyle="1" w:styleId="CharChar6">
    <w:name w:val="表格中文字居中 Char Char"/>
    <w:link w:val="a25"/>
    <w:rPr>
      <w:rFonts w:ascii="宋体" w:hAnsi="宋体"/>
      <w:bCs/>
      <w:sz w:val="21"/>
      <w:szCs w:val="21"/>
    </w:rPr>
  </w:style>
  <w:style w:type="paragraph" w:customStyle="1" w:styleId="a25">
    <w:name w:val="表格中文字居中"/>
    <w:basedOn w:val="Normal"/>
    <w:link w:val="CharChar6"/>
    <w:pPr>
      <w:widowControl/>
      <w:tabs>
        <w:tab w:val="left" w:pos="1890"/>
      </w:tabs>
      <w:adjustRightInd w:val="0"/>
      <w:snapToGrid w:val="0"/>
      <w:ind w:left="25" w:right="2" w:hanging="23" w:leftChars="1" w:rightChars="1" w:hangingChars="11"/>
      <w:jc w:val="center"/>
    </w:pPr>
    <w:rPr>
      <w:rFonts w:ascii="宋体" w:hAnsi="宋体"/>
      <w:bCs/>
      <w:kern w:val="0"/>
      <w:szCs w:val="21"/>
    </w:rPr>
  </w:style>
  <w:style w:type="character" w:customStyle="1" w:styleId="21Char0">
    <w:name w:val="样式 样式 正文缩进 + 首行缩进:  2 字符1 + 小五 Char"/>
    <w:link w:val="211"/>
    <w:rPr>
      <w:bCs/>
      <w:kern w:val="2"/>
      <w:sz w:val="21"/>
      <w:szCs w:val="18"/>
    </w:rPr>
  </w:style>
  <w:style w:type="paragraph" w:customStyle="1" w:styleId="211">
    <w:name w:val="样式 样式 正文缩进 + 首行缩进:  2 字符1 + 小五"/>
    <w:basedOn w:val="Normal"/>
    <w:link w:val="21Char0"/>
    <w:pPr>
      <w:adjustRightInd w:val="0"/>
      <w:snapToGrid w:val="0"/>
      <w:spacing w:before="100" w:beforeAutospacing="1" w:after="100" w:afterAutospacing="1"/>
    </w:pPr>
    <w:rPr>
      <w:bCs/>
      <w:szCs w:val="18"/>
    </w:rPr>
  </w:style>
  <w:style w:type="paragraph" w:customStyle="1" w:styleId="ListParagraph0">
    <w:name w:val="List Paragraph"/>
    <w:basedOn w:val="Normal"/>
    <w:qFormat/>
    <w:pPr>
      <w:ind w:firstLine="420" w:firstLineChars="200"/>
    </w:pPr>
  </w:style>
  <w:style w:type="character" w:customStyle="1" w:styleId="2Char5">
    <w:name w:val="正文首行缩进 2 Char"/>
    <w:link w:val="BodyTextFirstIndent2"/>
    <w:qFormat/>
    <w:rPr>
      <w:kern w:val="2"/>
      <w:sz w:val="21"/>
      <w:szCs w:val="24"/>
    </w:rPr>
  </w:style>
  <w:style w:type="character" w:customStyle="1" w:styleId="font11">
    <w:name w:val="font11"/>
    <w:qFormat/>
    <w:rPr>
      <w:rFonts w:ascii="Tahoma" w:eastAsia="Tahoma" w:hAnsi="Tahoma" w:cs="Tahoma" w:hint="default"/>
      <w:i w:val="0"/>
      <w:color w:val="000000"/>
      <w:sz w:val="22"/>
      <w:szCs w:val="22"/>
      <w:u w:val="none"/>
    </w:rPr>
  </w:style>
  <w:style w:type="paragraph" w:customStyle="1" w:styleId="150">
    <w:name w:val="样式 宋体 红色 居中 行距: 1.5 倍行距"/>
    <w:basedOn w:val="Normal"/>
    <w:pPr>
      <w:spacing w:line="360" w:lineRule="auto"/>
      <w:jc w:val="center"/>
    </w:pPr>
    <w:rPr>
      <w:rFonts w:cs="宋体"/>
      <w:color w:val="FF0000"/>
      <w:szCs w:val="20"/>
    </w:rPr>
  </w:style>
  <w:style w:type="paragraph" w:customStyle="1" w:styleId="153">
    <w:name w:val="样式 宋体 居中 行距: 1.5 倍行距3"/>
    <w:basedOn w:val="Normal"/>
    <w:pPr>
      <w:spacing w:line="360" w:lineRule="auto"/>
      <w:jc w:val="center"/>
    </w:pPr>
    <w:rPr>
      <w:rFonts w:cs="宋体"/>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yperlink" Target="https://baike.baidu.com/item/%E5%A7%90%E5%A6%B9%E6%9F%93%E8%89%B2%E4%BD%93" TargetMode="External" /><Relationship Id="rId101" Type="http://schemas.openxmlformats.org/officeDocument/2006/relationships/hyperlink" Target="https://baike.baidu.com/item/%E8%A7%86%E7%BB%86%E8%83%9E" TargetMode="External" /><Relationship Id="rId102" Type="http://schemas.openxmlformats.org/officeDocument/2006/relationships/header" Target="header25.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yperlink" Target="https://baike.baidu.com/item/%E5%AE%89%E5%85%A8%E5%B8%BD" TargetMode="External" /><Relationship Id="rId106" Type="http://schemas.openxmlformats.org/officeDocument/2006/relationships/hyperlink" Target="https://baike.baidu.com/item/%E9%98%B2%E6%8A%A4%E6%89%8B%E5%A5%97" TargetMode="External" /><Relationship Id="rId107" Type="http://schemas.openxmlformats.org/officeDocument/2006/relationships/header" Target="header26.xml" /><Relationship Id="rId108" Type="http://schemas.openxmlformats.org/officeDocument/2006/relationships/footer" Target="footer51.xml" /><Relationship Id="rId109" Type="http://schemas.openxmlformats.org/officeDocument/2006/relationships/footer" Target="footer52.xml" /><Relationship Id="rId11" Type="http://schemas.openxmlformats.org/officeDocument/2006/relationships/footer" Target="footer5.xml" /><Relationship Id="rId110" Type="http://schemas.openxmlformats.org/officeDocument/2006/relationships/header" Target="header27.xml" /><Relationship Id="rId111" Type="http://schemas.openxmlformats.org/officeDocument/2006/relationships/footer" Target="footer53.xml" /><Relationship Id="rId112" Type="http://schemas.openxmlformats.org/officeDocument/2006/relationships/footer" Target="footer54.xml" /><Relationship Id="rId113" Type="http://schemas.openxmlformats.org/officeDocument/2006/relationships/image" Target="media/image2.png" /><Relationship Id="rId114" Type="http://schemas.openxmlformats.org/officeDocument/2006/relationships/header" Target="header28.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image" Target="media/image3.png" /><Relationship Id="rId118" Type="http://schemas.openxmlformats.org/officeDocument/2006/relationships/image" Target="media/image4.png" /><Relationship Id="rId119" Type="http://schemas.openxmlformats.org/officeDocument/2006/relationships/header" Target="header29.xml" /><Relationship Id="rId12" Type="http://schemas.openxmlformats.org/officeDocument/2006/relationships/footer" Target="footer6.xml" /><Relationship Id="rId120" Type="http://schemas.openxmlformats.org/officeDocument/2006/relationships/footer" Target="footer57.xml" /><Relationship Id="rId121" Type="http://schemas.openxmlformats.org/officeDocument/2006/relationships/footer" Target="footer58.xml" /><Relationship Id="rId122" Type="http://schemas.openxmlformats.org/officeDocument/2006/relationships/header" Target="header30.xml" /><Relationship Id="rId123" Type="http://schemas.openxmlformats.org/officeDocument/2006/relationships/footer" Target="footer59.xml" /><Relationship Id="rId124" Type="http://schemas.openxmlformats.org/officeDocument/2006/relationships/footer" Target="footer60.xml" /><Relationship Id="rId125" Type="http://schemas.openxmlformats.org/officeDocument/2006/relationships/header" Target="header31.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32.xml" /><Relationship Id="rId129" Type="http://schemas.openxmlformats.org/officeDocument/2006/relationships/footer" Target="footer63.xml" /><Relationship Id="rId13" Type="http://schemas.openxmlformats.org/officeDocument/2006/relationships/header" Target="header4.xml" /><Relationship Id="rId130" Type="http://schemas.openxmlformats.org/officeDocument/2006/relationships/footer" Target="footer64.xml" /><Relationship Id="rId131" Type="http://schemas.openxmlformats.org/officeDocument/2006/relationships/header" Target="header33.xml" /><Relationship Id="rId132" Type="http://schemas.openxmlformats.org/officeDocument/2006/relationships/footer" Target="footer65.xml" /><Relationship Id="rId133" Type="http://schemas.openxmlformats.org/officeDocument/2006/relationships/footer" Target="footer66.xml" /><Relationship Id="rId134" Type="http://schemas.openxmlformats.org/officeDocument/2006/relationships/hyperlink" Target="https://d.book118.com/577032066102006025" TargetMode="External" /><Relationship Id="rId135" Type="http://schemas.openxmlformats.org/officeDocument/2006/relationships/header" Target="header34.xml" /><Relationship Id="rId136" Type="http://schemas.openxmlformats.org/officeDocument/2006/relationships/footer" Target="footer67.xml" /><Relationship Id="rId137" Type="http://schemas.openxmlformats.org/officeDocument/2006/relationships/footer" Target="footer68.xml" /><Relationship Id="rId138" Type="http://schemas.openxmlformats.org/officeDocument/2006/relationships/theme" Target="theme/theme1.xml" /><Relationship Id="rId139" Type="http://schemas.openxmlformats.org/officeDocument/2006/relationships/numbering" Target="numbering.xml" /><Relationship Id="rId14" Type="http://schemas.openxmlformats.org/officeDocument/2006/relationships/footer" Target="footer7.xml" /><Relationship Id="rId140" Type="http://schemas.openxmlformats.org/officeDocument/2006/relationships/styles" Target="styles.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image" Target="media/image1.png" /><Relationship Id="rId41" Type="http://schemas.openxmlformats.org/officeDocument/2006/relationships/header" Target="header13.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header" Target="header14.xml" /><Relationship Id="rId45" Type="http://schemas.openxmlformats.org/officeDocument/2006/relationships/footer" Target="footer27.xml" /><Relationship Id="rId46" Type="http://schemas.openxmlformats.org/officeDocument/2006/relationships/footer" Target="footer28.xml" /><Relationship Id="rId47" Type="http://schemas.openxmlformats.org/officeDocument/2006/relationships/header" Target="header15.xml" /><Relationship Id="rId48" Type="http://schemas.openxmlformats.org/officeDocument/2006/relationships/footer" Target="footer29.xml" /><Relationship Id="rId49" Type="http://schemas.openxmlformats.org/officeDocument/2006/relationships/footer" Target="footer30.xml" /><Relationship Id="rId5" Type="http://schemas.openxmlformats.org/officeDocument/2006/relationships/footer" Target="footer1.xml" /><Relationship Id="rId50" Type="http://schemas.openxmlformats.org/officeDocument/2006/relationships/header" Target="header16.xml" /><Relationship Id="rId51" Type="http://schemas.openxmlformats.org/officeDocument/2006/relationships/footer" Target="footer31.xml" /><Relationship Id="rId52" Type="http://schemas.openxmlformats.org/officeDocument/2006/relationships/footer" Target="footer32.xml" /><Relationship Id="rId53" Type="http://schemas.openxmlformats.org/officeDocument/2006/relationships/hyperlink" Target="https://baike.baidu.com/item/%E4%B8%B4%E6%BD%BC" TargetMode="External" /><Relationship Id="rId54" Type="http://schemas.openxmlformats.org/officeDocument/2006/relationships/hyperlink" Target="https://baike.baidu.com/item/%E5%AF%8C%E5%B9%B3" TargetMode="External" /><Relationship Id="rId55" Type="http://schemas.openxmlformats.org/officeDocument/2006/relationships/hyperlink" Target="https://baike.baidu.com/item/%E9%98%8E%E8%89%AF" TargetMode="External" /><Relationship Id="rId56" Type="http://schemas.openxmlformats.org/officeDocument/2006/relationships/hyperlink" Target="https://baike.baidu.com/item/%E9%AB%98%E9%99%B5/12013737" TargetMode="External" /><Relationship Id="rId57" Type="http://schemas.openxmlformats.org/officeDocument/2006/relationships/hyperlink" Target="https://baike.baidu.com/item/%E6%B3%BE%E9%98%B3" TargetMode="External" /><Relationship Id="rId58" Type="http://schemas.openxmlformats.org/officeDocument/2006/relationships/hyperlink" Target="https://baike.baidu.com/item/%E6%B7%B3%E5%8C%96/7619822" TargetMode="External" /><Relationship Id="rId59" Type="http://schemas.openxmlformats.org/officeDocument/2006/relationships/hyperlink" Target="https://baike.baidu.com/item/%E8%B5%B5%E6%B0%8F%E6%B2%B3" TargetMode="External" /><Relationship Id="rId6" Type="http://schemas.openxmlformats.org/officeDocument/2006/relationships/footer" Target="footer2.xml" /><Relationship Id="rId60" Type="http://schemas.openxmlformats.org/officeDocument/2006/relationships/header" Target="header17.xml" /><Relationship Id="rId61" Type="http://schemas.openxmlformats.org/officeDocument/2006/relationships/footer" Target="footer33.xml" /><Relationship Id="rId62" Type="http://schemas.openxmlformats.org/officeDocument/2006/relationships/footer" Target="footer34.xml" /><Relationship Id="rId63" Type="http://schemas.openxmlformats.org/officeDocument/2006/relationships/header" Target="header18.xml" /><Relationship Id="rId64" Type="http://schemas.openxmlformats.org/officeDocument/2006/relationships/footer" Target="footer35.xml" /><Relationship Id="rId65" Type="http://schemas.openxmlformats.org/officeDocument/2006/relationships/footer" Target="footer36.xml" /><Relationship Id="rId66" Type="http://schemas.openxmlformats.org/officeDocument/2006/relationships/header" Target="header19.xml" /><Relationship Id="rId67" Type="http://schemas.openxmlformats.org/officeDocument/2006/relationships/footer" Target="footer37.xml" /><Relationship Id="rId68" Type="http://schemas.openxmlformats.org/officeDocument/2006/relationships/footer" Target="footer38.xml" /><Relationship Id="rId69" Type="http://schemas.openxmlformats.org/officeDocument/2006/relationships/header" Target="header20.xml" /><Relationship Id="rId7" Type="http://schemas.openxmlformats.org/officeDocument/2006/relationships/header" Target="header2.xml" /><Relationship Id="rId70" Type="http://schemas.openxmlformats.org/officeDocument/2006/relationships/footer" Target="footer39.xml" /><Relationship Id="rId71" Type="http://schemas.openxmlformats.org/officeDocument/2006/relationships/footer" Target="footer40.xml" /><Relationship Id="rId72" Type="http://schemas.openxmlformats.org/officeDocument/2006/relationships/header" Target="header21.xml" /><Relationship Id="rId73" Type="http://schemas.openxmlformats.org/officeDocument/2006/relationships/footer" Target="footer41.xml" /><Relationship Id="rId74" Type="http://schemas.openxmlformats.org/officeDocument/2006/relationships/footer" Target="footer42.xml" /><Relationship Id="rId75" Type="http://schemas.openxmlformats.org/officeDocument/2006/relationships/header" Target="header22.xml" /><Relationship Id="rId76" Type="http://schemas.openxmlformats.org/officeDocument/2006/relationships/footer" Target="footer43.xml" /><Relationship Id="rId77" Type="http://schemas.openxmlformats.org/officeDocument/2006/relationships/footer" Target="footer44.xml" /><Relationship Id="rId78" Type="http://schemas.openxmlformats.org/officeDocument/2006/relationships/header" Target="header23.xml" /><Relationship Id="rId79" Type="http://schemas.openxmlformats.org/officeDocument/2006/relationships/footer" Target="footer45.xml" /><Relationship Id="rId8" Type="http://schemas.openxmlformats.org/officeDocument/2006/relationships/footer" Target="footer3.xml" /><Relationship Id="rId80" Type="http://schemas.openxmlformats.org/officeDocument/2006/relationships/footer" Target="footer46.xml" /><Relationship Id="rId81" Type="http://schemas.openxmlformats.org/officeDocument/2006/relationships/header" Target="header24.xml" /><Relationship Id="rId82" Type="http://schemas.openxmlformats.org/officeDocument/2006/relationships/footer" Target="footer47.xml" /><Relationship Id="rId83" Type="http://schemas.openxmlformats.org/officeDocument/2006/relationships/footer" Target="footer48.xml" /><Relationship Id="rId84" Type="http://schemas.openxmlformats.org/officeDocument/2006/relationships/hyperlink" Target="https://baike.baidu.com/item/%E9%A5%B1%E5%92%8C%E8%92%B8%E6%B0%94%E5%8E%8B" TargetMode="External" /><Relationship Id="rId85" Type="http://schemas.openxmlformats.org/officeDocument/2006/relationships/hyperlink" Target="https://baike.baidu.com/item/%E4%B8%B4%E7%95%8C%E6%B8%A9%E5%BA%A6/22831" TargetMode="External" /><Relationship Id="rId86" Type="http://schemas.openxmlformats.org/officeDocument/2006/relationships/hyperlink" Target="https://baike.baidu.com/item/%E4%B8%B4%E7%95%8C%E5%8E%8B%E5%8A%9B" TargetMode="External" /><Relationship Id="rId87" Type="http://schemas.openxmlformats.org/officeDocument/2006/relationships/hyperlink" Target="https://baike.baidu.com/item/%E7%A8%80%E6%9C%89%E6%B0%94%E4%BD%93" TargetMode="External" /><Relationship Id="rId88" Type="http://schemas.openxmlformats.org/officeDocument/2006/relationships/hyperlink" Target="https://baike.baidu.com/item/%E9%87%91%E5%B1%9E%E5%85%83%E7%B4%A0" TargetMode="External" /><Relationship Id="rId89" Type="http://schemas.openxmlformats.org/officeDocument/2006/relationships/hyperlink" Target="https://baike.baidu.com/item/%E9%93%B6" TargetMode="External" /><Relationship Id="rId9" Type="http://schemas.openxmlformats.org/officeDocument/2006/relationships/footer" Target="footer4.xml" /><Relationship Id="rId90" Type="http://schemas.openxmlformats.org/officeDocument/2006/relationships/hyperlink" Target="https://baike.baidu.com/item/%E6%B0%A7%E5%8C%96%E5%8F%8D%E5%BA%94" TargetMode="External" /><Relationship Id="rId91" Type="http://schemas.openxmlformats.org/officeDocument/2006/relationships/hyperlink" Target="https://baike.baidu.com/item/%E9%9D%9E%E9%87%91%E5%B1%9E%E6%B0%A7%E5%8C%96%E7%89%A9" TargetMode="External" /><Relationship Id="rId92" Type="http://schemas.openxmlformats.org/officeDocument/2006/relationships/hyperlink" Target="https://baike.baidu.com/item/%E5%8C%96%E5%AD%A6%E5%8F%8D%E5%BA%94" TargetMode="External" /><Relationship Id="rId93" Type="http://schemas.openxmlformats.org/officeDocument/2006/relationships/hyperlink" Target="https://baike.baidu.com/item/%E6%80%A5%E6%80%A7%E6%AF%92%E6%80%A7" TargetMode="External" /><Relationship Id="rId94" Type="http://schemas.openxmlformats.org/officeDocument/2006/relationships/hyperlink" Target="https://baike.baidu.com/item/%E7%94%9F%E6%AE%96%E7%B3%BB%E7%BB%9F" TargetMode="External" /><Relationship Id="rId95" Type="http://schemas.openxmlformats.org/officeDocument/2006/relationships/hyperlink" Target="https://baike.baidu.com/item/%E5%BF%83%E8%A1%80%E7%AE%A1%E7%B3%BB%E7%BB%9F" TargetMode="External" /><Relationship Id="rId96" Type="http://schemas.openxmlformats.org/officeDocument/2006/relationships/hyperlink" Target="https://baike.baidu.com/item/%E7%9A%AE%E4%B8%8B%E7%BB%84%E7%BB%87" TargetMode="External" /><Relationship Id="rId97" Type="http://schemas.openxmlformats.org/officeDocument/2006/relationships/hyperlink" Target="https://baike.baidu.com/item/%E8%87%B4%E7%AA%81%E5%8F%98%E6%80%A7" TargetMode="External" /><Relationship Id="rId98" Type="http://schemas.openxmlformats.org/officeDocument/2006/relationships/hyperlink" Target="https://baike.baidu.com/item/%E6%B7%8B%E5%B7%B4%E7%BB%86%E8%83%9E" TargetMode="External" /><Relationship Id="rId99" Type="http://schemas.openxmlformats.org/officeDocument/2006/relationships/hyperlink" Target="https://baike.baidu.com/item/%E5%95%AE%E9%BD%BF%E5%8A%A8%E7%89%A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41</Pages>
  <Words>39972</Words>
  <Characters>43642</Characters>
  <Application>Microsoft Office Word</Application>
  <DocSecurity>0</DocSecurity>
  <Lines>368</Lines>
  <Paragraphs>103</Paragraphs>
  <ScaleCrop>false</ScaleCrop>
  <Company/>
  <LinksUpToDate>false</LinksUpToDate>
  <CharactersWithSpaces>43871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机械建设项目初步设计安全专篇编写提纲</dc:title>
  <dc:creator>微软用户</dc:creator>
  <cp:lastModifiedBy>肉团子</cp:lastModifiedBy>
  <cp:revision>131</cp:revision>
  <cp:lastPrinted>2019-08-08T15:48:00Z</cp:lastPrinted>
  <dcterms:created xsi:type="dcterms:W3CDTF">2019-12-01T10:36:00Z</dcterms:created>
  <dcterms:modified xsi:type="dcterms:W3CDTF">2024-01-04T14:37:07Z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63F9FC5E6F2C48678ADF3EEBF80B504A</vt:lpwstr>
  </property>
  <property fmtid="{D5CDD505-2E9C-101B-9397-08002B2CF9AE}" pid="3" name="KSOProductBuildVer">
    <vt:lpwstr>2052-11.1.0.12165</vt:lpwstr>
  </property>
</Properties>
</file>