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卫星数字电视综合接收解码器（IRD）项目规划设计蓝图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7" w:history="1">
        <w:r>
          <w:rPr>
            <w:rFonts w:ascii="仿宋" w:eastAsia="仿宋" w:hAnsi="仿宋" w:cs="仿宋" w:hint="eastAsia"/>
            <w:lang w:eastAsia="zh-CN"/>
          </w:rPr>
          <w:t>序言</w:t>
        </w:r>
        <w:r>
          <w:tab/>
        </w:r>
        <w:r>
          <w:fldChar w:fldCharType="begin"/>
        </w:r>
        <w:r>
          <w:instrText xml:space="preserve"> PAGEREF _Toc977 \h </w:instrText>
        </w:r>
        <w:r>
          <w:fldChar w:fldCharType="separate"/>
        </w:r>
        <w:r>
          <w:t>3</w:t>
        </w:r>
        <w:r>
          <w:fldChar w:fldCharType="end"/>
        </w:r>
      </w:hyperlink>
    </w:p>
    <w:p>
      <w:pPr>
        <w:pStyle w:val="TOC1"/>
        <w:tabs>
          <w:tab w:val="right" w:leader="dot" w:pos="8306"/>
        </w:tabs>
      </w:pPr>
      <w:hyperlink w:anchor="_Toc10795" w:history="1">
        <w:r>
          <w:rPr>
            <w:rFonts w:ascii="仿宋" w:eastAsia="仿宋" w:hAnsi="仿宋" w:cs="仿宋" w:hint="eastAsia"/>
            <w:lang w:eastAsia="zh-CN"/>
          </w:rPr>
          <w:t>一、产品规划分析</w:t>
        </w:r>
        <w:r>
          <w:tab/>
        </w:r>
        <w:r>
          <w:fldChar w:fldCharType="begin"/>
        </w:r>
        <w:r>
          <w:instrText xml:space="preserve"> PAGEREF _Toc10795 \h </w:instrText>
        </w:r>
        <w:r>
          <w:fldChar w:fldCharType="separate"/>
        </w:r>
        <w:r>
          <w:t>3</w:t>
        </w:r>
        <w:r>
          <w:fldChar w:fldCharType="end"/>
        </w:r>
      </w:hyperlink>
    </w:p>
    <w:p>
      <w:pPr>
        <w:pStyle w:val="TOC2"/>
        <w:tabs>
          <w:tab w:val="right" w:leader="dot" w:pos="8306"/>
        </w:tabs>
      </w:pPr>
      <w:hyperlink w:anchor="_Toc19838" w:history="1">
        <w:r>
          <w:rPr>
            <w:rFonts w:ascii="仿宋" w:eastAsia="仿宋" w:hAnsi="仿宋" w:cs="仿宋" w:hint="eastAsia"/>
            <w:lang w:eastAsia="zh-CN"/>
          </w:rPr>
          <w:t>(一)、产品规划</w:t>
        </w:r>
        <w:r>
          <w:tab/>
        </w:r>
        <w:r>
          <w:fldChar w:fldCharType="begin"/>
        </w:r>
        <w:r>
          <w:instrText xml:space="preserve"> PAGEREF _Toc19838 \h </w:instrText>
        </w:r>
        <w:r>
          <w:fldChar w:fldCharType="separate"/>
        </w:r>
        <w:r>
          <w:t>3</w:t>
        </w:r>
        <w:r>
          <w:fldChar w:fldCharType="end"/>
        </w:r>
      </w:hyperlink>
    </w:p>
    <w:p>
      <w:pPr>
        <w:pStyle w:val="TOC2"/>
        <w:tabs>
          <w:tab w:val="right" w:leader="dot" w:pos="8306"/>
        </w:tabs>
      </w:pPr>
      <w:hyperlink w:anchor="_Toc4949" w:history="1">
        <w:r>
          <w:rPr>
            <w:rFonts w:ascii="仿宋" w:eastAsia="仿宋" w:hAnsi="仿宋" w:cs="仿宋" w:hint="eastAsia"/>
            <w:lang w:eastAsia="zh-CN"/>
          </w:rPr>
          <w:t>(二)、建设规模</w:t>
        </w:r>
        <w:r>
          <w:tab/>
        </w:r>
        <w:r>
          <w:fldChar w:fldCharType="begin"/>
        </w:r>
        <w:r>
          <w:instrText xml:space="preserve"> PAGEREF _Toc4949 \h </w:instrText>
        </w:r>
        <w:r>
          <w:fldChar w:fldCharType="separate"/>
        </w:r>
        <w:r>
          <w:t>4</w:t>
        </w:r>
        <w:r>
          <w:fldChar w:fldCharType="end"/>
        </w:r>
      </w:hyperlink>
    </w:p>
    <w:p>
      <w:pPr>
        <w:pStyle w:val="TOC1"/>
        <w:tabs>
          <w:tab w:val="right" w:leader="dot" w:pos="8306"/>
        </w:tabs>
      </w:pPr>
      <w:hyperlink w:anchor="_Toc6542" w:history="1">
        <w:r>
          <w:rPr>
            <w:rFonts w:ascii="仿宋" w:eastAsia="仿宋" w:hAnsi="仿宋" w:cs="仿宋" w:hint="eastAsia"/>
            <w:lang w:eastAsia="zh-CN"/>
          </w:rPr>
          <w:t>二、卫星数字电视综合接收解码器（IRD）项目文档管理</w:t>
        </w:r>
        <w:r>
          <w:tab/>
        </w:r>
        <w:r>
          <w:fldChar w:fldCharType="begin"/>
        </w:r>
        <w:r>
          <w:instrText xml:space="preserve"> PAGEREF _Toc6542 \h </w:instrText>
        </w:r>
        <w:r>
          <w:fldChar w:fldCharType="separate"/>
        </w:r>
        <w:r>
          <w:t>5</w:t>
        </w:r>
        <w:r>
          <w:fldChar w:fldCharType="end"/>
        </w:r>
      </w:hyperlink>
    </w:p>
    <w:p>
      <w:pPr>
        <w:pStyle w:val="TOC2"/>
        <w:tabs>
          <w:tab w:val="right" w:leader="dot" w:pos="8306"/>
        </w:tabs>
      </w:pPr>
      <w:hyperlink w:anchor="_Toc2581" w:history="1">
        <w:r>
          <w:rPr>
            <w:rFonts w:ascii="仿宋" w:eastAsia="仿宋" w:hAnsi="仿宋" w:cs="仿宋" w:hint="eastAsia"/>
            <w:lang w:eastAsia="zh-CN"/>
          </w:rPr>
          <w:t>(一)、文档编制与审查</w:t>
        </w:r>
        <w:r>
          <w:tab/>
        </w:r>
        <w:r>
          <w:fldChar w:fldCharType="begin"/>
        </w:r>
        <w:r>
          <w:instrText xml:space="preserve"> PAGEREF _Toc2581 \h </w:instrText>
        </w:r>
        <w:r>
          <w:fldChar w:fldCharType="separate"/>
        </w:r>
        <w:r>
          <w:t>5</w:t>
        </w:r>
        <w:r>
          <w:fldChar w:fldCharType="end"/>
        </w:r>
      </w:hyperlink>
    </w:p>
    <w:p>
      <w:pPr>
        <w:pStyle w:val="TOC2"/>
        <w:tabs>
          <w:tab w:val="right" w:leader="dot" w:pos="8306"/>
        </w:tabs>
      </w:pPr>
      <w:hyperlink w:anchor="_Toc20382" w:history="1">
        <w:r>
          <w:rPr>
            <w:rFonts w:ascii="仿宋" w:eastAsia="仿宋" w:hAnsi="仿宋" w:cs="仿宋" w:hint="eastAsia"/>
            <w:lang w:eastAsia="zh-CN"/>
          </w:rPr>
          <w:t>(二)、文档发布与分发</w:t>
        </w:r>
        <w:r>
          <w:tab/>
        </w:r>
        <w:r>
          <w:fldChar w:fldCharType="begin"/>
        </w:r>
        <w:r>
          <w:instrText xml:space="preserve"> PAGEREF _Toc20382 \h </w:instrText>
        </w:r>
        <w:r>
          <w:fldChar w:fldCharType="separate"/>
        </w:r>
        <w:r>
          <w:t>7</w:t>
        </w:r>
        <w:r>
          <w:fldChar w:fldCharType="end"/>
        </w:r>
      </w:hyperlink>
    </w:p>
    <w:p>
      <w:pPr>
        <w:pStyle w:val="TOC2"/>
        <w:tabs>
          <w:tab w:val="right" w:leader="dot" w:pos="8306"/>
        </w:tabs>
      </w:pPr>
      <w:hyperlink w:anchor="_Toc6040" w:history="1">
        <w:r>
          <w:rPr>
            <w:rFonts w:ascii="仿宋" w:eastAsia="仿宋" w:hAnsi="仿宋" w:cs="仿宋" w:hint="eastAsia"/>
            <w:lang w:eastAsia="zh-CN"/>
          </w:rPr>
          <w:t>(三)、文档存档与归档</w:t>
        </w:r>
        <w:r>
          <w:tab/>
        </w:r>
        <w:r>
          <w:fldChar w:fldCharType="begin"/>
        </w:r>
        <w:r>
          <w:instrText xml:space="preserve"> PAGEREF _Toc6040 \h </w:instrText>
        </w:r>
        <w:r>
          <w:fldChar w:fldCharType="separate"/>
        </w:r>
        <w:r>
          <w:t>8</w:t>
        </w:r>
        <w:r>
          <w:fldChar w:fldCharType="end"/>
        </w:r>
      </w:hyperlink>
    </w:p>
    <w:p>
      <w:pPr>
        <w:pStyle w:val="TOC1"/>
        <w:tabs>
          <w:tab w:val="right" w:leader="dot" w:pos="8306"/>
        </w:tabs>
      </w:pPr>
      <w:hyperlink w:anchor="_Toc7198" w:history="1">
        <w:r>
          <w:rPr>
            <w:rFonts w:ascii="仿宋" w:eastAsia="仿宋" w:hAnsi="仿宋" w:cs="仿宋" w:hint="eastAsia"/>
            <w:lang w:eastAsia="zh-CN"/>
          </w:rPr>
          <w:t>三、工艺说明</w:t>
        </w:r>
        <w:r>
          <w:tab/>
        </w:r>
        <w:r>
          <w:fldChar w:fldCharType="begin"/>
        </w:r>
        <w:r>
          <w:instrText xml:space="preserve"> PAGEREF _Toc7198 \h </w:instrText>
        </w:r>
        <w:r>
          <w:fldChar w:fldCharType="separate"/>
        </w:r>
        <w:r>
          <w:t>9</w:t>
        </w:r>
        <w:r>
          <w:fldChar w:fldCharType="end"/>
        </w:r>
      </w:hyperlink>
    </w:p>
    <w:p>
      <w:pPr>
        <w:pStyle w:val="TOC2"/>
        <w:tabs>
          <w:tab w:val="right" w:leader="dot" w:pos="8306"/>
        </w:tabs>
      </w:pPr>
      <w:hyperlink w:anchor="_Toc18077" w:history="1">
        <w:r>
          <w:rPr>
            <w:rFonts w:ascii="仿宋" w:eastAsia="仿宋" w:hAnsi="仿宋" w:cs="仿宋" w:hint="eastAsia"/>
            <w:lang w:eastAsia="zh-CN"/>
          </w:rPr>
          <w:t>(一)、技术管理特点</w:t>
        </w:r>
        <w:r>
          <w:tab/>
        </w:r>
        <w:r>
          <w:fldChar w:fldCharType="begin"/>
        </w:r>
        <w:r>
          <w:instrText xml:space="preserve"> PAGEREF _Toc18077 \h </w:instrText>
        </w:r>
        <w:r>
          <w:fldChar w:fldCharType="separate"/>
        </w:r>
        <w:r>
          <w:t>9</w:t>
        </w:r>
        <w:r>
          <w:fldChar w:fldCharType="end"/>
        </w:r>
      </w:hyperlink>
    </w:p>
    <w:p>
      <w:pPr>
        <w:pStyle w:val="TOC2"/>
        <w:tabs>
          <w:tab w:val="right" w:leader="dot" w:pos="8306"/>
        </w:tabs>
      </w:pPr>
      <w:hyperlink w:anchor="_Toc30363" w:history="1">
        <w:r>
          <w:rPr>
            <w:rFonts w:ascii="仿宋" w:eastAsia="仿宋" w:hAnsi="仿宋" w:cs="仿宋" w:hint="eastAsia"/>
            <w:lang w:eastAsia="zh-CN"/>
          </w:rPr>
          <w:t>(二)、卫星数字电视综合接收解码器（IRD）项目工艺技术设计方案</w:t>
        </w:r>
        <w:r>
          <w:tab/>
        </w:r>
        <w:r>
          <w:fldChar w:fldCharType="begin"/>
        </w:r>
        <w:r>
          <w:instrText xml:space="preserve"> PAGEREF _Toc30363 \h </w:instrText>
        </w:r>
        <w:r>
          <w:fldChar w:fldCharType="separate"/>
        </w:r>
        <w:r>
          <w:t>10</w:t>
        </w:r>
        <w:r>
          <w:fldChar w:fldCharType="end"/>
        </w:r>
      </w:hyperlink>
    </w:p>
    <w:p>
      <w:pPr>
        <w:pStyle w:val="TOC2"/>
        <w:tabs>
          <w:tab w:val="right" w:leader="dot" w:pos="8306"/>
        </w:tabs>
      </w:pPr>
      <w:hyperlink w:anchor="_Toc4386" w:history="1">
        <w:r>
          <w:rPr>
            <w:rFonts w:ascii="仿宋" w:eastAsia="仿宋" w:hAnsi="仿宋" w:cs="仿宋" w:hint="eastAsia"/>
            <w:lang w:eastAsia="zh-CN"/>
          </w:rPr>
          <w:t>(三)、设备选型方案</w:t>
        </w:r>
        <w:r>
          <w:tab/>
        </w:r>
        <w:r>
          <w:fldChar w:fldCharType="begin"/>
        </w:r>
        <w:r>
          <w:instrText xml:space="preserve"> PAGEREF _Toc4386 \h </w:instrText>
        </w:r>
        <w:r>
          <w:fldChar w:fldCharType="separate"/>
        </w:r>
        <w:r>
          <w:t>12</w:t>
        </w:r>
        <w:r>
          <w:fldChar w:fldCharType="end"/>
        </w:r>
      </w:hyperlink>
    </w:p>
    <w:p>
      <w:pPr>
        <w:pStyle w:val="TOC1"/>
        <w:tabs>
          <w:tab w:val="right" w:leader="dot" w:pos="8306"/>
        </w:tabs>
      </w:pPr>
      <w:hyperlink w:anchor="_Toc22323" w:history="1">
        <w:r>
          <w:rPr>
            <w:rFonts w:ascii="仿宋" w:eastAsia="仿宋" w:hAnsi="仿宋" w:cs="仿宋" w:hint="eastAsia"/>
            <w:lang w:eastAsia="zh-CN"/>
          </w:rPr>
          <w:t>四、卫星数字电视综合接收解码器（IRD）项目概论</w:t>
        </w:r>
        <w:r>
          <w:tab/>
        </w:r>
        <w:r>
          <w:fldChar w:fldCharType="begin"/>
        </w:r>
        <w:r>
          <w:instrText xml:space="preserve"> PAGEREF _Toc22323 \h </w:instrText>
        </w:r>
        <w:r>
          <w:fldChar w:fldCharType="separate"/>
        </w:r>
        <w:r>
          <w:t>13</w:t>
        </w:r>
        <w:r>
          <w:fldChar w:fldCharType="end"/>
        </w:r>
      </w:hyperlink>
    </w:p>
    <w:p>
      <w:pPr>
        <w:pStyle w:val="TOC2"/>
        <w:tabs>
          <w:tab w:val="right" w:leader="dot" w:pos="8306"/>
        </w:tabs>
      </w:pPr>
      <w:hyperlink w:anchor="_Toc17538" w:history="1">
        <w:r>
          <w:rPr>
            <w:rFonts w:ascii="仿宋" w:eastAsia="仿宋" w:hAnsi="仿宋" w:cs="仿宋" w:hint="eastAsia"/>
            <w:lang w:eastAsia="zh-CN"/>
          </w:rPr>
          <w:t>(一)、卫星数字电视综合接收解码器（IRD）项目概况</w:t>
        </w:r>
        <w:r>
          <w:tab/>
        </w:r>
        <w:r>
          <w:fldChar w:fldCharType="begin"/>
        </w:r>
        <w:r>
          <w:instrText xml:space="preserve"> PAGEREF _Toc17538 \h </w:instrText>
        </w:r>
        <w:r>
          <w:fldChar w:fldCharType="separate"/>
        </w:r>
        <w:r>
          <w:t>13</w:t>
        </w:r>
        <w:r>
          <w:fldChar w:fldCharType="end"/>
        </w:r>
      </w:hyperlink>
    </w:p>
    <w:p>
      <w:pPr>
        <w:pStyle w:val="TOC2"/>
        <w:tabs>
          <w:tab w:val="right" w:leader="dot" w:pos="8306"/>
        </w:tabs>
      </w:pPr>
      <w:hyperlink w:anchor="_Toc31940" w:history="1">
        <w:r>
          <w:rPr>
            <w:rFonts w:ascii="仿宋" w:eastAsia="仿宋" w:hAnsi="仿宋" w:cs="仿宋" w:hint="eastAsia"/>
            <w:lang w:eastAsia="zh-CN"/>
          </w:rPr>
          <w:t>(二)、卫星数字电视综合接收解码器（IRD）项目目标</w:t>
        </w:r>
        <w:r>
          <w:tab/>
        </w:r>
        <w:r>
          <w:fldChar w:fldCharType="begin"/>
        </w:r>
        <w:r>
          <w:instrText xml:space="preserve"> PAGEREF _Toc31940 \h </w:instrText>
        </w:r>
        <w:r>
          <w:fldChar w:fldCharType="separate"/>
        </w:r>
        <w:r>
          <w:t>16</w:t>
        </w:r>
        <w:r>
          <w:fldChar w:fldCharType="end"/>
        </w:r>
      </w:hyperlink>
    </w:p>
    <w:p>
      <w:pPr>
        <w:pStyle w:val="TOC2"/>
        <w:tabs>
          <w:tab w:val="right" w:leader="dot" w:pos="8306"/>
        </w:tabs>
      </w:pPr>
      <w:hyperlink w:anchor="_Toc22366" w:history="1">
        <w:r>
          <w:rPr>
            <w:rFonts w:ascii="仿宋" w:eastAsia="仿宋" w:hAnsi="仿宋" w:cs="仿宋" w:hint="eastAsia"/>
            <w:lang w:eastAsia="zh-CN"/>
          </w:rPr>
          <w:t>(三)、卫星数字电视综合接收解码器（IRD）项目提出的理由</w:t>
        </w:r>
        <w:r>
          <w:tab/>
        </w:r>
        <w:r>
          <w:fldChar w:fldCharType="begin"/>
        </w:r>
        <w:r>
          <w:instrText xml:space="preserve"> PAGEREF _Toc22366 \h </w:instrText>
        </w:r>
        <w:r>
          <w:fldChar w:fldCharType="separate"/>
        </w:r>
        <w:r>
          <w:t>17</w:t>
        </w:r>
        <w:r>
          <w:fldChar w:fldCharType="end"/>
        </w:r>
      </w:hyperlink>
    </w:p>
    <w:p>
      <w:pPr>
        <w:pStyle w:val="TOC2"/>
        <w:tabs>
          <w:tab w:val="right" w:leader="dot" w:pos="8306"/>
        </w:tabs>
      </w:pPr>
      <w:hyperlink w:anchor="_Toc29090" w:history="1">
        <w:r>
          <w:rPr>
            <w:rFonts w:ascii="仿宋" w:eastAsia="仿宋" w:hAnsi="仿宋" w:cs="仿宋" w:hint="eastAsia"/>
            <w:lang w:eastAsia="zh-CN"/>
          </w:rPr>
          <w:t>(四)、卫星数字电视综合接收解码器（IRD）项目意义</w:t>
        </w:r>
        <w:r>
          <w:tab/>
        </w:r>
        <w:r>
          <w:fldChar w:fldCharType="begin"/>
        </w:r>
        <w:r>
          <w:instrText xml:space="preserve"> PAGEREF _Toc29090 \h </w:instrText>
        </w:r>
        <w:r>
          <w:fldChar w:fldCharType="separate"/>
        </w:r>
        <w:r>
          <w:t>19</w:t>
        </w:r>
        <w:r>
          <w:fldChar w:fldCharType="end"/>
        </w:r>
      </w:hyperlink>
    </w:p>
    <w:p>
      <w:pPr>
        <w:pStyle w:val="TOC2"/>
        <w:tabs>
          <w:tab w:val="right" w:leader="dot" w:pos="8306"/>
        </w:tabs>
      </w:pPr>
      <w:hyperlink w:anchor="_Toc18446" w:history="1">
        <w:r>
          <w:rPr>
            <w:rFonts w:ascii="仿宋" w:eastAsia="仿宋" w:hAnsi="仿宋" w:cs="仿宋" w:hint="eastAsia"/>
            <w:lang w:eastAsia="zh-CN"/>
          </w:rPr>
          <w:t>(五)、卫星数字电视综合接收解码器（IRD）项目背景</w:t>
        </w:r>
        <w:r>
          <w:tab/>
        </w:r>
        <w:r>
          <w:fldChar w:fldCharType="begin"/>
        </w:r>
        <w:r>
          <w:instrText xml:space="preserve"> PAGEREF _Toc18446 \h </w:instrText>
        </w:r>
        <w:r>
          <w:fldChar w:fldCharType="separate"/>
        </w:r>
        <w:r>
          <w:t>20</w:t>
        </w:r>
        <w:r>
          <w:fldChar w:fldCharType="end"/>
        </w:r>
      </w:hyperlink>
    </w:p>
    <w:p>
      <w:pPr>
        <w:pStyle w:val="TOC1"/>
        <w:tabs>
          <w:tab w:val="right" w:leader="dot" w:pos="8306"/>
        </w:tabs>
      </w:pPr>
      <w:hyperlink w:anchor="_Toc10959" w:history="1">
        <w:r>
          <w:rPr>
            <w:rFonts w:ascii="仿宋" w:eastAsia="仿宋" w:hAnsi="仿宋" w:cs="仿宋" w:hint="eastAsia"/>
            <w:lang w:eastAsia="zh-CN"/>
          </w:rPr>
          <w:t>五、卫星数字电视综合接收解码器（IRD）项目可持续发展</w:t>
        </w:r>
        <w:r>
          <w:tab/>
        </w:r>
        <w:r>
          <w:fldChar w:fldCharType="begin"/>
        </w:r>
        <w:r>
          <w:instrText xml:space="preserve"> PAGEREF _Toc10959 \h </w:instrText>
        </w:r>
        <w:r>
          <w:fldChar w:fldCharType="separate"/>
        </w:r>
        <w:r>
          <w:t>21</w:t>
        </w:r>
        <w:r>
          <w:fldChar w:fldCharType="end"/>
        </w:r>
      </w:hyperlink>
    </w:p>
    <w:p>
      <w:pPr>
        <w:pStyle w:val="TOC2"/>
        <w:tabs>
          <w:tab w:val="right" w:leader="dot" w:pos="8306"/>
        </w:tabs>
      </w:pPr>
      <w:hyperlink w:anchor="_Toc3955" w:history="1">
        <w:r>
          <w:rPr>
            <w:rFonts w:ascii="仿宋" w:eastAsia="仿宋" w:hAnsi="仿宋" w:cs="仿宋" w:hint="eastAsia"/>
            <w:lang w:eastAsia="zh-CN"/>
          </w:rPr>
          <w:t>(一)、可持续战略与实践</w:t>
        </w:r>
        <w:r>
          <w:tab/>
        </w:r>
        <w:r>
          <w:fldChar w:fldCharType="begin"/>
        </w:r>
        <w:r>
          <w:instrText xml:space="preserve"> PAGEREF _Toc3955 \h </w:instrText>
        </w:r>
        <w:r>
          <w:fldChar w:fldCharType="separate"/>
        </w:r>
        <w:r>
          <w:t>21</w:t>
        </w:r>
        <w:r>
          <w:fldChar w:fldCharType="end"/>
        </w:r>
      </w:hyperlink>
    </w:p>
    <w:p>
      <w:pPr>
        <w:pStyle w:val="TOC2"/>
        <w:tabs>
          <w:tab w:val="right" w:leader="dot" w:pos="8306"/>
        </w:tabs>
      </w:pPr>
      <w:hyperlink w:anchor="_Toc15874" w:history="1">
        <w:r>
          <w:rPr>
            <w:rFonts w:ascii="仿宋" w:eastAsia="仿宋" w:hAnsi="仿宋" w:cs="仿宋" w:hint="eastAsia"/>
            <w:lang w:eastAsia="zh-CN"/>
          </w:rPr>
          <w:t>(二)、环保与社会责任</w:t>
        </w:r>
        <w:r>
          <w:tab/>
        </w:r>
        <w:r>
          <w:fldChar w:fldCharType="begin"/>
        </w:r>
        <w:r>
          <w:instrText xml:space="preserve"> PAGEREF _Toc15874 \h </w:instrText>
        </w:r>
        <w:r>
          <w:fldChar w:fldCharType="separate"/>
        </w:r>
        <w:r>
          <w:t>22</w:t>
        </w:r>
        <w:r>
          <w:fldChar w:fldCharType="end"/>
        </w:r>
      </w:hyperlink>
    </w:p>
    <w:p>
      <w:pPr>
        <w:pStyle w:val="TOC1"/>
        <w:tabs>
          <w:tab w:val="right" w:leader="dot" w:pos="8306"/>
        </w:tabs>
      </w:pPr>
      <w:hyperlink w:anchor="_Toc21331" w:history="1">
        <w:r>
          <w:rPr>
            <w:rFonts w:ascii="仿宋" w:eastAsia="仿宋" w:hAnsi="仿宋" w:cs="仿宋" w:hint="eastAsia"/>
            <w:lang w:eastAsia="zh-CN"/>
          </w:rPr>
          <w:t>六、卫星数字电视综合接收解码器（IRD）项目绩效评估</w:t>
        </w:r>
        <w:r>
          <w:tab/>
        </w:r>
        <w:r>
          <w:fldChar w:fldCharType="begin"/>
        </w:r>
        <w:r>
          <w:instrText xml:space="preserve"> PAGEREF _Toc21331 \h </w:instrText>
        </w:r>
        <w:r>
          <w:fldChar w:fldCharType="separate"/>
        </w:r>
        <w:r>
          <w:t>23</w:t>
        </w:r>
        <w:r>
          <w:fldChar w:fldCharType="end"/>
        </w:r>
      </w:hyperlink>
    </w:p>
    <w:p>
      <w:pPr>
        <w:pStyle w:val="TOC2"/>
        <w:tabs>
          <w:tab w:val="right" w:leader="dot" w:pos="8306"/>
        </w:tabs>
      </w:pPr>
      <w:hyperlink w:anchor="_Toc19730" w:history="1">
        <w:r>
          <w:rPr>
            <w:rFonts w:ascii="仿宋" w:eastAsia="仿宋" w:hAnsi="仿宋" w:cs="仿宋" w:hint="eastAsia"/>
            <w:lang w:eastAsia="zh-CN"/>
          </w:rPr>
          <w:t>(一)、绩效评估指标</w:t>
        </w:r>
        <w:r>
          <w:tab/>
        </w:r>
        <w:r>
          <w:fldChar w:fldCharType="begin"/>
        </w:r>
        <w:r>
          <w:instrText xml:space="preserve"> PAGEREF _Toc19730 \h </w:instrText>
        </w:r>
        <w:r>
          <w:fldChar w:fldCharType="separate"/>
        </w:r>
        <w:r>
          <w:t>23</w:t>
        </w:r>
        <w:r>
          <w:fldChar w:fldCharType="end"/>
        </w:r>
      </w:hyperlink>
    </w:p>
    <w:p>
      <w:pPr>
        <w:pStyle w:val="TOC2"/>
        <w:tabs>
          <w:tab w:val="right" w:leader="dot" w:pos="8306"/>
        </w:tabs>
      </w:pPr>
      <w:hyperlink w:anchor="_Toc7344" w:history="1">
        <w:r>
          <w:rPr>
            <w:rFonts w:ascii="仿宋" w:eastAsia="仿宋" w:hAnsi="仿宋" w:cs="仿宋" w:hint="eastAsia"/>
            <w:lang w:eastAsia="zh-CN"/>
          </w:rPr>
          <w:t>(二)、绩效评估方法</w:t>
        </w:r>
        <w:r>
          <w:tab/>
        </w:r>
        <w:r>
          <w:fldChar w:fldCharType="begin"/>
        </w:r>
        <w:r>
          <w:instrText xml:space="preserve"> PAGEREF _Toc7344 \h </w:instrText>
        </w:r>
        <w:r>
          <w:fldChar w:fldCharType="separate"/>
        </w:r>
        <w:r>
          <w:t>25</w:t>
        </w:r>
        <w:r>
          <w:fldChar w:fldCharType="end"/>
        </w:r>
      </w:hyperlink>
    </w:p>
    <w:p>
      <w:pPr>
        <w:pStyle w:val="TOC2"/>
        <w:tabs>
          <w:tab w:val="right" w:leader="dot" w:pos="8306"/>
        </w:tabs>
      </w:pPr>
      <w:hyperlink w:anchor="_Toc31094" w:history="1">
        <w:r>
          <w:rPr>
            <w:rFonts w:ascii="仿宋" w:eastAsia="仿宋" w:hAnsi="仿宋" w:cs="仿宋" w:hint="eastAsia"/>
            <w:lang w:eastAsia="zh-CN"/>
          </w:rPr>
          <w:t>(三)、绩效评估周期</w:t>
        </w:r>
        <w:r>
          <w:tab/>
        </w:r>
        <w:r>
          <w:fldChar w:fldCharType="begin"/>
        </w:r>
        <w:r>
          <w:instrText xml:space="preserve"> PAGEREF _Toc31094 \h </w:instrText>
        </w:r>
        <w:r>
          <w:fldChar w:fldCharType="separate"/>
        </w:r>
        <w:r>
          <w:t>26</w:t>
        </w:r>
        <w:r>
          <w:fldChar w:fldCharType="end"/>
        </w:r>
      </w:hyperlink>
    </w:p>
    <w:p>
      <w:pPr>
        <w:pStyle w:val="TOC1"/>
        <w:tabs>
          <w:tab w:val="right" w:leader="dot" w:pos="8306"/>
        </w:tabs>
      </w:pPr>
      <w:hyperlink w:anchor="_Toc14773" w:history="1">
        <w:r>
          <w:rPr>
            <w:rFonts w:ascii="仿宋" w:eastAsia="仿宋" w:hAnsi="仿宋" w:cs="仿宋" w:hint="eastAsia"/>
            <w:lang w:eastAsia="zh-CN"/>
          </w:rPr>
          <w:t>七、卫星数字电视综合接收解码器（IRD）项目人力资源培养与发展</w:t>
        </w:r>
        <w:r>
          <w:tab/>
        </w:r>
        <w:r>
          <w:fldChar w:fldCharType="begin"/>
        </w:r>
        <w:r>
          <w:instrText xml:space="preserve"> PAGEREF _Toc14773 \h </w:instrText>
        </w:r>
        <w:r>
          <w:fldChar w:fldCharType="separate"/>
        </w:r>
        <w:r>
          <w:t>27</w:t>
        </w:r>
        <w:r>
          <w:fldChar w:fldCharType="end"/>
        </w:r>
      </w:hyperlink>
    </w:p>
    <w:p>
      <w:pPr>
        <w:pStyle w:val="TOC2"/>
        <w:tabs>
          <w:tab w:val="right" w:leader="dot" w:pos="8306"/>
        </w:tabs>
      </w:pPr>
      <w:hyperlink w:anchor="_Toc2294" w:history="1">
        <w:r>
          <w:rPr>
            <w:rFonts w:ascii="仿宋" w:eastAsia="仿宋" w:hAnsi="仿宋" w:cs="仿宋" w:hint="eastAsia"/>
            <w:lang w:eastAsia="zh-CN"/>
          </w:rPr>
          <w:t>(一)、人才需求与规划</w:t>
        </w:r>
        <w:r>
          <w:tab/>
        </w:r>
        <w:r>
          <w:fldChar w:fldCharType="begin"/>
        </w:r>
        <w:r>
          <w:instrText xml:space="preserve"> PAGEREF _Toc2294 \h </w:instrText>
        </w:r>
        <w:r>
          <w:fldChar w:fldCharType="separate"/>
        </w:r>
        <w:r>
          <w:t>27</w:t>
        </w:r>
        <w:r>
          <w:fldChar w:fldCharType="end"/>
        </w:r>
      </w:hyperlink>
    </w:p>
    <w:p>
      <w:pPr>
        <w:pStyle w:val="TOC2"/>
        <w:tabs>
          <w:tab w:val="right" w:leader="dot" w:pos="8306"/>
        </w:tabs>
      </w:pPr>
      <w:hyperlink w:anchor="_Toc28717" w:history="1">
        <w:r>
          <w:rPr>
            <w:rFonts w:ascii="仿宋" w:eastAsia="仿宋" w:hAnsi="仿宋" w:cs="仿宋" w:hint="eastAsia"/>
            <w:lang w:eastAsia="zh-CN"/>
          </w:rPr>
          <w:t>(二)、培训与发展计划</w:t>
        </w:r>
        <w:r>
          <w:tab/>
        </w:r>
        <w:r>
          <w:fldChar w:fldCharType="begin"/>
        </w:r>
        <w:r>
          <w:instrText xml:space="preserve"> PAGEREF _Toc28717 \h </w:instrText>
        </w:r>
        <w:r>
          <w:fldChar w:fldCharType="separate"/>
        </w:r>
        <w:r>
          <w:t>28</w:t>
        </w:r>
        <w:r>
          <w:fldChar w:fldCharType="end"/>
        </w:r>
      </w:hyperlink>
    </w:p>
    <w:p>
      <w:pPr>
        <w:pStyle w:val="TOC1"/>
        <w:tabs>
          <w:tab w:val="right" w:leader="dot" w:pos="8306"/>
        </w:tabs>
      </w:pPr>
      <w:hyperlink w:anchor="_Toc27847" w:history="1">
        <w:r>
          <w:rPr>
            <w:rFonts w:ascii="仿宋" w:eastAsia="仿宋" w:hAnsi="仿宋" w:cs="仿宋" w:hint="eastAsia"/>
            <w:lang w:eastAsia="zh-CN"/>
          </w:rPr>
          <w:t>八、卫星数字电视综合接收解码器（IRD）项目人力资源管理</w:t>
        </w:r>
        <w:r>
          <w:tab/>
        </w:r>
        <w:r>
          <w:fldChar w:fldCharType="begin"/>
        </w:r>
        <w:r>
          <w:instrText xml:space="preserve"> PAGEREF _Toc27847 \h </w:instrText>
        </w:r>
        <w:r>
          <w:fldChar w:fldCharType="separate"/>
        </w:r>
        <w:r>
          <w:t>29</w:t>
        </w:r>
        <w:r>
          <w:fldChar w:fldCharType="end"/>
        </w:r>
      </w:hyperlink>
    </w:p>
    <w:p>
      <w:pPr>
        <w:pStyle w:val="TOC2"/>
        <w:tabs>
          <w:tab w:val="right" w:leader="dot" w:pos="8306"/>
        </w:tabs>
      </w:pPr>
      <w:hyperlink w:anchor="_Toc3240" w:history="1">
        <w:r>
          <w:rPr>
            <w:rFonts w:ascii="仿宋" w:eastAsia="仿宋" w:hAnsi="仿宋" w:cs="仿宋" w:hint="eastAsia"/>
            <w:lang w:eastAsia="zh-CN"/>
          </w:rPr>
          <w:t>(一)、建立健全的预算管理制度</w:t>
        </w:r>
        <w:r>
          <w:tab/>
        </w:r>
        <w:r>
          <w:fldChar w:fldCharType="begin"/>
        </w:r>
        <w:r>
          <w:instrText xml:space="preserve"> PAGEREF _Toc3240 \h </w:instrText>
        </w:r>
        <w:r>
          <w:fldChar w:fldCharType="separate"/>
        </w:r>
        <w:r>
          <w:t>29</w:t>
        </w:r>
        <w:r>
          <w:fldChar w:fldCharType="end"/>
        </w:r>
      </w:hyperlink>
    </w:p>
    <w:p>
      <w:pPr>
        <w:pStyle w:val="TOC2"/>
        <w:tabs>
          <w:tab w:val="right" w:leader="dot" w:pos="8306"/>
        </w:tabs>
      </w:pPr>
      <w:hyperlink w:anchor="_Toc9896" w:history="1">
        <w:r>
          <w:rPr>
            <w:rFonts w:ascii="仿宋" w:eastAsia="仿宋" w:hAnsi="仿宋" w:cs="仿宋" w:hint="eastAsia"/>
            <w:lang w:eastAsia="zh-CN"/>
          </w:rPr>
          <w:t>(二)、加强资金流动监控</w:t>
        </w:r>
        <w:r>
          <w:tab/>
        </w:r>
        <w:r>
          <w:fldChar w:fldCharType="begin"/>
        </w:r>
        <w:r>
          <w:instrText xml:space="preserve"> PAGEREF _Toc9896 \h </w:instrText>
        </w:r>
        <w:r>
          <w:fldChar w:fldCharType="separate"/>
        </w:r>
        <w:r>
          <w:t>31</w:t>
        </w:r>
        <w:r>
          <w:fldChar w:fldCharType="end"/>
        </w:r>
      </w:hyperlink>
    </w:p>
    <w:p>
      <w:pPr>
        <w:pStyle w:val="TOC2"/>
        <w:tabs>
          <w:tab w:val="right" w:leader="dot" w:pos="8306"/>
        </w:tabs>
      </w:pPr>
      <w:hyperlink w:anchor="_Toc31663" w:history="1">
        <w:r>
          <w:rPr>
            <w:rFonts w:ascii="仿宋" w:eastAsia="仿宋" w:hAnsi="仿宋" w:cs="仿宋" w:hint="eastAsia"/>
            <w:lang w:eastAsia="zh-CN"/>
          </w:rPr>
          <w:t>(三)、制定完善的风险控制机制</w:t>
        </w:r>
        <w:r>
          <w:tab/>
        </w:r>
        <w:r>
          <w:fldChar w:fldCharType="begin"/>
        </w:r>
        <w:r>
          <w:instrText xml:space="preserve"> PAGEREF _Toc31663 \h </w:instrText>
        </w:r>
        <w:r>
          <w:fldChar w:fldCharType="separate"/>
        </w:r>
        <w:r>
          <w:t>32</w:t>
        </w:r>
        <w:r>
          <w:fldChar w:fldCharType="end"/>
        </w:r>
      </w:hyperlink>
    </w:p>
    <w:p>
      <w:pPr>
        <w:pStyle w:val="TOC2"/>
        <w:tabs>
          <w:tab w:val="right" w:leader="dot" w:pos="8306"/>
        </w:tabs>
      </w:pPr>
      <w:hyperlink w:anchor="_Toc9142" w:history="1">
        <w:r>
          <w:rPr>
            <w:rFonts w:ascii="仿宋" w:eastAsia="仿宋" w:hAnsi="仿宋" w:cs="仿宋" w:hint="eastAsia"/>
            <w:lang w:eastAsia="zh-CN"/>
          </w:rPr>
          <w:t>(四)、优化成本管理</w:t>
        </w:r>
        <w:r>
          <w:tab/>
        </w:r>
        <w:r>
          <w:fldChar w:fldCharType="begin"/>
        </w:r>
        <w:r>
          <w:instrText xml:space="preserve"> PAGEREF _Toc9142 \h </w:instrText>
        </w:r>
        <w:r>
          <w:fldChar w:fldCharType="separate"/>
        </w:r>
        <w:r>
          <w:t>34</w:t>
        </w:r>
        <w:r>
          <w:fldChar w:fldCharType="end"/>
        </w:r>
      </w:hyperlink>
    </w:p>
    <w:p>
      <w:pPr>
        <w:pStyle w:val="TOC1"/>
        <w:tabs>
          <w:tab w:val="right" w:leader="dot" w:pos="8306"/>
        </w:tabs>
      </w:pPr>
      <w:hyperlink w:anchor="_Toc17851" w:history="1">
        <w:r>
          <w:rPr>
            <w:rFonts w:ascii="仿宋" w:eastAsia="仿宋" w:hAnsi="仿宋" w:cs="仿宋" w:hint="eastAsia"/>
            <w:lang w:eastAsia="zh-CN"/>
          </w:rPr>
          <w:t>九、卫星数字电视综合接收解码器（IRD）项目经营效益</w:t>
        </w:r>
        <w:r>
          <w:tab/>
        </w:r>
        <w:r>
          <w:fldChar w:fldCharType="begin"/>
        </w:r>
        <w:r>
          <w:instrText xml:space="preserve"> PAGEREF _Toc17851 \h </w:instrText>
        </w:r>
        <w:r>
          <w:fldChar w:fldCharType="separate"/>
        </w:r>
        <w:r>
          <w:t>35</w:t>
        </w:r>
        <w:r>
          <w:fldChar w:fldCharType="end"/>
        </w:r>
      </w:hyperlink>
    </w:p>
    <w:p>
      <w:pPr>
        <w:pStyle w:val="TOC2"/>
        <w:tabs>
          <w:tab w:val="right" w:leader="dot" w:pos="8306"/>
        </w:tabs>
      </w:pPr>
      <w:hyperlink w:anchor="_Toc8977" w:history="1">
        <w:r>
          <w:rPr>
            <w:rFonts w:ascii="仿宋" w:eastAsia="仿宋" w:hAnsi="仿宋" w:cs="仿宋" w:hint="eastAsia"/>
            <w:lang w:eastAsia="zh-CN"/>
          </w:rPr>
          <w:t>(一)、经济评价财务测算</w:t>
        </w:r>
        <w:r>
          <w:tab/>
        </w:r>
        <w:r>
          <w:fldChar w:fldCharType="begin"/>
        </w:r>
        <w:r>
          <w:instrText xml:space="preserve"> PAGEREF _Toc8977 \h </w:instrText>
        </w:r>
        <w:r>
          <w:fldChar w:fldCharType="separate"/>
        </w:r>
        <w:r>
          <w:t>35</w:t>
        </w:r>
        <w:r>
          <w:fldChar w:fldCharType="end"/>
        </w:r>
      </w:hyperlink>
    </w:p>
    <w:p>
      <w:pPr>
        <w:pStyle w:val="TOC2"/>
        <w:tabs>
          <w:tab w:val="right" w:leader="dot" w:pos="8306"/>
        </w:tabs>
      </w:pPr>
      <w:hyperlink w:anchor="_Toc19405" w:history="1">
        <w:r>
          <w:rPr>
            <w:rFonts w:ascii="仿宋" w:eastAsia="仿宋" w:hAnsi="仿宋" w:cs="仿宋" w:hint="eastAsia"/>
            <w:lang w:eastAsia="zh-CN"/>
          </w:rPr>
          <w:t>(二)、卫星数字电视综合接收解码器（IRD）项目盈利能力分析</w:t>
        </w:r>
        <w:r>
          <w:tab/>
        </w:r>
        <w:r>
          <w:fldChar w:fldCharType="begin"/>
        </w:r>
        <w:r>
          <w:instrText xml:space="preserve"> PAGEREF _Toc19405 \h </w:instrText>
        </w:r>
        <w:r>
          <w:fldChar w:fldCharType="separate"/>
        </w:r>
        <w:r>
          <w:t>37</w:t>
        </w:r>
        <w:r>
          <w:fldChar w:fldCharType="end"/>
        </w:r>
      </w:hyperlink>
    </w:p>
    <w:p>
      <w:pPr>
        <w:pStyle w:val="TOC1"/>
        <w:tabs>
          <w:tab w:val="right" w:leader="dot" w:pos="8306"/>
        </w:tabs>
      </w:pPr>
      <w:hyperlink w:anchor="_Toc11920" w:history="1">
        <w:r>
          <w:rPr>
            <w:rFonts w:ascii="仿宋" w:eastAsia="仿宋" w:hAnsi="仿宋" w:cs="仿宋" w:hint="eastAsia"/>
            <w:lang w:eastAsia="zh-CN"/>
          </w:rPr>
          <w:t>十、卫星数字电视综合接收解码器（IRD）项目投资规划</w:t>
        </w:r>
        <w:r>
          <w:tab/>
        </w:r>
        <w:r>
          <w:fldChar w:fldCharType="begin"/>
        </w:r>
        <w:r>
          <w:instrText xml:space="preserve"> PAGEREF _Toc11920 \h </w:instrText>
        </w:r>
        <w:r>
          <w:fldChar w:fldCharType="separate"/>
        </w:r>
        <w:r>
          <w:t>38</w:t>
        </w:r>
        <w:r>
          <w:fldChar w:fldCharType="end"/>
        </w:r>
      </w:hyperlink>
    </w:p>
    <w:p>
      <w:pPr>
        <w:pStyle w:val="TOC2"/>
        <w:tabs>
          <w:tab w:val="right" w:leader="dot" w:pos="8306"/>
        </w:tabs>
      </w:pPr>
      <w:hyperlink w:anchor="_Toc20950" w:history="1">
        <w:r>
          <w:rPr>
            <w:rFonts w:ascii="仿宋" w:eastAsia="仿宋" w:hAnsi="仿宋" w:cs="仿宋" w:hint="eastAsia"/>
            <w:lang w:eastAsia="zh-CN"/>
          </w:rPr>
          <w:t>(一)、卫星数字电视综合接收解码器（IRD）项目总投资估算</w:t>
        </w:r>
        <w:r>
          <w:tab/>
        </w:r>
        <w:r>
          <w:fldChar w:fldCharType="begin"/>
        </w:r>
        <w:r>
          <w:instrText xml:space="preserve"> PAGEREF _Toc20950 \h </w:instrText>
        </w:r>
        <w:r>
          <w:fldChar w:fldCharType="separate"/>
        </w:r>
        <w:r>
          <w:t>38</w:t>
        </w:r>
        <w:r>
          <w:fldChar w:fldCharType="end"/>
        </w:r>
      </w:hyperlink>
    </w:p>
    <w:p>
      <w:pPr>
        <w:pStyle w:val="TOC2"/>
        <w:tabs>
          <w:tab w:val="right" w:leader="dot" w:pos="8306"/>
        </w:tabs>
      </w:pPr>
      <w:hyperlink w:anchor="_Toc7689" w:history="1">
        <w:r>
          <w:rPr>
            <w:rFonts w:ascii="仿宋" w:eastAsia="仿宋" w:hAnsi="仿宋" w:cs="仿宋" w:hint="eastAsia"/>
            <w:lang w:eastAsia="zh-CN"/>
          </w:rPr>
          <w:t>(二)、资金筹措</w:t>
        </w:r>
        <w:r>
          <w:tab/>
        </w:r>
        <w:r>
          <w:fldChar w:fldCharType="begin"/>
        </w:r>
        <w:r>
          <w:instrText xml:space="preserve"> PAGEREF _Toc7689 \h </w:instrText>
        </w:r>
        <w:r>
          <w:fldChar w:fldCharType="separate"/>
        </w:r>
        <w:r>
          <w:t>39</w:t>
        </w:r>
        <w:r>
          <w:fldChar w:fldCharType="end"/>
        </w:r>
      </w:hyperlink>
    </w:p>
    <w:p>
      <w:pPr>
        <w:pStyle w:val="TOC1"/>
        <w:tabs>
          <w:tab w:val="right" w:leader="dot" w:pos="8306"/>
        </w:tabs>
      </w:pPr>
      <w:hyperlink w:anchor="_Toc3409" w:history="1">
        <w:r>
          <w:rPr>
            <w:rFonts w:ascii="仿宋" w:eastAsia="仿宋" w:hAnsi="仿宋" w:cs="仿宋" w:hint="eastAsia"/>
            <w:lang w:eastAsia="zh-CN"/>
          </w:rPr>
          <w:t>十一、卫星数字电视综合接收解码器（IRD）项目技术管理</w:t>
        </w:r>
        <w:r>
          <w:tab/>
        </w:r>
        <w:r>
          <w:fldChar w:fldCharType="begin"/>
        </w:r>
        <w:r>
          <w:instrText xml:space="preserve"> PAGEREF _Toc3409 \h </w:instrText>
        </w:r>
        <w:r>
          <w:fldChar w:fldCharType="separate"/>
        </w:r>
        <w:r>
          <w:t>40</w:t>
        </w:r>
        <w:r>
          <w:fldChar w:fldCharType="end"/>
        </w:r>
      </w:hyperlink>
    </w:p>
    <w:p>
      <w:pPr>
        <w:pStyle w:val="TOC2"/>
        <w:tabs>
          <w:tab w:val="right" w:leader="dot" w:pos="8306"/>
        </w:tabs>
      </w:pPr>
      <w:hyperlink w:anchor="_Toc8706" w:history="1">
        <w:r>
          <w:rPr>
            <w:rFonts w:ascii="仿宋" w:eastAsia="仿宋" w:hAnsi="仿宋" w:cs="仿宋" w:hint="eastAsia"/>
            <w:lang w:eastAsia="zh-CN"/>
          </w:rPr>
          <w:t>(一)、技术方案选用方向</w:t>
        </w:r>
        <w:r>
          <w:tab/>
        </w:r>
        <w:r>
          <w:fldChar w:fldCharType="begin"/>
        </w:r>
        <w:r>
          <w:instrText xml:space="preserve"> PAGEREF _Toc8706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23" w:history="1">
        <w:r>
          <w:rPr>
            <w:rFonts w:ascii="仿宋" w:eastAsia="仿宋" w:hAnsi="仿宋" w:cs="仿宋" w:hint="eastAsia"/>
            <w:lang w:eastAsia="zh-CN"/>
          </w:rPr>
          <w:t>(二)、工艺技术方案选用原则</w:t>
        </w:r>
        <w:r>
          <w:tab/>
        </w:r>
        <w:r>
          <w:fldChar w:fldCharType="begin"/>
        </w:r>
        <w:r>
          <w:instrText xml:space="preserve"> PAGEREF _Toc25023 \h </w:instrText>
        </w:r>
        <w:r>
          <w:fldChar w:fldCharType="separate"/>
        </w:r>
        <w:r>
          <w:t>42</w:t>
        </w:r>
        <w:r>
          <w:fldChar w:fldCharType="end"/>
        </w:r>
      </w:hyperlink>
    </w:p>
    <w:p>
      <w:pPr>
        <w:pStyle w:val="TOC2"/>
        <w:tabs>
          <w:tab w:val="right" w:leader="dot" w:pos="8306"/>
        </w:tabs>
      </w:pPr>
      <w:hyperlink w:anchor="_Toc30919" w:history="1">
        <w:r>
          <w:rPr>
            <w:rFonts w:ascii="仿宋" w:eastAsia="仿宋" w:hAnsi="仿宋" w:cs="仿宋" w:hint="eastAsia"/>
            <w:lang w:eastAsia="zh-CN"/>
          </w:rPr>
          <w:t>(三)、工艺技术方案要求</w:t>
        </w:r>
        <w:r>
          <w:tab/>
        </w:r>
        <w:r>
          <w:fldChar w:fldCharType="begin"/>
        </w:r>
        <w:r>
          <w:instrText xml:space="preserve"> PAGEREF _Toc30919 \h </w:instrText>
        </w:r>
        <w:r>
          <w:fldChar w:fldCharType="separate"/>
        </w:r>
        <w:r>
          <w:t>44</w:t>
        </w:r>
        <w:r>
          <w:fldChar w:fldCharType="end"/>
        </w:r>
      </w:hyperlink>
    </w:p>
    <w:p>
      <w:pPr>
        <w:pStyle w:val="TOC1"/>
        <w:tabs>
          <w:tab w:val="right" w:leader="dot" w:pos="8306"/>
        </w:tabs>
      </w:pPr>
      <w:hyperlink w:anchor="_Toc481" w:history="1">
        <w:r>
          <w:rPr>
            <w:rFonts w:ascii="仿宋" w:eastAsia="仿宋" w:hAnsi="仿宋" w:cs="仿宋" w:hint="eastAsia"/>
            <w:lang w:eastAsia="zh-CN"/>
          </w:rPr>
          <w:t>十二、生产安全保护</w:t>
        </w:r>
        <w:r>
          <w:tab/>
        </w:r>
        <w:r>
          <w:fldChar w:fldCharType="begin"/>
        </w:r>
        <w:r>
          <w:instrText xml:space="preserve"> PAGEREF _Toc481 \h </w:instrText>
        </w:r>
        <w:r>
          <w:fldChar w:fldCharType="separate"/>
        </w:r>
        <w:r>
          <w:t>47</w:t>
        </w:r>
        <w:r>
          <w:fldChar w:fldCharType="end"/>
        </w:r>
      </w:hyperlink>
    </w:p>
    <w:p>
      <w:pPr>
        <w:pStyle w:val="TOC2"/>
        <w:tabs>
          <w:tab w:val="right" w:leader="dot" w:pos="8306"/>
        </w:tabs>
      </w:pPr>
      <w:hyperlink w:anchor="_Toc18735" w:history="1">
        <w:r>
          <w:rPr>
            <w:rFonts w:ascii="仿宋" w:eastAsia="仿宋" w:hAnsi="仿宋" w:cs="仿宋" w:hint="eastAsia"/>
            <w:lang w:eastAsia="zh-CN"/>
          </w:rPr>
          <w:t>(一)、消防安全</w:t>
        </w:r>
        <w:r>
          <w:tab/>
        </w:r>
        <w:r>
          <w:fldChar w:fldCharType="begin"/>
        </w:r>
        <w:r>
          <w:instrText xml:space="preserve"> PAGEREF _Toc18735 \h </w:instrText>
        </w:r>
        <w:r>
          <w:fldChar w:fldCharType="separate"/>
        </w:r>
        <w:r>
          <w:t>47</w:t>
        </w:r>
        <w:r>
          <w:fldChar w:fldCharType="end"/>
        </w:r>
      </w:hyperlink>
    </w:p>
    <w:p>
      <w:pPr>
        <w:pStyle w:val="TOC2"/>
        <w:tabs>
          <w:tab w:val="right" w:leader="dot" w:pos="8306"/>
        </w:tabs>
      </w:pPr>
      <w:hyperlink w:anchor="_Toc9187" w:history="1">
        <w:r>
          <w:rPr>
            <w:rFonts w:ascii="仿宋" w:eastAsia="仿宋" w:hAnsi="仿宋" w:cs="仿宋" w:hint="eastAsia"/>
            <w:lang w:eastAsia="zh-CN"/>
          </w:rPr>
          <w:t>(二)、防火防爆总图布置措施</w:t>
        </w:r>
        <w:r>
          <w:tab/>
        </w:r>
        <w:r>
          <w:fldChar w:fldCharType="begin"/>
        </w:r>
        <w:r>
          <w:instrText xml:space="preserve"> PAGEREF _Toc9187 \h </w:instrText>
        </w:r>
        <w:r>
          <w:fldChar w:fldCharType="separate"/>
        </w:r>
        <w:r>
          <w:t>49</w:t>
        </w:r>
        <w:r>
          <w:fldChar w:fldCharType="end"/>
        </w:r>
      </w:hyperlink>
    </w:p>
    <w:p>
      <w:pPr>
        <w:pStyle w:val="TOC2"/>
        <w:tabs>
          <w:tab w:val="right" w:leader="dot" w:pos="8306"/>
        </w:tabs>
      </w:pPr>
      <w:hyperlink w:anchor="_Toc14492" w:history="1">
        <w:r>
          <w:rPr>
            <w:rFonts w:ascii="仿宋" w:eastAsia="仿宋" w:hAnsi="仿宋" w:cs="仿宋" w:hint="eastAsia"/>
            <w:lang w:eastAsia="zh-CN"/>
          </w:rPr>
          <w:t>(三)、自然灾害防范措施</w:t>
        </w:r>
        <w:r>
          <w:tab/>
        </w:r>
        <w:r>
          <w:fldChar w:fldCharType="begin"/>
        </w:r>
        <w:r>
          <w:instrText xml:space="preserve"> PAGEREF _Toc14492 \h </w:instrText>
        </w:r>
        <w:r>
          <w:fldChar w:fldCharType="separate"/>
        </w:r>
        <w:r>
          <w:t>50</w:t>
        </w:r>
        <w:r>
          <w:fldChar w:fldCharType="end"/>
        </w:r>
      </w:hyperlink>
    </w:p>
    <w:p>
      <w:pPr>
        <w:pStyle w:val="TOC2"/>
        <w:tabs>
          <w:tab w:val="right" w:leader="dot" w:pos="8306"/>
        </w:tabs>
      </w:pPr>
      <w:hyperlink w:anchor="_Toc10207" w:history="1">
        <w:r>
          <w:rPr>
            <w:rFonts w:ascii="仿宋" w:eastAsia="仿宋" w:hAnsi="仿宋" w:cs="仿宋" w:hint="eastAsia"/>
            <w:lang w:eastAsia="zh-CN"/>
          </w:rPr>
          <w:t>(四)、安全色及安全标志使用要求</w:t>
        </w:r>
        <w:r>
          <w:tab/>
        </w:r>
        <w:r>
          <w:fldChar w:fldCharType="begin"/>
        </w:r>
        <w:r>
          <w:instrText xml:space="preserve"> PAGEREF _Toc10207 \h </w:instrText>
        </w:r>
        <w:r>
          <w:fldChar w:fldCharType="separate"/>
        </w:r>
        <w:r>
          <w:t>51</w:t>
        </w:r>
        <w:r>
          <w:fldChar w:fldCharType="end"/>
        </w:r>
      </w:hyperlink>
    </w:p>
    <w:p>
      <w:pPr>
        <w:pStyle w:val="TOC2"/>
        <w:tabs>
          <w:tab w:val="right" w:leader="dot" w:pos="8306"/>
        </w:tabs>
      </w:pPr>
      <w:hyperlink w:anchor="_Toc15872" w:history="1">
        <w:r>
          <w:rPr>
            <w:rFonts w:ascii="仿宋" w:eastAsia="仿宋" w:hAnsi="仿宋" w:cs="仿宋" w:hint="eastAsia"/>
            <w:lang w:eastAsia="zh-CN"/>
          </w:rPr>
          <w:t>(五)、防尘防毒措施</w:t>
        </w:r>
        <w:r>
          <w:tab/>
        </w:r>
        <w:r>
          <w:fldChar w:fldCharType="begin"/>
        </w:r>
        <w:r>
          <w:instrText xml:space="preserve"> PAGEREF _Toc15872 \h </w:instrText>
        </w:r>
        <w:r>
          <w:fldChar w:fldCharType="separate"/>
        </w:r>
        <w:r>
          <w:t>52</w:t>
        </w:r>
        <w:r>
          <w:fldChar w:fldCharType="end"/>
        </w:r>
      </w:hyperlink>
    </w:p>
    <w:p>
      <w:pPr>
        <w:pStyle w:val="TOC2"/>
        <w:tabs>
          <w:tab w:val="right" w:leader="dot" w:pos="8306"/>
        </w:tabs>
      </w:pPr>
      <w:hyperlink w:anchor="_Toc19284" w:history="1">
        <w:r>
          <w:rPr>
            <w:rFonts w:ascii="仿宋" w:eastAsia="仿宋" w:hAnsi="仿宋" w:cs="仿宋" w:hint="eastAsia"/>
            <w:lang w:eastAsia="zh-CN"/>
          </w:rPr>
          <w:t>(六)、防静电、触电防护及防雷措施</w:t>
        </w:r>
        <w:r>
          <w:tab/>
        </w:r>
        <w:r>
          <w:fldChar w:fldCharType="begin"/>
        </w:r>
        <w:r>
          <w:instrText xml:space="preserve"> PAGEREF _Toc19284 \h </w:instrText>
        </w:r>
        <w:r>
          <w:fldChar w:fldCharType="separate"/>
        </w:r>
        <w:r>
          <w:t>53</w:t>
        </w:r>
        <w:r>
          <w:fldChar w:fldCharType="end"/>
        </w:r>
      </w:hyperlink>
    </w:p>
    <w:p>
      <w:pPr>
        <w:pStyle w:val="TOC2"/>
        <w:tabs>
          <w:tab w:val="right" w:leader="dot" w:pos="8306"/>
        </w:tabs>
      </w:pPr>
      <w:hyperlink w:anchor="_Toc482" w:history="1">
        <w:r>
          <w:rPr>
            <w:rFonts w:ascii="仿宋" w:eastAsia="仿宋" w:hAnsi="仿宋" w:cs="仿宋" w:hint="eastAsia"/>
            <w:lang w:eastAsia="zh-CN"/>
          </w:rPr>
          <w:t>(七)、机械设备安全保障措施</w:t>
        </w:r>
        <w:r>
          <w:tab/>
        </w:r>
        <w:r>
          <w:fldChar w:fldCharType="begin"/>
        </w:r>
        <w:r>
          <w:instrText xml:space="preserve"> PAGEREF _Toc482 \h </w:instrText>
        </w:r>
        <w:r>
          <w:fldChar w:fldCharType="separate"/>
        </w:r>
        <w:r>
          <w:t>54</w:t>
        </w:r>
        <w:r>
          <w:fldChar w:fldCharType="end"/>
        </w:r>
      </w:hyperlink>
    </w:p>
    <w:p>
      <w:pPr>
        <w:pStyle w:val="TOC1"/>
        <w:tabs>
          <w:tab w:val="right" w:leader="dot" w:pos="8306"/>
        </w:tabs>
      </w:pPr>
      <w:hyperlink w:anchor="_Toc6541" w:history="1">
        <w:r>
          <w:rPr>
            <w:rFonts w:ascii="仿宋" w:eastAsia="仿宋" w:hAnsi="仿宋" w:cs="仿宋" w:hint="eastAsia"/>
            <w:lang w:eastAsia="zh-CN"/>
          </w:rPr>
          <w:t>十三、利益相关者分析与沟通计划</w:t>
        </w:r>
        <w:r>
          <w:tab/>
        </w:r>
        <w:r>
          <w:fldChar w:fldCharType="begin"/>
        </w:r>
        <w:r>
          <w:instrText xml:space="preserve"> PAGEREF _Toc6541 \h </w:instrText>
        </w:r>
        <w:r>
          <w:fldChar w:fldCharType="separate"/>
        </w:r>
        <w:r>
          <w:t>56</w:t>
        </w:r>
        <w:r>
          <w:fldChar w:fldCharType="end"/>
        </w:r>
      </w:hyperlink>
    </w:p>
    <w:p>
      <w:pPr>
        <w:pStyle w:val="TOC2"/>
        <w:tabs>
          <w:tab w:val="right" w:leader="dot" w:pos="8306"/>
        </w:tabs>
      </w:pPr>
      <w:hyperlink w:anchor="_Toc23483" w:history="1">
        <w:r>
          <w:rPr>
            <w:rFonts w:ascii="仿宋" w:eastAsia="仿宋" w:hAnsi="仿宋" w:cs="仿宋" w:hint="eastAsia"/>
            <w:lang w:eastAsia="zh-CN"/>
          </w:rPr>
          <w:t>(一)、利益相关者分析</w:t>
        </w:r>
        <w:r>
          <w:tab/>
        </w:r>
        <w:r>
          <w:fldChar w:fldCharType="begin"/>
        </w:r>
        <w:r>
          <w:instrText xml:space="preserve"> PAGEREF _Toc23483 \h </w:instrText>
        </w:r>
        <w:r>
          <w:fldChar w:fldCharType="separate"/>
        </w:r>
        <w:r>
          <w:t>56</w:t>
        </w:r>
        <w:r>
          <w:fldChar w:fldCharType="end"/>
        </w:r>
      </w:hyperlink>
    </w:p>
    <w:p>
      <w:pPr>
        <w:pStyle w:val="TOC2"/>
        <w:tabs>
          <w:tab w:val="right" w:leader="dot" w:pos="8306"/>
        </w:tabs>
      </w:pPr>
      <w:hyperlink w:anchor="_Toc2062" w:history="1">
        <w:r>
          <w:rPr>
            <w:rFonts w:ascii="仿宋" w:eastAsia="仿宋" w:hAnsi="仿宋" w:cs="仿宋" w:hint="eastAsia"/>
            <w:lang w:eastAsia="zh-CN"/>
          </w:rPr>
          <w:t>(二)、沟通计划</w:t>
        </w:r>
        <w:r>
          <w:tab/>
        </w:r>
        <w:r>
          <w:fldChar w:fldCharType="begin"/>
        </w:r>
        <w:r>
          <w:instrText xml:space="preserve"> PAGEREF _Toc2062 \h </w:instrText>
        </w:r>
        <w:r>
          <w:fldChar w:fldCharType="separate"/>
        </w:r>
        <w:r>
          <w:t>57</w:t>
        </w:r>
        <w:r>
          <w:fldChar w:fldCharType="end"/>
        </w:r>
      </w:hyperlink>
    </w:p>
    <w:p>
      <w:pPr>
        <w:pStyle w:val="TOC1"/>
        <w:tabs>
          <w:tab w:val="right" w:leader="dot" w:pos="8306"/>
        </w:tabs>
      </w:pPr>
      <w:hyperlink w:anchor="_Toc16175" w:history="1">
        <w:r>
          <w:rPr>
            <w:rFonts w:ascii="仿宋" w:eastAsia="仿宋" w:hAnsi="仿宋" w:cs="仿宋" w:hint="eastAsia"/>
            <w:lang w:eastAsia="zh-CN"/>
          </w:rPr>
          <w:t>十四、卫星数字电视综合接收解码器（IRD）项目实施时间节点</w:t>
        </w:r>
        <w:r>
          <w:tab/>
        </w:r>
        <w:r>
          <w:fldChar w:fldCharType="begin"/>
        </w:r>
        <w:r>
          <w:instrText xml:space="preserve"> PAGEREF _Toc16175 \h </w:instrText>
        </w:r>
        <w:r>
          <w:fldChar w:fldCharType="separate"/>
        </w:r>
        <w:r>
          <w:t>59</w:t>
        </w:r>
        <w:r>
          <w:fldChar w:fldCharType="end"/>
        </w:r>
      </w:hyperlink>
    </w:p>
    <w:p>
      <w:pPr>
        <w:pStyle w:val="TOC2"/>
        <w:tabs>
          <w:tab w:val="right" w:leader="dot" w:pos="8306"/>
        </w:tabs>
      </w:pPr>
      <w:hyperlink w:anchor="_Toc26485" w:history="1">
        <w:r>
          <w:rPr>
            <w:rFonts w:ascii="仿宋" w:eastAsia="仿宋" w:hAnsi="仿宋" w:cs="仿宋" w:hint="eastAsia"/>
            <w:lang w:eastAsia="zh-CN"/>
          </w:rPr>
          <w:t>(一)、卫星数字电视综合接收解码器（IRD）项目启动阶段时间节点</w:t>
        </w:r>
        <w:r>
          <w:tab/>
        </w:r>
        <w:r>
          <w:fldChar w:fldCharType="begin"/>
        </w:r>
        <w:r>
          <w:instrText xml:space="preserve"> PAGEREF _Toc26485 \h </w:instrText>
        </w:r>
        <w:r>
          <w:fldChar w:fldCharType="separate"/>
        </w:r>
        <w:r>
          <w:t>59</w:t>
        </w:r>
        <w:r>
          <w:fldChar w:fldCharType="end"/>
        </w:r>
      </w:hyperlink>
    </w:p>
    <w:p>
      <w:pPr>
        <w:pStyle w:val="TOC2"/>
        <w:tabs>
          <w:tab w:val="right" w:leader="dot" w:pos="8306"/>
        </w:tabs>
      </w:pPr>
      <w:hyperlink w:anchor="_Toc16344" w:history="1">
        <w:r>
          <w:rPr>
            <w:rFonts w:ascii="仿宋" w:eastAsia="仿宋" w:hAnsi="仿宋" w:cs="仿宋" w:hint="eastAsia"/>
            <w:lang w:eastAsia="zh-CN"/>
          </w:rPr>
          <w:t>(二)、卫星数字电视综合接收解码器（IRD）项目执行阶段时间节点</w:t>
        </w:r>
        <w:r>
          <w:tab/>
        </w:r>
        <w:r>
          <w:fldChar w:fldCharType="begin"/>
        </w:r>
        <w:r>
          <w:instrText xml:space="preserve"> PAGEREF _Toc16344 \h </w:instrText>
        </w:r>
        <w:r>
          <w:fldChar w:fldCharType="separate"/>
        </w:r>
        <w:r>
          <w:t>60</w:t>
        </w:r>
        <w:r>
          <w:fldChar w:fldCharType="end"/>
        </w:r>
      </w:hyperlink>
    </w:p>
    <w:p>
      <w:pPr>
        <w:pStyle w:val="TOC2"/>
        <w:tabs>
          <w:tab w:val="right" w:leader="dot" w:pos="8306"/>
        </w:tabs>
      </w:pPr>
      <w:hyperlink w:anchor="_Toc21630" w:history="1">
        <w:r>
          <w:rPr>
            <w:rFonts w:ascii="仿宋" w:eastAsia="仿宋" w:hAnsi="仿宋" w:cs="仿宋" w:hint="eastAsia"/>
            <w:lang w:eastAsia="zh-CN"/>
          </w:rPr>
          <w:t>(三)、卫星数字电视综合接收解码器（IRD）项目完成阶段时间节点</w:t>
        </w:r>
        <w:r>
          <w:tab/>
        </w:r>
        <w:r>
          <w:fldChar w:fldCharType="begin"/>
        </w:r>
        <w:r>
          <w:instrText xml:space="preserve"> PAGEREF _Toc21630 \h </w:instrText>
        </w:r>
        <w:r>
          <w:fldChar w:fldCharType="separate"/>
        </w:r>
        <w:r>
          <w:t>62</w:t>
        </w:r>
        <w:r>
          <w:fldChar w:fldCharType="end"/>
        </w:r>
      </w:hyperlink>
    </w:p>
    <w:p>
      <w:pPr>
        <w:pStyle w:val="TOC1"/>
        <w:tabs>
          <w:tab w:val="right" w:leader="dot" w:pos="8306"/>
        </w:tabs>
      </w:pPr>
      <w:hyperlink w:anchor="_Toc18638" w:history="1">
        <w:r>
          <w:rPr>
            <w:rFonts w:ascii="仿宋" w:eastAsia="仿宋" w:hAnsi="仿宋" w:cs="仿宋" w:hint="eastAsia"/>
            <w:lang w:eastAsia="zh-CN"/>
          </w:rPr>
          <w:t>十五、供应链管理</w:t>
        </w:r>
        <w:r>
          <w:tab/>
        </w:r>
        <w:r>
          <w:fldChar w:fldCharType="begin"/>
        </w:r>
        <w:r>
          <w:instrText xml:space="preserve"> PAGEREF _Toc18638 \h </w:instrText>
        </w:r>
        <w:r>
          <w:fldChar w:fldCharType="separate"/>
        </w:r>
        <w:r>
          <w:t>63</w:t>
        </w:r>
        <w:r>
          <w:fldChar w:fldCharType="end"/>
        </w:r>
      </w:hyperlink>
    </w:p>
    <w:p>
      <w:pPr>
        <w:pStyle w:val="TOC2"/>
        <w:tabs>
          <w:tab w:val="right" w:leader="dot" w:pos="8306"/>
        </w:tabs>
      </w:pPr>
      <w:hyperlink w:anchor="_Toc29192" w:history="1">
        <w:r>
          <w:rPr>
            <w:rFonts w:ascii="仿宋" w:eastAsia="仿宋" w:hAnsi="仿宋" w:cs="仿宋" w:hint="eastAsia"/>
            <w:lang w:eastAsia="zh-CN"/>
          </w:rPr>
          <w:t>(一)、供应链战略规划</w:t>
        </w:r>
        <w:r>
          <w:tab/>
        </w:r>
        <w:r>
          <w:fldChar w:fldCharType="begin"/>
        </w:r>
        <w:r>
          <w:instrText xml:space="preserve"> PAGEREF _Toc29192 \h </w:instrText>
        </w:r>
        <w:r>
          <w:fldChar w:fldCharType="separate"/>
        </w:r>
        <w:r>
          <w:t>63</w:t>
        </w:r>
        <w:r>
          <w:fldChar w:fldCharType="end"/>
        </w:r>
      </w:hyperlink>
    </w:p>
    <w:p>
      <w:pPr>
        <w:pStyle w:val="TOC2"/>
        <w:tabs>
          <w:tab w:val="right" w:leader="dot" w:pos="8306"/>
        </w:tabs>
      </w:pPr>
      <w:hyperlink w:anchor="_Toc19728" w:history="1">
        <w:r>
          <w:rPr>
            <w:rFonts w:ascii="仿宋" w:eastAsia="仿宋" w:hAnsi="仿宋" w:cs="仿宋" w:hint="eastAsia"/>
            <w:lang w:eastAsia="zh-CN"/>
          </w:rPr>
          <w:t>(二)、供应商选择与合作</w:t>
        </w:r>
        <w:r>
          <w:tab/>
        </w:r>
        <w:r>
          <w:fldChar w:fldCharType="begin"/>
        </w:r>
        <w:r>
          <w:instrText xml:space="preserve"> PAGEREF _Toc19728 \h </w:instrText>
        </w:r>
        <w:r>
          <w:fldChar w:fldCharType="separate"/>
        </w:r>
        <w:r>
          <w:t>65</w:t>
        </w:r>
        <w:r>
          <w:fldChar w:fldCharType="end"/>
        </w:r>
      </w:hyperlink>
    </w:p>
    <w:p>
      <w:pPr>
        <w:pStyle w:val="TOC2"/>
        <w:tabs>
          <w:tab w:val="right" w:leader="dot" w:pos="8306"/>
        </w:tabs>
      </w:pPr>
      <w:hyperlink w:anchor="_Toc15429" w:history="1">
        <w:r>
          <w:rPr>
            <w:rFonts w:ascii="仿宋" w:eastAsia="仿宋" w:hAnsi="仿宋" w:cs="仿宋" w:hint="eastAsia"/>
            <w:lang w:eastAsia="zh-CN"/>
          </w:rPr>
          <w:t>(三)、物流与库存管理</w:t>
        </w:r>
        <w:r>
          <w:tab/>
        </w:r>
        <w:r>
          <w:fldChar w:fldCharType="begin"/>
        </w:r>
        <w:r>
          <w:instrText xml:space="preserve"> PAGEREF _Toc15429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8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卫星数字电视综合接收解码器（IRD）项目的主要产品是XXXX，预计年产值为XXX万元。这一产品在市场中占据着重要的地位，其广泛的应用范围使得该卫星数字电视综合接收解码器（IRD）项目的市场前景非常广阔。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卫星数字电视综合接收解码器（IRD）项目的xxx产品作为重要的原材料之一，将在多个领域发挥关键作用。其在建筑、交通、能源等方面的广泛应用将为整个产业链提供强大的支持，形成产业协同效应。卫星数字电视综合接收解码器（IRD）项目的年产值XXX万XXX万XXX万万元不仅反映了其在市场上的巨大潜力，更预示着它对国民经济的积极贡献。这种关联度高、涉及面广的产业关系，使得该卫星数字电视综合接收解码器（IRD）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9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总征地面积为XXXX平方米，相当于约XX.XX亩，其中净用地面积为XXXX平方米，红线范围内相当于约XX.XX亩。这一用地规模充分考虑了卫星数字电视综合接收解码器（IRD）项目的建设需求，保障了卫星数字电视综合接收解码器（IRD）项目在合适的空间内得以充分发展。卫星数字电视综合接收解码器（IRD）项目规划的总建筑面积为XXXX平方米，其中主体工程建设占XXXX平方米，计容建筑面积达XXXX平方米。预计建筑工程的投资将达到XXXX万元，为卫星数字电视综合接收解码器（IRD）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计划购置的设备共计XXXX台（套），设备购置费用为XXXX万元。这一设备购置计划充分考虑到卫星数字电视综合接收解码器（IRD）项目的生产需求和技术要求，确保了卫星数字电视综合接收解码器（IRD）项目在生产运营中具备先进的技术装备和高效的生产能力。设备的合理配置将为卫星数字电视综合接收解码器（IRD）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计划总投资为XXXX万元，预计年实现营业收入为XXXX万元。这一产能规模的设定旨在确保卫星数字电视综合接收解码器（IRD）项目能够在投资与回报之间取得平衡，实现长期可持续的发展。卫星数字电视综合接收解码器（IRD）项目的总投资充分考虑到各个方面的需求，包括用地建设、设备购置等多个环节，以确保卫星数字电视综合接收解码器（IRD）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542"/>
      <w:r>
        <w:rPr>
          <w:rFonts w:ascii="仿宋" w:eastAsia="仿宋" w:hAnsi="仿宋" w:cs="仿宋" w:hint="eastAsia"/>
          <w:sz w:val="28"/>
          <w:lang w:eastAsia="zh-CN"/>
        </w:rPr>
        <w:t>二、卫星数字电视综合接收解码器（IRD）项目文档管理</w:t>
      </w:r>
      <w:bookmarkEnd w:id="5"/>
    </w:p>
    <w:p>
      <w:pPr>
        <w:pStyle w:val="Heading2"/>
        <w:rPr>
          <w:rFonts w:ascii="仿宋" w:eastAsia="仿宋" w:hAnsi="仿宋" w:cs="仿宋" w:hint="eastAsia"/>
          <w:lang w:eastAsia="zh-CN"/>
        </w:rPr>
      </w:pPr>
      <w:bookmarkStart w:id="6" w:name="_Toc258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卫星数字电视综合接收解码器（IRD）项目高度重视文档的质量和准确性，以支持卫星数字电视综合接收解码器（IRD）项目的各项活动和决策。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文档的编制始于卫星数字电视综合接收解码器（IRD）项目计划的初期，我们制定了详细的文档编制计划，明确了每个文档的内容、格式和编写责任人。在卫星数字电视综合接收解码器（IRD）项目启动阶段，我们首先编制了卫星数字电视综合接收解码器（IRD）项目章程，明确定义了卫星数字电视综合接收解码器（IRD）项目的目标、范围、风险等关键要素。随后，卫星数字电视综合接收解码器（IRD）项目团队根据计划陆续编制了需求文档、设计文档、测试文档等各类文档，确保卫星数字电视综合接收解码器（IRD）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星数字电视综合接收解码器（IRD）项目管理中的重要环节，旨在确保卫星数字电视综合接收解码器（IRD）项目文档符合质量标准和卫星数字电视综合接收解码器（IRD）项目需求。在卫星数字电视综合接收解码器（IRD）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星数字电视综合接收解码器（IRD）项目相关利益方和专业领域的专家对文档进行独立审查。这有助于获取更全面、客观的反馈，确保卫星数字电视综合接收解码器（IRD）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在文档编制与审查方面建立了严格的管理机制，通过规范的流程和多维度的审查，确保卫星数字电视综合接收解码器（IRD）项目文档的质量、准确性和可靠性，为卫星数字电视综合接收解码器（IRD）项目的顺利推进提供了有力支持。</w:t>
      </w:r>
    </w:p>
    <w:p>
      <w:pPr>
        <w:pStyle w:val="Heading2"/>
        <w:ind w:firstLine="560" w:firstLineChars="200"/>
        <w:rPr>
          <w:rFonts w:ascii="仿宋" w:eastAsia="仿宋" w:hAnsi="仿宋" w:cs="仿宋" w:hint="eastAsia"/>
          <w:sz w:val="28"/>
          <w:lang w:eastAsia="zh-CN"/>
        </w:rPr>
      </w:pPr>
      <w:bookmarkStart w:id="7" w:name="_Toc2038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在卫星数字电视综合接收解码器（IRD）项目中，我们致力于优化文档发布与分发过程，以确保信息的高效传递和团队间协作的顺畅进行。以下是我们采取的关键优化策略：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我们通过多渠道发布文档，包括电子邮件、卫星数字电视综合接收解码器（IRD）项目管理平台、内部网站等，以满足不同团队成员的偏好和需求。多渠道发布确保了信息的全面覆盖。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我们采用了精细的权限控制，确保只有授权人员可以访问敏感信息。这种安全措施保护了卫星数字电视综合接收解码器（IRD）项目文档的机密性，防止了未经授权的信息泄露。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04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星数字电视综合接收解码器（IRD）项目生命周期中一个至关重要的环节，直接关系到卫星数字电视综合接收解码器（IRD）项目信息的长期保存和历史记录的完整性。在卫星数字电视综合接收解码器（IRD）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19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07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技术管理特点体现在其创新导向。通过引入最先进的技术趋势和解决方案，卫星数字电视综合接收解码器（IRD）项目致力于提升科技含量、提高质量和效率水平。这意味着我们将采用最新的工具和方法，确保卫星数字电视综合接收解码器（IRD）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星数字电视综合接收解码器（IRD）项目技术管理的显著特征。通过整合不同领域的技术资源，我们实现了跨学科的协同工作。这有助于优化技术架构，提高整体效能。此外，整合性策略还促进了不同技术团队之间的紧密沟通和高效合作，确保卫星数字电视综合接收解码器（IRD）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星数字电视综合接收解码器（IRD）项目所采用的技术。通过不断优化技术方案，卫星数字电视综合接收解码器（IRD）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星数字电视综合接收解码器（IRD）项目团队将在卫星数字电视综合接收解码器（IRD）项目初期识别可能的技术风险，并采取相应的预防和应对措施。通过建立健全的风险评估机制，卫星数字电视综合接收解码器（IRD）项目能够在实施过程中及时发现并解决潜在的技术问题，保障卫星数字电视综合接收解码器（IRD）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星数字电视综合接收解码器（IRD）项目中，技术将成为卫星数字电视综合接收解码器（IRD）项目成功的有力支持。这一深度剖析揭示了技术管理在卫星数字电视综合接收解码器（IRD）项目实施中的关键作用，为卫星数字电视综合接收解码器（IRD）项目的技术基础奠定了坚实的基础。</w:t>
      </w:r>
    </w:p>
    <w:p>
      <w:pPr>
        <w:pStyle w:val="Heading2"/>
        <w:ind w:firstLine="560" w:firstLineChars="200"/>
        <w:rPr>
          <w:rFonts w:ascii="仿宋" w:eastAsia="仿宋" w:hAnsi="仿宋" w:cs="仿宋" w:hint="eastAsia"/>
          <w:sz w:val="28"/>
          <w:lang w:eastAsia="zh-CN"/>
        </w:rPr>
      </w:pPr>
      <w:bookmarkStart w:id="11" w:name="_Toc30363"/>
      <w:r>
        <w:rPr>
          <w:rFonts w:ascii="仿宋" w:eastAsia="仿宋" w:hAnsi="仿宋" w:cs="仿宋" w:hint="eastAsia"/>
          <w:sz w:val="28"/>
          <w:lang w:eastAsia="zh-CN"/>
        </w:rPr>
        <w:t>(二)、卫星数字电视综合接收解码器（IRD）项目工艺技术设计方案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星数字电视综合接收解码器（IRD）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星数字电视综合接收解码器（IRD）项目将严格按照相关行业规范要求进行组织。通过有效控制产品质量，卫星数字电视综合接收解码器（IRD）项目将致力于为顾客提供优质的卫星数字电视综合接收解码器（IRD）项目产品和良好的服务。这体现了卫星数字电视综合接收解码器（IRD）项目对于生产活动合规性和质量标准的高度重视，为卫星数字电视综合接收解码器（IRD）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星数字电视综合接收解码器（IRD）项目注重生态效益和清洁生产原则。卫星数字电视综合接收解码器（IRD）项目建设将紧密结合地方特色经济发展，与社会经济发展规划和区域环境保护规划方案相协调一致。通过与当地区域自然生态系统的结合，卫星数字电视综合接收解码器（IRD）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卫星数字电视综合接收解码器（IRD）项目产品具有多样化的客户需求和个性化的特点。因此，卫星数字电视综合接收解码器（IRD）项目产品规格品种多样，且单批生产数量较小。为满足这一特点，卫星数字电视综合接收解码器（IRD）项目承办单位将建设先进的柔性制造生产线。通过广泛应用柔性制造技术，卫星数字电视综合接收解码器（IRD）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星数字电视综合接收解码器（IRD）项目采用的技术具有较高的技术含量和自动化水平，处于国内先进水平。这一技术选用不仅体现了对生产效率、质量和环境友好性的高标准要求，同时为卫星数字电视综合接收解码器（IRD）项目的可持续发展奠定了坚实的基础。</w:t>
      </w:r>
    </w:p>
    <w:p>
      <w:pPr>
        <w:pStyle w:val="Heading2"/>
        <w:ind w:firstLine="560" w:firstLineChars="200"/>
        <w:rPr>
          <w:rFonts w:ascii="仿宋" w:eastAsia="仿宋" w:hAnsi="仿宋" w:cs="仿宋" w:hint="eastAsia"/>
          <w:sz w:val="28"/>
          <w:lang w:eastAsia="zh-CN"/>
        </w:rPr>
      </w:pPr>
      <w:bookmarkStart w:id="12" w:name="_Toc438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星数字电视综合接收解码器（IRD）项目的高效生产和技术实施，我们制定了一套精心设计的设备选型方案，以满足卫星数字电视综合接收解码器（IRD）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星数字电视综合接收解码器（IRD）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星数字电视综合接收解码器（IRD）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2323"/>
      <w:r>
        <w:rPr>
          <w:rFonts w:ascii="仿宋" w:eastAsia="仿宋" w:hAnsi="仿宋" w:cs="仿宋" w:hint="eastAsia"/>
          <w:sz w:val="28"/>
          <w:lang w:eastAsia="zh-CN"/>
        </w:rPr>
        <w:t>四、卫星数字电视综合接收解码器（IRD）项目概论</w:t>
      </w:r>
      <w:bookmarkEnd w:id="13"/>
    </w:p>
    <w:p>
      <w:pPr>
        <w:pStyle w:val="Heading2"/>
        <w:rPr>
          <w:rFonts w:ascii="仿宋" w:eastAsia="仿宋" w:hAnsi="仿宋" w:cs="仿宋" w:hint="eastAsia"/>
          <w:lang w:eastAsia="zh-CN"/>
        </w:rPr>
      </w:pPr>
      <w:bookmarkStart w:id="14" w:name="_Toc17538"/>
      <w:r>
        <w:rPr>
          <w:rFonts w:ascii="仿宋" w:eastAsia="仿宋" w:hAnsi="仿宋" w:cs="仿宋" w:hint="eastAsia"/>
          <w:lang w:eastAsia="zh-CN"/>
        </w:rPr>
        <w:t>(一)、卫星数字电视综合接收解码器（IRD）项目概况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起源追溯至对市场的深入洞察。市场的不断演变与变革为卫星数字电视综合接收解码器（IRD）项目提供了难得的机遇。当前市场存在的需求缺口和变革的大环境共同构成了卫星数字电视综合接收解码器（IRD）项目的背景。这个卫星数字电视综合接收解码器（IRD）项目旨在充分利用市场机遇，填补行业中尚未满足的需求，为客户提供全新的解决方案。市场的变革和需求的增长使得这个卫星数字电视综合接收解码器（IRD）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卫星数字电视综合接收解码器（IRD）项目名称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正式命名为卫星数字电视综合接收解码器（IRD）。这个名称不仅仅是一个标识，更代表了卫星数字电视综合接收解码器（IRD）项目的核心理念和愿景。它蕴含着卫星数字电视综合接收解码器（IRD）项目所要解决问题的关键字，具有强烈的表达和辨识度，为卫星数字电视综合接收解码器（IRD）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卫星数字电视综合接收解码器（IRD）项目目标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核心目标是提供一种全新、高效的解决方案，满足客户日益增长的需求。卫星数字电视综合接收解码器（IRD）项目追求的不仅仅是满足市场需求，更是在市场中获得卓越的竞争优势。通过不断提升产品或服务的质量和创新水平，卫星数字电视综合接收解码器（IRD）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卫星数字电视综合接收解码器（IRD）项目范围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全面涵盖了产品研发、制造、市场推广和售后服务，确保从产品设计到最终用户体验的全方位关注。这一全面的卫星数字电视综合接收解码器（IRD）项目范围是为了确保卫星数字电视综合接收解码器（IRD）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卫星数字电视综合接收解码器（IRD）项目时间表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计划在未来18个月内完成，包括研发、测试、市场试点和正式推出等不同阶段。这个时间表的合理设计是为了确保卫星数字电视综合接收解码器（IRD）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卫星数字电视综合接收解码器（IRD）项目预算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总预算估算为XX百万美元，主要分配在研发、市场推广、人员培训和运营等方面。这一充足的预算为卫星数字电视综合接收解码器（IRD）项目提供了充足的资源，确保卫星数字电视综合接收解码器（IRD）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卫星数字电视综合接收解码器（IRD）项目风险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可能面临的风险包括市场接受度低、技术难题、竞争激烈等。卫星数字电视综合接收解码器（IRD）项目团队已经制定了相应的风险应对计划，通过前瞻性的风险管理，确保卫星数字电视综合接收解码器（IRD）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卫星数字电视综合接收解码器（IRD）项目团队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汇聚了一支经验丰富、多领域专业素养的核心团队，确保卫星数字电视综合接收解码器（IRD）项目在各个方面都能拥有高水平的执行力。团队的协同作战是卫星数字电视综合接收解码器（IRD）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卫星数字电视综合接收解码器（IRD）项目背景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背景根植于市场对更高效、创新产品的渴望，同时也受到科技发展对行业格局的深刻改变的影响。这为卫星数字电视综合接收解码器（IRD）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卫星数字电视综合接收解码器（IRD）项目现状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星数字电视综合接收解码器（IRD）项目已完成市场调研和技术验证，取得了初步的成功。这为卫星数字电视综合接收解码器（IRD）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940"/>
      <w:r>
        <w:rPr>
          <w:rFonts w:ascii="仿宋" w:eastAsia="仿宋" w:hAnsi="仿宋" w:cs="仿宋" w:hint="eastAsia"/>
          <w:sz w:val="28"/>
          <w:lang w:eastAsia="zh-CN"/>
        </w:rPr>
        <w:t>(二)、卫星数字电视综合接收解码器（IRD）项目目标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星数字电视综合接收解码器（IRD）项目首要业务目标是在市场中占据有利地位，实现产品/服务的成功推广和销售。通过不断提升产品质量、创新性，卫星数字电视综合接收解码器（IRD）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星数字电视综合接收解码器（IRD）项目着眼于技术创新。通过持续的研发和技术升级，卫星数字电视综合接收解码器（IRD）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https://d.book118.com/577056166130006024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72132"/>
    <w:rsid w:val="2AC721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5616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2023-12-31T09:36:00Z</dcterms:created>
  <dcterms:modified xsi:type="dcterms:W3CDTF">2023-12-31T09:36:14Z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00B8F994261B419CA60A240FF538E0F4_11</vt:lpwstr>
  </property>
  <property fmtid="{D5CDD505-2E9C-101B-9397-08002B2CF9AE}" pid="3" name="KSOProductBuildVer">
    <vt:lpwstr>2052-12.1.0.16120</vt:lpwstr>
  </property>
</Properties>
</file>