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中高端电主轴行业相关公司筹备报告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6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1" w:history="1">
        <w:r>
          <w:rPr>
            <w:rFonts w:ascii="仿宋" w:eastAsia="仿宋" w:hAnsi="仿宋" w:cs="仿宋" w:hint="eastAsia"/>
            <w:lang w:eastAsia="zh-CN"/>
          </w:rPr>
          <w:t>一、中高端电主轴筹建公司基本信息</w:t>
        </w:r>
        <w:r>
          <w:tab/>
        </w:r>
        <w:r>
          <w:fldChar w:fldCharType="begin"/>
        </w:r>
        <w:r>
          <w:instrText xml:space="preserve"> PAGEREF _Toc3541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_Toc24979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_Toc29784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_Toc3411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_Toc3434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_Toc10781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_Toc6473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4" w:history="1">
        <w:r>
          <w:rPr>
            <w:rFonts w:ascii="仿宋" w:eastAsia="仿宋" w:hAnsi="仿宋" w:cs="仿宋" w:hint="eastAsia"/>
            <w:lang w:eastAsia="zh-CN"/>
          </w:rPr>
          <w:t>(一)、中高端电主轴项目选址原则</w:t>
        </w:r>
        <w:r>
          <w:tab/>
        </w:r>
        <w:r>
          <w:fldChar w:fldCharType="begin"/>
        </w:r>
        <w:r>
          <w:instrText xml:space="preserve"> PAGEREF _Toc26474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_Toc10187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_Toc11595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_Toc13335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9" w:history="1">
        <w:r>
          <w:rPr>
            <w:rFonts w:ascii="仿宋" w:eastAsia="仿宋" w:hAnsi="仿宋" w:cs="仿宋" w:hint="eastAsia"/>
            <w:lang w:eastAsia="zh-CN"/>
          </w:rPr>
          <w:t>(五)、中高端电主轴项目选址综合评价</w:t>
        </w:r>
        <w:r>
          <w:tab/>
        </w:r>
        <w:r>
          <w:fldChar w:fldCharType="begin"/>
        </w:r>
        <w:r>
          <w:instrText xml:space="preserve"> PAGEREF _Toc22589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_Toc1759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_Toc7085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_Toc25940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_Toc29082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_Toc19653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_Toc18490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_Toc18479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_Toc26056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_Toc5954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_Toc31731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_Toc23215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_Toc28544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_Toc15887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_Toc31545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_Toc26454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6" w:history="1">
        <w:r>
          <w:rPr>
            <w:rFonts w:ascii="仿宋" w:eastAsia="仿宋" w:hAnsi="仿宋" w:cs="仿宋" w:hint="eastAsia"/>
            <w:lang w:eastAsia="zh-CN"/>
          </w:rPr>
          <w:t>(一)、中高端电主轴项目进度安排</w:t>
        </w:r>
        <w:r>
          <w:tab/>
        </w:r>
        <w:r>
          <w:fldChar w:fldCharType="begin"/>
        </w:r>
        <w:r>
          <w:instrText xml:space="preserve"> PAGEREF _Toc24746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1" w:history="1">
        <w:r>
          <w:rPr>
            <w:rFonts w:ascii="仿宋" w:eastAsia="仿宋" w:hAnsi="仿宋" w:cs="仿宋" w:hint="eastAsia"/>
            <w:lang w:eastAsia="zh-CN"/>
          </w:rPr>
          <w:t>(二)、中高端电主轴项目实施保障措施</w:t>
        </w:r>
        <w:r>
          <w:tab/>
        </w:r>
        <w:r>
          <w:fldChar w:fldCharType="begin"/>
        </w:r>
        <w:r>
          <w:instrText xml:space="preserve"> PAGEREF _Toc30121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_Toc15840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_Toc25480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_Toc24201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_Toc19853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_Toc13465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7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_Toc9879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_Toc20714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_Toc12287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_Toc7106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_Toc13823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_Toc4183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_Toc16192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_Toc20936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_Toc24916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8" w:history="1">
        <w:r>
          <w:rPr>
            <w:rFonts w:ascii="仿宋" w:eastAsia="仿宋" w:hAnsi="仿宋" w:cs="仿宋" w:hint="eastAsia"/>
            <w:lang w:eastAsia="zh-CN"/>
          </w:rPr>
          <w:t>(五)、中高端电主轴项目总投资</w:t>
        </w:r>
        <w:r>
          <w:tab/>
        </w:r>
        <w:r>
          <w:fldChar w:fldCharType="begin"/>
        </w:r>
        <w:r>
          <w:instrText xml:space="preserve"> PAGEREF _Toc8228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_Toc6795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_Toc29584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_Toc8905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_Toc14799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3" w:history="1">
        <w:r>
          <w:rPr>
            <w:rFonts w:ascii="仿宋" w:eastAsia="仿宋" w:hAnsi="仿宋" w:cs="仿宋" w:hint="eastAsia"/>
            <w:lang w:eastAsia="zh-CN"/>
          </w:rPr>
          <w:t>(一)、中高端电主轴项目背景分析</w:t>
        </w:r>
        <w:r>
          <w:tab/>
        </w:r>
        <w:r>
          <w:fldChar w:fldCharType="begin"/>
        </w:r>
        <w:r>
          <w:instrText xml:space="preserve"> PAGEREF _Toc32613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2" w:history="1">
        <w:r>
          <w:rPr>
            <w:rFonts w:ascii="仿宋" w:eastAsia="仿宋" w:hAnsi="仿宋" w:cs="仿宋" w:hint="eastAsia"/>
            <w:lang w:eastAsia="zh-CN"/>
          </w:rPr>
          <w:t>(二)、中高端电主轴项目建设必要性分析</w:t>
        </w:r>
        <w:r>
          <w:tab/>
        </w:r>
        <w:r>
          <w:fldChar w:fldCharType="begin"/>
        </w:r>
        <w:r>
          <w:instrText xml:space="preserve"> PAGEREF _Toc24432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_Toc17113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3" w:history="1">
        <w:r>
          <w:rPr>
            <w:rFonts w:ascii="仿宋" w:eastAsia="仿宋" w:hAnsi="仿宋" w:cs="仿宋" w:hint="eastAsia"/>
            <w:lang w:eastAsia="zh-CN"/>
          </w:rPr>
          <w:t>十一、中高端电主轴项目总结分析</w:t>
        </w:r>
        <w:r>
          <w:tab/>
        </w:r>
        <w:r>
          <w:fldChar w:fldCharType="begin"/>
        </w:r>
        <w:r>
          <w:instrText xml:space="preserve"> PAGEREF _Toc6883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2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_Toc7762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_Toc13403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_Toc8301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_Toc16598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_Toc28080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6" w:history="1">
        <w:r>
          <w:rPr>
            <w:rFonts w:ascii="仿宋" w:eastAsia="仿宋" w:hAnsi="仿宋" w:cs="仿宋" w:hint="eastAsia"/>
            <w:lang w:eastAsia="zh-CN"/>
          </w:rPr>
          <w:t>(一)、社会责任中高端电主轴项目</w:t>
        </w:r>
        <w:r>
          <w:tab/>
        </w:r>
        <w:r>
          <w:fldChar w:fldCharType="begin"/>
        </w:r>
        <w:r>
          <w:instrText xml:space="preserve"> PAGEREF _Toc18706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_Toc3821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_Toc14407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_Toc9714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_Toc13896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6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541"/>
      <w:r>
        <w:rPr>
          <w:rFonts w:ascii="仿宋" w:eastAsia="仿宋" w:hAnsi="仿宋" w:cs="仿宋" w:hint="eastAsia"/>
          <w:sz w:val="28"/>
          <w:lang w:eastAsia="zh-CN"/>
        </w:rPr>
        <w:t>一、中高端电主轴筹建公司基本信息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7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78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90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41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43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经营范围：从事XXX相关业务(企业依法自主选择经营中高端电主轴项目，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开展经营活动；依法须经批准的中高端电主轴项目，经相关部门批准后依批准的内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容开展经营活动；不得从事本市产业政策禁止和限制类中高端电主轴项目的经营活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78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https://d.book118.com/577062056061006043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中高端电主轴行业相关公司筹备报告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中高端电主轴行业相关公司筹备报告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中高端电主轴行业相关公司筹备报告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中高端电主轴行业相关公司筹备报告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中高端电主轴行业相关公司筹备报告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7062056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2024-01-26T17:10:00Z</dcterms:created>
  <dcterms:modified xsi:type="dcterms:W3CDTF">2024-01-26T17:10:18Z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FEDFB67D999F4578B8D41159D4F74C0C_11</vt:lpwstr>
  </property>
  <property fmtid="{D5CDD505-2E9C-101B-9397-08002B2CF9AE}" pid="3" name="KSOProductBuildVer">
    <vt:lpwstr>2052-12.1.0.16120</vt:lpwstr>
  </property>
</Properties>
</file>