
<file path=[Content_Types].xml><?xml version="1.0" encoding="utf-8"?>
<Types xmlns="http://schemas.openxmlformats.org/package/2006/content-types">
  <Default Extension="emf" ContentType="image/x-emf"/>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firstLine="5720" w:firstLineChars="1100"/>
        <w:rPr>
          <w:rFonts w:eastAsia="华文彩云"/>
          <w:color w:val="000000"/>
        </w:rPr>
      </w:pPr>
      <w:r>
        <w:rPr>
          <w:rFonts w:eastAsia="黑体"/>
          <w:color w:val="000000"/>
          <w:sz w:val="52"/>
        </w:rPr>
        <w:t>ＪＪF</w:t>
      </w:r>
      <w:r>
        <w:rPr>
          <w:rFonts w:eastAsia="华文彩云"/>
          <w:color w:val="000000"/>
        </w:rPr>
        <w:t xml:space="preserve"> </w:t>
      </w:r>
    </w:p>
    <w:p>
      <w:pPr>
        <w:pStyle w:val="BodyTextIndent2"/>
        <w:ind w:firstLine="0" w:firstLineChars="0"/>
        <w:rPr>
          <w:rFonts w:ascii="Times New Roman"/>
          <w:color w:val="000000"/>
          <w:sz w:val="24"/>
        </w:rPr>
      </w:pPr>
      <w:r>
        <w:rPr>
          <w:rFonts w:ascii="Times New Roman"/>
          <w:color w:val="000000"/>
        </w:rPr>
        <w:t>中华人民共和国国家计量技术规范</w:t>
      </w:r>
    </w:p>
    <w:p>
      <w:pPr>
        <w:pStyle w:val="BodyTextIndent2"/>
        <w:ind w:firstLine="5880" w:firstLineChars="2100"/>
        <w:outlineLvl w:val="0"/>
        <w:rPr>
          <w:rFonts w:ascii="Times New Roman" w:eastAsia="黑体"/>
          <w:b/>
          <w:bCs/>
          <w:color w:val="000000"/>
          <w:sz w:val="28"/>
        </w:rPr>
      </w:pPr>
      <w:r>
        <w:rPr>
          <w:rFonts w:ascii="Times New Roman" w:eastAsia="黑体"/>
          <w:b/>
          <w:bCs/>
          <w:color w:val="000000"/>
          <w:sz w:val="28"/>
        </w:rPr>
        <w:t>JJF1326—</w:t>
      </w:r>
      <w:r>
        <w:rPr>
          <w:rFonts w:ascii="Symbol" w:eastAsia="黑体" w:hAnsi="Symbol"/>
          <w:b/>
          <w:bCs/>
          <w:color w:val="000000"/>
          <w:sz w:val="28"/>
        </w:rPr>
        <w:sym w:font="Symbol" w:char="F0B4"/>
      </w:r>
      <w:r>
        <w:rPr>
          <w:rFonts w:ascii="Symbol" w:eastAsia="黑体" w:hAnsi="Symbol"/>
          <w:b/>
          <w:bCs/>
          <w:color w:val="000000"/>
          <w:sz w:val="28"/>
        </w:rPr>
        <w:sym w:font="Symbol" w:char="F0B4"/>
      </w:r>
      <w:r>
        <w:rPr>
          <w:rFonts w:ascii="Symbol" w:eastAsia="黑体" w:hAnsi="Symbol"/>
          <w:b/>
          <w:bCs/>
          <w:color w:val="000000"/>
          <w:sz w:val="28"/>
        </w:rPr>
        <w:sym w:font="Symbol" w:char="F0B4"/>
      </w:r>
      <w:r>
        <w:rPr>
          <w:rFonts w:ascii="Symbol" w:eastAsia="黑体" w:hAnsi="Symbol"/>
          <w:b/>
          <w:bCs/>
          <w:color w:val="000000"/>
          <w:sz w:val="28"/>
        </w:rPr>
        <w:sym w:font="Symbol" w:char="F0B4"/>
      </w:r>
    </w:p>
    <w:p>
      <w:pPr>
        <w:pStyle w:val="BodyTextIndent2"/>
        <w:ind w:firstLine="5453" w:firstLineChars="2272"/>
        <w:rPr>
          <w:rFonts w:ascii="Times New Roman"/>
          <w:b/>
          <w:bCs/>
          <w:color w:val="000000"/>
          <w:sz w:val="24"/>
        </w:rPr>
      </w:pPr>
    </w:p>
    <w:p>
      <w:pPr>
        <w:pStyle w:val="BodyTextIndent2"/>
        <w:ind w:firstLine="0" w:firstLineChars="0"/>
        <w:rPr>
          <w:rFonts w:ascii="Times New Roman"/>
          <w:b/>
          <w:bCs/>
          <w:color w:val="000000"/>
          <w:sz w:val="24"/>
        </w:rPr>
      </w:pPr>
      <w:r>
        <w:rPr>
          <w:rFonts w:ascii="Times New Roman"/>
          <w:b/>
          <w:bCs/>
          <w:color w:val="000000"/>
          <w:sz w:val="20"/>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100965</wp:posOffset>
                </wp:positionV>
                <wp:extent cx="4914900" cy="0"/>
                <wp:effectExtent l="7620" t="7620" r="11430" b="11430"/>
                <wp:wrapNone/>
                <wp:docPr id="3" name="Line 2"/>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4914900" cy="0"/>
                        </a:xfrm>
                        <a:prstGeom prst="line">
                          <a:avLst/>
                        </a:prstGeom>
                        <a:noFill/>
                        <a:ln w="12700">
                          <a:solidFill>
                            <a:srgbClr val="000000"/>
                          </a:solidFill>
                          <a:round/>
                        </a:ln>
                      </wps:spPr>
                      <wps:bodyPr/>
                    </wps:wsp>
                  </a:graphicData>
                </a:graphic>
              </wp:anchor>
            </w:drawing>
          </mc:Choice>
          <mc:Fallback>
            <w:pict>
              <v:line id="Line 2" o:spid="_x0000_s1025" style="mso-wrap-distance-bottom:0;mso-wrap-distance-left:9pt;mso-wrap-distance-right:9pt;mso-wrap-distance-top:0;position:absolute;v-text-anchor:top;z-index:251658240" from="9pt,7.95pt" to="396pt,7.95pt" fillcolor="this" stroked="t" strokecolor="black" strokeweight="1pt">
                <v:stroke joinstyle="round"/>
              </v:line>
            </w:pict>
          </mc:Fallback>
        </mc:AlternateContent>
      </w:r>
      <w:r>
        <w:rPr>
          <w:rFonts w:ascii="Times New Roman"/>
          <w:b/>
          <w:bCs/>
          <w:color w:val="000000"/>
          <w:sz w:val="24"/>
        </w:rPr>
        <w:t xml:space="preserve">  </w:t>
      </w:r>
    </w:p>
    <w:p>
      <w:pPr>
        <w:pStyle w:val="BodyTextIndent2"/>
        <w:ind w:firstLine="0" w:firstLineChars="0"/>
        <w:rPr>
          <w:rFonts w:ascii="Times New Roman"/>
          <w:b/>
          <w:bCs/>
          <w:color w:val="000000"/>
          <w:sz w:val="24"/>
        </w:rPr>
      </w:pPr>
    </w:p>
    <w:p>
      <w:pPr>
        <w:pStyle w:val="BodyTextIndent2"/>
        <w:ind w:firstLine="0" w:firstLineChars="0"/>
        <w:jc w:val="center"/>
        <w:rPr>
          <w:rFonts w:ascii="Times New Roman" w:eastAsia="黑体"/>
          <w:color w:val="000000"/>
        </w:rPr>
      </w:pPr>
      <w:r>
        <w:rPr>
          <w:rFonts w:ascii="Times New Roman" w:eastAsia="黑体"/>
          <w:color w:val="000000"/>
        </w:rPr>
        <w:t>质量比较仪校准规范</w:t>
      </w:r>
    </w:p>
    <w:p>
      <w:pPr>
        <w:pStyle w:val="BodyTextIndent2"/>
        <w:ind w:firstLine="0" w:firstLineChars="0"/>
        <w:jc w:val="center"/>
        <w:rPr>
          <w:rFonts w:ascii="Times New Roman" w:eastAsia="黑体"/>
          <w:b/>
          <w:bCs/>
          <w:color w:val="000000"/>
          <w:sz w:val="28"/>
        </w:rPr>
      </w:pPr>
      <w:r>
        <w:rPr>
          <w:rFonts w:ascii="Times New Roman" w:eastAsia="黑体"/>
          <w:b/>
          <w:bCs/>
          <w:color w:val="000000"/>
          <w:sz w:val="28"/>
        </w:rPr>
        <w:t>Calibration Specification for Mass Comparators</w:t>
      </w:r>
    </w:p>
    <w:p>
      <w:pPr>
        <w:pStyle w:val="BodyTextIndent2"/>
        <w:ind w:firstLine="0" w:firstLineChars="0"/>
        <w:jc w:val="center"/>
        <w:rPr>
          <w:rFonts w:ascii="Times New Roman" w:eastAsia="黑体"/>
          <w:b/>
          <w:bCs/>
          <w:color w:val="000000"/>
          <w:sz w:val="28"/>
        </w:rPr>
      </w:pPr>
      <w:r>
        <w:rPr>
          <w:rFonts w:ascii="Times New Roman" w:eastAsia="黑体"/>
          <w:b/>
          <w:bCs/>
          <w:color w:val="000000"/>
          <w:sz w:val="28"/>
        </w:rPr>
        <w:t>(</w:t>
      </w:r>
      <w:r>
        <w:rPr>
          <w:rFonts w:ascii="Times New Roman" w:eastAsia="黑体" w:hint="eastAsia"/>
          <w:b/>
          <w:bCs/>
          <w:color w:val="000000"/>
          <w:sz w:val="28"/>
        </w:rPr>
        <w:t>征求意见</w:t>
      </w:r>
      <w:r>
        <w:rPr>
          <w:rFonts w:ascii="Times New Roman" w:eastAsia="黑体"/>
          <w:b/>
          <w:bCs/>
          <w:color w:val="000000"/>
          <w:sz w:val="28"/>
        </w:rPr>
        <w:t>稿)</w:t>
      </w:r>
    </w:p>
    <w:p>
      <w:pPr>
        <w:pStyle w:val="BodyTextIndent2"/>
        <w:ind w:firstLine="0" w:firstLineChars="0"/>
        <w:jc w:val="center"/>
        <w:rPr>
          <w:rFonts w:ascii="Times New Roman"/>
          <w:b/>
          <w:bCs/>
          <w:color w:val="000000"/>
          <w:sz w:val="32"/>
        </w:rPr>
      </w:pPr>
    </w:p>
    <w:p>
      <w:pPr>
        <w:pStyle w:val="BodyTextIndent2"/>
        <w:ind w:firstLine="0" w:firstLineChars="0"/>
        <w:jc w:val="center"/>
        <w:rPr>
          <w:rFonts w:ascii="Times New Roman"/>
          <w:b/>
          <w:bCs/>
          <w:color w:val="000000"/>
          <w:sz w:val="32"/>
        </w:rPr>
      </w:pPr>
    </w:p>
    <w:p>
      <w:pPr>
        <w:pStyle w:val="BodyTextIndent2"/>
        <w:ind w:firstLine="0" w:firstLineChars="0"/>
        <w:jc w:val="center"/>
        <w:rPr>
          <w:rFonts w:ascii="Times New Roman"/>
          <w:b/>
          <w:bCs/>
          <w:color w:val="000000"/>
          <w:sz w:val="32"/>
        </w:rPr>
      </w:pPr>
    </w:p>
    <w:p>
      <w:pPr>
        <w:pStyle w:val="BodyTextIndent2"/>
        <w:ind w:firstLine="0" w:firstLineChars="0"/>
        <w:jc w:val="center"/>
        <w:rPr>
          <w:rFonts w:ascii="Times New Roman"/>
          <w:b/>
          <w:bCs/>
          <w:color w:val="000000"/>
          <w:sz w:val="32"/>
        </w:rPr>
      </w:pPr>
    </w:p>
    <w:p>
      <w:pPr>
        <w:pStyle w:val="BodyTextIndent2"/>
        <w:ind w:firstLine="0" w:firstLineChars="0"/>
        <w:jc w:val="center"/>
        <w:rPr>
          <w:rFonts w:ascii="Times New Roman"/>
          <w:b/>
          <w:bCs/>
          <w:color w:val="000000"/>
          <w:sz w:val="32"/>
        </w:rPr>
      </w:pPr>
    </w:p>
    <w:p>
      <w:pPr>
        <w:pStyle w:val="BodyTextIndent2"/>
        <w:ind w:firstLine="0" w:firstLineChars="0"/>
        <w:jc w:val="center"/>
        <w:rPr>
          <w:rFonts w:ascii="Times New Roman"/>
          <w:b/>
          <w:bCs/>
          <w:color w:val="000000"/>
          <w:sz w:val="32"/>
        </w:rPr>
      </w:pPr>
    </w:p>
    <w:p>
      <w:pPr>
        <w:pStyle w:val="BodyTextIndent2"/>
        <w:ind w:firstLine="0" w:firstLineChars="0"/>
        <w:jc w:val="center"/>
        <w:rPr>
          <w:rFonts w:ascii="Times New Roman"/>
          <w:b/>
          <w:bCs/>
          <w:color w:val="000000"/>
          <w:sz w:val="32"/>
        </w:rPr>
      </w:pPr>
    </w:p>
    <w:p>
      <w:pPr>
        <w:pStyle w:val="BodyTextIndent2"/>
        <w:ind w:firstLine="0" w:firstLineChars="0"/>
        <w:jc w:val="center"/>
        <w:rPr>
          <w:rFonts w:ascii="Times New Roman"/>
          <w:b/>
          <w:bCs/>
          <w:color w:val="000000"/>
          <w:sz w:val="32"/>
        </w:rPr>
      </w:pPr>
    </w:p>
    <w:p>
      <w:pPr>
        <w:pStyle w:val="BodyTextIndent2"/>
        <w:ind w:firstLine="0" w:firstLineChars="0"/>
        <w:jc w:val="center"/>
        <w:rPr>
          <w:rFonts w:ascii="Times New Roman"/>
          <w:b/>
          <w:bCs/>
          <w:color w:val="000000"/>
          <w:sz w:val="32"/>
        </w:rPr>
      </w:pPr>
    </w:p>
    <w:p>
      <w:pPr>
        <w:pStyle w:val="BodyTextIndent2"/>
        <w:ind w:firstLine="0" w:firstLineChars="0"/>
        <w:jc w:val="center"/>
        <w:rPr>
          <w:rFonts w:ascii="Times New Roman"/>
          <w:b/>
          <w:bCs/>
          <w:color w:val="000000"/>
          <w:sz w:val="32"/>
        </w:rPr>
      </w:pPr>
    </w:p>
    <w:p>
      <w:pPr>
        <w:pStyle w:val="BodyTextIndent2"/>
        <w:ind w:firstLine="0" w:firstLineChars="0"/>
        <w:rPr>
          <w:rFonts w:ascii="Times New Roman" w:eastAsia="黑体"/>
          <w:b/>
          <w:bCs/>
          <w:color w:val="000000"/>
          <w:sz w:val="28"/>
        </w:rPr>
      </w:pPr>
      <w:r>
        <w:rPr>
          <w:rFonts w:ascii="Times New Roman" w:eastAsia="黑体"/>
          <w:b/>
          <w:bCs/>
          <w:color w:val="000000"/>
          <w:sz w:val="28"/>
        </w:rPr>
        <w:t>20xx -xx-xx 发布                       xxxx-xx-xx 实施</w:t>
      </w:r>
    </w:p>
    <w:p>
      <w:pPr>
        <w:pStyle w:val="BodyTextIndent2"/>
        <w:ind w:firstLine="0" w:firstLineChars="0"/>
        <w:rPr>
          <w:rFonts w:ascii="Times New Roman" w:eastAsia="黑体"/>
          <w:b/>
          <w:bCs/>
          <w:color w:val="000000"/>
          <w:sz w:val="28"/>
        </w:rPr>
      </w:pPr>
      <w:r>
        <w:rPr>
          <w:rFonts w:ascii="Times New Roman" w:eastAsia="黑体"/>
          <w:b/>
          <w:bCs/>
          <w:color w:val="000000"/>
          <w:sz w:val="28"/>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99060</wp:posOffset>
                </wp:positionV>
                <wp:extent cx="5029200" cy="0"/>
                <wp:effectExtent l="7620" t="13335" r="11430" b="5715"/>
                <wp:wrapNone/>
                <wp:docPr id="2" name="Line 3"/>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029200" cy="0"/>
                        </a:xfrm>
                        <a:prstGeom prst="line">
                          <a:avLst/>
                        </a:prstGeom>
                        <a:noFill/>
                        <a:ln w="9525">
                          <a:solidFill>
                            <a:srgbClr val="000000"/>
                          </a:solidFill>
                          <a:round/>
                        </a:ln>
                      </wps:spPr>
                      <wps:bodyPr/>
                    </wps:wsp>
                  </a:graphicData>
                </a:graphic>
              </wp:anchor>
            </w:drawing>
          </mc:Choice>
          <mc:Fallback>
            <w:pict>
              <v:line id="Line 3" o:spid="_x0000_s1026" style="mso-wrap-distance-bottom:0;mso-wrap-distance-left:9pt;mso-wrap-distance-right:9pt;mso-wrap-distance-top:0;position:absolute;v-text-anchor:top;z-index:251660288" from="0,7.8pt" to="396pt,7.8pt" fillcolor="this" stroked="t" strokecolor="black" strokeweight="0.75pt">
                <v:stroke joinstyle="round"/>
              </v:line>
            </w:pict>
          </mc:Fallback>
        </mc:AlternateContent>
      </w:r>
    </w:p>
    <w:p>
      <w:pPr>
        <w:pStyle w:val="BodyTextIndent2"/>
        <w:ind w:firstLine="0" w:firstLineChars="0"/>
        <w:jc w:val="center"/>
        <w:rPr>
          <w:rFonts w:ascii="Times New Roman" w:eastAsia="黑体"/>
          <w:color w:val="000000"/>
          <w:sz w:val="28"/>
        </w:rPr>
        <w:sectPr>
          <w:footerReference w:type="even" r:id="rId6"/>
          <w:footerReference w:type="default" r:id="rId7"/>
          <w:pgSz w:w="11906" w:h="16838"/>
          <w:pgMar w:top="1440" w:right="1797" w:bottom="1440" w:left="1797" w:header="851" w:footer="992" w:gutter="0"/>
          <w:pgNumType w:fmt="lowerRoman" w:start="1"/>
          <w:cols w:num="1" w:space="425"/>
          <w:titlePg/>
          <w:docGrid w:type="linesAndChars" w:linePitch="312" w:charSpace="0"/>
        </w:sectPr>
      </w:pPr>
      <w:r>
        <w:rPr>
          <w:rFonts w:ascii="Times New Roman"/>
          <w:b/>
          <w:bCs/>
          <w:color w:val="000000"/>
          <w:sz w:val="44"/>
        </w:rPr>
        <w:t>国家市场监管总局</w:t>
      </w:r>
      <w:r>
        <w:rPr>
          <w:rFonts w:ascii="Times New Roman"/>
          <w:color w:val="000000"/>
        </w:rPr>
        <w:t xml:space="preserve">  </w:t>
      </w:r>
      <w:r>
        <w:rPr>
          <w:rFonts w:ascii="Times New Roman" w:eastAsia="黑体"/>
          <w:color w:val="000000"/>
          <w:sz w:val="28"/>
        </w:rPr>
        <w:t>发布</w:t>
      </w:r>
    </w:p>
    <w:p>
      <w:pPr>
        <w:pStyle w:val="BodyTextIndent2"/>
        <w:spacing w:after="156" w:afterLines="50"/>
        <w:ind w:firstLine="3520" w:firstLineChars="1100"/>
        <w:rPr>
          <w:rFonts w:ascii="Times New Roman" w:eastAsia="黑体"/>
          <w:color w:val="000000"/>
          <w:sz w:val="32"/>
        </w:rPr>
      </w:pPr>
      <w:r>
        <w:rPr>
          <w:rFonts w:ascii="Times New Roman" w:eastAsia="黑体"/>
          <w:color w:val="000000"/>
          <w:sz w:val="32"/>
        </w:rPr>
        <w:t>目    录</w:t>
      </w:r>
    </w:p>
    <w:p>
      <w:pPr>
        <w:pStyle w:val="BodyTextIndent2"/>
        <w:spacing w:after="156" w:afterLines="50"/>
        <w:ind w:firstLine="3520" w:firstLineChars="1100"/>
        <w:rPr>
          <w:rFonts w:ascii="Times New Roman" w:eastAsia="黑体"/>
          <w:color w:val="000000"/>
          <w:sz w:val="32"/>
        </w:rPr>
      </w:pPr>
    </w:p>
    <w:p>
      <w:pPr>
        <w:pStyle w:val="BodyTextIndent2"/>
        <w:spacing w:after="156" w:afterLines="50" w:line="360" w:lineRule="auto"/>
        <w:ind w:firstLine="0" w:firstLineChars="0"/>
        <w:rPr>
          <w:rFonts w:ascii="Times New Roman"/>
          <w:color w:val="000000"/>
          <w:sz w:val="21"/>
        </w:rPr>
      </w:pPr>
      <w:r>
        <w:rPr>
          <w:rFonts w:ascii="Times New Roman"/>
          <w:color w:val="000000"/>
          <w:sz w:val="21"/>
        </w:rPr>
        <w:t>引言……………………………………………………………………………………………（V）</w:t>
      </w:r>
    </w:p>
    <w:p>
      <w:pPr>
        <w:pStyle w:val="BodyTextIndent2"/>
        <w:spacing w:after="156" w:afterLines="50" w:line="360" w:lineRule="auto"/>
        <w:ind w:firstLine="0" w:firstLineChars="0"/>
        <w:rPr>
          <w:rFonts w:ascii="Times New Roman"/>
          <w:color w:val="000000"/>
          <w:sz w:val="21"/>
        </w:rPr>
      </w:pPr>
      <w:r>
        <w:rPr>
          <w:rFonts w:ascii="Times New Roman"/>
          <w:color w:val="000000"/>
          <w:sz w:val="21"/>
        </w:rPr>
        <w:t>1  范围…………………………………………………………………………………………（1）</w:t>
      </w:r>
    </w:p>
    <w:p>
      <w:pPr>
        <w:pStyle w:val="BodyTextIndent2"/>
        <w:spacing w:after="156" w:afterLines="50" w:line="360" w:lineRule="auto"/>
        <w:ind w:firstLine="0" w:firstLineChars="0"/>
        <w:rPr>
          <w:rFonts w:ascii="Times New Roman"/>
          <w:color w:val="000000"/>
          <w:sz w:val="21"/>
        </w:rPr>
      </w:pPr>
      <w:r>
        <w:rPr>
          <w:rFonts w:ascii="Times New Roman"/>
          <w:color w:val="000000"/>
          <w:sz w:val="21"/>
        </w:rPr>
        <w:t>2  引用文献……………………………………………………………………………………（1）</w:t>
      </w:r>
    </w:p>
    <w:p>
      <w:pPr>
        <w:pStyle w:val="BodyTextIndent2"/>
        <w:spacing w:after="156" w:afterLines="50" w:line="360" w:lineRule="auto"/>
        <w:ind w:firstLine="0" w:firstLineChars="0"/>
        <w:rPr>
          <w:rFonts w:ascii="Times New Roman"/>
          <w:color w:val="000000"/>
          <w:sz w:val="21"/>
        </w:rPr>
      </w:pPr>
      <w:r>
        <w:rPr>
          <w:rFonts w:ascii="Times New Roman"/>
          <w:color w:val="000000"/>
          <w:sz w:val="21"/>
        </w:rPr>
        <w:t>3  术语和计量单位……………………………………………………………………………（1）</w:t>
      </w:r>
    </w:p>
    <w:p>
      <w:pPr>
        <w:pStyle w:val="BodyTextIndent2"/>
        <w:spacing w:after="156" w:afterLines="50" w:line="360" w:lineRule="auto"/>
        <w:ind w:firstLine="0" w:firstLineChars="0"/>
        <w:rPr>
          <w:rFonts w:ascii="Times New Roman"/>
          <w:color w:val="000000"/>
          <w:sz w:val="21"/>
        </w:rPr>
      </w:pPr>
      <w:r>
        <w:rPr>
          <w:rFonts w:ascii="Times New Roman"/>
          <w:color w:val="000000"/>
          <w:sz w:val="21"/>
        </w:rPr>
        <w:t>3.1  术语………………………………………………………………………………………（1）</w:t>
      </w:r>
    </w:p>
    <w:p>
      <w:pPr>
        <w:pStyle w:val="BodyTextIndent2"/>
        <w:spacing w:after="156" w:afterLines="50" w:line="360" w:lineRule="auto"/>
        <w:ind w:firstLine="0" w:firstLineChars="0"/>
        <w:rPr>
          <w:rFonts w:ascii="Times New Roman"/>
          <w:color w:val="000000"/>
          <w:sz w:val="21"/>
        </w:rPr>
      </w:pPr>
      <w:r>
        <w:rPr>
          <w:rFonts w:ascii="Times New Roman"/>
          <w:color w:val="000000"/>
          <w:sz w:val="21"/>
        </w:rPr>
        <w:t>3.2  符号表……………………………………………………………………………………（2）</w:t>
      </w:r>
    </w:p>
    <w:p>
      <w:pPr>
        <w:pStyle w:val="BodyTextIndent2"/>
        <w:spacing w:after="156" w:afterLines="50" w:line="360" w:lineRule="auto"/>
        <w:ind w:firstLine="0" w:firstLineChars="0"/>
        <w:rPr>
          <w:rFonts w:ascii="Times New Roman"/>
          <w:color w:val="000000"/>
          <w:sz w:val="21"/>
        </w:rPr>
      </w:pPr>
      <w:r>
        <w:rPr>
          <w:rFonts w:ascii="Times New Roman"/>
          <w:color w:val="000000"/>
          <w:sz w:val="21"/>
        </w:rPr>
        <w:t>3.3  计量单位…………………………………………………………………………………（3）</w:t>
      </w:r>
    </w:p>
    <w:p>
      <w:pPr>
        <w:pStyle w:val="BodyTextIndent2"/>
        <w:spacing w:after="156" w:afterLines="50" w:line="360" w:lineRule="auto"/>
        <w:ind w:firstLine="0" w:firstLineChars="0"/>
        <w:outlineLvl w:val="0"/>
        <w:rPr>
          <w:rFonts w:ascii="Times New Roman"/>
          <w:color w:val="000000"/>
          <w:sz w:val="21"/>
        </w:rPr>
      </w:pPr>
      <w:r>
        <w:rPr>
          <w:rFonts w:ascii="Times New Roman"/>
          <w:color w:val="000000"/>
          <w:sz w:val="21"/>
        </w:rPr>
        <w:t>4  概述………………………………………………………………………………………… （3）</w:t>
      </w:r>
    </w:p>
    <w:p>
      <w:pPr>
        <w:pStyle w:val="BodyTextIndent2"/>
        <w:spacing w:after="156" w:afterLines="50" w:line="360" w:lineRule="auto"/>
        <w:ind w:firstLine="0" w:firstLineChars="0"/>
        <w:outlineLvl w:val="0"/>
        <w:rPr>
          <w:rFonts w:ascii="Times New Roman"/>
          <w:color w:val="000000"/>
          <w:sz w:val="21"/>
        </w:rPr>
      </w:pPr>
      <w:r>
        <w:rPr>
          <w:rFonts w:ascii="Times New Roman"/>
          <w:color w:val="000000"/>
          <w:sz w:val="21"/>
        </w:rPr>
        <w:t>4.1  原理………………………………………………………………………………………（4）</w:t>
      </w:r>
    </w:p>
    <w:p>
      <w:pPr>
        <w:pStyle w:val="BodyTextIndent2"/>
        <w:spacing w:after="156" w:afterLines="50" w:line="360" w:lineRule="auto"/>
        <w:ind w:firstLine="0" w:firstLineChars="0"/>
        <w:outlineLvl w:val="0"/>
        <w:rPr>
          <w:rFonts w:ascii="Times New Roman"/>
          <w:color w:val="000000"/>
          <w:sz w:val="21"/>
        </w:rPr>
      </w:pPr>
      <w:r>
        <w:rPr>
          <w:rFonts w:ascii="Times New Roman"/>
          <w:color w:val="000000"/>
          <w:sz w:val="21"/>
        </w:rPr>
        <w:t>4.2  用途………………………………………………………………………………………（4）</w:t>
      </w:r>
    </w:p>
    <w:p>
      <w:pPr>
        <w:pStyle w:val="BodyTextIndent2"/>
        <w:spacing w:after="156" w:afterLines="50" w:line="360" w:lineRule="auto"/>
        <w:ind w:firstLine="0" w:firstLineChars="0"/>
        <w:outlineLvl w:val="0"/>
        <w:rPr>
          <w:rFonts w:ascii="Times New Roman"/>
          <w:color w:val="000000"/>
          <w:sz w:val="21"/>
        </w:rPr>
      </w:pPr>
      <w:r>
        <w:rPr>
          <w:rFonts w:ascii="Times New Roman"/>
          <w:color w:val="000000"/>
          <w:sz w:val="21"/>
        </w:rPr>
        <w:t>4.3  结构………………………………………………………………………………………（4）</w:t>
      </w:r>
    </w:p>
    <w:p>
      <w:pPr>
        <w:pStyle w:val="BodyTextIndent2"/>
        <w:spacing w:after="156" w:afterLines="50" w:line="360" w:lineRule="auto"/>
        <w:ind w:firstLine="0" w:firstLineChars="0"/>
        <w:rPr>
          <w:rFonts w:ascii="Times New Roman"/>
          <w:color w:val="000000"/>
          <w:sz w:val="21"/>
        </w:rPr>
      </w:pPr>
      <w:r>
        <w:rPr>
          <w:rFonts w:ascii="Times New Roman"/>
          <w:color w:val="000000"/>
          <w:sz w:val="21"/>
        </w:rPr>
        <w:t>5  计量特性…………………………………………………………………………………… （5）</w:t>
      </w:r>
    </w:p>
    <w:p>
      <w:pPr>
        <w:pStyle w:val="BodyTextIndent2"/>
        <w:spacing w:after="156" w:afterLines="50" w:line="360" w:lineRule="auto"/>
        <w:ind w:firstLine="0" w:firstLineChars="0"/>
        <w:rPr>
          <w:rFonts w:ascii="Times New Roman"/>
          <w:color w:val="000000"/>
          <w:sz w:val="21"/>
        </w:rPr>
      </w:pPr>
      <w:r>
        <w:rPr>
          <w:rFonts w:ascii="Times New Roman"/>
          <w:color w:val="000000"/>
          <w:sz w:val="21"/>
        </w:rPr>
        <w:t>5.1  重复性…………………………………………………………………………………… （5）</w:t>
      </w:r>
    </w:p>
    <w:p>
      <w:pPr>
        <w:pStyle w:val="BodyTextIndent2"/>
        <w:spacing w:after="156" w:afterLines="50" w:line="360" w:lineRule="auto"/>
        <w:ind w:firstLine="0" w:firstLineChars="0"/>
        <w:rPr>
          <w:rFonts w:ascii="Times New Roman"/>
          <w:color w:val="000000"/>
          <w:sz w:val="21"/>
        </w:rPr>
      </w:pPr>
      <w:r>
        <w:rPr>
          <w:rFonts w:ascii="Times New Roman"/>
          <w:color w:val="000000"/>
          <w:sz w:val="21"/>
        </w:rPr>
        <w:t>5.2  偏载……………………………………………………………………………………… （5）</w:t>
      </w:r>
    </w:p>
    <w:p>
      <w:pPr>
        <w:pStyle w:val="BodyTextIndent2"/>
        <w:spacing w:after="156" w:afterLines="50" w:line="360" w:lineRule="auto"/>
        <w:ind w:firstLine="0" w:firstLineChars="0"/>
        <w:rPr>
          <w:rFonts w:ascii="Times New Roman"/>
          <w:color w:val="000000"/>
          <w:sz w:val="21"/>
        </w:rPr>
      </w:pPr>
      <w:r>
        <w:rPr>
          <w:rFonts w:ascii="Times New Roman"/>
          <w:color w:val="000000"/>
          <w:sz w:val="21"/>
        </w:rPr>
        <w:t>5.3  局部示值误差…………………………………………………………………………… （5）</w:t>
      </w:r>
    </w:p>
    <w:p>
      <w:pPr>
        <w:pStyle w:val="BodyTextIndent2"/>
        <w:spacing w:after="156" w:afterLines="50" w:line="360" w:lineRule="auto"/>
        <w:ind w:firstLine="0" w:firstLineChars="0"/>
        <w:rPr>
          <w:rFonts w:ascii="Times New Roman"/>
          <w:color w:val="000000"/>
          <w:sz w:val="21"/>
        </w:rPr>
      </w:pPr>
      <w:r>
        <w:rPr>
          <w:rFonts w:ascii="Times New Roman"/>
          <w:color w:val="000000"/>
          <w:sz w:val="21"/>
        </w:rPr>
        <w:t>6  校准条件……………………………………………………………………………………（5）</w:t>
      </w:r>
    </w:p>
    <w:p>
      <w:pPr>
        <w:pStyle w:val="BodyTextIndent2"/>
        <w:spacing w:after="156" w:afterLines="50" w:line="360" w:lineRule="auto"/>
        <w:ind w:firstLine="0" w:firstLineChars="0"/>
        <w:rPr>
          <w:rFonts w:ascii="Times New Roman"/>
          <w:color w:val="000000"/>
          <w:sz w:val="21"/>
        </w:rPr>
      </w:pPr>
      <w:r>
        <w:rPr>
          <w:rFonts w:ascii="Times New Roman"/>
          <w:color w:val="000000"/>
          <w:sz w:val="21"/>
        </w:rPr>
        <w:t>6.1  标准砝码………………………………………………………………………………… （5）</w:t>
      </w:r>
    </w:p>
    <w:p>
      <w:pPr>
        <w:pStyle w:val="BodyTextIndent2"/>
        <w:spacing w:after="156" w:afterLines="50" w:line="360" w:lineRule="auto"/>
        <w:ind w:firstLine="0" w:firstLineChars="0"/>
        <w:rPr>
          <w:rFonts w:ascii="Times New Roman"/>
          <w:color w:val="000000"/>
          <w:sz w:val="21"/>
        </w:rPr>
      </w:pPr>
      <w:r>
        <w:rPr>
          <w:rFonts w:ascii="Times New Roman"/>
          <w:color w:val="000000"/>
          <w:sz w:val="21"/>
        </w:rPr>
        <w:t>6.2  其它有关测量用计量器具……………………………………………………………… （6）</w:t>
      </w:r>
    </w:p>
    <w:p>
      <w:pPr>
        <w:pStyle w:val="BodyTextIndent2"/>
        <w:spacing w:after="156" w:afterLines="50" w:line="360" w:lineRule="auto"/>
        <w:ind w:firstLine="0" w:firstLineChars="0"/>
        <w:rPr>
          <w:rFonts w:ascii="Times New Roman"/>
          <w:color w:val="000000"/>
          <w:sz w:val="21"/>
        </w:rPr>
      </w:pPr>
      <w:r>
        <w:rPr>
          <w:rFonts w:ascii="Times New Roman"/>
          <w:color w:val="000000"/>
          <w:sz w:val="21"/>
        </w:rPr>
        <w:t>6.3  校准环境条件…………………………………………………………………………… （6）</w:t>
      </w:r>
    </w:p>
    <w:p>
      <w:pPr>
        <w:pStyle w:val="BodyTextIndent2"/>
        <w:spacing w:after="156" w:afterLines="50" w:line="360" w:lineRule="auto"/>
        <w:ind w:firstLine="0" w:firstLineChars="0"/>
        <w:rPr>
          <w:rFonts w:ascii="Times New Roman"/>
          <w:color w:val="000000"/>
          <w:sz w:val="21"/>
        </w:rPr>
        <w:sectPr>
          <w:footerReference w:type="even" r:id="rId8"/>
          <w:footerReference w:type="default" r:id="rId9"/>
          <w:pgSz w:w="11906" w:h="16838"/>
          <w:pgMar w:top="1440" w:right="1797" w:bottom="1440" w:left="1797" w:header="851" w:footer="992" w:gutter="0"/>
          <w:pgNumType w:fmt="upperRoman" w:start="1"/>
          <w:cols w:num="1" w:space="425"/>
          <w:docGrid w:type="lines" w:linePitch="312" w:charSpace="0"/>
        </w:sectPr>
      </w:pPr>
      <w:r>
        <w:rPr>
          <w:rFonts w:ascii="Times New Roman"/>
          <w:color w:val="000000"/>
          <w:sz w:val="21"/>
        </w:rPr>
        <w:t>6.4  供电电源………………………………………………………………………………… （7）</w:t>
      </w:r>
    </w:p>
    <w:p>
      <w:pPr>
        <w:pStyle w:val="BodyTextIndent2"/>
        <w:spacing w:after="156" w:afterLines="50" w:line="360" w:lineRule="auto"/>
        <w:ind w:firstLine="0" w:firstLineChars="0"/>
        <w:rPr>
          <w:rFonts w:ascii="Times New Roman"/>
          <w:color w:val="000000"/>
          <w:sz w:val="21"/>
        </w:rPr>
      </w:pPr>
      <w:r>
        <w:rPr>
          <w:rFonts w:ascii="Times New Roman"/>
          <w:color w:val="000000"/>
          <w:sz w:val="21"/>
        </w:rPr>
        <w:t>6.5  校准前比较仪的清洁处理……………………………………………………………… （7）</w:t>
      </w:r>
    </w:p>
    <w:p>
      <w:pPr>
        <w:pStyle w:val="BodyTextIndent2"/>
        <w:spacing w:after="156" w:afterLines="50" w:line="360" w:lineRule="auto"/>
        <w:ind w:firstLine="0" w:firstLineChars="0"/>
        <w:rPr>
          <w:rFonts w:ascii="Times New Roman"/>
          <w:color w:val="000000"/>
          <w:sz w:val="21"/>
        </w:rPr>
      </w:pPr>
      <w:r>
        <w:rPr>
          <w:rFonts w:ascii="Times New Roman"/>
          <w:color w:val="000000"/>
          <w:sz w:val="21"/>
        </w:rPr>
        <w:t>6.6  比较仪的存放时间……………………………………………………………………… （7）</w:t>
      </w:r>
    </w:p>
    <w:p>
      <w:pPr>
        <w:pStyle w:val="BodyTextIndent2"/>
        <w:spacing w:after="156" w:afterLines="50" w:line="360" w:lineRule="auto"/>
        <w:ind w:firstLine="0" w:firstLineChars="0"/>
        <w:rPr>
          <w:rFonts w:ascii="Times New Roman"/>
          <w:color w:val="000000"/>
          <w:sz w:val="21"/>
        </w:rPr>
      </w:pPr>
      <w:r>
        <w:rPr>
          <w:rFonts w:ascii="Times New Roman"/>
          <w:color w:val="000000"/>
          <w:sz w:val="21"/>
        </w:rPr>
        <w:t>7  校准项目和校准方法……………………………………………………………………… （7）</w:t>
      </w:r>
    </w:p>
    <w:p>
      <w:pPr>
        <w:pStyle w:val="BodyTextIndent2"/>
        <w:spacing w:after="156" w:afterLines="50" w:line="360" w:lineRule="auto"/>
        <w:ind w:firstLine="0" w:firstLineChars="0"/>
        <w:rPr>
          <w:rFonts w:ascii="Times New Roman"/>
          <w:color w:val="000000"/>
          <w:sz w:val="21"/>
        </w:rPr>
      </w:pPr>
      <w:r>
        <w:rPr>
          <w:rFonts w:ascii="Times New Roman"/>
          <w:color w:val="000000"/>
          <w:sz w:val="21"/>
        </w:rPr>
        <w:t>7.1  校准项目…………………………………………………………………………………（7）</w:t>
      </w:r>
    </w:p>
    <w:p>
      <w:pPr>
        <w:pStyle w:val="BodyTextIndent2"/>
        <w:spacing w:after="156" w:afterLines="50" w:line="360" w:lineRule="auto"/>
        <w:ind w:firstLine="0" w:firstLineChars="0"/>
        <w:outlineLvl w:val="0"/>
        <w:rPr>
          <w:rFonts w:ascii="Times New Roman"/>
          <w:color w:val="000000"/>
          <w:sz w:val="21"/>
        </w:rPr>
      </w:pPr>
      <w:r>
        <w:rPr>
          <w:rFonts w:ascii="Times New Roman"/>
          <w:color w:val="000000"/>
          <w:sz w:val="21"/>
        </w:rPr>
        <w:t>7.2  校准方法…………………………………………………………………………………（8）</w:t>
      </w:r>
    </w:p>
    <w:p>
      <w:pPr>
        <w:pStyle w:val="BodyTextIndent2"/>
        <w:spacing w:after="156" w:afterLines="50" w:line="360" w:lineRule="auto"/>
        <w:ind w:firstLine="0" w:firstLineChars="0"/>
        <w:outlineLvl w:val="0"/>
        <w:rPr>
          <w:rFonts w:ascii="Times New Roman"/>
          <w:color w:val="000000"/>
          <w:sz w:val="21"/>
        </w:rPr>
      </w:pPr>
      <w:r>
        <w:rPr>
          <w:rFonts w:ascii="Times New Roman"/>
          <w:color w:val="000000"/>
          <w:sz w:val="21"/>
        </w:rPr>
        <w:t>8  校准结果</w:t>
      </w:r>
      <w:r>
        <w:rPr>
          <w:rFonts w:ascii="Times New Roman" w:hint="eastAsia"/>
          <w:color w:val="000000"/>
          <w:sz w:val="21"/>
        </w:rPr>
        <w:t xml:space="preserve">表达 </w:t>
      </w:r>
      <w:r>
        <w:rPr>
          <w:rFonts w:ascii="Times New Roman"/>
          <w:color w:val="000000"/>
          <w:sz w:val="21"/>
        </w:rPr>
        <w:t>……………………………………………………………………………（11）</w:t>
      </w:r>
    </w:p>
    <w:p>
      <w:pPr>
        <w:pStyle w:val="BodyTextIndent2"/>
        <w:spacing w:after="156" w:afterLines="50" w:line="360" w:lineRule="auto"/>
        <w:ind w:firstLine="0" w:firstLineChars="0"/>
        <w:rPr>
          <w:rFonts w:ascii="Times New Roman"/>
          <w:color w:val="000000"/>
          <w:sz w:val="21"/>
        </w:rPr>
      </w:pPr>
      <w:r>
        <w:rPr>
          <w:rFonts w:ascii="Times New Roman"/>
          <w:color w:val="000000"/>
          <w:sz w:val="21"/>
        </w:rPr>
        <w:t>9  复校时间间隔………………………………………………………………………………（12）</w:t>
      </w:r>
    </w:p>
    <w:p>
      <w:pPr>
        <w:pStyle w:val="BodyTextIndent2"/>
        <w:spacing w:after="156" w:afterLines="50" w:line="360" w:lineRule="auto"/>
        <w:ind w:firstLine="0" w:firstLineChars="0"/>
        <w:rPr>
          <w:rFonts w:ascii="Times New Roman"/>
          <w:color w:val="000000"/>
          <w:sz w:val="21"/>
        </w:rPr>
      </w:pPr>
      <w:r>
        <w:rPr>
          <w:rFonts w:ascii="Times New Roman"/>
          <w:color w:val="000000"/>
          <w:sz w:val="21"/>
        </w:rPr>
        <w:t>附录A  质量比较仪测量结果的不确定度评定……………………………………………（13）</w:t>
      </w:r>
    </w:p>
    <w:p>
      <w:pPr>
        <w:pStyle w:val="BodyTextIndent2"/>
        <w:spacing w:after="156" w:afterLines="50" w:line="360" w:lineRule="auto"/>
        <w:ind w:firstLine="0" w:firstLineChars="0"/>
        <w:rPr>
          <w:rFonts w:ascii="Times New Roman"/>
          <w:color w:val="000000"/>
          <w:sz w:val="21"/>
        </w:rPr>
      </w:pPr>
      <w:r>
        <w:rPr>
          <w:rFonts w:ascii="Times New Roman"/>
          <w:color w:val="000000"/>
          <w:sz w:val="21"/>
        </w:rPr>
        <w:t>附录B  质量比较仪测量结果的不确定度评定示例………………………………………（16）</w:t>
      </w:r>
    </w:p>
    <w:p>
      <w:pPr>
        <w:pStyle w:val="BodyTextIndent2"/>
        <w:spacing w:after="156" w:afterLines="50" w:line="360" w:lineRule="auto"/>
        <w:ind w:firstLine="0" w:firstLineChars="0"/>
        <w:rPr>
          <w:rFonts w:ascii="Times New Roman"/>
          <w:color w:val="000000"/>
          <w:sz w:val="21"/>
        </w:rPr>
      </w:pPr>
      <w:r>
        <w:rPr>
          <w:rFonts w:ascii="Times New Roman"/>
          <w:color w:val="000000"/>
          <w:sz w:val="21"/>
        </w:rPr>
        <w:t>附录C  质量比较仪校准证书内页格式（示例）…………………………………………（21）</w:t>
      </w:r>
    </w:p>
    <w:p>
      <w:pPr>
        <w:pStyle w:val="BodyTextIndent2"/>
        <w:spacing w:after="156" w:afterLines="50" w:line="360" w:lineRule="auto"/>
        <w:ind w:firstLine="0" w:firstLineChars="0"/>
        <w:rPr>
          <w:rFonts w:ascii="Times New Roman" w:eastAsia="黑体"/>
          <w:color w:val="000000"/>
          <w:sz w:val="32"/>
        </w:rPr>
        <w:sectPr>
          <w:footerReference w:type="even" r:id="rId10"/>
          <w:footerReference w:type="default" r:id="rId11"/>
          <w:type w:val="nextPage"/>
          <w:pgSz w:w="11906" w:h="16838"/>
          <w:pgMar w:top="1440" w:right="1797" w:bottom="1440" w:left="1797" w:header="851" w:footer="992" w:gutter="0"/>
          <w:pgNumType w:fmt="upperRoman" w:start="2"/>
          <w:cols w:num="1" w:space="425"/>
          <w:titlePg w:val="0"/>
          <w:docGrid w:type="lines" w:linePitch="312" w:charSpace="0"/>
        </w:sectPr>
      </w:pPr>
      <w:r>
        <w:rPr>
          <w:rFonts w:ascii="Times New Roman"/>
          <w:color w:val="000000"/>
          <w:sz w:val="21"/>
        </w:rPr>
        <w:t xml:space="preserve">附录D  </w:t>
      </w:r>
      <w:r>
        <w:rPr>
          <w:rFonts w:ascii="Times New Roman" w:hint="eastAsia"/>
          <w:color w:val="000000"/>
          <w:sz w:val="21"/>
        </w:rPr>
        <w:t xml:space="preserve">质量校准原始记录表格格式 </w:t>
      </w:r>
      <w:r>
        <w:rPr>
          <w:rFonts w:ascii="Times New Roman"/>
          <w:color w:val="000000"/>
          <w:sz w:val="21"/>
        </w:rPr>
        <w:t>（示例）………………………………………………（22）</w:t>
      </w:r>
      <w:r>
        <w:rPr>
          <w:rFonts w:ascii="Times New Roman" w:hint="eastAsia"/>
          <w:color w:val="000000"/>
          <w:sz w:val="21"/>
        </w:rPr>
        <w:t xml:space="preserve"> </w:t>
      </w:r>
    </w:p>
    <w:p>
      <w:pPr>
        <w:spacing w:after="156" w:afterLines="50"/>
        <w:jc w:val="center"/>
        <w:rPr>
          <w:rFonts w:eastAsia="黑体"/>
          <w:color w:val="000000"/>
          <w:sz w:val="32"/>
        </w:rPr>
      </w:pPr>
      <w:bookmarkStart w:id="0" w:name="_GoBack"/>
      <w:bookmarkEnd w:id="0"/>
      <w:r>
        <w:rPr>
          <w:rFonts w:eastAsia="黑体"/>
          <w:color w:val="000000"/>
          <w:sz w:val="32"/>
        </w:rPr>
        <w:t>质量比较仪校准规范</w:t>
      </w:r>
    </w:p>
    <w:p>
      <w:pPr>
        <w:spacing w:after="156" w:afterLines="50"/>
        <w:jc w:val="center"/>
        <w:rPr>
          <w:b/>
          <w:bCs/>
          <w:color w:val="000000"/>
        </w:rPr>
      </w:pPr>
    </w:p>
    <w:p>
      <w:pPr>
        <w:spacing w:after="156" w:afterLines="50"/>
        <w:rPr>
          <w:color w:val="000000"/>
        </w:rPr>
      </w:pPr>
      <w:r>
        <w:rPr>
          <w:color w:val="000000"/>
        </w:rPr>
        <w:t xml:space="preserve">1  </w:t>
      </w:r>
      <w:r>
        <w:rPr>
          <w:b/>
          <w:bCs/>
          <w:color w:val="000000"/>
        </w:rPr>
        <w:t>范围</w:t>
      </w:r>
    </w:p>
    <w:p>
      <w:pPr>
        <w:spacing w:after="156" w:afterLines="50"/>
        <w:ind w:firstLine="435"/>
        <w:rPr>
          <w:color w:val="000000" w:themeColor="text1"/>
          <w14:textFill>
            <w14:solidFill>
              <w14:schemeClr w14:val="tx1"/>
            </w14:solidFill>
          </w14:textFill>
        </w:rPr>
      </w:pPr>
      <w:r>
        <w:rPr>
          <w:color w:val="000000" w:themeColor="text1"/>
          <w14:textFill>
            <w14:solidFill>
              <w14:schemeClr w14:val="tx1"/>
            </w14:solidFill>
          </w14:textFill>
        </w:rPr>
        <w:t>本规范适用于配合标准砝码或标准载荷使用的各类质量比较仪 (以下简称：比较仪) 的校准。</w:t>
      </w:r>
    </w:p>
    <w:p>
      <w:pPr>
        <w:spacing w:after="156" w:afterLines="50"/>
        <w:rPr>
          <w:b/>
          <w:color w:val="000000"/>
        </w:rPr>
      </w:pPr>
    </w:p>
    <w:p>
      <w:pPr>
        <w:numPr>
          <w:ilvl w:val="0"/>
          <w:numId w:val="2"/>
        </w:numPr>
        <w:spacing w:after="156" w:afterLines="50"/>
        <w:rPr>
          <w:b/>
          <w:color w:val="000000"/>
        </w:rPr>
      </w:pPr>
      <w:r>
        <w:rPr>
          <w:b/>
          <w:color w:val="000000"/>
        </w:rPr>
        <w:t>引用文件</w:t>
      </w:r>
    </w:p>
    <w:p>
      <w:pPr>
        <w:spacing w:after="156" w:afterLines="50"/>
        <w:ind w:firstLine="540" w:firstLineChars="257"/>
        <w:rPr>
          <w:bCs/>
          <w:color w:val="000000"/>
        </w:rPr>
      </w:pPr>
      <w:r>
        <w:rPr>
          <w:bCs/>
          <w:color w:val="000000"/>
        </w:rPr>
        <w:t>本规范引用下列文件：</w:t>
      </w:r>
    </w:p>
    <w:p>
      <w:pPr>
        <w:spacing w:after="156" w:afterLines="50"/>
        <w:ind w:firstLine="540" w:firstLineChars="257"/>
        <w:rPr>
          <w:bCs/>
          <w:color w:val="000000"/>
        </w:rPr>
      </w:pPr>
      <w:r>
        <w:rPr>
          <w:bCs/>
          <w:color w:val="000000"/>
        </w:rPr>
        <w:t xml:space="preserve">JJG99  </w:t>
      </w:r>
      <w:r>
        <w:rPr>
          <w:color w:val="000000"/>
          <w:kern w:val="0"/>
          <w:sz w:val="24"/>
        </w:rPr>
        <w:t>《</w:t>
      </w:r>
      <w:r>
        <w:rPr>
          <w:bCs/>
          <w:color w:val="000000"/>
        </w:rPr>
        <w:t>砝码</w:t>
      </w:r>
      <w:r>
        <w:rPr>
          <w:color w:val="000000"/>
          <w:kern w:val="0"/>
          <w:sz w:val="24"/>
        </w:rPr>
        <w:t>》</w:t>
      </w:r>
    </w:p>
    <w:p>
      <w:pPr>
        <w:spacing w:after="156" w:afterLines="50"/>
        <w:ind w:firstLine="540" w:firstLineChars="257"/>
        <w:rPr>
          <w:bCs/>
          <w:color w:val="000000"/>
        </w:rPr>
      </w:pPr>
      <w:r>
        <w:rPr>
          <w:bCs/>
          <w:color w:val="000000"/>
        </w:rPr>
        <w:t>JJF 1001 《通用计量术语及定义》</w:t>
      </w:r>
    </w:p>
    <w:p>
      <w:pPr>
        <w:spacing w:after="156" w:afterLines="50"/>
        <w:ind w:firstLine="540" w:firstLineChars="257"/>
        <w:rPr>
          <w:bCs/>
          <w:color w:val="000000"/>
        </w:rPr>
      </w:pPr>
      <w:r>
        <w:rPr>
          <w:bCs/>
          <w:color w:val="000000"/>
        </w:rPr>
        <w:t xml:space="preserve">JJF1059.1 </w:t>
      </w:r>
      <w:r>
        <w:rPr>
          <w:color w:val="000000"/>
          <w:kern w:val="0"/>
          <w:sz w:val="24"/>
        </w:rPr>
        <w:t>《</w:t>
      </w:r>
      <w:r>
        <w:rPr>
          <w:bCs/>
          <w:color w:val="000000"/>
        </w:rPr>
        <w:t>测量不确定度评定与表示</w:t>
      </w:r>
      <w:r>
        <w:rPr>
          <w:color w:val="000000"/>
          <w:kern w:val="0"/>
          <w:sz w:val="24"/>
        </w:rPr>
        <w:t>》</w:t>
      </w:r>
    </w:p>
    <w:p>
      <w:pPr>
        <w:spacing w:after="156" w:afterLines="50"/>
        <w:ind w:firstLine="540" w:firstLineChars="257"/>
        <w:rPr>
          <w:bCs/>
          <w:color w:val="000000"/>
        </w:rPr>
      </w:pPr>
      <w:r>
        <w:rPr>
          <w:bCs/>
          <w:color w:val="000000"/>
        </w:rPr>
        <w:t>JJF 1071 《国家计量校准规范编写规则》</w:t>
      </w:r>
    </w:p>
    <w:p>
      <w:pPr>
        <w:spacing w:after="156" w:afterLines="50"/>
        <w:ind w:firstLine="540" w:firstLineChars="257"/>
        <w:rPr>
          <w:bCs/>
          <w:color w:val="000000"/>
        </w:rPr>
      </w:pPr>
      <w:r>
        <w:rPr>
          <w:bCs/>
          <w:color w:val="000000"/>
        </w:rPr>
        <w:t>JJF 1181 《衡器计量名词术语及定义》</w:t>
      </w:r>
    </w:p>
    <w:p>
      <w:pPr>
        <w:spacing w:after="156" w:afterLines="50"/>
        <w:ind w:firstLine="540" w:firstLineChars="257"/>
        <w:rPr>
          <w:bCs/>
          <w:color w:val="000000"/>
        </w:rPr>
      </w:pPr>
      <w:r>
        <w:rPr>
          <w:bCs/>
          <w:color w:val="000000"/>
        </w:rPr>
        <w:t>JJF 1229 《质量密度计量名词术语及定义》</w:t>
      </w:r>
    </w:p>
    <w:p>
      <w:pPr>
        <w:spacing w:after="156" w:afterLines="50"/>
        <w:ind w:firstLine="540" w:firstLineChars="257"/>
        <w:rPr>
          <w:bCs/>
          <w:color w:val="000000"/>
        </w:rPr>
      </w:pPr>
      <w:r>
        <w:rPr>
          <w:bCs/>
          <w:color w:val="000000"/>
        </w:rPr>
        <w:t>GB/T 23111《非自动衡器》</w:t>
      </w:r>
    </w:p>
    <w:p>
      <w:pPr>
        <w:spacing w:after="156" w:afterLines="50"/>
        <w:ind w:firstLine="540" w:firstLineChars="257"/>
        <w:rPr>
          <w:bCs/>
          <w:color w:val="000000"/>
        </w:rPr>
      </w:pPr>
      <w:r>
        <w:rPr>
          <w:bCs/>
          <w:color w:val="000000"/>
        </w:rPr>
        <w:t>GB/T 27418《测量不确定度评定与表示》</w:t>
      </w:r>
    </w:p>
    <w:p>
      <w:pPr>
        <w:spacing w:after="156" w:afterLines="50"/>
        <w:ind w:firstLine="540" w:firstLineChars="257"/>
        <w:rPr>
          <w:bCs/>
          <w:color w:val="000000"/>
        </w:rPr>
      </w:pPr>
      <w:r>
        <w:rPr>
          <w:bCs/>
          <w:color w:val="000000"/>
        </w:rPr>
        <w:t>国际法制计量组织国际建议R111 E</w:t>
      </w:r>
      <w:r>
        <w:rPr>
          <w:bCs/>
          <w:color w:val="000000"/>
          <w:vertAlign w:val="subscript"/>
        </w:rPr>
        <w:t>1</w:t>
      </w:r>
      <w:r>
        <w:rPr>
          <w:bCs/>
          <w:color w:val="000000"/>
        </w:rPr>
        <w:t>,E</w:t>
      </w:r>
      <w:r>
        <w:rPr>
          <w:bCs/>
          <w:color w:val="000000"/>
          <w:vertAlign w:val="subscript"/>
        </w:rPr>
        <w:t>2</w:t>
      </w:r>
      <w:r>
        <w:rPr>
          <w:bCs/>
          <w:color w:val="000000"/>
        </w:rPr>
        <w:t>,F</w:t>
      </w:r>
      <w:r>
        <w:rPr>
          <w:bCs/>
          <w:color w:val="000000"/>
          <w:vertAlign w:val="subscript"/>
        </w:rPr>
        <w:t>1</w:t>
      </w:r>
      <w:r>
        <w:rPr>
          <w:bCs/>
          <w:color w:val="000000"/>
        </w:rPr>
        <w:t>,F</w:t>
      </w:r>
      <w:r>
        <w:rPr>
          <w:bCs/>
          <w:color w:val="000000"/>
          <w:vertAlign w:val="subscript"/>
        </w:rPr>
        <w:t>2</w:t>
      </w:r>
      <w:r>
        <w:rPr>
          <w:bCs/>
          <w:color w:val="000000"/>
        </w:rPr>
        <w:t>,M</w:t>
      </w:r>
      <w:r>
        <w:rPr>
          <w:bCs/>
          <w:color w:val="000000"/>
          <w:vertAlign w:val="subscript"/>
        </w:rPr>
        <w:t>1-2</w:t>
      </w:r>
      <w:r>
        <w:rPr>
          <w:bCs/>
          <w:color w:val="000000"/>
        </w:rPr>
        <w:t>,M</w:t>
      </w:r>
      <w:r>
        <w:rPr>
          <w:bCs/>
          <w:color w:val="000000"/>
          <w:vertAlign w:val="subscript"/>
        </w:rPr>
        <w:t>2</w:t>
      </w:r>
      <w:r>
        <w:rPr>
          <w:bCs/>
          <w:color w:val="000000"/>
        </w:rPr>
        <w:t>,M</w:t>
      </w:r>
      <w:r>
        <w:rPr>
          <w:bCs/>
          <w:color w:val="000000"/>
          <w:vertAlign w:val="subscript"/>
        </w:rPr>
        <w:t>2-3</w:t>
      </w:r>
      <w:r>
        <w:rPr>
          <w:bCs/>
          <w:color w:val="000000"/>
        </w:rPr>
        <w:t xml:space="preserve"> 和 M</w:t>
      </w:r>
      <w:r>
        <w:rPr>
          <w:bCs/>
          <w:color w:val="000000"/>
          <w:vertAlign w:val="subscript"/>
        </w:rPr>
        <w:t>3</w:t>
      </w:r>
      <w:r>
        <w:rPr>
          <w:bCs/>
          <w:color w:val="000000"/>
        </w:rPr>
        <w:t xml:space="preserve"> 等级砝码第一部分：计量技术要求，第二部分：测量报告表格（R111 Weights of classesE</w:t>
      </w:r>
      <w:r>
        <w:rPr>
          <w:bCs/>
          <w:color w:val="000000"/>
          <w:vertAlign w:val="subscript"/>
        </w:rPr>
        <w:t>1</w:t>
      </w:r>
      <w:r>
        <w:rPr>
          <w:bCs/>
          <w:color w:val="000000"/>
        </w:rPr>
        <w:t>,E</w:t>
      </w:r>
      <w:r>
        <w:rPr>
          <w:bCs/>
          <w:color w:val="000000"/>
          <w:vertAlign w:val="subscript"/>
        </w:rPr>
        <w:t>2</w:t>
      </w:r>
      <w:r>
        <w:rPr>
          <w:bCs/>
          <w:color w:val="000000"/>
        </w:rPr>
        <w:t>,F</w:t>
      </w:r>
      <w:r>
        <w:rPr>
          <w:bCs/>
          <w:color w:val="000000"/>
          <w:vertAlign w:val="subscript"/>
        </w:rPr>
        <w:t>1</w:t>
      </w:r>
      <w:r>
        <w:rPr>
          <w:bCs/>
          <w:color w:val="000000"/>
        </w:rPr>
        <w:t>,F</w:t>
      </w:r>
      <w:r>
        <w:rPr>
          <w:bCs/>
          <w:color w:val="000000"/>
          <w:vertAlign w:val="subscript"/>
        </w:rPr>
        <w:t>2</w:t>
      </w:r>
      <w:r>
        <w:rPr>
          <w:bCs/>
          <w:color w:val="000000"/>
        </w:rPr>
        <w:t>,M</w:t>
      </w:r>
      <w:r>
        <w:rPr>
          <w:bCs/>
          <w:color w:val="000000"/>
          <w:vertAlign w:val="subscript"/>
        </w:rPr>
        <w:t>1-2</w:t>
      </w:r>
      <w:r>
        <w:rPr>
          <w:bCs/>
          <w:color w:val="000000"/>
        </w:rPr>
        <w:t>,M</w:t>
      </w:r>
      <w:r>
        <w:rPr>
          <w:bCs/>
          <w:color w:val="000000"/>
          <w:vertAlign w:val="subscript"/>
        </w:rPr>
        <w:t>2</w:t>
      </w:r>
      <w:r>
        <w:rPr>
          <w:bCs/>
          <w:color w:val="000000"/>
        </w:rPr>
        <w:t>,M</w:t>
      </w:r>
      <w:r>
        <w:rPr>
          <w:bCs/>
          <w:color w:val="000000"/>
          <w:vertAlign w:val="subscript"/>
        </w:rPr>
        <w:t>2-3</w:t>
      </w:r>
      <w:r>
        <w:rPr>
          <w:bCs/>
          <w:color w:val="000000"/>
        </w:rPr>
        <w:t xml:space="preserve"> and M</w:t>
      </w:r>
      <w:r>
        <w:rPr>
          <w:bCs/>
          <w:color w:val="000000"/>
          <w:vertAlign w:val="subscript"/>
        </w:rPr>
        <w:t>3</w:t>
      </w:r>
      <w:r>
        <w:rPr>
          <w:bCs/>
          <w:color w:val="000000"/>
        </w:rPr>
        <w:t xml:space="preserve"> ,Part1:Metrological and technical requirements and Part2:Test report format）</w:t>
      </w:r>
    </w:p>
    <w:p>
      <w:pPr>
        <w:spacing w:after="156" w:afterLines="50"/>
        <w:ind w:firstLine="359" w:firstLineChars="171"/>
        <w:rPr>
          <w:bCs/>
          <w:color w:val="000000"/>
        </w:rPr>
      </w:pPr>
      <w:r>
        <w:rPr>
          <w:bCs/>
          <w:color w:val="000000"/>
        </w:rPr>
        <w:t>欧盟校准指南第 18 号《非自动衡器校准指南》（Guidelines on the Calibration of Non-Automatic Weighing Instruments）</w:t>
      </w:r>
    </w:p>
    <w:p>
      <w:pPr>
        <w:spacing w:after="156" w:afterLines="50"/>
        <w:ind w:firstLine="359" w:firstLineChars="171"/>
        <w:rPr>
          <w:bCs/>
          <w:color w:val="000000"/>
        </w:rPr>
      </w:pPr>
      <w:r>
        <w:rPr>
          <w:rFonts w:hint="eastAsia"/>
          <w:bCs/>
          <w:color w:val="000000"/>
        </w:rPr>
        <w:t>凡是注日期的引用文件，仅注日期的版本适用于本规范，凡是不注日期的引用文件，其最新版本（包括所有的修改单）适用于本规范。</w:t>
      </w:r>
    </w:p>
    <w:p>
      <w:pPr>
        <w:spacing w:after="156" w:afterLines="50"/>
        <w:rPr>
          <w:b/>
          <w:color w:val="000000"/>
        </w:rPr>
      </w:pPr>
      <w:r>
        <w:rPr>
          <w:b/>
          <w:color w:val="000000"/>
        </w:rPr>
        <w:t>3  术语和计量单位</w:t>
      </w:r>
    </w:p>
    <w:p>
      <w:pPr>
        <w:spacing w:after="156" w:afterLines="50"/>
        <w:rPr>
          <w:color w:val="000000"/>
        </w:rPr>
      </w:pPr>
      <w:r>
        <w:rPr>
          <w:color w:val="000000"/>
        </w:rPr>
        <w:t>3.1  术语</w:t>
      </w:r>
    </w:p>
    <w:p>
      <w:pPr>
        <w:spacing w:after="156" w:afterLines="50"/>
        <w:rPr>
          <w:color w:val="000000"/>
        </w:rPr>
      </w:pPr>
      <w:r>
        <w:rPr>
          <w:color w:val="000000"/>
        </w:rPr>
        <w:t xml:space="preserve">3.1.1  </w:t>
      </w:r>
      <w:r>
        <w:rPr>
          <w:color w:val="000000" w:themeColor="text1"/>
          <w14:textFill>
            <w14:solidFill>
              <w14:schemeClr w14:val="tx1"/>
            </w14:solidFill>
          </w14:textFill>
        </w:rPr>
        <w:t>最大承载量Maximum load capacity (Max)</w:t>
      </w:r>
    </w:p>
    <w:p>
      <w:pPr>
        <w:spacing w:after="156" w:afterLines="50"/>
        <w:ind w:firstLine="359" w:firstLineChars="171"/>
        <w:rPr>
          <w:color w:val="000000"/>
        </w:rPr>
      </w:pPr>
      <w:r>
        <w:rPr>
          <w:color w:val="000000"/>
        </w:rPr>
        <w:t>对于全电子称量范围的比较仪，为该衡量仪器所能达到的最大电子称量效果；对于部分电子称量范围加配衡砝码的比较仪，为该衡量仪器所能达到的最大配衡效果。</w:t>
      </w:r>
    </w:p>
    <w:p>
      <w:pPr>
        <w:spacing w:after="156" w:afterLines="50"/>
        <w:rPr>
          <w:color w:val="000000" w:themeColor="text1"/>
          <w14:textFill>
            <w14:solidFill>
              <w14:schemeClr w14:val="tx1"/>
            </w14:solidFill>
          </w14:textFill>
        </w:rPr>
      </w:pPr>
      <w:r>
        <w:rPr>
          <w:color w:val="000000" w:themeColor="text1"/>
          <w14:textFill>
            <w14:solidFill>
              <w14:schemeClr w14:val="tx1"/>
            </w14:solidFill>
          </w14:textFill>
        </w:rPr>
        <w:t>3.1.2  实际分度值actual scale interval（</w:t>
      </w:r>
      <w:r>
        <w:rPr>
          <w:i/>
          <w:color w:val="000000" w:themeColor="text1"/>
          <w14:textFill>
            <w14:solidFill>
              <w14:schemeClr w14:val="tx1"/>
            </w14:solidFill>
          </w14:textFill>
        </w:rPr>
        <w:t>d</w:t>
      </w:r>
      <w:r>
        <w:rPr>
          <w:color w:val="000000" w:themeColor="text1"/>
          <w14:textFill>
            <w14:solidFill>
              <w14:schemeClr w14:val="tx1"/>
            </w14:solidFill>
          </w14:textFill>
        </w:rPr>
        <w:t>）</w:t>
      </w:r>
    </w:p>
    <w:p>
      <w:pPr>
        <w:spacing w:after="156" w:afterLines="50"/>
        <w:ind w:firstLine="359" w:firstLineChars="171"/>
        <w:rPr>
          <w:color w:val="000000"/>
        </w:rPr>
      </w:pPr>
      <w:r>
        <w:rPr>
          <w:color w:val="000000"/>
        </w:rPr>
        <w:t>以质量单位表示的，相邻两个示值之差。</w:t>
      </w:r>
    </w:p>
    <w:p>
      <w:pPr>
        <w:spacing w:after="156" w:afterLines="50"/>
        <w:rPr>
          <w:color w:val="000000"/>
        </w:rPr>
        <w:sectPr>
          <w:headerReference w:type="default" r:id="rId12"/>
          <w:footerReference w:type="even" r:id="rId13"/>
          <w:footerReference w:type="default" r:id="rId14"/>
          <w:pgSz w:w="11906" w:h="16838"/>
          <w:pgMar w:top="1440" w:right="1558" w:bottom="1440" w:left="1797" w:header="851" w:footer="992" w:gutter="0"/>
          <w:pgNumType w:start="1"/>
          <w:cols w:num="1" w:space="425"/>
          <w:docGrid w:type="linesAndChars" w:linePitch="312" w:charSpace="0"/>
        </w:sectPr>
      </w:pPr>
      <w:r>
        <w:rPr>
          <w:color w:val="000000"/>
        </w:rPr>
        <w:t>3.1.3  单一衡量范围的质量比较仪single range mass comparator</w:t>
      </w:r>
    </w:p>
    <w:p>
      <w:pPr>
        <w:spacing w:after="156" w:afterLines="50"/>
        <w:ind w:firstLine="359" w:firstLineChars="171"/>
        <w:rPr>
          <w:color w:val="000000"/>
        </w:rPr>
      </w:pPr>
      <w:r>
        <w:rPr>
          <w:color w:val="000000"/>
        </w:rPr>
        <w:t>在整个衡量范围内，只有一个固定实际分度值</w:t>
      </w:r>
      <w:r>
        <w:rPr>
          <w:i/>
          <w:color w:val="000000"/>
        </w:rPr>
        <w:t>d</w:t>
      </w:r>
      <w:r>
        <w:rPr>
          <w:color w:val="000000"/>
        </w:rPr>
        <w:t>的质量比较仪。</w:t>
      </w:r>
    </w:p>
    <w:p>
      <w:pPr>
        <w:spacing w:after="156" w:afterLines="50"/>
        <w:rPr>
          <w:color w:val="000000"/>
        </w:rPr>
      </w:pPr>
      <w:r>
        <w:rPr>
          <w:color w:val="000000"/>
        </w:rPr>
        <w:t>3.1.4  多衡量范围的质量比较仪multiple range mass comparator</w:t>
      </w:r>
    </w:p>
    <w:p>
      <w:pPr>
        <w:spacing w:after="156" w:afterLines="50"/>
        <w:ind w:firstLine="359" w:firstLineChars="171"/>
        <w:rPr>
          <w:color w:val="000000"/>
        </w:rPr>
      </w:pPr>
      <w:r>
        <w:rPr>
          <w:color w:val="000000"/>
        </w:rPr>
        <w:t>对于只有一个秤盘的质量比较仪，具有</w:t>
      </w:r>
      <w:r>
        <w:rPr>
          <w:color w:val="000000"/>
          <w:szCs w:val="21"/>
        </w:rPr>
        <w:t>多个</w:t>
      </w:r>
      <w:r>
        <w:rPr>
          <w:color w:val="000000"/>
        </w:rPr>
        <w:t>从零点到最大承载的测量范围，并且每个测量范围又具有各不相同的实际分度值的质量比较仪。</w:t>
      </w:r>
    </w:p>
    <w:p>
      <w:pPr>
        <w:spacing w:after="156" w:afterLines="50"/>
        <w:rPr>
          <w:color w:val="000000"/>
        </w:rPr>
      </w:pPr>
      <w:r>
        <w:rPr>
          <w:color w:val="000000"/>
        </w:rPr>
        <w:t>3.1.5  多分度值的质量比较仪multiple interval mass comparator</w:t>
      </w:r>
    </w:p>
    <w:p>
      <w:pPr>
        <w:spacing w:after="156" w:afterLines="50"/>
        <w:ind w:firstLine="359" w:firstLineChars="171"/>
        <w:rPr>
          <w:color w:val="000000"/>
        </w:rPr>
      </w:pPr>
      <w:r>
        <w:rPr>
          <w:color w:val="000000"/>
        </w:rPr>
        <w:t>整个衡量范围内分为多个实际分度值不同的局部衡量范围，并且实际分度值可依据施加的载荷自动转换的质量比较仪。</w:t>
      </w:r>
    </w:p>
    <w:p>
      <w:pPr>
        <w:spacing w:after="156" w:afterLines="50"/>
        <w:rPr>
          <w:color w:val="000000" w:themeColor="text1"/>
          <w14:textFill>
            <w14:solidFill>
              <w14:schemeClr w14:val="tx1"/>
            </w14:solidFill>
          </w14:textFill>
        </w:rPr>
      </w:pPr>
      <w:r>
        <w:rPr>
          <w:color w:val="000000" w:themeColor="text1"/>
          <w14:textFill>
            <w14:solidFill>
              <w14:schemeClr w14:val="tx1"/>
            </w14:solidFill>
          </w14:textFill>
        </w:rPr>
        <w:t>3.1.6  实际分度数number of actual scale interval</w:t>
      </w:r>
    </w:p>
    <w:p>
      <w:pPr>
        <w:spacing w:after="156" w:afterLines="50"/>
        <w:ind w:firstLine="359" w:firstLineChars="171"/>
        <w:rPr>
          <w:color w:val="000000"/>
        </w:rPr>
      </w:pPr>
      <w:r>
        <w:rPr>
          <w:color w:val="000000"/>
        </w:rPr>
        <w:t>每个局部衡量范围的最大承载与相应的实际分度值的比，</w:t>
      </w:r>
      <w:r>
        <w:rPr>
          <w:color w:val="000000"/>
          <w:position w:val="-12"/>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45.5pt;height:17.85pt" o:ole="" coordsize="21600,21600" o:preferrelative="t" filled="f" stroked="f">
            <v:stroke joinstyle="miter"/>
            <v:imagedata r:id="rId15" o:title=""/>
            <o:lock v:ext="edit" aspectratio="t"/>
            <w10:anchorlock/>
          </v:shape>
          <o:OLEObject Type="Embed" ProgID="Equation.3" ShapeID="_x0000_i1027" DrawAspect="Content" ObjectID="_1468075725" r:id="rId16"/>
        </w:object>
      </w:r>
      <w:r>
        <w:rPr>
          <w:color w:val="000000"/>
        </w:rPr>
        <w:t>。其中：</w:t>
      </w:r>
      <w:r>
        <w:rPr>
          <w:i/>
          <w:color w:val="000000"/>
        </w:rPr>
        <w:t xml:space="preserve">i </w:t>
      </w:r>
      <w:r>
        <w:rPr>
          <w:color w:val="000000"/>
        </w:rPr>
        <w:t xml:space="preserve">=1，2，3，…… </w:t>
      </w:r>
      <w:r>
        <w:rPr>
          <w:i/>
          <w:color w:val="000000"/>
        </w:rPr>
        <w:t>n</w:t>
      </w:r>
      <w:r>
        <w:rPr>
          <w:rFonts w:hint="eastAsia"/>
          <w:color w:val="000000"/>
        </w:rPr>
        <w:t>。</w:t>
      </w:r>
    </w:p>
    <w:p>
      <w:pPr>
        <w:spacing w:after="156" w:afterLines="50"/>
        <w:rPr>
          <w:color w:val="000000"/>
        </w:rPr>
      </w:pPr>
      <w:r>
        <w:rPr>
          <w:color w:val="000000"/>
        </w:rPr>
        <w:t>3.1.7  试验载荷test load（</w:t>
      </w:r>
      <w:r>
        <w:rPr>
          <w:i/>
          <w:color w:val="000000"/>
        </w:rPr>
        <w:t>P</w:t>
      </w:r>
      <w:r>
        <w:rPr>
          <w:i/>
          <w:color w:val="000000"/>
          <w:szCs w:val="21"/>
          <w:vertAlign w:val="subscript"/>
        </w:rPr>
        <w:t>t</w:t>
      </w:r>
      <w:r>
        <w:rPr>
          <w:color w:val="000000"/>
        </w:rPr>
        <w:t>）</w:t>
      </w:r>
    </w:p>
    <w:p>
      <w:pPr>
        <w:spacing w:after="156" w:afterLines="50"/>
        <w:ind w:firstLine="359" w:firstLineChars="171"/>
        <w:rPr>
          <w:color w:val="000000"/>
        </w:rPr>
      </w:pPr>
      <w:r>
        <w:rPr>
          <w:color w:val="000000"/>
        </w:rPr>
        <w:t>当对比较仪进行重复性、偏载和显示误差的测量时，其试验载荷均为如下两个载荷，它们分别是：</w:t>
      </w:r>
    </w:p>
    <w:p>
      <w:pPr>
        <w:spacing w:after="156" w:afterLines="50"/>
        <w:ind w:firstLine="359" w:firstLineChars="171"/>
        <w:rPr>
          <w:color w:val="000000"/>
        </w:rPr>
      </w:pPr>
      <w:r>
        <w:rPr>
          <w:i/>
          <w:color w:val="000000"/>
        </w:rPr>
        <w:t>P</w:t>
      </w:r>
      <w:r>
        <w:rPr>
          <w:i/>
          <w:color w:val="000000"/>
          <w:szCs w:val="21"/>
          <w:vertAlign w:val="subscript"/>
        </w:rPr>
        <w:t>t1</w:t>
      </w:r>
      <w:r>
        <w:rPr>
          <w:color w:val="000000"/>
        </w:rPr>
        <w:t xml:space="preserve"> —— </w:t>
      </w:r>
      <w:r>
        <w:rPr>
          <w:color w:val="000000"/>
          <w:szCs w:val="21"/>
        </w:rPr>
        <w:t>二分之一的最大承载，即：</w:t>
      </w:r>
      <w:r>
        <w:rPr>
          <w:i/>
          <w:color w:val="000000"/>
          <w:szCs w:val="21"/>
        </w:rPr>
        <w:t>Max</w:t>
      </w:r>
      <w:r>
        <w:rPr>
          <w:color w:val="000000"/>
          <w:szCs w:val="21"/>
        </w:rPr>
        <w:t>/2。</w:t>
      </w:r>
    </w:p>
    <w:p>
      <w:pPr>
        <w:spacing w:after="156" w:afterLines="50"/>
        <w:ind w:firstLine="359" w:firstLineChars="171"/>
        <w:rPr>
          <w:color w:val="000000"/>
        </w:rPr>
      </w:pPr>
      <w:r>
        <w:rPr>
          <w:i/>
          <w:color w:val="000000"/>
        </w:rPr>
        <w:t>P</w:t>
      </w:r>
      <w:r>
        <w:rPr>
          <w:i/>
          <w:color w:val="000000"/>
          <w:szCs w:val="21"/>
          <w:vertAlign w:val="subscript"/>
        </w:rPr>
        <w:t>t2</w:t>
      </w:r>
      <w:r>
        <w:rPr>
          <w:i/>
          <w:color w:val="000000"/>
        </w:rPr>
        <w:t xml:space="preserve"> </w:t>
      </w:r>
      <w:r>
        <w:rPr>
          <w:color w:val="000000"/>
        </w:rPr>
        <w:t>—— 最大承载，即：</w:t>
      </w:r>
      <w:r>
        <w:rPr>
          <w:i/>
          <w:color w:val="000000"/>
        </w:rPr>
        <w:t>Max</w:t>
      </w:r>
      <w:r>
        <w:rPr>
          <w:color w:val="000000"/>
        </w:rPr>
        <w:t>。</w:t>
      </w:r>
    </w:p>
    <w:p>
      <w:pPr>
        <w:spacing w:after="156" w:afterLines="50"/>
        <w:ind w:firstLine="359" w:firstLineChars="171"/>
        <w:rPr>
          <w:color w:val="000000"/>
        </w:rPr>
      </w:pPr>
      <w:r>
        <w:rPr>
          <w:color w:val="000000"/>
        </w:rPr>
        <w:t>注：当比较仪在试验载荷附近有配衡点时，则采用该配衡点作为试验载荷。全电子量程的比较仪，当最大承载小于20 kg时，砝码为最接近试验载荷的单个砝码；当最大承载大于20 kg时，砝码为最接近试验载荷</w:t>
      </w:r>
      <w:r>
        <w:rPr>
          <w:rFonts w:hint="eastAsia"/>
          <w:color w:val="000000"/>
        </w:rPr>
        <w:t>、</w:t>
      </w:r>
      <w:r>
        <w:rPr>
          <w:color w:val="000000"/>
        </w:rPr>
        <w:t>个数最少的相同标称值砝码组合。</w:t>
      </w:r>
    </w:p>
    <w:p>
      <w:pPr>
        <w:spacing w:after="156" w:afterLines="50"/>
        <w:rPr>
          <w:color w:val="000000"/>
        </w:rPr>
      </w:pPr>
      <w:r>
        <w:rPr>
          <w:color w:val="000000"/>
        </w:rPr>
        <w:t>3.1.8  局部示值误差partial indication error</w:t>
      </w:r>
    </w:p>
    <w:p>
      <w:pPr>
        <w:spacing w:after="156" w:afterLines="50"/>
        <w:ind w:firstLine="359" w:firstLineChars="171"/>
        <w:rPr>
          <w:color w:val="000000"/>
        </w:rPr>
      </w:pPr>
      <w:r>
        <w:rPr>
          <w:color w:val="000000"/>
        </w:rPr>
        <w:t>在试验载荷添加的标准小砝码，比较仪由于该标准小砝码引起的示值变化与标准小砝码的约定质量实际值之间的差。</w:t>
      </w:r>
    </w:p>
    <w:p>
      <w:pPr>
        <w:numPr>
          <w:ilvl w:val="1"/>
          <w:numId w:val="3"/>
        </w:numPr>
        <w:spacing w:after="156" w:afterLines="50"/>
        <w:rPr>
          <w:color w:val="000000"/>
        </w:rPr>
      </w:pPr>
      <w:r>
        <w:rPr>
          <w:color w:val="000000"/>
        </w:rPr>
        <w:t>符号表</w:t>
      </w:r>
    </w:p>
    <w:p>
      <w:pPr>
        <w:snapToGrid w:val="0"/>
        <w:jc w:val="center"/>
        <w:rPr>
          <w:color w:val="000000"/>
        </w:rPr>
      </w:pPr>
      <w:r>
        <w:rPr>
          <w:color w:val="000000"/>
        </w:rPr>
        <w:t>表1  符号及含义对照表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581"/>
        <w:gridCol w:w="6293"/>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87"/>
          <w:jc w:val="center"/>
        </w:trPr>
        <w:tc>
          <w:tcPr>
            <w:tcW w:w="1581" w:type="dxa"/>
            <w:tcBorders>
              <w:bottom w:val="single" w:sz="4" w:space="0" w:color="auto"/>
            </w:tcBorders>
            <w:vAlign w:val="center"/>
          </w:tcPr>
          <w:p>
            <w:pPr>
              <w:adjustRightInd w:val="0"/>
              <w:snapToGrid w:val="0"/>
              <w:spacing w:line="360" w:lineRule="atLeast"/>
              <w:jc w:val="center"/>
              <w:rPr>
                <w:color w:val="000000"/>
              </w:rPr>
            </w:pPr>
            <w:r>
              <w:rPr>
                <w:color w:val="000000"/>
              </w:rPr>
              <w:t>符号</w:t>
            </w:r>
          </w:p>
        </w:tc>
        <w:tc>
          <w:tcPr>
            <w:tcW w:w="6293" w:type="dxa"/>
            <w:tcBorders>
              <w:bottom w:val="single" w:sz="4" w:space="0" w:color="auto"/>
            </w:tcBorders>
            <w:vAlign w:val="center"/>
          </w:tcPr>
          <w:p>
            <w:pPr>
              <w:adjustRightInd w:val="0"/>
              <w:snapToGrid w:val="0"/>
              <w:spacing w:line="360" w:lineRule="atLeast"/>
              <w:jc w:val="center"/>
              <w:rPr>
                <w:color w:val="000000"/>
              </w:rPr>
            </w:pPr>
            <w:r>
              <w:rPr>
                <w:color w:val="000000"/>
              </w:rPr>
              <w:t>含    义</w:t>
            </w:r>
          </w:p>
        </w:tc>
      </w:tr>
      <w:tr>
        <w:tblPrEx>
          <w:tblW w:w="0" w:type="auto"/>
          <w:jc w:val="center"/>
          <w:tblCellMar>
            <w:top w:w="0" w:type="dxa"/>
            <w:left w:w="108" w:type="dxa"/>
            <w:bottom w:w="0" w:type="dxa"/>
            <w:right w:w="108" w:type="dxa"/>
          </w:tblCellMar>
        </w:tblPrEx>
        <w:trPr>
          <w:jc w:val="center"/>
        </w:trPr>
        <w:tc>
          <w:tcPr>
            <w:tcW w:w="1581" w:type="dxa"/>
            <w:tcBorders>
              <w:top w:val="single" w:sz="4" w:space="0" w:color="auto"/>
              <w:bottom w:val="nil"/>
            </w:tcBorders>
          </w:tcPr>
          <w:p>
            <w:pPr>
              <w:adjustRightInd w:val="0"/>
              <w:snapToGrid w:val="0"/>
              <w:spacing w:line="360" w:lineRule="atLeast"/>
              <w:jc w:val="center"/>
              <w:rPr>
                <w:i/>
                <w:color w:val="000000"/>
              </w:rPr>
            </w:pPr>
            <w:r>
              <w:rPr>
                <w:i/>
                <w:color w:val="000000"/>
              </w:rPr>
              <w:t>d</w:t>
            </w:r>
          </w:p>
        </w:tc>
        <w:tc>
          <w:tcPr>
            <w:tcW w:w="6293" w:type="dxa"/>
            <w:tcBorders>
              <w:bottom w:val="nil"/>
            </w:tcBorders>
          </w:tcPr>
          <w:p>
            <w:pPr>
              <w:adjustRightInd w:val="0"/>
              <w:snapToGrid w:val="0"/>
              <w:spacing w:line="360" w:lineRule="atLeast"/>
              <w:ind w:firstLine="252" w:firstLineChars="120"/>
              <w:rPr>
                <w:color w:val="000000"/>
              </w:rPr>
            </w:pPr>
            <w:r>
              <w:rPr>
                <w:color w:val="000000"/>
              </w:rPr>
              <w:t>实际分度值</w:t>
            </w:r>
          </w:p>
        </w:tc>
      </w:tr>
      <w:tr>
        <w:tblPrEx>
          <w:tblW w:w="0" w:type="auto"/>
          <w:jc w:val="center"/>
          <w:tblCellMar>
            <w:top w:w="0" w:type="dxa"/>
            <w:left w:w="108" w:type="dxa"/>
            <w:bottom w:w="0" w:type="dxa"/>
            <w:right w:w="108" w:type="dxa"/>
          </w:tblCellMar>
        </w:tblPrEx>
        <w:trPr>
          <w:jc w:val="center"/>
        </w:trPr>
        <w:tc>
          <w:tcPr>
            <w:tcW w:w="1581" w:type="dxa"/>
            <w:tcBorders>
              <w:top w:val="nil"/>
              <w:bottom w:val="nil"/>
            </w:tcBorders>
          </w:tcPr>
          <w:p>
            <w:pPr>
              <w:adjustRightInd w:val="0"/>
              <w:snapToGrid w:val="0"/>
              <w:spacing w:line="360" w:lineRule="atLeast"/>
              <w:jc w:val="center"/>
              <w:rPr>
                <w:i/>
                <w:color w:val="000000"/>
              </w:rPr>
            </w:pPr>
            <w:r>
              <w:rPr>
                <w:i/>
                <w:color w:val="000000"/>
              </w:rPr>
              <w:t>i</w:t>
            </w:r>
          </w:p>
        </w:tc>
        <w:tc>
          <w:tcPr>
            <w:tcW w:w="6293" w:type="dxa"/>
            <w:tcBorders>
              <w:top w:val="nil"/>
              <w:bottom w:val="nil"/>
            </w:tcBorders>
          </w:tcPr>
          <w:p>
            <w:pPr>
              <w:adjustRightInd w:val="0"/>
              <w:snapToGrid w:val="0"/>
              <w:spacing w:line="360" w:lineRule="atLeast"/>
              <w:ind w:firstLine="252" w:firstLineChars="120"/>
              <w:rPr>
                <w:color w:val="000000"/>
              </w:rPr>
            </w:pPr>
            <w:r>
              <w:rPr>
                <w:color w:val="000000"/>
              </w:rPr>
              <w:t>测量序列中，各独立测量的序号</w:t>
            </w:r>
          </w:p>
        </w:tc>
      </w:tr>
      <w:tr>
        <w:tblPrEx>
          <w:tblW w:w="0" w:type="auto"/>
          <w:jc w:val="center"/>
          <w:tblCellMar>
            <w:top w:w="0" w:type="dxa"/>
            <w:left w:w="108" w:type="dxa"/>
            <w:bottom w:w="0" w:type="dxa"/>
            <w:right w:w="108" w:type="dxa"/>
          </w:tblCellMar>
        </w:tblPrEx>
        <w:trPr>
          <w:jc w:val="center"/>
        </w:trPr>
        <w:tc>
          <w:tcPr>
            <w:tcW w:w="1581" w:type="dxa"/>
            <w:tcBorders>
              <w:top w:val="nil"/>
              <w:bottom w:val="nil"/>
            </w:tcBorders>
          </w:tcPr>
          <w:p>
            <w:pPr>
              <w:adjustRightInd w:val="0"/>
              <w:snapToGrid w:val="0"/>
              <w:spacing w:line="360" w:lineRule="atLeast"/>
              <w:jc w:val="center"/>
              <w:rPr>
                <w:i/>
                <w:color w:val="000000"/>
              </w:rPr>
            </w:pPr>
            <w:r>
              <w:rPr>
                <w:i/>
                <w:color w:val="000000"/>
              </w:rPr>
              <w:t>I</w:t>
            </w:r>
          </w:p>
        </w:tc>
        <w:tc>
          <w:tcPr>
            <w:tcW w:w="6293" w:type="dxa"/>
            <w:tcBorders>
              <w:top w:val="nil"/>
              <w:bottom w:val="nil"/>
            </w:tcBorders>
          </w:tcPr>
          <w:p>
            <w:pPr>
              <w:adjustRightInd w:val="0"/>
              <w:snapToGrid w:val="0"/>
              <w:spacing w:line="360" w:lineRule="atLeast"/>
              <w:ind w:firstLine="252" w:firstLineChars="120"/>
              <w:rPr>
                <w:color w:val="000000"/>
              </w:rPr>
            </w:pPr>
            <w:r>
              <w:rPr>
                <w:color w:val="000000"/>
              </w:rPr>
              <w:t>比较仪示值</w:t>
            </w:r>
          </w:p>
        </w:tc>
      </w:tr>
      <w:tr>
        <w:tblPrEx>
          <w:tblW w:w="0" w:type="auto"/>
          <w:jc w:val="center"/>
          <w:tblCellMar>
            <w:top w:w="0" w:type="dxa"/>
            <w:left w:w="108" w:type="dxa"/>
            <w:bottom w:w="0" w:type="dxa"/>
            <w:right w:w="108" w:type="dxa"/>
          </w:tblCellMar>
        </w:tblPrEx>
        <w:trPr>
          <w:jc w:val="center"/>
        </w:trPr>
        <w:tc>
          <w:tcPr>
            <w:tcW w:w="1581" w:type="dxa"/>
            <w:tcBorders>
              <w:top w:val="nil"/>
              <w:bottom w:val="nil"/>
            </w:tcBorders>
          </w:tcPr>
          <w:p>
            <w:pPr>
              <w:adjustRightInd w:val="0"/>
              <w:snapToGrid w:val="0"/>
              <w:spacing w:line="360" w:lineRule="atLeast"/>
              <w:jc w:val="center"/>
              <w:rPr>
                <w:i/>
                <w:color w:val="000000" w:themeColor="text1"/>
                <w14:textFill>
                  <w14:solidFill>
                    <w14:schemeClr w14:val="tx1"/>
                  </w14:solidFill>
                </w14:textFill>
              </w:rPr>
            </w:pPr>
            <w:r>
              <w:rPr>
                <w:i/>
                <w:color w:val="000000" w:themeColor="text1"/>
                <w14:textFill>
                  <w14:solidFill>
                    <w14:schemeClr w14:val="tx1"/>
                  </w14:solidFill>
                </w14:textFill>
              </w:rPr>
              <w:t>E</w:t>
            </w:r>
          </w:p>
        </w:tc>
        <w:tc>
          <w:tcPr>
            <w:tcW w:w="6293" w:type="dxa"/>
            <w:tcBorders>
              <w:top w:val="nil"/>
              <w:bottom w:val="nil"/>
            </w:tcBorders>
          </w:tcPr>
          <w:p>
            <w:pPr>
              <w:adjustRightInd w:val="0"/>
              <w:snapToGrid w:val="0"/>
              <w:spacing w:line="360" w:lineRule="atLeast"/>
              <w:ind w:firstLine="252" w:firstLineChars="120"/>
              <w:rPr>
                <w:color w:val="000000" w:themeColor="text1"/>
                <w14:textFill>
                  <w14:solidFill>
                    <w14:schemeClr w14:val="tx1"/>
                  </w14:solidFill>
                </w14:textFill>
              </w:rPr>
            </w:pPr>
            <w:r>
              <w:rPr>
                <w:color w:val="000000" w:themeColor="text1"/>
                <w14:textFill>
                  <w14:solidFill>
                    <w14:schemeClr w14:val="tx1"/>
                  </w14:solidFill>
                </w14:textFill>
              </w:rPr>
              <w:t>局部示值误差</w:t>
            </w:r>
          </w:p>
        </w:tc>
      </w:tr>
      <w:tr>
        <w:tblPrEx>
          <w:tblW w:w="0" w:type="auto"/>
          <w:jc w:val="center"/>
          <w:tblCellMar>
            <w:top w:w="0" w:type="dxa"/>
            <w:left w:w="108" w:type="dxa"/>
            <w:bottom w:w="0" w:type="dxa"/>
            <w:right w:w="108" w:type="dxa"/>
          </w:tblCellMar>
        </w:tblPrEx>
        <w:trPr>
          <w:jc w:val="center"/>
        </w:trPr>
        <w:tc>
          <w:tcPr>
            <w:tcW w:w="1581" w:type="dxa"/>
            <w:tcBorders>
              <w:top w:val="nil"/>
              <w:bottom w:val="nil"/>
            </w:tcBorders>
          </w:tcPr>
          <w:p>
            <w:pPr>
              <w:adjustRightInd w:val="0"/>
              <w:snapToGrid w:val="0"/>
              <w:spacing w:line="360" w:lineRule="atLeast"/>
              <w:jc w:val="center"/>
              <w:rPr>
                <w:i/>
                <w:color w:val="000000" w:themeColor="text1"/>
                <w14:textFill>
                  <w14:solidFill>
                    <w14:schemeClr w14:val="tx1"/>
                  </w14:solidFill>
                </w14:textFill>
              </w:rPr>
            </w:pPr>
            <w:r>
              <w:rPr>
                <w:rFonts w:hint="eastAsia"/>
                <w:i/>
                <w:color w:val="000000" w:themeColor="text1"/>
                <w14:textFill>
                  <w14:solidFill>
                    <w14:schemeClr w14:val="tx1"/>
                  </w14:solidFill>
                </w14:textFill>
              </w:rPr>
              <w:t>m</w:t>
            </w:r>
          </w:p>
        </w:tc>
        <w:tc>
          <w:tcPr>
            <w:tcW w:w="6293" w:type="dxa"/>
            <w:tcBorders>
              <w:top w:val="nil"/>
              <w:bottom w:val="nil"/>
            </w:tcBorders>
          </w:tcPr>
          <w:p>
            <w:pPr>
              <w:adjustRightInd w:val="0"/>
              <w:snapToGrid w:val="0"/>
              <w:spacing w:line="360" w:lineRule="atLeast"/>
              <w:ind w:firstLine="252" w:firstLineChars="120"/>
              <w:rPr>
                <w:color w:val="000000" w:themeColor="text1"/>
                <w14:textFill>
                  <w14:solidFill>
                    <w14:schemeClr w14:val="tx1"/>
                  </w14:solidFill>
                </w14:textFill>
              </w:rPr>
            </w:pPr>
            <w:r>
              <w:rPr>
                <w:rFonts w:hint="eastAsia"/>
                <w:color w:val="000000" w:themeColor="text1"/>
                <w14:textFill>
                  <w14:solidFill>
                    <w14:schemeClr w14:val="tx1"/>
                  </w14:solidFill>
                </w14:textFill>
              </w:rPr>
              <w:t>物体</w:t>
            </w:r>
            <w:r>
              <w:rPr>
                <w:color w:val="000000" w:themeColor="text1"/>
                <w14:textFill>
                  <w14:solidFill>
                    <w14:schemeClr w14:val="tx1"/>
                  </w14:solidFill>
                </w14:textFill>
              </w:rPr>
              <w:t>质量</w:t>
            </w:r>
          </w:p>
        </w:tc>
      </w:tr>
      <w:tr>
        <w:tblPrEx>
          <w:tblW w:w="0" w:type="auto"/>
          <w:jc w:val="center"/>
          <w:tblCellMar>
            <w:top w:w="0" w:type="dxa"/>
            <w:left w:w="108" w:type="dxa"/>
            <w:bottom w:w="0" w:type="dxa"/>
            <w:right w:w="108" w:type="dxa"/>
          </w:tblCellMar>
        </w:tblPrEx>
        <w:trPr>
          <w:jc w:val="center"/>
        </w:trPr>
        <w:tc>
          <w:tcPr>
            <w:tcW w:w="1581" w:type="dxa"/>
            <w:tcBorders>
              <w:top w:val="nil"/>
              <w:bottom w:val="nil"/>
            </w:tcBorders>
          </w:tcPr>
          <w:p>
            <w:pPr>
              <w:adjustRightInd w:val="0"/>
              <w:snapToGrid w:val="0"/>
              <w:spacing w:line="360" w:lineRule="atLeast"/>
              <w:jc w:val="center"/>
              <w:rPr>
                <w:color w:val="000000"/>
              </w:rPr>
            </w:pPr>
            <w:r>
              <w:rPr>
                <w:i/>
                <w:color w:val="000000"/>
              </w:rPr>
              <w:t>m</w:t>
            </w:r>
            <w:r>
              <w:rPr>
                <w:color w:val="000000"/>
                <w:szCs w:val="21"/>
                <w:vertAlign w:val="subscript"/>
              </w:rPr>
              <w:t>s</w:t>
            </w:r>
          </w:p>
        </w:tc>
        <w:tc>
          <w:tcPr>
            <w:tcW w:w="6293" w:type="dxa"/>
            <w:tcBorders>
              <w:top w:val="nil"/>
              <w:bottom w:val="nil"/>
            </w:tcBorders>
          </w:tcPr>
          <w:p>
            <w:pPr>
              <w:adjustRightInd w:val="0"/>
              <w:snapToGrid w:val="0"/>
              <w:spacing w:line="360" w:lineRule="atLeast"/>
              <w:ind w:firstLine="252" w:firstLineChars="120"/>
              <w:rPr>
                <w:color w:val="000000"/>
              </w:rPr>
            </w:pPr>
            <w:r>
              <w:rPr>
                <w:color w:val="000000"/>
              </w:rPr>
              <w:t>测量局部示值误差用标准砝码的质量</w:t>
            </w:r>
          </w:p>
        </w:tc>
      </w:tr>
      <w:tr>
        <w:tblPrEx>
          <w:tblW w:w="0" w:type="auto"/>
          <w:jc w:val="center"/>
          <w:tblCellMar>
            <w:top w:w="0" w:type="dxa"/>
            <w:left w:w="108" w:type="dxa"/>
            <w:bottom w:w="0" w:type="dxa"/>
            <w:right w:w="108" w:type="dxa"/>
          </w:tblCellMar>
        </w:tblPrEx>
        <w:trPr>
          <w:jc w:val="center"/>
        </w:trPr>
        <w:tc>
          <w:tcPr>
            <w:tcW w:w="1581" w:type="dxa"/>
            <w:tcBorders>
              <w:top w:val="nil"/>
              <w:bottom w:val="nil"/>
            </w:tcBorders>
          </w:tcPr>
          <w:p>
            <w:pPr>
              <w:adjustRightInd w:val="0"/>
              <w:snapToGrid w:val="0"/>
              <w:spacing w:line="360" w:lineRule="atLeast"/>
              <w:jc w:val="center"/>
              <w:rPr>
                <w:i/>
                <w:color w:val="000000"/>
              </w:rPr>
            </w:pPr>
            <w:r>
              <w:rPr>
                <w:i/>
                <w:color w:val="000000"/>
              </w:rPr>
              <w:t>m</w:t>
            </w:r>
            <w:r>
              <w:rPr>
                <w:color w:val="000000"/>
                <w:szCs w:val="21"/>
                <w:vertAlign w:val="subscript"/>
              </w:rPr>
              <w:t>N</w:t>
            </w:r>
          </w:p>
        </w:tc>
        <w:tc>
          <w:tcPr>
            <w:tcW w:w="6293" w:type="dxa"/>
            <w:tcBorders>
              <w:top w:val="nil"/>
              <w:bottom w:val="nil"/>
            </w:tcBorders>
          </w:tcPr>
          <w:p>
            <w:pPr>
              <w:adjustRightInd w:val="0"/>
              <w:snapToGrid w:val="0"/>
              <w:spacing w:line="360" w:lineRule="atLeast"/>
              <w:ind w:firstLine="252" w:firstLineChars="120"/>
              <w:rPr>
                <w:color w:val="000000"/>
              </w:rPr>
            </w:pPr>
            <w:r>
              <w:rPr>
                <w:rFonts w:hint="eastAsia"/>
                <w:color w:val="000000"/>
              </w:rPr>
              <w:t>砝码</w:t>
            </w:r>
            <w:r>
              <w:rPr>
                <w:color w:val="000000"/>
              </w:rPr>
              <w:t>的标称质量</w:t>
            </w:r>
          </w:p>
        </w:tc>
      </w:tr>
      <w:tr>
        <w:tblPrEx>
          <w:tblW w:w="0" w:type="auto"/>
          <w:jc w:val="center"/>
          <w:tblCellMar>
            <w:top w:w="0" w:type="dxa"/>
            <w:left w:w="108" w:type="dxa"/>
            <w:bottom w:w="0" w:type="dxa"/>
            <w:right w:w="108" w:type="dxa"/>
          </w:tblCellMar>
        </w:tblPrEx>
        <w:trPr>
          <w:jc w:val="center"/>
        </w:trPr>
        <w:tc>
          <w:tcPr>
            <w:tcW w:w="1581" w:type="dxa"/>
            <w:tcBorders>
              <w:top w:val="nil"/>
              <w:bottom w:val="nil"/>
            </w:tcBorders>
          </w:tcPr>
          <w:p>
            <w:pPr>
              <w:adjustRightInd w:val="0"/>
              <w:snapToGrid w:val="0"/>
              <w:spacing w:line="360" w:lineRule="atLeast"/>
              <w:jc w:val="center"/>
              <w:rPr>
                <w:color w:val="000000"/>
              </w:rPr>
            </w:pPr>
            <w:r>
              <w:rPr>
                <w:i/>
                <w:color w:val="000000"/>
              </w:rPr>
              <w:t>Max</w:t>
            </w:r>
          </w:p>
        </w:tc>
        <w:tc>
          <w:tcPr>
            <w:tcW w:w="6293" w:type="dxa"/>
            <w:tcBorders>
              <w:top w:val="nil"/>
              <w:bottom w:val="nil"/>
            </w:tcBorders>
          </w:tcPr>
          <w:p>
            <w:pPr>
              <w:adjustRightInd w:val="0"/>
              <w:snapToGrid w:val="0"/>
              <w:spacing w:line="360" w:lineRule="atLeast"/>
              <w:ind w:firstLine="252" w:firstLineChars="120"/>
              <w:rPr>
                <w:color w:val="000000"/>
              </w:rPr>
            </w:pPr>
            <w:r>
              <w:rPr>
                <w:color w:val="000000"/>
              </w:rPr>
              <w:t>比较仪的最大承载量</w:t>
            </w:r>
          </w:p>
        </w:tc>
      </w:tr>
      <w:tr>
        <w:tblPrEx>
          <w:tblW w:w="0" w:type="auto"/>
          <w:jc w:val="center"/>
          <w:tblCellMar>
            <w:top w:w="0" w:type="dxa"/>
            <w:left w:w="108" w:type="dxa"/>
            <w:bottom w:w="0" w:type="dxa"/>
            <w:right w:w="108" w:type="dxa"/>
          </w:tblCellMar>
        </w:tblPrEx>
        <w:trPr>
          <w:jc w:val="center"/>
        </w:trPr>
        <w:tc>
          <w:tcPr>
            <w:tcW w:w="1581" w:type="dxa"/>
            <w:tcBorders>
              <w:top w:val="nil"/>
              <w:bottom w:val="nil"/>
            </w:tcBorders>
          </w:tcPr>
          <w:p>
            <w:pPr>
              <w:adjustRightInd w:val="0"/>
              <w:snapToGrid w:val="0"/>
              <w:spacing w:line="360" w:lineRule="atLeast"/>
              <w:jc w:val="center"/>
              <w:rPr>
                <w:color w:val="000000"/>
              </w:rPr>
            </w:pPr>
            <w:r>
              <w:rPr>
                <w:i/>
                <w:color w:val="000000"/>
              </w:rPr>
              <w:t>MPE</w:t>
            </w:r>
          </w:p>
        </w:tc>
        <w:tc>
          <w:tcPr>
            <w:tcW w:w="6293" w:type="dxa"/>
            <w:tcBorders>
              <w:top w:val="nil"/>
              <w:bottom w:val="nil"/>
            </w:tcBorders>
          </w:tcPr>
          <w:p>
            <w:pPr>
              <w:adjustRightInd w:val="0"/>
              <w:snapToGrid w:val="0"/>
              <w:spacing w:line="360" w:lineRule="atLeast"/>
              <w:ind w:firstLine="252" w:firstLineChars="120"/>
              <w:rPr>
                <w:color w:val="000000"/>
              </w:rPr>
            </w:pPr>
            <w:r>
              <w:rPr>
                <w:color w:val="000000"/>
              </w:rPr>
              <w:t>所使用砝码的最大允许误差</w:t>
            </w:r>
          </w:p>
        </w:tc>
      </w:tr>
      <w:tr>
        <w:tblPrEx>
          <w:tblW w:w="0" w:type="auto"/>
          <w:jc w:val="center"/>
          <w:tblCellMar>
            <w:top w:w="0" w:type="dxa"/>
            <w:left w:w="108" w:type="dxa"/>
            <w:bottom w:w="0" w:type="dxa"/>
            <w:right w:w="108" w:type="dxa"/>
          </w:tblCellMar>
        </w:tblPrEx>
        <w:trPr>
          <w:jc w:val="center"/>
        </w:trPr>
        <w:tc>
          <w:tcPr>
            <w:tcW w:w="1581" w:type="dxa"/>
            <w:tcBorders>
              <w:top w:val="nil"/>
              <w:bottom w:val="single" w:sz="4" w:space="0" w:color="auto"/>
            </w:tcBorders>
          </w:tcPr>
          <w:p>
            <w:pPr>
              <w:adjustRightInd w:val="0"/>
              <w:snapToGrid w:val="0"/>
              <w:spacing w:line="360" w:lineRule="atLeast"/>
              <w:jc w:val="center"/>
              <w:rPr>
                <w:color w:val="000000"/>
              </w:rPr>
            </w:pPr>
            <w:r>
              <w:rPr>
                <w:i/>
                <w:color w:val="000000"/>
              </w:rPr>
              <w:t>N</w:t>
            </w:r>
          </w:p>
        </w:tc>
        <w:tc>
          <w:tcPr>
            <w:tcW w:w="6293" w:type="dxa"/>
            <w:tcBorders>
              <w:top w:val="nil"/>
              <w:bottom w:val="single" w:sz="4" w:space="0" w:color="auto"/>
            </w:tcBorders>
          </w:tcPr>
          <w:p>
            <w:pPr>
              <w:adjustRightInd w:val="0"/>
              <w:snapToGrid w:val="0"/>
              <w:spacing w:line="360" w:lineRule="atLeast"/>
              <w:ind w:firstLine="252" w:firstLineChars="120"/>
              <w:rPr>
                <w:color w:val="000000"/>
              </w:rPr>
            </w:pPr>
            <w:r>
              <w:rPr>
                <w:color w:val="000000"/>
              </w:rPr>
              <w:t>一组测量中的测量次数</w:t>
            </w:r>
          </w:p>
        </w:tc>
      </w:tr>
    </w:tbl>
    <w:p>
      <w:pPr>
        <w:sectPr>
          <w:headerReference w:type="default" r:id="rId17"/>
          <w:footerReference w:type="even" r:id="rId18"/>
          <w:footerReference w:type="default" r:id="rId19"/>
          <w:type w:val="nextPage"/>
          <w:pgSz w:w="11906" w:h="16838"/>
          <w:pgMar w:top="1440" w:right="1558" w:bottom="1440" w:left="1797" w:header="851" w:footer="992" w:gutter="0"/>
          <w:pgNumType w:start="2"/>
          <w:cols w:num="1" w:space="425"/>
          <w:titlePg w:val="0"/>
          <w:docGrid w:type="linesAndChars" w:linePitch="312" w:charSpace="0"/>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581"/>
        <w:gridCol w:w="6293"/>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57"/>
          <w:jc w:val="center"/>
        </w:trPr>
        <w:tc>
          <w:tcPr>
            <w:tcW w:w="1581" w:type="dxa"/>
            <w:tcBorders>
              <w:top w:val="single" w:sz="4" w:space="0" w:color="auto"/>
              <w:bottom w:val="single" w:sz="4" w:space="0" w:color="auto"/>
            </w:tcBorders>
            <w:vAlign w:val="center"/>
          </w:tcPr>
          <w:p>
            <w:pPr>
              <w:adjustRightInd w:val="0"/>
              <w:snapToGrid w:val="0"/>
              <w:spacing w:line="360" w:lineRule="atLeast"/>
              <w:jc w:val="center"/>
              <w:rPr>
                <w:color w:val="000000"/>
              </w:rPr>
            </w:pPr>
            <w:r>
              <w:rPr>
                <w:color w:val="000000"/>
              </w:rPr>
              <w:t>符号</w:t>
            </w:r>
          </w:p>
        </w:tc>
        <w:tc>
          <w:tcPr>
            <w:tcW w:w="6293" w:type="dxa"/>
            <w:tcBorders>
              <w:top w:val="single" w:sz="4" w:space="0" w:color="auto"/>
              <w:bottom w:val="single" w:sz="4" w:space="0" w:color="auto"/>
            </w:tcBorders>
            <w:vAlign w:val="center"/>
          </w:tcPr>
          <w:p>
            <w:pPr>
              <w:adjustRightInd w:val="0"/>
              <w:snapToGrid w:val="0"/>
              <w:spacing w:line="360" w:lineRule="atLeast"/>
              <w:jc w:val="center"/>
              <w:rPr>
                <w:color w:val="000000"/>
              </w:rPr>
            </w:pPr>
            <w:r>
              <w:rPr>
                <w:color w:val="000000"/>
              </w:rPr>
              <w:t>含    义</w:t>
            </w:r>
          </w:p>
        </w:tc>
      </w:tr>
      <w:tr>
        <w:tblPrEx>
          <w:tblW w:w="0" w:type="auto"/>
          <w:jc w:val="center"/>
          <w:tblCellMar>
            <w:top w:w="0" w:type="dxa"/>
            <w:left w:w="108" w:type="dxa"/>
            <w:bottom w:w="0" w:type="dxa"/>
            <w:right w:w="108" w:type="dxa"/>
          </w:tblCellMar>
        </w:tblPrEx>
        <w:trPr>
          <w:jc w:val="center"/>
        </w:trPr>
        <w:tc>
          <w:tcPr>
            <w:tcW w:w="1581" w:type="dxa"/>
            <w:tcBorders>
              <w:top w:val="single" w:sz="4" w:space="0" w:color="auto"/>
              <w:bottom w:val="nil"/>
            </w:tcBorders>
          </w:tcPr>
          <w:p>
            <w:pPr>
              <w:adjustRightInd w:val="0"/>
              <w:snapToGrid w:val="0"/>
              <w:spacing w:line="360" w:lineRule="atLeast"/>
              <w:jc w:val="center"/>
              <w:rPr>
                <w:color w:val="000000"/>
              </w:rPr>
            </w:pPr>
            <w:r>
              <w:rPr>
                <w:i/>
                <w:color w:val="000000"/>
              </w:rPr>
              <w:t>P</w:t>
            </w:r>
            <w:r>
              <w:rPr>
                <w:i/>
                <w:color w:val="000000"/>
                <w:vertAlign w:val="subscript"/>
              </w:rPr>
              <w:t>t</w:t>
            </w:r>
          </w:p>
        </w:tc>
        <w:tc>
          <w:tcPr>
            <w:tcW w:w="6293" w:type="dxa"/>
            <w:tcBorders>
              <w:top w:val="single" w:sz="4" w:space="0" w:color="auto"/>
              <w:bottom w:val="nil"/>
            </w:tcBorders>
          </w:tcPr>
          <w:p>
            <w:pPr>
              <w:adjustRightInd w:val="0"/>
              <w:snapToGrid w:val="0"/>
              <w:spacing w:line="360" w:lineRule="atLeast"/>
              <w:ind w:firstLine="252" w:firstLineChars="120"/>
              <w:rPr>
                <w:color w:val="000000"/>
              </w:rPr>
            </w:pPr>
            <w:r>
              <w:rPr>
                <w:color w:val="000000"/>
              </w:rPr>
              <w:t>试验载荷</w:t>
            </w:r>
          </w:p>
        </w:tc>
      </w:tr>
      <w:tr>
        <w:tblPrEx>
          <w:tblW w:w="0" w:type="auto"/>
          <w:jc w:val="center"/>
          <w:tblCellMar>
            <w:top w:w="0" w:type="dxa"/>
            <w:left w:w="108" w:type="dxa"/>
            <w:bottom w:w="0" w:type="dxa"/>
            <w:right w:w="108" w:type="dxa"/>
          </w:tblCellMar>
        </w:tblPrEx>
        <w:trPr>
          <w:jc w:val="center"/>
        </w:trPr>
        <w:tc>
          <w:tcPr>
            <w:tcW w:w="1581" w:type="dxa"/>
            <w:tcBorders>
              <w:top w:val="nil"/>
              <w:bottom w:val="nil"/>
            </w:tcBorders>
          </w:tcPr>
          <w:p>
            <w:pPr>
              <w:adjustRightInd w:val="0"/>
              <w:snapToGrid w:val="0"/>
              <w:spacing w:line="360" w:lineRule="atLeast"/>
              <w:jc w:val="center"/>
              <w:rPr>
                <w:i/>
                <w:color w:val="000000"/>
              </w:rPr>
            </w:pPr>
            <w:r>
              <w:rPr>
                <w:i/>
                <w:color w:val="000000"/>
              </w:rPr>
              <w:t>S</w:t>
            </w:r>
          </w:p>
        </w:tc>
        <w:tc>
          <w:tcPr>
            <w:tcW w:w="6293" w:type="dxa"/>
            <w:tcBorders>
              <w:top w:val="nil"/>
              <w:bottom w:val="nil"/>
            </w:tcBorders>
          </w:tcPr>
          <w:p>
            <w:pPr>
              <w:adjustRightInd w:val="0"/>
              <w:snapToGrid w:val="0"/>
              <w:spacing w:line="360" w:lineRule="atLeast"/>
              <w:ind w:firstLine="252" w:firstLineChars="120"/>
              <w:rPr>
                <w:color w:val="000000"/>
              </w:rPr>
            </w:pPr>
            <w:r>
              <w:rPr>
                <w:color w:val="000000"/>
              </w:rPr>
              <w:t>测量序列的标准偏差</w:t>
            </w:r>
          </w:p>
        </w:tc>
      </w:tr>
      <w:tr>
        <w:tblPrEx>
          <w:tblW w:w="0" w:type="auto"/>
          <w:jc w:val="center"/>
          <w:tblCellMar>
            <w:top w:w="0" w:type="dxa"/>
            <w:left w:w="108" w:type="dxa"/>
            <w:bottom w:w="0" w:type="dxa"/>
            <w:right w:w="108" w:type="dxa"/>
          </w:tblCellMar>
        </w:tblPrEx>
        <w:trPr>
          <w:jc w:val="center"/>
        </w:trPr>
        <w:tc>
          <w:tcPr>
            <w:tcW w:w="1581" w:type="dxa"/>
            <w:tcBorders>
              <w:top w:val="nil"/>
              <w:bottom w:val="nil"/>
            </w:tcBorders>
          </w:tcPr>
          <w:p>
            <w:pPr>
              <w:adjustRightInd w:val="0"/>
              <w:snapToGrid w:val="0"/>
              <w:spacing w:line="360" w:lineRule="atLeast"/>
              <w:jc w:val="center"/>
              <w:rPr>
                <w:i/>
                <w:color w:val="000000" w:themeColor="text1"/>
                <w14:textFill>
                  <w14:solidFill>
                    <w14:schemeClr w14:val="tx1"/>
                  </w14:solidFill>
                </w14:textFill>
              </w:rPr>
            </w:pPr>
            <w:r>
              <w:rPr>
                <w:i/>
                <w:color w:val="000000" w:themeColor="text1"/>
                <w14:textFill>
                  <w14:solidFill>
                    <w14:schemeClr w14:val="tx1"/>
                  </w14:solidFill>
                </w14:textFill>
              </w:rPr>
              <w:t>T</w:t>
            </w:r>
          </w:p>
        </w:tc>
        <w:tc>
          <w:tcPr>
            <w:tcW w:w="6293" w:type="dxa"/>
            <w:tcBorders>
              <w:top w:val="nil"/>
              <w:bottom w:val="nil"/>
            </w:tcBorders>
          </w:tcPr>
          <w:p>
            <w:pPr>
              <w:adjustRightInd w:val="0"/>
              <w:snapToGrid w:val="0"/>
              <w:spacing w:line="360" w:lineRule="atLeast"/>
              <w:ind w:firstLine="252" w:firstLineChars="120"/>
              <w:rPr>
                <w:color w:val="000000" w:themeColor="text1"/>
                <w14:textFill>
                  <w14:solidFill>
                    <w14:schemeClr w14:val="tx1"/>
                  </w14:solidFill>
                </w14:textFill>
              </w:rPr>
            </w:pPr>
            <w:r>
              <w:rPr>
                <w:color w:val="000000" w:themeColor="text1"/>
                <w14:textFill>
                  <w14:solidFill>
                    <w14:schemeClr w14:val="tx1"/>
                  </w14:solidFill>
                </w14:textFill>
              </w:rPr>
              <w:t>温度（单位K）</w:t>
            </w:r>
          </w:p>
        </w:tc>
      </w:tr>
      <w:tr>
        <w:tblPrEx>
          <w:tblW w:w="0" w:type="auto"/>
          <w:jc w:val="center"/>
          <w:tblCellMar>
            <w:top w:w="0" w:type="dxa"/>
            <w:left w:w="108" w:type="dxa"/>
            <w:bottom w:w="0" w:type="dxa"/>
            <w:right w:w="108" w:type="dxa"/>
          </w:tblCellMar>
        </w:tblPrEx>
        <w:trPr>
          <w:jc w:val="center"/>
        </w:trPr>
        <w:tc>
          <w:tcPr>
            <w:tcW w:w="1581" w:type="dxa"/>
            <w:tcBorders>
              <w:top w:val="nil"/>
              <w:bottom w:val="nil"/>
            </w:tcBorders>
          </w:tcPr>
          <w:p>
            <w:pPr>
              <w:adjustRightInd w:val="0"/>
              <w:snapToGrid w:val="0"/>
              <w:spacing w:line="360" w:lineRule="atLeast"/>
              <w:jc w:val="center"/>
              <w:rPr>
                <w:color w:val="000000" w:themeColor="text1"/>
                <w14:textFill>
                  <w14:solidFill>
                    <w14:schemeClr w14:val="tx1"/>
                  </w14:solidFill>
                </w14:textFill>
              </w:rPr>
            </w:pPr>
            <w:r>
              <w:rPr>
                <w:rFonts w:ascii="Symbol" w:hAnsi="Symbol"/>
                <w:color w:val="000000" w:themeColor="text1"/>
                <w14:textFill>
                  <w14:solidFill>
                    <w14:schemeClr w14:val="tx1"/>
                  </w14:solidFill>
                </w14:textFill>
              </w:rPr>
              <w:sym w:font="Symbol" w:char="F044"/>
            </w:r>
            <w:r>
              <w:rPr>
                <w:i/>
                <w:color w:val="000000" w:themeColor="text1"/>
                <w14:textFill>
                  <w14:solidFill>
                    <w14:schemeClr w14:val="tx1"/>
                  </w14:solidFill>
                </w14:textFill>
              </w:rPr>
              <w:t>T</w:t>
            </w:r>
          </w:p>
        </w:tc>
        <w:tc>
          <w:tcPr>
            <w:tcW w:w="6293" w:type="dxa"/>
            <w:tcBorders>
              <w:top w:val="nil"/>
              <w:bottom w:val="nil"/>
            </w:tcBorders>
          </w:tcPr>
          <w:p>
            <w:pPr>
              <w:adjustRightInd w:val="0"/>
              <w:snapToGrid w:val="0"/>
              <w:spacing w:line="360" w:lineRule="atLeast"/>
              <w:ind w:firstLine="252" w:firstLineChars="120"/>
              <w:rPr>
                <w:color w:val="000000" w:themeColor="text1"/>
                <w14:textFill>
                  <w14:solidFill>
                    <w14:schemeClr w14:val="tx1"/>
                  </w14:solidFill>
                </w14:textFill>
              </w:rPr>
            </w:pPr>
            <w:r>
              <w:rPr>
                <w:color w:val="000000" w:themeColor="text1"/>
                <w14:textFill>
                  <w14:solidFill>
                    <w14:schemeClr w14:val="tx1"/>
                  </w14:solidFill>
                </w14:textFill>
              </w:rPr>
              <w:t>=</w:t>
            </w:r>
            <w:r>
              <w:rPr>
                <w:i/>
                <w:color w:val="000000" w:themeColor="text1"/>
                <w14:textFill>
                  <w14:solidFill>
                    <w14:schemeClr w14:val="tx1"/>
                  </w14:solidFill>
                </w14:textFill>
              </w:rPr>
              <w:t>T</w:t>
            </w:r>
            <w:r>
              <w:rPr>
                <w:color w:val="000000" w:themeColor="text1"/>
                <w:szCs w:val="21"/>
                <w:vertAlign w:val="subscript"/>
                <w14:textFill>
                  <w14:solidFill>
                    <w14:schemeClr w14:val="tx1"/>
                  </w14:solidFill>
                </w14:textFill>
              </w:rPr>
              <w:t>max</w:t>
            </w:r>
            <w:r>
              <w:rPr>
                <w:rFonts w:ascii="Symbol" w:hAnsi="Symbol"/>
                <w:color w:val="000000" w:themeColor="text1"/>
                <w14:textFill>
                  <w14:solidFill>
                    <w14:schemeClr w14:val="tx1"/>
                  </w14:solidFill>
                </w14:textFill>
              </w:rPr>
              <w:sym w:font="Symbol" w:char="F02D"/>
            </w:r>
            <w:r>
              <w:rPr>
                <w:i/>
                <w:color w:val="000000" w:themeColor="text1"/>
                <w14:textFill>
                  <w14:solidFill>
                    <w14:schemeClr w14:val="tx1"/>
                  </w14:solidFill>
                </w14:textFill>
              </w:rPr>
              <w:t>T</w:t>
            </w:r>
            <w:r>
              <w:rPr>
                <w:color w:val="000000" w:themeColor="text1"/>
                <w:szCs w:val="21"/>
                <w:vertAlign w:val="subscript"/>
                <w14:textFill>
                  <w14:solidFill>
                    <w14:schemeClr w14:val="tx1"/>
                  </w14:solidFill>
                </w14:textFill>
              </w:rPr>
              <w:t>min</w:t>
            </w:r>
            <w:r>
              <w:rPr>
                <w:color w:val="000000" w:themeColor="text1"/>
                <w14:textFill>
                  <w14:solidFill>
                    <w14:schemeClr w14:val="tx1"/>
                  </w14:solidFill>
                </w14:textFill>
              </w:rPr>
              <w:t>，校准实验室内温度间隔的宽度</w:t>
            </w:r>
          </w:p>
        </w:tc>
      </w:tr>
      <w:tr>
        <w:tblPrEx>
          <w:tblW w:w="0" w:type="auto"/>
          <w:jc w:val="center"/>
          <w:tblCellMar>
            <w:top w:w="0" w:type="dxa"/>
            <w:left w:w="108" w:type="dxa"/>
            <w:bottom w:w="0" w:type="dxa"/>
            <w:right w:w="108" w:type="dxa"/>
          </w:tblCellMar>
        </w:tblPrEx>
        <w:trPr>
          <w:jc w:val="center"/>
        </w:trPr>
        <w:tc>
          <w:tcPr>
            <w:tcW w:w="1581" w:type="dxa"/>
            <w:tcBorders>
              <w:top w:val="nil"/>
              <w:bottom w:val="nil"/>
            </w:tcBorders>
          </w:tcPr>
          <w:p>
            <w:pPr>
              <w:adjustRightInd w:val="0"/>
              <w:snapToGrid w:val="0"/>
              <w:spacing w:line="360" w:lineRule="atLeast"/>
              <w:jc w:val="center"/>
              <w:rPr>
                <w:color w:val="000000" w:themeColor="text1"/>
                <w14:textFill>
                  <w14:solidFill>
                    <w14:schemeClr w14:val="tx1"/>
                  </w14:solidFill>
                </w14:textFill>
              </w:rPr>
            </w:pPr>
            <w:r>
              <w:rPr>
                <w:i/>
                <w:color w:val="000000" w:themeColor="text1"/>
                <w14:textFill>
                  <w14:solidFill>
                    <w14:schemeClr w14:val="tx1"/>
                  </w14:solidFill>
                </w14:textFill>
              </w:rPr>
              <w:t>u</w:t>
            </w:r>
          </w:p>
        </w:tc>
        <w:tc>
          <w:tcPr>
            <w:tcW w:w="6293" w:type="dxa"/>
            <w:tcBorders>
              <w:top w:val="nil"/>
              <w:bottom w:val="nil"/>
            </w:tcBorders>
          </w:tcPr>
          <w:p>
            <w:pPr>
              <w:adjustRightInd w:val="0"/>
              <w:snapToGrid w:val="0"/>
              <w:spacing w:line="360" w:lineRule="atLeast"/>
              <w:ind w:firstLine="252" w:firstLineChars="120"/>
              <w:rPr>
                <w:color w:val="000000" w:themeColor="text1"/>
                <w14:textFill>
                  <w14:solidFill>
                    <w14:schemeClr w14:val="tx1"/>
                  </w14:solidFill>
                </w14:textFill>
              </w:rPr>
            </w:pPr>
            <w:r>
              <w:rPr>
                <w:color w:val="000000" w:themeColor="text1"/>
                <w14:textFill>
                  <w14:solidFill>
                    <w14:schemeClr w14:val="tx1"/>
                  </w14:solidFill>
                </w14:textFill>
              </w:rPr>
              <w:t>标准不确定度</w:t>
            </w:r>
          </w:p>
        </w:tc>
      </w:tr>
      <w:tr>
        <w:tblPrEx>
          <w:tblW w:w="0" w:type="auto"/>
          <w:jc w:val="center"/>
          <w:tblCellMar>
            <w:top w:w="0" w:type="dxa"/>
            <w:left w:w="108" w:type="dxa"/>
            <w:bottom w:w="0" w:type="dxa"/>
            <w:right w:w="108" w:type="dxa"/>
          </w:tblCellMar>
        </w:tblPrEx>
        <w:trPr>
          <w:jc w:val="center"/>
        </w:trPr>
        <w:tc>
          <w:tcPr>
            <w:tcW w:w="1581" w:type="dxa"/>
            <w:tcBorders>
              <w:top w:val="nil"/>
              <w:bottom w:val="nil"/>
            </w:tcBorders>
          </w:tcPr>
          <w:p>
            <w:pPr>
              <w:adjustRightInd w:val="0"/>
              <w:snapToGrid w:val="0"/>
              <w:spacing w:line="360" w:lineRule="atLeast"/>
              <w:jc w:val="center"/>
              <w:rPr>
                <w:color w:val="000000" w:themeColor="text1"/>
                <w14:textFill>
                  <w14:solidFill>
                    <w14:schemeClr w14:val="tx1"/>
                  </w14:solidFill>
                </w14:textFill>
              </w:rPr>
            </w:pPr>
            <w:r>
              <w:rPr>
                <w:i/>
                <w:color w:val="000000" w:themeColor="text1"/>
                <w14:textFill>
                  <w14:solidFill>
                    <w14:schemeClr w14:val="tx1"/>
                  </w14:solidFill>
                </w14:textFill>
              </w:rPr>
              <w:t>u</w:t>
            </w:r>
            <w:r>
              <w:rPr>
                <w:i/>
                <w:color w:val="000000" w:themeColor="text1"/>
                <w:vertAlign w:val="subscript"/>
                <w14:textFill>
                  <w14:solidFill>
                    <w14:schemeClr w14:val="tx1"/>
                  </w14:solidFill>
                </w14:textFill>
              </w:rPr>
              <w:t>c</w:t>
            </w:r>
          </w:p>
        </w:tc>
        <w:tc>
          <w:tcPr>
            <w:tcW w:w="6293" w:type="dxa"/>
            <w:tcBorders>
              <w:top w:val="nil"/>
              <w:bottom w:val="nil"/>
            </w:tcBorders>
          </w:tcPr>
          <w:p>
            <w:pPr>
              <w:adjustRightInd w:val="0"/>
              <w:snapToGrid w:val="0"/>
              <w:spacing w:line="360" w:lineRule="atLeast"/>
              <w:ind w:firstLine="252" w:firstLineChars="120"/>
              <w:rPr>
                <w:color w:val="000000" w:themeColor="text1"/>
                <w14:textFill>
                  <w14:solidFill>
                    <w14:schemeClr w14:val="tx1"/>
                  </w14:solidFill>
                </w14:textFill>
              </w:rPr>
            </w:pPr>
            <w:r>
              <w:rPr>
                <w:color w:val="000000" w:themeColor="text1"/>
                <w14:textFill>
                  <w14:solidFill>
                    <w14:schemeClr w14:val="tx1"/>
                  </w14:solidFill>
                </w14:textFill>
              </w:rPr>
              <w:t>合成标准不确定度</w:t>
            </w:r>
          </w:p>
        </w:tc>
      </w:tr>
      <w:tr>
        <w:tblPrEx>
          <w:tblW w:w="0" w:type="auto"/>
          <w:jc w:val="center"/>
          <w:tblCellMar>
            <w:top w:w="0" w:type="dxa"/>
            <w:left w:w="108" w:type="dxa"/>
            <w:bottom w:w="0" w:type="dxa"/>
            <w:right w:w="108" w:type="dxa"/>
          </w:tblCellMar>
        </w:tblPrEx>
        <w:trPr>
          <w:jc w:val="center"/>
        </w:trPr>
        <w:tc>
          <w:tcPr>
            <w:tcW w:w="1581" w:type="dxa"/>
            <w:tcBorders>
              <w:top w:val="nil"/>
              <w:bottom w:val="nil"/>
            </w:tcBorders>
          </w:tcPr>
          <w:p>
            <w:pPr>
              <w:adjustRightInd w:val="0"/>
              <w:snapToGrid w:val="0"/>
              <w:spacing w:line="360" w:lineRule="atLeast"/>
              <w:jc w:val="center"/>
              <w:rPr>
                <w:i/>
                <w:color w:val="000000" w:themeColor="text1"/>
                <w14:textFill>
                  <w14:solidFill>
                    <w14:schemeClr w14:val="tx1"/>
                  </w14:solidFill>
                </w14:textFill>
              </w:rPr>
            </w:pPr>
            <w:r>
              <w:rPr>
                <w:i/>
                <w:color w:val="000000" w:themeColor="text1"/>
                <w14:textFill>
                  <w14:solidFill>
                    <w14:schemeClr w14:val="tx1"/>
                  </w14:solidFill>
                </w14:textFill>
              </w:rPr>
              <w:t>k</w:t>
            </w:r>
          </w:p>
        </w:tc>
        <w:tc>
          <w:tcPr>
            <w:tcW w:w="6293" w:type="dxa"/>
            <w:tcBorders>
              <w:top w:val="nil"/>
              <w:bottom w:val="nil"/>
            </w:tcBorders>
          </w:tcPr>
          <w:p>
            <w:pPr>
              <w:adjustRightInd w:val="0"/>
              <w:snapToGrid w:val="0"/>
              <w:spacing w:line="360" w:lineRule="atLeast"/>
              <w:ind w:firstLine="252" w:firstLineChars="120"/>
              <w:rPr>
                <w:color w:val="000000" w:themeColor="text1"/>
                <w14:textFill>
                  <w14:solidFill>
                    <w14:schemeClr w14:val="tx1"/>
                  </w14:solidFill>
                </w14:textFill>
              </w:rPr>
            </w:pPr>
            <w:r>
              <w:t>包含因子（上标表示指数）</w:t>
            </w:r>
          </w:p>
        </w:tc>
      </w:tr>
      <w:tr>
        <w:tblPrEx>
          <w:tblW w:w="0" w:type="auto"/>
          <w:jc w:val="center"/>
          <w:tblCellMar>
            <w:top w:w="0" w:type="dxa"/>
            <w:left w:w="108" w:type="dxa"/>
            <w:bottom w:w="0" w:type="dxa"/>
            <w:right w:w="108" w:type="dxa"/>
          </w:tblCellMar>
        </w:tblPrEx>
        <w:trPr>
          <w:jc w:val="center"/>
        </w:trPr>
        <w:tc>
          <w:tcPr>
            <w:tcW w:w="1581" w:type="dxa"/>
            <w:tcBorders>
              <w:top w:val="nil"/>
              <w:bottom w:val="nil"/>
            </w:tcBorders>
          </w:tcPr>
          <w:p>
            <w:pPr>
              <w:adjustRightInd w:val="0"/>
              <w:snapToGrid w:val="0"/>
              <w:spacing w:line="360" w:lineRule="atLeast"/>
              <w:jc w:val="center"/>
              <w:rPr>
                <w:i/>
                <w:color w:val="000000" w:themeColor="text1"/>
                <w14:textFill>
                  <w14:solidFill>
                    <w14:schemeClr w14:val="tx1"/>
                  </w14:solidFill>
                </w14:textFill>
              </w:rPr>
            </w:pPr>
            <w:r>
              <w:rPr>
                <w:i/>
                <w:color w:val="000000" w:themeColor="text1"/>
                <w14:textFill>
                  <w14:solidFill>
                    <w14:schemeClr w14:val="tx1"/>
                  </w14:solidFill>
                </w14:textFill>
              </w:rPr>
              <w:t>k</w:t>
            </w:r>
            <w:r>
              <w:rPr>
                <w:i/>
                <w:color w:val="000000" w:themeColor="text1"/>
                <w:vertAlign w:val="subscript"/>
                <w14:textFill>
                  <w14:solidFill>
                    <w14:schemeClr w14:val="tx1"/>
                  </w14:solidFill>
                </w14:textFill>
              </w:rPr>
              <w:t>p</w:t>
            </w:r>
          </w:p>
        </w:tc>
        <w:tc>
          <w:tcPr>
            <w:tcW w:w="6293" w:type="dxa"/>
            <w:tcBorders>
              <w:top w:val="nil"/>
              <w:bottom w:val="nil"/>
            </w:tcBorders>
          </w:tcPr>
          <w:p>
            <w:pPr>
              <w:adjustRightInd w:val="0"/>
              <w:snapToGrid w:val="0"/>
              <w:spacing w:line="360" w:lineRule="atLeast"/>
              <w:ind w:firstLine="252" w:firstLineChars="120"/>
              <w:rPr>
                <w:color w:val="000000" w:themeColor="text1"/>
                <w14:textFill>
                  <w14:solidFill>
                    <w14:schemeClr w14:val="tx1"/>
                  </w14:solidFill>
                </w14:textFill>
              </w:rPr>
            </w:pPr>
            <w:r>
              <w:rPr>
                <w:color w:val="000000" w:themeColor="text1"/>
                <w14:textFill>
                  <w14:solidFill>
                    <w14:schemeClr w14:val="tx1"/>
                  </w14:solidFill>
                </w14:textFill>
              </w:rPr>
              <w:t>包含概率为p的</w:t>
            </w:r>
            <w:r>
              <w:t>包含因子</w:t>
            </w:r>
          </w:p>
        </w:tc>
      </w:tr>
      <w:tr>
        <w:tblPrEx>
          <w:tblW w:w="0" w:type="auto"/>
          <w:jc w:val="center"/>
          <w:tblCellMar>
            <w:top w:w="0" w:type="dxa"/>
            <w:left w:w="108" w:type="dxa"/>
            <w:bottom w:w="0" w:type="dxa"/>
            <w:right w:w="108" w:type="dxa"/>
          </w:tblCellMar>
        </w:tblPrEx>
        <w:trPr>
          <w:jc w:val="center"/>
        </w:trPr>
        <w:tc>
          <w:tcPr>
            <w:tcW w:w="1581" w:type="dxa"/>
            <w:tcBorders>
              <w:top w:val="nil"/>
              <w:bottom w:val="nil"/>
            </w:tcBorders>
          </w:tcPr>
          <w:p>
            <w:pPr>
              <w:adjustRightInd w:val="0"/>
              <w:snapToGrid w:val="0"/>
              <w:spacing w:line="360" w:lineRule="atLeast"/>
              <w:jc w:val="center"/>
              <w:rPr>
                <w:i/>
                <w:color w:val="000000" w:themeColor="text1"/>
                <w14:textFill>
                  <w14:solidFill>
                    <w14:schemeClr w14:val="tx1"/>
                  </w14:solidFill>
                </w14:textFill>
              </w:rPr>
            </w:pPr>
            <w:r>
              <w:rPr>
                <w:i/>
                <w:color w:val="000000" w:themeColor="text1"/>
                <w14:textFill>
                  <w14:solidFill>
                    <w14:schemeClr w14:val="tx1"/>
                  </w14:solidFill>
                </w14:textFill>
              </w:rPr>
              <w:t>U</w:t>
            </w:r>
          </w:p>
        </w:tc>
        <w:tc>
          <w:tcPr>
            <w:tcW w:w="6293" w:type="dxa"/>
            <w:tcBorders>
              <w:top w:val="nil"/>
              <w:bottom w:val="nil"/>
            </w:tcBorders>
          </w:tcPr>
          <w:p>
            <w:pPr>
              <w:adjustRightInd w:val="0"/>
              <w:snapToGrid w:val="0"/>
              <w:spacing w:line="360" w:lineRule="atLeast"/>
              <w:ind w:firstLine="252" w:firstLineChars="120"/>
              <w:rPr>
                <w:color w:val="000000" w:themeColor="text1"/>
                <w14:textFill>
                  <w14:solidFill>
                    <w14:schemeClr w14:val="tx1"/>
                  </w14:solidFill>
                </w14:textFill>
              </w:rPr>
            </w:pPr>
            <w:r>
              <w:rPr>
                <w:color w:val="000000" w:themeColor="text1"/>
                <w14:textFill>
                  <w14:solidFill>
                    <w14:schemeClr w14:val="tx1"/>
                  </w14:solidFill>
                </w14:textFill>
              </w:rPr>
              <w:t>扩展不确定度</w:t>
            </w:r>
          </w:p>
        </w:tc>
      </w:tr>
      <w:tr>
        <w:tblPrEx>
          <w:tblW w:w="0" w:type="auto"/>
          <w:jc w:val="center"/>
          <w:tblCellMar>
            <w:top w:w="0" w:type="dxa"/>
            <w:left w:w="108" w:type="dxa"/>
            <w:bottom w:w="0" w:type="dxa"/>
            <w:right w:w="108" w:type="dxa"/>
          </w:tblCellMar>
        </w:tblPrEx>
        <w:trPr>
          <w:jc w:val="center"/>
        </w:trPr>
        <w:tc>
          <w:tcPr>
            <w:tcW w:w="1581" w:type="dxa"/>
            <w:tcBorders>
              <w:top w:val="nil"/>
              <w:bottom w:val="nil"/>
            </w:tcBorders>
          </w:tcPr>
          <w:p>
            <w:pPr>
              <w:adjustRightInd w:val="0"/>
              <w:snapToGrid w:val="0"/>
              <w:spacing w:line="360" w:lineRule="atLeast"/>
              <w:jc w:val="center"/>
              <w:rPr>
                <w:i/>
                <w:color w:val="000000" w:themeColor="text1"/>
                <w14:textFill>
                  <w14:solidFill>
                    <w14:schemeClr w14:val="tx1"/>
                  </w14:solidFill>
                </w14:textFill>
              </w:rPr>
            </w:pPr>
            <w:r>
              <w:rPr>
                <w:i/>
                <w:color w:val="000000" w:themeColor="text1"/>
                <w14:textFill>
                  <w14:solidFill>
                    <w14:schemeClr w14:val="tx1"/>
                  </w14:solidFill>
                </w14:textFill>
              </w:rPr>
              <w:t>U</w:t>
            </w:r>
            <w:r>
              <w:rPr>
                <w:color w:val="000000" w:themeColor="text1"/>
                <w:vertAlign w:val="subscript"/>
                <w14:textFill>
                  <w14:solidFill>
                    <w14:schemeClr w14:val="tx1"/>
                  </w14:solidFill>
                </w14:textFill>
              </w:rPr>
              <w:t>S</w:t>
            </w:r>
          </w:p>
        </w:tc>
        <w:tc>
          <w:tcPr>
            <w:tcW w:w="6293" w:type="dxa"/>
            <w:tcBorders>
              <w:top w:val="nil"/>
              <w:bottom w:val="nil"/>
            </w:tcBorders>
          </w:tcPr>
          <w:p>
            <w:pPr>
              <w:adjustRightInd w:val="0"/>
              <w:snapToGrid w:val="0"/>
              <w:spacing w:line="360" w:lineRule="atLeast"/>
              <w:ind w:firstLine="252" w:firstLineChars="120"/>
              <w:rPr>
                <w:color w:val="000000" w:themeColor="text1"/>
                <w14:textFill>
                  <w14:solidFill>
                    <w14:schemeClr w14:val="tx1"/>
                  </w14:solidFill>
                </w14:textFill>
              </w:rPr>
            </w:pPr>
            <w:r>
              <w:rPr>
                <w:color w:val="000000" w:themeColor="text1"/>
                <w14:textFill>
                  <w14:solidFill>
                    <w14:schemeClr w14:val="tx1"/>
                  </w14:solidFill>
                </w14:textFill>
              </w:rPr>
              <w:t>局部示值误差测量的扩展不确定度</w:t>
            </w:r>
          </w:p>
        </w:tc>
      </w:tr>
      <w:tr>
        <w:tblPrEx>
          <w:tblW w:w="0" w:type="auto"/>
          <w:jc w:val="center"/>
          <w:tblCellMar>
            <w:top w:w="0" w:type="dxa"/>
            <w:left w:w="108" w:type="dxa"/>
            <w:bottom w:w="0" w:type="dxa"/>
            <w:right w:w="108" w:type="dxa"/>
          </w:tblCellMar>
        </w:tblPrEx>
        <w:trPr>
          <w:jc w:val="center"/>
        </w:trPr>
        <w:tc>
          <w:tcPr>
            <w:tcW w:w="1581" w:type="dxa"/>
            <w:tcBorders>
              <w:top w:val="nil"/>
              <w:bottom w:val="nil"/>
            </w:tcBorders>
          </w:tcPr>
          <w:p>
            <w:pPr>
              <w:adjustRightInd w:val="0"/>
              <w:snapToGrid w:val="0"/>
              <w:spacing w:line="360" w:lineRule="atLeast"/>
              <w:jc w:val="center"/>
              <w:rPr>
                <w:i/>
                <w:color w:val="000000" w:themeColor="text1"/>
                <w14:textFill>
                  <w14:solidFill>
                    <w14:schemeClr w14:val="tx1"/>
                  </w14:solidFill>
                </w14:textFill>
              </w:rPr>
            </w:pPr>
            <w:r>
              <w:rPr>
                <w:i/>
                <w:color w:val="000000" w:themeColor="text1"/>
                <w14:textFill>
                  <w14:solidFill>
                    <w14:schemeClr w14:val="tx1"/>
                  </w14:solidFill>
                </w14:textFill>
              </w:rPr>
              <w:t>V</w:t>
            </w:r>
          </w:p>
        </w:tc>
        <w:tc>
          <w:tcPr>
            <w:tcW w:w="6293" w:type="dxa"/>
            <w:tcBorders>
              <w:top w:val="nil"/>
              <w:bottom w:val="nil"/>
            </w:tcBorders>
          </w:tcPr>
          <w:p>
            <w:pPr>
              <w:adjustRightInd w:val="0"/>
              <w:snapToGrid w:val="0"/>
              <w:spacing w:line="360" w:lineRule="atLeast"/>
              <w:ind w:firstLine="252" w:firstLineChars="120"/>
              <w:rPr>
                <w:color w:val="000000" w:themeColor="text1"/>
                <w14:textFill>
                  <w14:solidFill>
                    <w14:schemeClr w14:val="tx1"/>
                  </w14:solidFill>
                </w14:textFill>
              </w:rPr>
            </w:pPr>
            <w:r>
              <w:rPr>
                <w:color w:val="000000" w:themeColor="text1"/>
                <w14:textFill>
                  <w14:solidFill>
                    <w14:schemeClr w14:val="tx1"/>
                  </w14:solidFill>
                </w14:textFill>
              </w:rPr>
              <w:t>额定电源电压</w:t>
            </w:r>
          </w:p>
        </w:tc>
      </w:tr>
      <w:tr>
        <w:tblPrEx>
          <w:tblW w:w="0" w:type="auto"/>
          <w:jc w:val="center"/>
          <w:tblCellMar>
            <w:top w:w="0" w:type="dxa"/>
            <w:left w:w="108" w:type="dxa"/>
            <w:bottom w:w="0" w:type="dxa"/>
            <w:right w:w="108" w:type="dxa"/>
          </w:tblCellMar>
        </w:tblPrEx>
        <w:trPr>
          <w:jc w:val="center"/>
        </w:trPr>
        <w:tc>
          <w:tcPr>
            <w:tcW w:w="1581" w:type="dxa"/>
            <w:tcBorders>
              <w:top w:val="nil"/>
              <w:bottom w:val="nil"/>
            </w:tcBorders>
          </w:tcPr>
          <w:p>
            <w:pPr>
              <w:adjustRightInd w:val="0"/>
              <w:snapToGrid w:val="0"/>
              <w:spacing w:line="360" w:lineRule="atLeast"/>
              <w:jc w:val="center"/>
              <w:rPr>
                <w:i/>
                <w:color w:val="000000" w:themeColor="text1"/>
                <w14:textFill>
                  <w14:solidFill>
                    <w14:schemeClr w14:val="tx1"/>
                  </w14:solidFill>
                </w14:textFill>
              </w:rPr>
            </w:pPr>
            <w:r>
              <w:rPr>
                <w:i/>
                <w:color w:val="000000" w:themeColor="text1"/>
                <w14:textFill>
                  <w14:solidFill>
                    <w14:schemeClr w14:val="tx1"/>
                  </w14:solidFill>
                </w14:textFill>
              </w:rPr>
              <w:t>V</w:t>
            </w:r>
            <w:r>
              <w:rPr>
                <w:color w:val="000000" w:themeColor="text1"/>
                <w:vertAlign w:val="subscript"/>
                <w14:textFill>
                  <w14:solidFill>
                    <w14:schemeClr w14:val="tx1"/>
                  </w14:solidFill>
                </w14:textFill>
              </w:rPr>
              <w:t>min</w:t>
            </w:r>
          </w:p>
        </w:tc>
        <w:tc>
          <w:tcPr>
            <w:tcW w:w="6293" w:type="dxa"/>
            <w:tcBorders>
              <w:top w:val="nil"/>
              <w:bottom w:val="nil"/>
            </w:tcBorders>
          </w:tcPr>
          <w:p>
            <w:pPr>
              <w:adjustRightInd w:val="0"/>
              <w:snapToGrid w:val="0"/>
              <w:spacing w:line="360" w:lineRule="atLeast"/>
              <w:ind w:firstLine="252" w:firstLineChars="120"/>
              <w:rPr>
                <w:color w:val="000000" w:themeColor="text1"/>
                <w14:textFill>
                  <w14:solidFill>
                    <w14:schemeClr w14:val="tx1"/>
                  </w14:solidFill>
                </w14:textFill>
              </w:rPr>
            </w:pPr>
            <w:r>
              <w:rPr>
                <w:color w:val="000000" w:themeColor="text1"/>
                <w14:textFill>
                  <w14:solidFill>
                    <w14:schemeClr w14:val="tx1"/>
                  </w14:solidFill>
                </w14:textFill>
              </w:rPr>
              <w:t>电源电压范围下限</w:t>
            </w:r>
          </w:p>
        </w:tc>
      </w:tr>
      <w:tr>
        <w:tblPrEx>
          <w:tblW w:w="0" w:type="auto"/>
          <w:jc w:val="center"/>
          <w:tblCellMar>
            <w:top w:w="0" w:type="dxa"/>
            <w:left w:w="108" w:type="dxa"/>
            <w:bottom w:w="0" w:type="dxa"/>
            <w:right w:w="108" w:type="dxa"/>
          </w:tblCellMar>
        </w:tblPrEx>
        <w:trPr>
          <w:jc w:val="center"/>
        </w:trPr>
        <w:tc>
          <w:tcPr>
            <w:tcW w:w="1581" w:type="dxa"/>
            <w:tcBorders>
              <w:top w:val="nil"/>
              <w:bottom w:val="nil"/>
            </w:tcBorders>
          </w:tcPr>
          <w:p>
            <w:pPr>
              <w:adjustRightInd w:val="0"/>
              <w:snapToGrid w:val="0"/>
              <w:spacing w:line="360" w:lineRule="atLeast"/>
              <w:jc w:val="center"/>
              <w:rPr>
                <w:color w:val="000000" w:themeColor="text1"/>
                <w14:textFill>
                  <w14:solidFill>
                    <w14:schemeClr w14:val="tx1"/>
                  </w14:solidFill>
                </w14:textFill>
              </w:rPr>
            </w:pPr>
            <w:r>
              <w:rPr>
                <w:i/>
                <w:color w:val="000000" w:themeColor="text1"/>
                <w14:textFill>
                  <w14:solidFill>
                    <w14:schemeClr w14:val="tx1"/>
                  </w14:solidFill>
                </w14:textFill>
              </w:rPr>
              <w:t>V</w:t>
            </w:r>
            <w:r>
              <w:rPr>
                <w:color w:val="000000" w:themeColor="text1"/>
                <w:vertAlign w:val="subscript"/>
                <w14:textFill>
                  <w14:solidFill>
                    <w14:schemeClr w14:val="tx1"/>
                  </w14:solidFill>
                </w14:textFill>
              </w:rPr>
              <w:t>max</w:t>
            </w:r>
          </w:p>
        </w:tc>
        <w:tc>
          <w:tcPr>
            <w:tcW w:w="6293" w:type="dxa"/>
            <w:tcBorders>
              <w:top w:val="nil"/>
              <w:bottom w:val="nil"/>
            </w:tcBorders>
          </w:tcPr>
          <w:p>
            <w:pPr>
              <w:adjustRightInd w:val="0"/>
              <w:snapToGrid w:val="0"/>
              <w:spacing w:line="360" w:lineRule="atLeast"/>
              <w:ind w:firstLine="252" w:firstLineChars="120"/>
              <w:rPr>
                <w:color w:val="000000" w:themeColor="text1"/>
                <w14:textFill>
                  <w14:solidFill>
                    <w14:schemeClr w14:val="tx1"/>
                  </w14:solidFill>
                </w14:textFill>
              </w:rPr>
            </w:pPr>
            <w:r>
              <w:rPr>
                <w:color w:val="000000" w:themeColor="text1"/>
                <w14:textFill>
                  <w14:solidFill>
                    <w14:schemeClr w14:val="tx1"/>
                  </w14:solidFill>
                </w14:textFill>
              </w:rPr>
              <w:t>电源电压范围上限</w:t>
            </w:r>
          </w:p>
        </w:tc>
      </w:tr>
      <w:tr>
        <w:tblPrEx>
          <w:tblW w:w="0" w:type="auto"/>
          <w:jc w:val="center"/>
          <w:tblCellMar>
            <w:top w:w="0" w:type="dxa"/>
            <w:left w:w="108" w:type="dxa"/>
            <w:bottom w:w="0" w:type="dxa"/>
            <w:right w:w="108" w:type="dxa"/>
          </w:tblCellMar>
        </w:tblPrEx>
        <w:trPr>
          <w:jc w:val="center"/>
        </w:trPr>
        <w:tc>
          <w:tcPr>
            <w:tcW w:w="1581" w:type="dxa"/>
            <w:tcBorders>
              <w:top w:val="nil"/>
              <w:bottom w:val="nil"/>
            </w:tcBorders>
          </w:tcPr>
          <w:p>
            <w:pPr>
              <w:adjustRightInd w:val="0"/>
              <w:snapToGrid w:val="0"/>
              <w:spacing w:line="360" w:lineRule="atLeast"/>
              <w:jc w:val="center"/>
              <w:rPr>
                <w:i/>
                <w:color w:val="000000" w:themeColor="text1"/>
                <w14:textFill>
                  <w14:solidFill>
                    <w14:schemeClr w14:val="tx1"/>
                  </w14:solidFill>
                </w14:textFill>
              </w:rPr>
            </w:pPr>
            <m:oMathPara>
              <m:oMath>
                <m:r>
                  <w:rPr>
                    <w:rFonts w:ascii="Cambria Math" w:hAnsi="Cambria Math" w:eastAsiaTheme="minorEastAsia"/>
                    <w:color w:val="000000" w:themeColor="text1"/>
                    <w:sz w:val="24"/>
                    <w14:textFill>
                      <w14:solidFill>
                        <w14:schemeClr w14:val="tx1"/>
                      </w14:solidFill>
                    </w14:textFill>
                  </w:rPr>
                  <m:t>v</m:t>
                </m:r>
              </m:oMath>
            </m:oMathPara>
          </w:p>
        </w:tc>
        <w:tc>
          <w:tcPr>
            <w:tcW w:w="6293" w:type="dxa"/>
            <w:tcBorders>
              <w:top w:val="nil"/>
              <w:bottom w:val="nil"/>
            </w:tcBorders>
          </w:tcPr>
          <w:p>
            <w:pPr>
              <w:adjustRightInd w:val="0"/>
              <w:snapToGrid w:val="0"/>
              <w:spacing w:line="360" w:lineRule="atLeast"/>
              <w:ind w:firstLine="252" w:firstLineChars="120"/>
              <w:rPr>
                <w:color w:val="000000" w:themeColor="text1"/>
                <w14:textFill>
                  <w14:solidFill>
                    <w14:schemeClr w14:val="tx1"/>
                  </w14:solidFill>
                </w14:textFill>
              </w:rPr>
            </w:pPr>
            <w:r>
              <w:rPr>
                <w:color w:val="000000" w:themeColor="text1"/>
                <w14:textFill>
                  <w14:solidFill>
                    <w14:schemeClr w14:val="tx1"/>
                  </w14:solidFill>
                </w14:textFill>
              </w:rPr>
              <w:t>自由度</w:t>
            </w:r>
          </w:p>
        </w:tc>
      </w:tr>
      <w:tr>
        <w:tblPrEx>
          <w:tblW w:w="0" w:type="auto"/>
          <w:jc w:val="center"/>
          <w:tblCellMar>
            <w:top w:w="0" w:type="dxa"/>
            <w:left w:w="108" w:type="dxa"/>
            <w:bottom w:w="0" w:type="dxa"/>
            <w:right w:w="108" w:type="dxa"/>
          </w:tblCellMar>
        </w:tblPrEx>
        <w:trPr>
          <w:jc w:val="center"/>
        </w:trPr>
        <w:tc>
          <w:tcPr>
            <w:tcW w:w="1581" w:type="dxa"/>
            <w:tcBorders>
              <w:top w:val="nil"/>
              <w:bottom w:val="nil"/>
            </w:tcBorders>
          </w:tcPr>
          <w:p>
            <w:pPr>
              <w:adjustRightInd w:val="0"/>
              <w:snapToGrid w:val="0"/>
              <w:spacing w:line="360" w:lineRule="atLeast"/>
              <w:jc w:val="center"/>
              <w:rPr>
                <w:i/>
                <w:color w:val="000000" w:themeColor="text1"/>
                <w14:textFill>
                  <w14:solidFill>
                    <w14:schemeClr w14:val="tx1"/>
                  </w14:solidFill>
                </w14:textFill>
              </w:rPr>
            </w:pPr>
            <m:oMathPara>
              <m:oMath>
                <m:sSub>
                  <m:sSubPr>
                    <m:ctrlPr>
                      <w:rPr>
                        <w:rFonts w:ascii="Cambria Math" w:hAnsi="Cambria Math" w:eastAsiaTheme="minorEastAsia"/>
                        <w:i/>
                        <w:color w:val="000000" w:themeColor="text1"/>
                        <w:sz w:val="24"/>
                        <w14:textFill>
                          <w14:solidFill>
                            <w14:schemeClr w14:val="tx1"/>
                          </w14:solidFill>
                        </w14:textFill>
                      </w:rPr>
                    </m:ctrlPr>
                  </m:sSubPr>
                  <m:e>
                    <m:ctrlPr>
                      <w:rPr>
                        <w:rFonts w:ascii="Cambria Math" w:hAnsi="Cambria Math" w:eastAsiaTheme="minorEastAsia"/>
                        <w:i/>
                        <w:color w:val="000000" w:themeColor="text1"/>
                        <w:sz w:val="24"/>
                        <w14:textFill>
                          <w14:solidFill>
                            <w14:schemeClr w14:val="tx1"/>
                          </w14:solidFill>
                        </w14:textFill>
                      </w:rPr>
                    </m:ctrlPr>
                    <m:r>
                      <w:rPr>
                        <w:rFonts w:ascii="Cambria Math" w:hAnsi="Cambria Math" w:eastAsiaTheme="minorEastAsia"/>
                        <w:color w:val="000000" w:themeColor="text1"/>
                        <w:sz w:val="24"/>
                        <w14:textFill>
                          <w14:solidFill>
                            <w14:schemeClr w14:val="tx1"/>
                          </w14:solidFill>
                        </w14:textFill>
                      </w:rPr>
                      <m:t>v</m:t>
                    </m:r>
                  </m:e>
                  <m:sub>
                    <m:ctrlPr>
                      <w:rPr>
                        <w:rFonts w:ascii="Cambria Math" w:hAnsi="Cambria Math" w:eastAsiaTheme="minorEastAsia"/>
                        <w:color w:val="000000" w:themeColor="text1"/>
                        <w:sz w:val="24"/>
                        <w14:textFill>
                          <w14:solidFill>
                            <w14:schemeClr w14:val="tx1"/>
                          </w14:solidFill>
                        </w14:textFill>
                      </w:rPr>
                    </m:ctrlPr>
                    <m:r>
                      <m:rPr>
                        <m:nor/>
                        <m:sty m:val="p"/>
                      </m:rPr>
                      <w:rPr>
                        <w:rFonts w:eastAsiaTheme="minorEastAsia"/>
                        <w:color w:val="000000" w:themeColor="text1"/>
                        <w:sz w:val="24"/>
                        <w14:textFill>
                          <w14:solidFill>
                            <w14:schemeClr w14:val="tx1"/>
                          </w14:solidFill>
                        </w14:textFill>
                      </w:rPr>
                      <m:t>eff</m:t>
                    </m:r>
                  </m:sub>
                </m:sSub>
              </m:oMath>
            </m:oMathPara>
          </w:p>
        </w:tc>
        <w:tc>
          <w:tcPr>
            <w:tcW w:w="6293" w:type="dxa"/>
            <w:tcBorders>
              <w:top w:val="nil"/>
              <w:bottom w:val="nil"/>
            </w:tcBorders>
          </w:tcPr>
          <w:p>
            <w:pPr>
              <w:adjustRightInd w:val="0"/>
              <w:snapToGrid w:val="0"/>
              <w:spacing w:line="360" w:lineRule="atLeast"/>
              <w:ind w:firstLine="252" w:firstLineChars="120"/>
              <w:rPr>
                <w:color w:val="000000" w:themeColor="text1"/>
                <w14:textFill>
                  <w14:solidFill>
                    <w14:schemeClr w14:val="tx1"/>
                  </w14:solidFill>
                </w14:textFill>
              </w:rPr>
            </w:pPr>
            <w:r>
              <w:rPr>
                <w:color w:val="000000" w:themeColor="text1"/>
                <w14:textFill>
                  <w14:solidFill>
                    <w14:schemeClr w14:val="tx1"/>
                  </w14:solidFill>
                </w14:textFill>
              </w:rPr>
              <w:t>合成标准不确定度的有效自由度</w:t>
            </w:r>
          </w:p>
        </w:tc>
      </w:tr>
      <w:tr>
        <w:tblPrEx>
          <w:tblW w:w="0" w:type="auto"/>
          <w:jc w:val="center"/>
          <w:tblCellMar>
            <w:top w:w="0" w:type="dxa"/>
            <w:left w:w="108" w:type="dxa"/>
            <w:bottom w:w="0" w:type="dxa"/>
            <w:right w:w="108" w:type="dxa"/>
          </w:tblCellMar>
        </w:tblPrEx>
        <w:trPr>
          <w:jc w:val="center"/>
        </w:trPr>
        <w:tc>
          <w:tcPr>
            <w:tcW w:w="1581" w:type="dxa"/>
            <w:tcBorders>
              <w:top w:val="nil"/>
              <w:bottom w:val="nil"/>
            </w:tcBorders>
          </w:tcPr>
          <w:p>
            <w:pPr>
              <w:adjustRightInd w:val="0"/>
              <w:snapToGrid w:val="0"/>
              <w:spacing w:line="360" w:lineRule="atLeast"/>
              <w:jc w:val="center"/>
              <w:rPr>
                <w:color w:val="000000" w:themeColor="text1"/>
                <w14:textFill>
                  <w14:solidFill>
                    <w14:schemeClr w14:val="tx1"/>
                  </w14:solidFill>
                </w14:textFill>
              </w:rPr>
            </w:pPr>
            <w:r>
              <w:rPr>
                <w:i/>
                <w:color w:val="000000" w:themeColor="text1"/>
                <w14:textFill>
                  <w14:solidFill>
                    <w14:schemeClr w14:val="tx1"/>
                  </w14:solidFill>
                </w14:textFill>
              </w:rPr>
              <w:t>u</w:t>
            </w:r>
            <w:r>
              <w:rPr>
                <w:color w:val="000000" w:themeColor="text1"/>
                <w:szCs w:val="21"/>
                <w:vertAlign w:val="subscript"/>
                <w14:textFill>
                  <w14:solidFill>
                    <w14:schemeClr w14:val="tx1"/>
                  </w14:solidFill>
                </w14:textFill>
              </w:rPr>
              <w:t>ms</w:t>
            </w:r>
          </w:p>
        </w:tc>
        <w:tc>
          <w:tcPr>
            <w:tcW w:w="6293" w:type="dxa"/>
            <w:tcBorders>
              <w:top w:val="nil"/>
              <w:bottom w:val="nil"/>
            </w:tcBorders>
          </w:tcPr>
          <w:p>
            <w:pPr>
              <w:adjustRightInd w:val="0"/>
              <w:snapToGrid w:val="0"/>
              <w:spacing w:line="360" w:lineRule="atLeast"/>
              <w:ind w:firstLine="252" w:firstLineChars="120"/>
              <w:rPr>
                <w:color w:val="000000" w:themeColor="text1"/>
                <w:szCs w:val="21"/>
                <w14:textFill>
                  <w14:solidFill>
                    <w14:schemeClr w14:val="tx1"/>
                  </w14:solidFill>
                </w14:textFill>
              </w:rPr>
            </w:pPr>
            <w:r>
              <w:rPr>
                <w:color w:val="000000" w:themeColor="text1"/>
                <w:szCs w:val="21"/>
                <w14:textFill>
                  <w14:solidFill>
                    <w14:schemeClr w14:val="tx1"/>
                  </w14:solidFill>
                </w14:textFill>
              </w:rPr>
              <w:t>测量局部示值误差用标准砝码约定质量的不确定度分量</w:t>
            </w:r>
          </w:p>
        </w:tc>
      </w:tr>
      <w:tr>
        <w:tblPrEx>
          <w:tblW w:w="0" w:type="auto"/>
          <w:jc w:val="center"/>
          <w:tblCellMar>
            <w:top w:w="0" w:type="dxa"/>
            <w:left w:w="108" w:type="dxa"/>
            <w:bottom w:w="0" w:type="dxa"/>
            <w:right w:w="108" w:type="dxa"/>
          </w:tblCellMar>
        </w:tblPrEx>
        <w:trPr>
          <w:jc w:val="center"/>
        </w:trPr>
        <w:tc>
          <w:tcPr>
            <w:tcW w:w="1581" w:type="dxa"/>
            <w:tcBorders>
              <w:top w:val="nil"/>
              <w:bottom w:val="nil"/>
            </w:tcBorders>
          </w:tcPr>
          <w:p>
            <w:pPr>
              <w:adjustRightInd w:val="0"/>
              <w:snapToGrid w:val="0"/>
              <w:spacing w:line="360" w:lineRule="atLeast"/>
              <w:jc w:val="center"/>
              <w:rPr>
                <w:color w:val="000000" w:themeColor="text1"/>
                <w14:textFill>
                  <w14:solidFill>
                    <w14:schemeClr w14:val="tx1"/>
                  </w14:solidFill>
                </w14:textFill>
              </w:rPr>
            </w:pPr>
            <m:oMathPara>
              <m:oMath>
                <m:r>
                  <w:rPr>
                    <w:rFonts w:ascii="Cambria Math" w:hAnsi="Cambria Math" w:eastAsiaTheme="minorEastAsia"/>
                    <w:szCs w:val="21"/>
                  </w:rPr>
                  <m:t>ρ</m:t>
                </m:r>
              </m:oMath>
            </m:oMathPara>
          </w:p>
        </w:tc>
        <w:tc>
          <w:tcPr>
            <w:tcW w:w="6293" w:type="dxa"/>
            <w:tcBorders>
              <w:top w:val="nil"/>
              <w:bottom w:val="nil"/>
            </w:tcBorders>
          </w:tcPr>
          <w:p>
            <w:pPr>
              <w:adjustRightInd w:val="0"/>
              <w:snapToGrid w:val="0"/>
              <w:spacing w:line="360" w:lineRule="atLeast"/>
              <w:ind w:firstLine="252" w:firstLineChars="12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密度</w:t>
            </w:r>
          </w:p>
        </w:tc>
      </w:tr>
      <w:tr>
        <w:tblPrEx>
          <w:tblW w:w="0" w:type="auto"/>
          <w:jc w:val="center"/>
          <w:tblCellMar>
            <w:top w:w="0" w:type="dxa"/>
            <w:left w:w="108" w:type="dxa"/>
            <w:bottom w:w="0" w:type="dxa"/>
            <w:right w:w="108" w:type="dxa"/>
          </w:tblCellMar>
        </w:tblPrEx>
        <w:trPr>
          <w:jc w:val="center"/>
        </w:trPr>
        <w:tc>
          <w:tcPr>
            <w:tcW w:w="1581" w:type="dxa"/>
            <w:tcBorders>
              <w:top w:val="nil"/>
              <w:bottom w:val="nil"/>
            </w:tcBorders>
          </w:tcPr>
          <w:p>
            <w:pPr>
              <w:adjustRightInd w:val="0"/>
              <w:snapToGrid w:val="0"/>
              <w:spacing w:line="360" w:lineRule="atLeast"/>
              <w:jc w:val="center"/>
              <w:rPr>
                <w:i/>
                <w:color w:val="000000" w:themeColor="text1"/>
                <w14:textFill>
                  <w14:solidFill>
                    <w14:schemeClr w14:val="tx1"/>
                  </w14:solidFill>
                </w14:textFill>
              </w:rPr>
            </w:pPr>
            <m:oMathPara>
              <m:oMath>
                <m:sSub>
                  <m:sSubPr>
                    <m:ctrlPr>
                      <w:rPr>
                        <w:rFonts w:ascii="Cambria Math" w:hAnsi="Cambria Math" w:eastAsiaTheme="minorEastAsia"/>
                        <w:i/>
                        <w:szCs w:val="21"/>
                      </w:rPr>
                    </m:ctrlPr>
                  </m:sSubPr>
                  <m:e>
                    <m:ctrlPr>
                      <w:rPr>
                        <w:rFonts w:ascii="Cambria Math" w:hAnsi="Cambria Math" w:eastAsiaTheme="minorEastAsia"/>
                        <w:i/>
                        <w:szCs w:val="21"/>
                      </w:rPr>
                    </m:ctrlPr>
                    <m:r>
                      <w:rPr>
                        <w:rFonts w:ascii="Cambria Math" w:hAnsi="Cambria Math" w:eastAsiaTheme="minorEastAsia"/>
                        <w:szCs w:val="21"/>
                      </w:rPr>
                      <m:t>ρ</m:t>
                    </m:r>
                  </m:e>
                  <m:sub>
                    <m:ctrlPr>
                      <w:rPr>
                        <w:rFonts w:ascii="Cambria Math" w:hAnsi="Cambria Math" w:eastAsiaTheme="minorEastAsia"/>
                        <w:i/>
                        <w:szCs w:val="21"/>
                      </w:rPr>
                    </m:ctrlPr>
                    <m:r>
                      <w:rPr>
                        <w:rFonts w:ascii="Cambria Math" w:hAnsi="Cambria Math" w:eastAsiaTheme="minorEastAsia"/>
                        <w:szCs w:val="21"/>
                      </w:rPr>
                      <m:t>0</m:t>
                    </m:r>
                  </m:sub>
                </m:sSub>
              </m:oMath>
            </m:oMathPara>
          </w:p>
        </w:tc>
        <w:tc>
          <w:tcPr>
            <w:tcW w:w="6293" w:type="dxa"/>
            <w:tcBorders>
              <w:top w:val="nil"/>
              <w:bottom w:val="nil"/>
            </w:tcBorders>
          </w:tcPr>
          <w:p>
            <w:pPr>
              <w:adjustRightInd w:val="0"/>
              <w:snapToGrid w:val="0"/>
              <w:spacing w:line="360" w:lineRule="atLeast"/>
              <w:ind w:firstLine="252" w:firstLineChars="12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空气密度</w:t>
            </w:r>
            <w:r>
              <w:rPr>
                <w:color w:val="000000" w:themeColor="text1"/>
                <w:szCs w:val="21"/>
                <w14:textFill>
                  <w14:solidFill>
                    <w14:schemeClr w14:val="tx1"/>
                  </w14:solidFill>
                </w14:textFill>
              </w:rPr>
              <w:t>的参考值，</w:t>
            </w:r>
            <m:oMath>
              <m:sSub>
                <m:sSubPr>
                  <m:ctrlPr>
                    <w:rPr>
                      <w:rFonts w:ascii="Cambria Math" w:hAnsi="Cambria Math" w:eastAsiaTheme="minorEastAsia"/>
                      <w:i/>
                      <w:szCs w:val="21"/>
                    </w:rPr>
                  </m:ctrlPr>
                </m:sSubPr>
                <m:e>
                  <m:ctrlPr>
                    <w:rPr>
                      <w:rFonts w:ascii="Cambria Math" w:hAnsi="Cambria Math" w:eastAsiaTheme="minorEastAsia"/>
                      <w:i/>
                      <w:szCs w:val="21"/>
                    </w:rPr>
                  </m:ctrlPr>
                  <m:r>
                    <w:rPr>
                      <w:rFonts w:ascii="Cambria Math" w:hAnsi="Cambria Math" w:eastAsiaTheme="minorEastAsia"/>
                      <w:szCs w:val="21"/>
                    </w:rPr>
                    <m:t>ρ</m:t>
                  </m:r>
                </m:e>
                <m:sub>
                  <m:ctrlPr>
                    <w:rPr>
                      <w:rFonts w:ascii="Cambria Math" w:hAnsi="Cambria Math" w:eastAsiaTheme="minorEastAsia"/>
                      <w:i/>
                      <w:szCs w:val="21"/>
                    </w:rPr>
                  </m:ctrlPr>
                  <m:r>
                    <w:rPr>
                      <w:rFonts w:ascii="Cambria Math" w:hAnsi="Cambria Math" w:eastAsiaTheme="minorEastAsia"/>
                      <w:szCs w:val="21"/>
                    </w:rPr>
                    <m:t>0</m:t>
                  </m:r>
                </m:sub>
              </m:sSub>
              <m:r>
                <w:rPr>
                  <w:rFonts w:ascii="Cambria Math" w:hAnsi="Cambria Math" w:eastAsiaTheme="minorEastAsia"/>
                  <w:szCs w:val="21"/>
                </w:rPr>
                <m:t>=1.2 kg/</m:t>
              </m:r>
              <m:sSup>
                <m:sSupPr>
                  <m:ctrlPr>
                    <w:rPr>
                      <w:rFonts w:ascii="Cambria Math" w:hAnsi="Cambria Math" w:eastAsiaTheme="minorEastAsia"/>
                      <w:i/>
                      <w:szCs w:val="21"/>
                    </w:rPr>
                  </m:ctrlPr>
                </m:sSupPr>
                <m:e>
                  <m:ctrlPr>
                    <w:rPr>
                      <w:rFonts w:ascii="Cambria Math" w:hAnsi="Cambria Math" w:eastAsiaTheme="minorEastAsia"/>
                      <w:i/>
                      <w:szCs w:val="21"/>
                    </w:rPr>
                  </m:ctrlPr>
                  <m:r>
                    <w:rPr>
                      <w:rFonts w:ascii="Cambria Math" w:hAnsi="Cambria Math" w:eastAsiaTheme="minorEastAsia"/>
                      <w:szCs w:val="21"/>
                    </w:rPr>
                    <m:t>m</m:t>
                  </m:r>
                </m:e>
                <m:sup>
                  <m:ctrlPr>
                    <w:rPr>
                      <w:rFonts w:ascii="Cambria Math" w:hAnsi="Cambria Math" w:eastAsiaTheme="minorEastAsia"/>
                      <w:i/>
                      <w:szCs w:val="21"/>
                    </w:rPr>
                  </m:ctrlPr>
                  <m:r>
                    <w:rPr>
                      <w:rFonts w:ascii="Cambria Math" w:hAnsi="Cambria Math" w:eastAsiaTheme="minorEastAsia"/>
                      <w:szCs w:val="21"/>
                    </w:rPr>
                    <m:t>3</m:t>
                  </m:r>
                </m:sup>
              </m:sSup>
            </m:oMath>
          </w:p>
        </w:tc>
      </w:tr>
      <w:tr>
        <w:tblPrEx>
          <w:tblW w:w="0" w:type="auto"/>
          <w:jc w:val="center"/>
          <w:tblCellMar>
            <w:top w:w="0" w:type="dxa"/>
            <w:left w:w="108" w:type="dxa"/>
            <w:bottom w:w="0" w:type="dxa"/>
            <w:right w:w="108" w:type="dxa"/>
          </w:tblCellMar>
        </w:tblPrEx>
        <w:trPr>
          <w:jc w:val="center"/>
        </w:trPr>
        <w:tc>
          <w:tcPr>
            <w:tcW w:w="1581" w:type="dxa"/>
            <w:tcBorders>
              <w:top w:val="nil"/>
              <w:bottom w:val="nil"/>
            </w:tcBorders>
          </w:tcPr>
          <w:p>
            <w:pPr>
              <w:adjustRightInd w:val="0"/>
              <w:snapToGrid w:val="0"/>
              <w:spacing w:line="360" w:lineRule="atLeast"/>
              <w:jc w:val="center"/>
              <w:rPr>
                <w:i/>
                <w:color w:val="000000" w:themeColor="text1"/>
                <w14:textFill>
                  <w14:solidFill>
                    <w14:schemeClr w14:val="tx1"/>
                  </w14:solidFill>
                </w14:textFill>
              </w:rPr>
            </w:pPr>
            <m:oMathPara>
              <m:oMath>
                <m:sSub>
                  <m:sSubPr>
                    <m:ctrlPr>
                      <w:rPr>
                        <w:rFonts w:ascii="Cambria Math" w:hAnsi="Cambria Math" w:eastAsiaTheme="minorEastAsia"/>
                        <w:i/>
                        <w:szCs w:val="21"/>
                      </w:rPr>
                    </m:ctrlPr>
                  </m:sSubPr>
                  <m:e>
                    <m:ctrlPr>
                      <w:rPr>
                        <w:rFonts w:ascii="Cambria Math" w:hAnsi="Cambria Math" w:eastAsiaTheme="minorEastAsia"/>
                        <w:i/>
                        <w:szCs w:val="21"/>
                      </w:rPr>
                    </m:ctrlPr>
                    <m:r>
                      <w:rPr>
                        <w:rFonts w:ascii="Cambria Math" w:hAnsi="Cambria Math" w:eastAsiaTheme="minorEastAsia"/>
                        <w:szCs w:val="21"/>
                      </w:rPr>
                      <m:t>ρ</m:t>
                    </m:r>
                  </m:e>
                  <m:sub>
                    <m:ctrlPr>
                      <w:rPr>
                        <w:rFonts w:ascii="Cambria Math" w:hAnsi="Cambria Math" w:eastAsiaTheme="minorEastAsia"/>
                        <w:i/>
                        <w:szCs w:val="21"/>
                      </w:rPr>
                    </m:ctrlPr>
                    <m:r>
                      <w:rPr>
                        <w:rFonts w:ascii="Cambria Math" w:hAnsi="Cambria Math" w:eastAsiaTheme="minorEastAsia"/>
                        <w:szCs w:val="21"/>
                      </w:rPr>
                      <m:t>ref</m:t>
                    </m:r>
                  </m:sub>
                </m:sSub>
              </m:oMath>
            </m:oMathPara>
          </w:p>
        </w:tc>
        <w:tc>
          <w:tcPr>
            <w:tcW w:w="6293" w:type="dxa"/>
            <w:tcBorders>
              <w:top w:val="nil"/>
              <w:bottom w:val="nil"/>
            </w:tcBorders>
          </w:tcPr>
          <w:p>
            <w:pPr>
              <w:adjustRightInd w:val="0"/>
              <w:snapToGrid w:val="0"/>
              <w:spacing w:line="360" w:lineRule="atLeast"/>
              <w:ind w:firstLine="252" w:firstLineChars="12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砝码</w:t>
            </w:r>
            <w:r>
              <w:rPr>
                <w:color w:val="000000" w:themeColor="text1"/>
                <w:szCs w:val="21"/>
                <w14:textFill>
                  <w14:solidFill>
                    <w14:schemeClr w14:val="tx1"/>
                  </w14:solidFill>
                </w14:textFill>
              </w:rPr>
              <w:t>的约定密度，</w:t>
            </w:r>
            <m:oMath>
              <m:sSub>
                <m:sSubPr>
                  <m:ctrlPr>
                    <w:rPr>
                      <w:rFonts w:ascii="Cambria Math" w:hAnsi="Cambria Math" w:eastAsiaTheme="minorEastAsia"/>
                      <w:i/>
                      <w:szCs w:val="21"/>
                    </w:rPr>
                  </m:ctrlPr>
                </m:sSubPr>
                <m:e>
                  <m:ctrlPr>
                    <w:rPr>
                      <w:rFonts w:ascii="Cambria Math" w:hAnsi="Cambria Math" w:eastAsiaTheme="minorEastAsia"/>
                      <w:i/>
                      <w:szCs w:val="21"/>
                    </w:rPr>
                  </m:ctrlPr>
                  <m:r>
                    <w:rPr>
                      <w:rFonts w:ascii="Cambria Math" w:hAnsi="Cambria Math" w:eastAsiaTheme="minorEastAsia"/>
                      <w:szCs w:val="21"/>
                    </w:rPr>
                    <m:t>ρ</m:t>
                  </m:r>
                </m:e>
                <m:sub>
                  <m:ctrlPr>
                    <w:rPr>
                      <w:rFonts w:ascii="Cambria Math" w:hAnsi="Cambria Math" w:eastAsiaTheme="minorEastAsia"/>
                      <w:i/>
                      <w:szCs w:val="21"/>
                    </w:rPr>
                  </m:ctrlPr>
                  <m:r>
                    <w:rPr>
                      <w:rFonts w:ascii="Cambria Math" w:hAnsi="Cambria Math" w:eastAsiaTheme="minorEastAsia"/>
                      <w:szCs w:val="21"/>
                    </w:rPr>
                    <m:t>ref</m:t>
                  </m:r>
                </m:sub>
              </m:sSub>
              <m:r>
                <w:rPr>
                  <w:rFonts w:ascii="Cambria Math" w:hAnsi="Cambria Math" w:eastAsiaTheme="minorEastAsia"/>
                  <w:szCs w:val="21"/>
                </w:rPr>
                <m:t>=8000 kg/</m:t>
              </m:r>
              <m:sSup>
                <m:sSupPr>
                  <m:ctrlPr>
                    <w:rPr>
                      <w:rFonts w:ascii="Cambria Math" w:hAnsi="Cambria Math" w:eastAsiaTheme="minorEastAsia"/>
                      <w:i/>
                      <w:szCs w:val="21"/>
                    </w:rPr>
                  </m:ctrlPr>
                </m:sSupPr>
                <m:e>
                  <m:ctrlPr>
                    <w:rPr>
                      <w:rFonts w:ascii="Cambria Math" w:hAnsi="Cambria Math" w:eastAsiaTheme="minorEastAsia"/>
                      <w:i/>
                      <w:szCs w:val="21"/>
                    </w:rPr>
                  </m:ctrlPr>
                  <m:r>
                    <w:rPr>
                      <w:rFonts w:ascii="Cambria Math" w:hAnsi="Cambria Math" w:eastAsiaTheme="minorEastAsia"/>
                      <w:szCs w:val="21"/>
                    </w:rPr>
                    <m:t>m</m:t>
                  </m:r>
                </m:e>
                <m:sup>
                  <m:ctrlPr>
                    <w:rPr>
                      <w:rFonts w:ascii="Cambria Math" w:hAnsi="Cambria Math" w:eastAsiaTheme="minorEastAsia"/>
                      <w:i/>
                      <w:szCs w:val="21"/>
                    </w:rPr>
                  </m:ctrlPr>
                  <m:r>
                    <w:rPr>
                      <w:rFonts w:ascii="Cambria Math" w:hAnsi="Cambria Math" w:eastAsiaTheme="minorEastAsia"/>
                      <w:szCs w:val="21"/>
                    </w:rPr>
                    <m:t>3</m:t>
                  </m:r>
                </m:sup>
              </m:sSup>
            </m:oMath>
          </w:p>
        </w:tc>
      </w:tr>
      <w:tr>
        <w:tblPrEx>
          <w:tblW w:w="0" w:type="auto"/>
          <w:jc w:val="center"/>
          <w:tblCellMar>
            <w:top w:w="0" w:type="dxa"/>
            <w:left w:w="108" w:type="dxa"/>
            <w:bottom w:w="0" w:type="dxa"/>
            <w:right w:w="108" w:type="dxa"/>
          </w:tblCellMar>
        </w:tblPrEx>
        <w:trPr>
          <w:jc w:val="center"/>
        </w:trPr>
        <w:tc>
          <w:tcPr>
            <w:tcW w:w="1581" w:type="dxa"/>
            <w:tcBorders>
              <w:top w:val="nil"/>
              <w:bottom w:val="single" w:sz="4" w:space="0" w:color="auto"/>
            </w:tcBorders>
          </w:tcPr>
          <w:p>
            <w:pPr>
              <w:adjustRightInd w:val="0"/>
              <w:snapToGrid w:val="0"/>
              <w:spacing w:line="360" w:lineRule="atLeast"/>
              <w:jc w:val="center"/>
              <w:rPr>
                <w:color w:val="000000" w:themeColor="text1"/>
                <w14:textFill>
                  <w14:solidFill>
                    <w14:schemeClr w14:val="tx1"/>
                  </w14:solidFill>
                </w14:textFill>
              </w:rPr>
            </w:pPr>
            <w:r>
              <w:rPr>
                <w:i/>
                <w:color w:val="000000" w:themeColor="text1"/>
                <w14:textFill>
                  <w14:solidFill>
                    <w14:schemeClr w14:val="tx1"/>
                  </w14:solidFill>
                </w14:textFill>
              </w:rPr>
              <w:t>δ</w:t>
            </w:r>
          </w:p>
        </w:tc>
        <w:tc>
          <w:tcPr>
            <w:tcW w:w="6293" w:type="dxa"/>
            <w:tcBorders>
              <w:top w:val="nil"/>
            </w:tcBorders>
          </w:tcPr>
          <w:p>
            <w:pPr>
              <w:adjustRightInd w:val="0"/>
              <w:snapToGrid w:val="0"/>
              <w:spacing w:line="360" w:lineRule="atLeast"/>
              <w:ind w:firstLine="252" w:firstLineChars="120"/>
              <w:rPr>
                <w:color w:val="000000" w:themeColor="text1"/>
                <w:szCs w:val="21"/>
                <w14:textFill>
                  <w14:solidFill>
                    <w14:schemeClr w14:val="tx1"/>
                  </w14:solidFill>
                </w14:textFill>
              </w:rPr>
            </w:pPr>
            <w:r>
              <w:rPr>
                <w:color w:val="000000" w:themeColor="text1"/>
                <w:szCs w:val="21"/>
                <w14:textFill>
                  <w14:solidFill>
                    <w14:schemeClr w14:val="tx1"/>
                  </w14:solidFill>
                </w14:textFill>
              </w:rPr>
              <w:t>偏差</w:t>
            </w:r>
          </w:p>
        </w:tc>
      </w:tr>
    </w:tbl>
    <w:p>
      <w:pPr>
        <w:spacing w:before="156" w:beforeLines="50" w:after="156" w:afterLines="50"/>
        <w:jc w:val="center"/>
        <w:rPr>
          <w:color w:val="000000"/>
        </w:rPr>
      </w:pPr>
      <w:r>
        <w:rPr>
          <w:color w:val="000000"/>
        </w:rPr>
        <w:t>表2 符号下标的说明</w:t>
      </w:r>
    </w:p>
    <w:tbl>
      <w:tblPr>
        <w:tblStyle w:val="TableGrid0"/>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14"/>
        <w:gridCol w:w="3038"/>
        <w:gridCol w:w="1029"/>
        <w:gridCol w:w="2925"/>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66"/>
          <w:jc w:val="center"/>
        </w:trPr>
        <w:tc>
          <w:tcPr>
            <w:tcW w:w="914" w:type="dxa"/>
          </w:tcPr>
          <w:p>
            <w:pPr>
              <w:snapToGrid w:val="0"/>
              <w:rPr>
                <w:color w:val="000000"/>
              </w:rPr>
            </w:pPr>
            <w:r>
              <w:rPr>
                <w:color w:val="000000"/>
              </w:rPr>
              <w:t>下标</w:t>
            </w:r>
          </w:p>
        </w:tc>
        <w:tc>
          <w:tcPr>
            <w:tcW w:w="3038" w:type="dxa"/>
          </w:tcPr>
          <w:p>
            <w:pPr>
              <w:snapToGrid w:val="0"/>
              <w:rPr>
                <w:color w:val="000000"/>
              </w:rPr>
            </w:pPr>
            <w:r>
              <w:rPr>
                <w:color w:val="000000"/>
              </w:rPr>
              <w:t>说明</w:t>
            </w:r>
          </w:p>
        </w:tc>
        <w:tc>
          <w:tcPr>
            <w:tcW w:w="1029" w:type="dxa"/>
          </w:tcPr>
          <w:p>
            <w:pPr>
              <w:snapToGrid w:val="0"/>
              <w:rPr>
                <w:color w:val="000000"/>
              </w:rPr>
            </w:pPr>
            <w:r>
              <w:rPr>
                <w:color w:val="000000"/>
              </w:rPr>
              <w:t>下标</w:t>
            </w:r>
          </w:p>
        </w:tc>
        <w:tc>
          <w:tcPr>
            <w:tcW w:w="2925" w:type="dxa"/>
          </w:tcPr>
          <w:p>
            <w:pPr>
              <w:snapToGrid w:val="0"/>
              <w:rPr>
                <w:color w:val="000000"/>
              </w:rPr>
            </w:pPr>
            <w:r>
              <w:rPr>
                <w:color w:val="000000"/>
              </w:rPr>
              <w:t>说明</w:t>
            </w:r>
          </w:p>
        </w:tc>
      </w:tr>
      <w:tr>
        <w:tblPrEx>
          <w:tblW w:w="0" w:type="auto"/>
          <w:jc w:val="center"/>
          <w:tblCellMar>
            <w:top w:w="0" w:type="dxa"/>
            <w:left w:w="108" w:type="dxa"/>
            <w:bottom w:w="0" w:type="dxa"/>
            <w:right w:w="108" w:type="dxa"/>
          </w:tblCellMar>
        </w:tblPrEx>
        <w:trPr>
          <w:trHeight w:val="388"/>
          <w:jc w:val="center"/>
        </w:trPr>
        <w:tc>
          <w:tcPr>
            <w:tcW w:w="914" w:type="dxa"/>
          </w:tcPr>
          <w:p>
            <w:pPr>
              <w:snapToGrid w:val="0"/>
              <w:rPr>
                <w:i/>
                <w:color w:val="000000"/>
              </w:rPr>
            </w:pPr>
            <w:r>
              <w:rPr>
                <w:i/>
                <w:color w:val="000000"/>
              </w:rPr>
              <w:t>B</w:t>
            </w:r>
          </w:p>
        </w:tc>
        <w:tc>
          <w:tcPr>
            <w:tcW w:w="3038" w:type="dxa"/>
          </w:tcPr>
          <w:p>
            <w:pPr>
              <w:snapToGrid w:val="0"/>
              <w:rPr>
                <w:color w:val="000000"/>
              </w:rPr>
            </w:pPr>
            <w:r>
              <w:rPr>
                <w:color w:val="000000"/>
              </w:rPr>
              <w:t>空气浮力（校准时）</w:t>
            </w:r>
          </w:p>
        </w:tc>
        <w:tc>
          <w:tcPr>
            <w:tcW w:w="1029" w:type="dxa"/>
          </w:tcPr>
          <w:p>
            <w:pPr>
              <w:snapToGrid w:val="0"/>
              <w:rPr>
                <w:color w:val="000000"/>
              </w:rPr>
            </w:pPr>
            <w:r>
              <w:rPr>
                <w:i/>
                <w:color w:val="000000"/>
              </w:rPr>
              <w:t>i</w:t>
            </w:r>
            <w:r>
              <w:rPr>
                <w:color w:val="000000"/>
              </w:rPr>
              <w:t xml:space="preserve">, </w:t>
            </w:r>
            <w:r>
              <w:rPr>
                <w:i/>
                <w:color w:val="000000"/>
              </w:rPr>
              <w:t>j</w:t>
            </w:r>
          </w:p>
        </w:tc>
        <w:tc>
          <w:tcPr>
            <w:tcW w:w="2925" w:type="dxa"/>
          </w:tcPr>
          <w:p>
            <w:pPr>
              <w:snapToGrid w:val="0"/>
              <w:rPr>
                <w:color w:val="000000"/>
              </w:rPr>
            </w:pPr>
            <w:r>
              <w:rPr>
                <w:color w:val="000000"/>
              </w:rPr>
              <w:t>编号</w:t>
            </w:r>
          </w:p>
        </w:tc>
      </w:tr>
      <w:tr>
        <w:tblPrEx>
          <w:tblW w:w="0" w:type="auto"/>
          <w:jc w:val="center"/>
          <w:tblCellMar>
            <w:top w:w="0" w:type="dxa"/>
            <w:left w:w="108" w:type="dxa"/>
            <w:bottom w:w="0" w:type="dxa"/>
            <w:right w:w="108" w:type="dxa"/>
          </w:tblCellMar>
        </w:tblPrEx>
        <w:trPr>
          <w:trHeight w:val="408"/>
          <w:jc w:val="center"/>
        </w:trPr>
        <w:tc>
          <w:tcPr>
            <w:tcW w:w="914" w:type="dxa"/>
          </w:tcPr>
          <w:p>
            <w:pPr>
              <w:snapToGrid w:val="0"/>
              <w:rPr>
                <w:i/>
                <w:color w:val="000000"/>
              </w:rPr>
            </w:pPr>
            <w:r>
              <w:rPr>
                <w:i/>
                <w:color w:val="000000"/>
              </w:rPr>
              <w:t>D</w:t>
            </w:r>
          </w:p>
        </w:tc>
        <w:tc>
          <w:tcPr>
            <w:tcW w:w="3038" w:type="dxa"/>
          </w:tcPr>
          <w:p>
            <w:pPr>
              <w:snapToGrid w:val="0"/>
              <w:rPr>
                <w:color w:val="000000"/>
              </w:rPr>
            </w:pPr>
            <w:r>
              <w:rPr>
                <w:color w:val="000000"/>
              </w:rPr>
              <w:t>漂移</w:t>
            </w:r>
          </w:p>
        </w:tc>
        <w:tc>
          <w:tcPr>
            <w:tcW w:w="1029" w:type="dxa"/>
          </w:tcPr>
          <w:p>
            <w:pPr>
              <w:snapToGrid w:val="0"/>
              <w:rPr>
                <w:i/>
                <w:color w:val="000000"/>
              </w:rPr>
            </w:pPr>
            <w:r>
              <w:rPr>
                <w:i/>
                <w:color w:val="000000"/>
              </w:rPr>
              <w:t>max</w:t>
            </w:r>
          </w:p>
        </w:tc>
        <w:tc>
          <w:tcPr>
            <w:tcW w:w="2925" w:type="dxa"/>
          </w:tcPr>
          <w:p>
            <w:pPr>
              <w:snapToGrid w:val="0"/>
              <w:rPr>
                <w:color w:val="000000"/>
              </w:rPr>
            </w:pPr>
            <w:r>
              <w:rPr>
                <w:color w:val="000000"/>
              </w:rPr>
              <w:t>最大值</w:t>
            </w:r>
          </w:p>
        </w:tc>
      </w:tr>
      <w:tr>
        <w:tblPrEx>
          <w:tblW w:w="0" w:type="auto"/>
          <w:jc w:val="center"/>
          <w:tblCellMar>
            <w:top w:w="0" w:type="dxa"/>
            <w:left w:w="108" w:type="dxa"/>
            <w:bottom w:w="0" w:type="dxa"/>
            <w:right w:w="108" w:type="dxa"/>
          </w:tblCellMar>
        </w:tblPrEx>
        <w:trPr>
          <w:trHeight w:val="408"/>
          <w:jc w:val="center"/>
        </w:trPr>
        <w:tc>
          <w:tcPr>
            <w:tcW w:w="914" w:type="dxa"/>
          </w:tcPr>
          <w:p>
            <w:pPr>
              <w:snapToGrid w:val="0"/>
              <w:rPr>
                <w:i/>
                <w:color w:val="000000"/>
              </w:rPr>
            </w:pPr>
            <w:r>
              <w:rPr>
                <w:i/>
                <w:color w:val="000000"/>
              </w:rPr>
              <w:t>N</w:t>
            </w:r>
          </w:p>
        </w:tc>
        <w:tc>
          <w:tcPr>
            <w:tcW w:w="3038" w:type="dxa"/>
          </w:tcPr>
          <w:p>
            <w:pPr>
              <w:snapToGrid w:val="0"/>
              <w:rPr>
                <w:color w:val="000000"/>
              </w:rPr>
            </w:pPr>
            <w:r>
              <w:rPr>
                <w:color w:val="000000"/>
              </w:rPr>
              <w:t>标称值</w:t>
            </w:r>
          </w:p>
        </w:tc>
        <w:tc>
          <w:tcPr>
            <w:tcW w:w="1029" w:type="dxa"/>
          </w:tcPr>
          <w:p>
            <w:pPr>
              <w:snapToGrid w:val="0"/>
              <w:rPr>
                <w:i/>
                <w:color w:val="000000"/>
              </w:rPr>
            </w:pPr>
            <w:r>
              <w:rPr>
                <w:i/>
                <w:color w:val="000000"/>
              </w:rPr>
              <w:t>min</w:t>
            </w:r>
          </w:p>
        </w:tc>
        <w:tc>
          <w:tcPr>
            <w:tcW w:w="2925" w:type="dxa"/>
          </w:tcPr>
          <w:p>
            <w:pPr>
              <w:snapToGrid w:val="0"/>
              <w:rPr>
                <w:color w:val="000000"/>
              </w:rPr>
            </w:pPr>
            <w:r>
              <w:rPr>
                <w:color w:val="000000"/>
              </w:rPr>
              <w:t>最小值</w:t>
            </w:r>
          </w:p>
        </w:tc>
      </w:tr>
      <w:tr>
        <w:tblPrEx>
          <w:tblW w:w="0" w:type="auto"/>
          <w:jc w:val="center"/>
          <w:tblCellMar>
            <w:top w:w="0" w:type="dxa"/>
            <w:left w:w="108" w:type="dxa"/>
            <w:bottom w:w="0" w:type="dxa"/>
            <w:right w:w="108" w:type="dxa"/>
          </w:tblCellMar>
        </w:tblPrEx>
        <w:trPr>
          <w:trHeight w:val="408"/>
          <w:jc w:val="center"/>
        </w:trPr>
        <w:tc>
          <w:tcPr>
            <w:tcW w:w="914" w:type="dxa"/>
          </w:tcPr>
          <w:p>
            <w:pPr>
              <w:snapToGrid w:val="0"/>
              <w:rPr>
                <w:i/>
                <w:color w:val="000000"/>
              </w:rPr>
            </w:pPr>
            <w:r>
              <w:rPr>
                <w:i/>
                <w:color w:val="000000"/>
              </w:rPr>
              <w:t>ecc</w:t>
            </w:r>
          </w:p>
        </w:tc>
        <w:tc>
          <w:tcPr>
            <w:tcW w:w="3038" w:type="dxa"/>
          </w:tcPr>
          <w:p>
            <w:pPr>
              <w:snapToGrid w:val="0"/>
              <w:rPr>
                <w:color w:val="000000"/>
              </w:rPr>
            </w:pPr>
            <w:r>
              <w:rPr>
                <w:color w:val="000000"/>
              </w:rPr>
              <w:t>载荷的不同位置</w:t>
            </w:r>
          </w:p>
        </w:tc>
        <w:tc>
          <w:tcPr>
            <w:tcW w:w="1029" w:type="dxa"/>
          </w:tcPr>
          <w:p>
            <w:pPr>
              <w:snapToGrid w:val="0"/>
              <w:rPr>
                <w:color w:val="000000"/>
              </w:rPr>
            </w:pPr>
            <w:r>
              <w:rPr>
                <w:color w:val="000000"/>
              </w:rPr>
              <w:t>0</w:t>
            </w:r>
          </w:p>
        </w:tc>
        <w:tc>
          <w:tcPr>
            <w:tcW w:w="2925" w:type="dxa"/>
          </w:tcPr>
          <w:p>
            <w:pPr>
              <w:snapToGrid w:val="0"/>
              <w:rPr>
                <w:color w:val="000000"/>
              </w:rPr>
            </w:pPr>
            <w:r>
              <w:rPr>
                <w:color w:val="000000"/>
              </w:rPr>
              <w:t>空载</w:t>
            </w:r>
          </w:p>
        </w:tc>
      </w:tr>
      <w:tr>
        <w:tblPrEx>
          <w:tblW w:w="0" w:type="auto"/>
          <w:jc w:val="center"/>
          <w:tblCellMar>
            <w:top w:w="0" w:type="dxa"/>
            <w:left w:w="108" w:type="dxa"/>
            <w:bottom w:w="0" w:type="dxa"/>
            <w:right w:w="108" w:type="dxa"/>
          </w:tblCellMar>
        </w:tblPrEx>
        <w:trPr>
          <w:trHeight w:val="408"/>
          <w:jc w:val="center"/>
        </w:trPr>
        <w:tc>
          <w:tcPr>
            <w:tcW w:w="914" w:type="dxa"/>
          </w:tcPr>
          <w:p>
            <w:pPr>
              <w:snapToGrid w:val="0"/>
              <w:rPr>
                <w:i/>
                <w:color w:val="000000"/>
              </w:rPr>
            </w:pPr>
            <w:r>
              <w:rPr>
                <w:i/>
                <w:color w:val="000000"/>
              </w:rPr>
              <w:t>rep</w:t>
            </w:r>
          </w:p>
        </w:tc>
        <w:tc>
          <w:tcPr>
            <w:tcW w:w="3038" w:type="dxa"/>
          </w:tcPr>
          <w:p>
            <w:pPr>
              <w:snapToGrid w:val="0"/>
              <w:rPr>
                <w:color w:val="000000"/>
              </w:rPr>
            </w:pPr>
            <w:r>
              <w:rPr>
                <w:color w:val="000000"/>
              </w:rPr>
              <w:t>重复性</w:t>
            </w:r>
          </w:p>
        </w:tc>
        <w:tc>
          <w:tcPr>
            <w:tcW w:w="1029" w:type="dxa"/>
          </w:tcPr>
          <w:p>
            <w:pPr>
              <w:snapToGrid w:val="0"/>
              <w:rPr>
                <w:i/>
                <w:color w:val="000000"/>
              </w:rPr>
            </w:pPr>
            <w:r>
              <w:rPr>
                <w:i/>
                <w:color w:val="000000"/>
              </w:rPr>
              <w:t>ref</w:t>
            </w:r>
          </w:p>
        </w:tc>
        <w:tc>
          <w:tcPr>
            <w:tcW w:w="2925" w:type="dxa"/>
          </w:tcPr>
          <w:p>
            <w:pPr>
              <w:snapToGrid w:val="0"/>
              <w:rPr>
                <w:color w:val="000000"/>
              </w:rPr>
            </w:pPr>
            <w:r>
              <w:rPr>
                <w:color w:val="000000"/>
              </w:rPr>
              <w:t>参考</w:t>
            </w:r>
          </w:p>
        </w:tc>
      </w:tr>
      <w:tr>
        <w:tblPrEx>
          <w:tblW w:w="0" w:type="auto"/>
          <w:jc w:val="center"/>
          <w:tblCellMar>
            <w:top w:w="0" w:type="dxa"/>
            <w:left w:w="108" w:type="dxa"/>
            <w:bottom w:w="0" w:type="dxa"/>
            <w:right w:w="108" w:type="dxa"/>
          </w:tblCellMar>
        </w:tblPrEx>
        <w:trPr>
          <w:trHeight w:val="408"/>
          <w:jc w:val="center"/>
        </w:trPr>
        <w:tc>
          <w:tcPr>
            <w:tcW w:w="914" w:type="dxa"/>
          </w:tcPr>
          <w:p>
            <w:pPr>
              <w:snapToGrid w:val="0"/>
              <w:rPr>
                <w:i/>
                <w:color w:val="000000"/>
              </w:rPr>
            </w:pPr>
            <w:r>
              <w:rPr>
                <w:i/>
                <w:color w:val="000000" w:themeColor="text1"/>
                <w:sz w:val="20"/>
                <w:szCs w:val="20"/>
                <w:shd w:val="clear" w:color="auto" w:fill="FFFFFF"/>
                <w14:textFill>
                  <w14:solidFill>
                    <w14:schemeClr w14:val="tx1"/>
                  </w14:solidFill>
                </w14:textFill>
              </w:rPr>
              <w:t>p</w:t>
            </w:r>
          </w:p>
        </w:tc>
        <w:tc>
          <w:tcPr>
            <w:tcW w:w="3038" w:type="dxa"/>
          </w:tcPr>
          <w:p>
            <w:pPr>
              <w:snapToGrid w:val="0"/>
              <w:rPr>
                <w:color w:val="000000"/>
              </w:rPr>
            </w:pPr>
            <w:r>
              <w:rPr>
                <w:color w:val="000000"/>
              </w:rPr>
              <w:t>包含概率</w:t>
            </w:r>
          </w:p>
        </w:tc>
        <w:tc>
          <w:tcPr>
            <w:tcW w:w="1029" w:type="dxa"/>
          </w:tcPr>
          <w:p>
            <w:pPr>
              <w:snapToGrid w:val="0"/>
              <w:rPr>
                <w:i/>
                <w:color w:val="000000"/>
              </w:rPr>
            </w:pPr>
            <w:r>
              <w:rPr>
                <w:i/>
                <w:color w:val="000000"/>
              </w:rPr>
              <w:t>ms</w:t>
            </w:r>
          </w:p>
        </w:tc>
        <w:tc>
          <w:tcPr>
            <w:tcW w:w="2925" w:type="dxa"/>
          </w:tcPr>
          <w:p>
            <w:pPr>
              <w:snapToGrid w:val="0"/>
              <w:rPr>
                <w:color w:val="000000"/>
              </w:rPr>
            </w:pPr>
            <w:r>
              <w:rPr>
                <w:color w:val="000000" w:themeColor="text1"/>
                <w:szCs w:val="21"/>
                <w14:textFill>
                  <w14:solidFill>
                    <w14:schemeClr w14:val="tx1"/>
                  </w14:solidFill>
                </w14:textFill>
              </w:rPr>
              <w:t>局部示值误差用标准砝码</w:t>
            </w:r>
          </w:p>
        </w:tc>
      </w:tr>
      <w:tr>
        <w:tblPrEx>
          <w:tblW w:w="0" w:type="auto"/>
          <w:jc w:val="center"/>
          <w:tblCellMar>
            <w:top w:w="0" w:type="dxa"/>
            <w:left w:w="108" w:type="dxa"/>
            <w:bottom w:w="0" w:type="dxa"/>
            <w:right w:w="108" w:type="dxa"/>
          </w:tblCellMar>
        </w:tblPrEx>
        <w:trPr>
          <w:trHeight w:val="408"/>
          <w:jc w:val="center"/>
        </w:trPr>
        <w:tc>
          <w:tcPr>
            <w:tcW w:w="914" w:type="dxa"/>
          </w:tcPr>
          <w:p>
            <w:pPr>
              <w:snapToGrid w:val="0"/>
              <w:rPr>
                <w:i/>
                <w:color w:val="000000" w:themeColor="text1"/>
                <w:sz w:val="20"/>
                <w:szCs w:val="20"/>
                <w:shd w:val="clear" w:color="auto" w:fill="FFFFFF"/>
                <w14:textFill>
                  <w14:solidFill>
                    <w14:schemeClr w14:val="tx1"/>
                  </w14:solidFill>
                </w14:textFill>
              </w:rPr>
            </w:pPr>
            <w:r>
              <w:rPr>
                <w:i/>
                <w:color w:val="000000" w:themeColor="text1"/>
                <w:sz w:val="20"/>
                <w:szCs w:val="20"/>
                <w:shd w:val="clear" w:color="auto" w:fill="FFFFFF"/>
                <w14:textFill>
                  <w14:solidFill>
                    <w14:schemeClr w14:val="tx1"/>
                  </w14:solidFill>
                </w14:textFill>
              </w:rPr>
              <w:t>t</w:t>
            </w:r>
          </w:p>
        </w:tc>
        <w:tc>
          <w:tcPr>
            <w:tcW w:w="3038" w:type="dxa"/>
          </w:tcPr>
          <w:p>
            <w:pPr>
              <w:snapToGrid w:val="0"/>
              <w:rPr>
                <w:color w:val="000000"/>
              </w:rPr>
            </w:pPr>
            <w:r>
              <w:rPr>
                <w:color w:val="000000"/>
              </w:rPr>
              <w:t>试验载荷</w:t>
            </w:r>
          </w:p>
        </w:tc>
        <w:tc>
          <w:tcPr>
            <w:tcW w:w="1029" w:type="dxa"/>
          </w:tcPr>
          <w:p>
            <w:pPr>
              <w:snapToGrid w:val="0"/>
              <w:rPr>
                <w:i/>
                <w:color w:val="000000"/>
              </w:rPr>
            </w:pPr>
          </w:p>
        </w:tc>
        <w:tc>
          <w:tcPr>
            <w:tcW w:w="2925" w:type="dxa"/>
          </w:tcPr>
          <w:p>
            <w:pPr>
              <w:snapToGrid w:val="0"/>
              <w:rPr>
                <w:color w:val="000000" w:themeColor="text1"/>
                <w:szCs w:val="21"/>
                <w14:textFill>
                  <w14:solidFill>
                    <w14:schemeClr w14:val="tx1"/>
                  </w14:solidFill>
                </w14:textFill>
              </w:rPr>
            </w:pPr>
          </w:p>
        </w:tc>
      </w:tr>
    </w:tbl>
    <w:p>
      <w:pPr>
        <w:spacing w:before="156" w:beforeLines="50" w:after="156" w:afterLines="50"/>
        <w:rPr>
          <w:color w:val="000000"/>
        </w:rPr>
      </w:pPr>
      <w:r>
        <w:rPr>
          <w:color w:val="000000"/>
        </w:rPr>
        <w:t>3.3  计量单位</w:t>
      </w:r>
    </w:p>
    <w:p>
      <w:pPr>
        <w:spacing w:after="156" w:afterLines="50"/>
        <w:ind w:firstLine="359" w:firstLineChars="171"/>
        <w:rPr>
          <w:color w:val="000000"/>
        </w:rPr>
      </w:pPr>
      <w:r>
        <w:rPr>
          <w:color w:val="000000"/>
        </w:rPr>
        <w:t>使用的单位：微克（</w:t>
      </w:r>
      <w:r>
        <w:rPr>
          <w:rFonts w:ascii="Symbol" w:hAnsi="Symbol"/>
          <w:color w:val="000000"/>
        </w:rPr>
        <w:sym w:font="Symbol" w:char="F06D"/>
      </w:r>
      <w:r>
        <w:rPr>
          <w:color w:val="000000"/>
        </w:rPr>
        <w:t>g）、毫克（mg）、克（g）、公斤（或千克）（kg）和吨（t）。</w:t>
      </w:r>
    </w:p>
    <w:p>
      <w:pPr>
        <w:spacing w:after="156" w:afterLines="50"/>
        <w:rPr>
          <w:b/>
          <w:color w:val="000000"/>
        </w:rPr>
      </w:pPr>
    </w:p>
    <w:p>
      <w:pPr>
        <w:spacing w:after="156" w:afterLines="50"/>
        <w:rPr>
          <w:b/>
          <w:color w:val="000000"/>
        </w:rPr>
        <w:sectPr>
          <w:headerReference w:type="default" r:id="rId20"/>
          <w:footerReference w:type="even" r:id="rId21"/>
          <w:footerReference w:type="default" r:id="rId22"/>
          <w:type w:val="nextPage"/>
          <w:pgSz w:w="11906" w:h="16838"/>
          <w:pgMar w:top="1440" w:right="1558" w:bottom="1440" w:left="1797" w:header="851" w:footer="992" w:gutter="0"/>
          <w:pgNumType w:start="3"/>
          <w:cols w:num="1" w:space="425"/>
          <w:titlePg w:val="0"/>
          <w:docGrid w:type="linesAndChars" w:linePitch="312" w:charSpace="0"/>
        </w:sectPr>
      </w:pPr>
      <w:r>
        <w:rPr>
          <w:b/>
          <w:color w:val="000000"/>
        </w:rPr>
        <w:t>4  概述</w:t>
      </w:r>
    </w:p>
    <w:p>
      <w:pPr>
        <w:pStyle w:val="BodyTextIndent"/>
        <w:spacing w:after="156" w:afterLines="50"/>
        <w:ind w:firstLine="0" w:firstLineChars="0"/>
        <w:rPr>
          <w:color w:val="000000"/>
        </w:rPr>
      </w:pPr>
      <w:r>
        <w:rPr>
          <w:color w:val="000000"/>
        </w:rPr>
        <w:t>4.1  原理</w:t>
      </w:r>
    </w:p>
    <w:p>
      <w:pPr>
        <w:pStyle w:val="BodyTextIndent"/>
        <w:spacing w:after="156" w:afterLines="50"/>
        <w:ind w:firstLine="359" w:firstLineChars="171"/>
        <w:rPr>
          <w:color w:val="000000"/>
        </w:rPr>
      </w:pPr>
      <w:r>
        <w:rPr>
          <w:color w:val="000000"/>
        </w:rPr>
        <w:t>比较仪主要是根据测量弹性元件的变形和应变，或电磁力反馈平衡的原理制造的电子</w:t>
      </w:r>
      <w:r>
        <w:rPr>
          <w:color w:val="000000"/>
          <w:szCs w:val="21"/>
        </w:rPr>
        <w:t>衡量</w:t>
      </w:r>
      <w:r>
        <w:rPr>
          <w:color w:val="000000"/>
        </w:rPr>
        <w:t>设备。</w:t>
      </w:r>
    </w:p>
    <w:p>
      <w:pPr>
        <w:pStyle w:val="BodyTextIndent"/>
        <w:spacing w:after="156" w:afterLines="50"/>
        <w:ind w:firstLine="0" w:firstLineChars="0"/>
        <w:rPr>
          <w:color w:val="000000"/>
        </w:rPr>
      </w:pPr>
      <w:r>
        <w:rPr>
          <w:color w:val="000000"/>
        </w:rPr>
        <w:t>4.2  用途</w:t>
      </w:r>
    </w:p>
    <w:p>
      <w:pPr>
        <w:pStyle w:val="BodyTextIndent"/>
        <w:spacing w:after="156" w:afterLines="50"/>
        <w:rPr>
          <w:color w:val="000000"/>
        </w:rPr>
      </w:pPr>
      <w:r>
        <w:rPr>
          <w:color w:val="000000"/>
        </w:rPr>
        <w:t>比较仪，是基于ABA或ABBA循环方式测量质量差值，用于砝码传递或其他特殊用途的，以全量程或电子秤量范围加配衡的称量方式的高分辨率电子衡量设备。应用于各级质量量值传递机构、高准确度质量测量部门。</w:t>
      </w:r>
    </w:p>
    <w:p>
      <w:pPr>
        <w:pStyle w:val="BodyTextIndent"/>
        <w:spacing w:after="156" w:afterLines="50"/>
        <w:ind w:firstLine="0" w:firstLineChars="0"/>
        <w:rPr>
          <w:color w:val="000000"/>
        </w:rPr>
      </w:pPr>
      <w:r>
        <w:rPr>
          <w:color w:val="000000"/>
        </w:rPr>
        <w:t>4.3  结构</w:t>
      </w:r>
    </w:p>
    <w:p>
      <w:pPr>
        <w:pStyle w:val="BodyTextIndent"/>
        <w:spacing w:after="156" w:afterLines="50"/>
        <w:ind w:firstLine="0" w:firstLineChars="0"/>
        <w:rPr>
          <w:color w:val="000000"/>
        </w:rPr>
      </w:pPr>
      <w:r>
        <w:rPr>
          <w:color w:val="000000"/>
        </w:rPr>
        <w:tab/>
      </w:r>
      <w:r>
        <w:rPr>
          <w:color w:val="000000"/>
        </w:rPr>
        <w:t>比较仪的结构应满足在其进行校准和使用过程中的安全、可靠，不得存在对操作人员及被测仪器造成危害、危险的元器件。</w:t>
      </w:r>
    </w:p>
    <w:p>
      <w:pPr>
        <w:spacing w:after="156" w:afterLines="50"/>
        <w:rPr>
          <w:color w:val="000000"/>
        </w:rPr>
      </w:pPr>
      <w:r>
        <w:rPr>
          <w:color w:val="000000"/>
        </w:rPr>
        <w:t>4.3.1  比较仪的说明性标记</w:t>
      </w:r>
    </w:p>
    <w:p>
      <w:pPr>
        <w:spacing w:after="156" w:afterLines="50"/>
        <w:ind w:firstLine="359" w:firstLineChars="171"/>
        <w:rPr>
          <w:color w:val="000000"/>
        </w:rPr>
      </w:pPr>
      <w:r>
        <w:rPr>
          <w:color w:val="000000"/>
        </w:rPr>
        <w:t>一切场合都必备的标记：</w:t>
      </w:r>
    </w:p>
    <w:p>
      <w:pPr>
        <w:spacing w:after="156" w:afterLines="50"/>
        <w:ind w:left="360"/>
        <w:rPr>
          <w:color w:val="000000"/>
        </w:rPr>
      </w:pPr>
      <w:r>
        <w:rPr>
          <w:color w:val="000000"/>
        </w:rPr>
        <w:t>a</w:t>
      </w:r>
      <w:r>
        <w:rPr>
          <w:rFonts w:hint="eastAsia"/>
          <w:color w:val="000000"/>
        </w:rPr>
        <w:t>)</w:t>
      </w:r>
      <w:r>
        <w:rPr>
          <w:color w:val="000000"/>
        </w:rPr>
        <w:t xml:space="preserve">  制造厂名称或标记；</w:t>
      </w:r>
    </w:p>
    <w:p>
      <w:pPr>
        <w:spacing w:after="156" w:afterLines="50"/>
        <w:ind w:left="360"/>
        <w:rPr>
          <w:color w:val="000000"/>
        </w:rPr>
      </w:pPr>
      <w:r>
        <w:rPr>
          <w:color w:val="000000"/>
        </w:rPr>
        <w:t>b</w:t>
      </w:r>
      <w:r>
        <w:rPr>
          <w:rFonts w:hint="eastAsia"/>
          <w:color w:val="000000"/>
        </w:rPr>
        <w:t>)</w:t>
      </w:r>
      <w:r>
        <w:rPr>
          <w:color w:val="000000"/>
        </w:rPr>
        <w:t xml:space="preserve">  产品名称；</w:t>
      </w:r>
    </w:p>
    <w:p>
      <w:pPr>
        <w:spacing w:after="156" w:afterLines="50"/>
        <w:ind w:left="360"/>
        <w:rPr>
          <w:color w:val="000000"/>
        </w:rPr>
      </w:pPr>
      <w:r>
        <w:rPr>
          <w:color w:val="000000"/>
        </w:rPr>
        <w:t>c</w:t>
      </w:r>
      <w:r>
        <w:rPr>
          <w:rFonts w:hint="eastAsia"/>
          <w:color w:val="000000"/>
        </w:rPr>
        <w:t>)</w:t>
      </w:r>
      <w:r>
        <w:rPr>
          <w:color w:val="000000"/>
        </w:rPr>
        <w:t xml:space="preserve">  规格型号；</w:t>
      </w:r>
    </w:p>
    <w:p>
      <w:pPr>
        <w:spacing w:after="156" w:afterLines="50"/>
        <w:ind w:left="360"/>
        <w:rPr>
          <w:color w:val="000000"/>
        </w:rPr>
      </w:pPr>
      <w:r>
        <w:rPr>
          <w:color w:val="000000"/>
        </w:rPr>
        <w:t>d</w:t>
      </w:r>
      <w:r>
        <w:rPr>
          <w:rFonts w:hint="eastAsia"/>
          <w:color w:val="000000"/>
        </w:rPr>
        <w:t>)</w:t>
      </w:r>
      <w:r>
        <w:rPr>
          <w:color w:val="000000"/>
        </w:rPr>
        <w:t xml:space="preserve">  最大承载表示为  </w:t>
      </w:r>
      <w:r>
        <w:rPr>
          <w:i/>
          <w:color w:val="000000"/>
        </w:rPr>
        <w:t>Max</w:t>
      </w:r>
      <w:r>
        <w:rPr>
          <w:color w:val="000000"/>
        </w:rPr>
        <w:t>；</w:t>
      </w:r>
    </w:p>
    <w:p>
      <w:pPr>
        <w:tabs>
          <w:tab w:val="left" w:pos="360"/>
        </w:tabs>
        <w:spacing w:after="156" w:afterLines="50"/>
        <w:ind w:left="360"/>
        <w:rPr>
          <w:color w:val="000000"/>
        </w:rPr>
      </w:pPr>
      <w:r>
        <w:rPr>
          <w:color w:val="000000"/>
        </w:rPr>
        <w:t>e</w:t>
      </w:r>
      <w:r>
        <w:rPr>
          <w:rFonts w:hint="eastAsia"/>
          <w:color w:val="000000"/>
        </w:rPr>
        <w:t>)</w:t>
      </w:r>
      <w:r>
        <w:rPr>
          <w:color w:val="000000"/>
        </w:rPr>
        <w:t xml:space="preserve">  实际分度值为  </w:t>
      </w:r>
      <w:r>
        <w:rPr>
          <w:i/>
          <w:color w:val="000000"/>
        </w:rPr>
        <w:t>d</w:t>
      </w:r>
      <w:r>
        <w:rPr>
          <w:color w:val="000000"/>
        </w:rPr>
        <w:t>；</w:t>
      </w:r>
    </w:p>
    <w:p>
      <w:pPr>
        <w:tabs>
          <w:tab w:val="left" w:pos="360"/>
        </w:tabs>
        <w:spacing w:after="156" w:afterLines="50"/>
        <w:ind w:left="360"/>
        <w:rPr>
          <w:color w:val="000000"/>
        </w:rPr>
      </w:pPr>
      <w:r>
        <w:rPr>
          <w:color w:val="000000"/>
        </w:rPr>
        <w:t>f</w:t>
      </w:r>
      <w:r>
        <w:rPr>
          <w:rFonts w:hint="eastAsia"/>
          <w:color w:val="000000"/>
        </w:rPr>
        <w:t>)</w:t>
      </w:r>
      <w:r>
        <w:rPr>
          <w:color w:val="000000"/>
        </w:rPr>
        <w:t xml:space="preserve">  出厂编号；</w:t>
      </w:r>
    </w:p>
    <w:p>
      <w:pPr>
        <w:tabs>
          <w:tab w:val="left" w:pos="360"/>
        </w:tabs>
        <w:spacing w:after="156" w:afterLines="50"/>
        <w:ind w:left="360"/>
        <w:rPr>
          <w:color w:val="000000"/>
        </w:rPr>
      </w:pPr>
      <w:r>
        <w:rPr>
          <w:color w:val="000000"/>
        </w:rPr>
        <w:t>g</w:t>
      </w:r>
      <w:r>
        <w:rPr>
          <w:rFonts w:hint="eastAsia"/>
          <w:color w:val="000000"/>
        </w:rPr>
        <w:t>)</w:t>
      </w:r>
      <w:r>
        <w:rPr>
          <w:color w:val="000000"/>
        </w:rPr>
        <w:t xml:space="preserve">  出厂日期；</w:t>
      </w:r>
    </w:p>
    <w:p>
      <w:pPr>
        <w:tabs>
          <w:tab w:val="left" w:pos="360"/>
        </w:tabs>
        <w:spacing w:after="156" w:afterLines="50"/>
        <w:ind w:left="360"/>
        <w:rPr>
          <w:color w:val="000000"/>
        </w:rPr>
      </w:pPr>
      <w:r>
        <w:rPr>
          <w:color w:val="000000"/>
        </w:rPr>
        <w:t>h</w:t>
      </w:r>
      <w:r>
        <w:rPr>
          <w:rFonts w:hint="eastAsia"/>
          <w:color w:val="000000"/>
        </w:rPr>
        <w:t>)</w:t>
      </w:r>
      <w:r>
        <w:rPr>
          <w:color w:val="000000"/>
        </w:rPr>
        <w:t xml:space="preserve">  电源电压  …V，或（…~…）V；</w:t>
      </w:r>
    </w:p>
    <w:p>
      <w:pPr>
        <w:tabs>
          <w:tab w:val="left" w:pos="360"/>
        </w:tabs>
        <w:spacing w:after="156" w:afterLines="50"/>
        <w:ind w:left="360"/>
        <w:rPr>
          <w:color w:val="000000"/>
        </w:rPr>
      </w:pPr>
      <w:r>
        <w:rPr>
          <w:color w:val="000000"/>
        </w:rPr>
        <w:t>i</w:t>
      </w:r>
      <w:r>
        <w:rPr>
          <w:rFonts w:hint="eastAsia"/>
          <w:color w:val="000000"/>
        </w:rPr>
        <w:t>)</w:t>
      </w:r>
      <w:r>
        <w:rPr>
          <w:color w:val="000000"/>
        </w:rPr>
        <w:t xml:space="preserve">  电源频率  …Hz。</w:t>
      </w:r>
    </w:p>
    <w:p>
      <w:pPr>
        <w:spacing w:after="156" w:afterLines="50"/>
        <w:ind w:firstLine="359" w:firstLineChars="171"/>
        <w:rPr>
          <w:color w:val="000000"/>
        </w:rPr>
      </w:pPr>
      <w:r>
        <w:rPr>
          <w:color w:val="000000"/>
        </w:rPr>
        <w:t>上述说明性标记必须是擦不掉的，且应使其大小、形状和清晰度在比较仪的正常使用条件下容易阅读。载有标记的牌子必须能封牢，不易破坏或拆卸。</w:t>
      </w:r>
    </w:p>
    <w:p>
      <w:pPr>
        <w:spacing w:after="156" w:afterLines="50"/>
        <w:rPr>
          <w:color w:val="000000"/>
        </w:rPr>
      </w:pPr>
    </w:p>
    <w:p>
      <w:pPr>
        <w:spacing w:after="156" w:afterLines="50"/>
        <w:rPr>
          <w:color w:val="000000"/>
        </w:rPr>
      </w:pPr>
      <w:r>
        <w:rPr>
          <w:color w:val="000000"/>
        </w:rPr>
        <w:t>4.3.2  比较仪的表面镀层和涂层</w:t>
      </w:r>
    </w:p>
    <w:p>
      <w:pPr>
        <w:spacing w:after="156" w:afterLines="50"/>
        <w:ind w:firstLine="420" w:firstLineChars="200"/>
        <w:rPr>
          <w:color w:val="000000"/>
        </w:rPr>
      </w:pPr>
      <w:r>
        <w:rPr>
          <w:color w:val="000000"/>
        </w:rPr>
        <w:t>表面镀层或涂覆层的色泽应均匀（外观不得具有显见的缺陷）。</w:t>
      </w:r>
    </w:p>
    <w:p>
      <w:pPr>
        <w:spacing w:after="156" w:afterLines="50"/>
        <w:rPr>
          <w:color w:val="000000"/>
        </w:rPr>
      </w:pPr>
      <w:r>
        <w:rPr>
          <w:color w:val="000000"/>
        </w:rPr>
        <w:t>4.3.3  比较仪外罩</w:t>
      </w:r>
    </w:p>
    <w:p>
      <w:pPr>
        <w:spacing w:after="156" w:afterLines="50"/>
        <w:ind w:firstLine="435"/>
        <w:rPr>
          <w:color w:val="000000"/>
        </w:rPr>
      </w:pPr>
      <w:r>
        <w:rPr>
          <w:color w:val="000000"/>
        </w:rPr>
        <w:t>设有外罩的比较仪，其外罩应平稳，不得有明显的歪斜、变形、裂缝、划伤等缺陷。各门窗启闭应轻便灵活，不得过紧、过于晃动或自落。</w:t>
      </w:r>
    </w:p>
    <w:p>
      <w:pPr>
        <w:spacing w:after="156" w:afterLines="50"/>
        <w:rPr>
          <w:color w:val="000000"/>
        </w:rPr>
      </w:pPr>
      <w:r>
        <w:rPr>
          <w:color w:val="000000"/>
        </w:rPr>
        <w:t>4.3.4  比较仪的读数显示应均匀，不缺划，读数应在显示器窗口的适中位置，无显见的歪斜现象。</w:t>
      </w:r>
    </w:p>
    <w:p>
      <w:pPr>
        <w:pStyle w:val="Date"/>
        <w:spacing w:after="156" w:afterLines="50"/>
        <w:ind w:left="0" w:firstLine="359" w:leftChars="0" w:firstLineChars="171"/>
        <w:rPr>
          <w:color w:val="000000"/>
        </w:rPr>
        <w:sectPr>
          <w:headerReference w:type="default" r:id="rId23"/>
          <w:footerReference w:type="even" r:id="rId24"/>
          <w:footerReference w:type="default" r:id="rId25"/>
          <w:type w:val="nextPage"/>
          <w:pgSz w:w="11906" w:h="16838"/>
          <w:pgMar w:top="1440" w:right="1558" w:bottom="1440" w:left="1797" w:header="851" w:footer="992" w:gutter="0"/>
          <w:pgNumType w:start="4"/>
          <w:cols w:num="1" w:space="425"/>
          <w:titlePg w:val="0"/>
          <w:docGrid w:type="linesAndChars" w:linePitch="312" w:charSpace="0"/>
        </w:sectPr>
      </w:pPr>
      <w:r>
        <w:rPr>
          <w:color w:val="000000"/>
        </w:rPr>
        <w:t>a) 比较仪的读数品质</w:t>
      </w:r>
    </w:p>
    <w:p>
      <w:pPr>
        <w:spacing w:after="156" w:afterLines="50"/>
        <w:ind w:firstLine="359" w:firstLineChars="171"/>
        <w:rPr>
          <w:color w:val="000000"/>
        </w:rPr>
      </w:pPr>
      <w:r>
        <w:rPr>
          <w:color w:val="000000"/>
        </w:rPr>
        <w:t>正常使用条件下，指示或打印的衡量结果的读数必须可靠一致，容易读取而且清楚。</w:t>
      </w:r>
    </w:p>
    <w:p>
      <w:pPr>
        <w:spacing w:after="156" w:afterLines="50"/>
        <w:ind w:firstLine="359" w:firstLineChars="171"/>
        <w:rPr>
          <w:color w:val="000000" w:themeColor="text1"/>
          <w14:textFill>
            <w14:solidFill>
              <w14:schemeClr w14:val="tx1"/>
            </w14:solidFill>
          </w14:textFill>
        </w:rPr>
      </w:pPr>
      <w:r>
        <w:rPr>
          <w:color w:val="000000" w:themeColor="text1"/>
          <w14:textFill>
            <w14:solidFill>
              <w14:schemeClr w14:val="tx1"/>
            </w14:solidFill>
          </w14:textFill>
        </w:rPr>
        <w:t>构成结果的字符必须保证其大小、形状和清晰度在正常使用条件下容易读取。</w:t>
      </w:r>
    </w:p>
    <w:p>
      <w:pPr>
        <w:spacing w:after="156" w:afterLines="50"/>
        <w:ind w:firstLine="359" w:firstLineChars="171"/>
        <w:rPr>
          <w:color w:val="000000" w:themeColor="text1"/>
          <w14:textFill>
            <w14:solidFill>
              <w14:schemeClr w14:val="tx1"/>
            </w14:solidFill>
          </w14:textFill>
        </w:rPr>
      </w:pPr>
      <w:r>
        <w:rPr>
          <w:color w:val="000000" w:themeColor="text1"/>
          <w14:textFill>
            <w14:solidFill>
              <w14:schemeClr w14:val="tx1"/>
            </w14:solidFill>
          </w14:textFill>
        </w:rPr>
        <w:t>标尺、数码和打印必须使构成结果的数字能用简单并列的方法读出。</w:t>
      </w:r>
    </w:p>
    <w:p>
      <w:pPr>
        <w:spacing w:after="156" w:afterLines="50"/>
        <w:ind w:left="838" w:hanging="479" w:leftChars="171" w:hangingChars="228"/>
        <w:rPr>
          <w:color w:val="000000" w:themeColor="text1"/>
          <w14:textFill>
            <w14:solidFill>
              <w14:schemeClr w14:val="tx1"/>
            </w14:solidFill>
          </w14:textFill>
        </w:rPr>
      </w:pPr>
      <w:r>
        <w:rPr>
          <w:color w:val="000000" w:themeColor="text1"/>
          <w14:textFill>
            <w14:solidFill>
              <w14:schemeClr w14:val="tx1"/>
            </w14:solidFill>
          </w14:textFill>
        </w:rPr>
        <w:t>b) 比较仪的示值形式</w:t>
      </w:r>
    </w:p>
    <w:p>
      <w:pPr>
        <w:spacing w:after="156" w:afterLines="50"/>
        <w:ind w:firstLine="357" w:firstLineChars="170"/>
        <w:rPr>
          <w:color w:val="000000" w:themeColor="text1"/>
          <w14:textFill>
            <w14:solidFill>
              <w14:schemeClr w14:val="tx1"/>
            </w14:solidFill>
          </w14:textFill>
        </w:rPr>
      </w:pPr>
      <w:r>
        <w:rPr>
          <w:color w:val="000000" w:themeColor="text1"/>
          <w14:textFill>
            <w14:solidFill>
              <w14:schemeClr w14:val="tx1"/>
            </w14:solidFill>
          </w14:textFill>
        </w:rPr>
        <w:t>衡量结果必须含有质量计量单位名称或符号。对于任意一个衡量值的示值，只能使用所选定的一个质量计量单位。</w:t>
      </w:r>
    </w:p>
    <w:p>
      <w:pPr>
        <w:spacing w:after="156" w:afterLines="50"/>
        <w:ind w:firstLine="357" w:firstLineChars="170"/>
        <w:rPr>
          <w:color w:val="000000"/>
        </w:rPr>
      </w:pPr>
      <w:r>
        <w:rPr>
          <w:rFonts w:hint="eastAsia"/>
          <w:color w:val="000000" w:themeColor="text1"/>
          <w14:textFill>
            <w14:solidFill>
              <w14:schemeClr w14:val="tx1"/>
            </w14:solidFill>
          </w14:textFill>
        </w:rPr>
        <w:t>实际</w:t>
      </w:r>
      <w:r>
        <w:rPr>
          <w:color w:val="000000" w:themeColor="text1"/>
          <w14:textFill>
            <w14:solidFill>
              <w14:schemeClr w14:val="tx1"/>
            </w14:solidFill>
          </w14:textFill>
        </w:rPr>
        <w:t>分度值必须取1×10</w:t>
      </w:r>
      <w:r>
        <w:rPr>
          <w:i/>
          <w:color w:val="000000" w:themeColor="text1"/>
          <w:vertAlign w:val="superscript"/>
          <w14:textFill>
            <w14:solidFill>
              <w14:schemeClr w14:val="tx1"/>
            </w14:solidFill>
          </w14:textFill>
        </w:rPr>
        <w:t>k</w:t>
      </w:r>
      <w:r>
        <w:rPr>
          <w:color w:val="000000" w:themeColor="text1"/>
          <w14:textFill>
            <w14:solidFill>
              <w14:schemeClr w14:val="tx1"/>
            </w14:solidFill>
          </w14:textFill>
        </w:rPr>
        <w:t>、2×10</w:t>
      </w:r>
      <w:r>
        <w:rPr>
          <w:i/>
          <w:color w:val="000000" w:themeColor="text1"/>
          <w:vertAlign w:val="superscript"/>
          <w14:textFill>
            <w14:solidFill>
              <w14:schemeClr w14:val="tx1"/>
            </w14:solidFill>
          </w14:textFill>
        </w:rPr>
        <w:t>k</w:t>
      </w:r>
      <w:r>
        <w:rPr>
          <w:color w:val="000000" w:themeColor="text1"/>
          <w14:textFill>
            <w14:solidFill>
              <w14:schemeClr w14:val="tx1"/>
            </w14:solidFill>
          </w14:textFill>
        </w:rPr>
        <w:t>或5×10</w:t>
      </w:r>
      <w:r>
        <w:rPr>
          <w:i/>
          <w:color w:val="000000" w:themeColor="text1"/>
          <w:vertAlign w:val="superscript"/>
          <w14:textFill>
            <w14:solidFill>
              <w14:schemeClr w14:val="tx1"/>
            </w14:solidFill>
          </w14:textFill>
        </w:rPr>
        <w:t>k</w:t>
      </w:r>
      <w:r>
        <w:rPr>
          <w:color w:val="000000" w:themeColor="text1"/>
          <w14:textFill>
            <w14:solidFill>
              <w14:schemeClr w14:val="tx1"/>
            </w14:solidFill>
          </w14:textFill>
        </w:rPr>
        <w:t>的形式，以此表示衡量结果。此时，式中指数</w:t>
      </w:r>
      <w:r>
        <w:rPr>
          <w:i/>
          <w:color w:val="000000" w:themeColor="text1"/>
          <w14:textFill>
            <w14:solidFill>
              <w14:schemeClr w14:val="tx1"/>
            </w14:solidFill>
          </w14:textFill>
        </w:rPr>
        <w:t>k</w:t>
      </w:r>
      <w:r>
        <w:rPr>
          <w:color w:val="000000" w:themeColor="text1"/>
          <w14:textFill>
            <w14:solidFill>
              <w14:schemeClr w14:val="tx1"/>
            </w14:solidFill>
          </w14:textFill>
        </w:rPr>
        <w:t>是正整数或是零或</w:t>
      </w:r>
      <w:r>
        <w:rPr>
          <w:color w:val="000000"/>
        </w:rPr>
        <w:t>负整数。</w:t>
      </w:r>
    </w:p>
    <w:p>
      <w:pPr>
        <w:spacing w:after="156" w:afterLines="50"/>
        <w:ind w:firstLine="357" w:firstLineChars="170"/>
        <w:rPr>
          <w:color w:val="000000"/>
        </w:rPr>
      </w:pPr>
      <w:r>
        <w:rPr>
          <w:color w:val="000000"/>
        </w:rPr>
        <w:t>整个比较仪的指示、打印和配衡装置，对于任何给定载荷均应具有相同的实际分度值。</w:t>
      </w:r>
    </w:p>
    <w:p>
      <w:pPr>
        <w:spacing w:after="156" w:afterLines="50"/>
        <w:ind w:firstLine="357" w:firstLineChars="170"/>
        <w:rPr>
          <w:color w:val="000000"/>
        </w:rPr>
      </w:pPr>
      <w:r>
        <w:rPr>
          <w:color w:val="000000"/>
        </w:rPr>
        <w:t>数字指示应从最右端开始，至少显示一位数字。</w:t>
      </w:r>
    </w:p>
    <w:p>
      <w:pPr>
        <w:spacing w:after="156" w:afterLines="50"/>
        <w:ind w:firstLine="357" w:firstLineChars="170"/>
        <w:rPr>
          <w:color w:val="000000"/>
        </w:rPr>
      </w:pPr>
      <w:r>
        <w:rPr>
          <w:color w:val="000000"/>
        </w:rPr>
        <w:t>分度值自动改变的比较仪，小数点符号在显示器上应保持位置不变。</w:t>
      </w:r>
    </w:p>
    <w:p>
      <w:pPr>
        <w:spacing w:after="156" w:afterLines="50"/>
        <w:ind w:firstLine="357" w:firstLineChars="170"/>
        <w:rPr>
          <w:color w:val="000000"/>
        </w:rPr>
      </w:pPr>
      <w:r>
        <w:rPr>
          <w:color w:val="000000"/>
        </w:rPr>
        <w:t>小数部分必须用小数点将其与整数部分分开。示值显示时，小数点左边至少应有一位数字，右边显示全部位数。</w:t>
      </w:r>
    </w:p>
    <w:p>
      <w:pPr>
        <w:spacing w:after="156" w:afterLines="50"/>
        <w:ind w:left="357" w:firstLine="1" w:leftChars="170"/>
        <w:rPr>
          <w:color w:val="000000"/>
        </w:rPr>
      </w:pPr>
      <w:r>
        <w:rPr>
          <w:color w:val="000000"/>
        </w:rPr>
        <w:t>c) 所有的比较仪在指示不稳定时均不得打印。</w:t>
      </w:r>
    </w:p>
    <w:p>
      <w:pPr>
        <w:tabs>
          <w:tab w:val="left" w:pos="360"/>
        </w:tabs>
        <w:spacing w:after="156" w:afterLines="50"/>
        <w:ind w:left="360"/>
        <w:rPr>
          <w:color w:val="000000"/>
        </w:rPr>
      </w:pPr>
      <w:r>
        <w:rPr>
          <w:color w:val="000000"/>
        </w:rPr>
        <w:t>比较仪在预热期间，不指示、不打印、不传递衡量结果。</w:t>
      </w:r>
    </w:p>
    <w:p>
      <w:pPr>
        <w:spacing w:after="156" w:afterLines="50"/>
        <w:rPr>
          <w:color w:val="000000"/>
        </w:rPr>
      </w:pPr>
    </w:p>
    <w:p>
      <w:pPr>
        <w:spacing w:after="156" w:afterLines="50"/>
        <w:rPr>
          <w:b/>
          <w:color w:val="000000"/>
        </w:rPr>
      </w:pPr>
      <w:r>
        <w:rPr>
          <w:b/>
          <w:color w:val="000000"/>
        </w:rPr>
        <w:t>5  计量特性</w:t>
      </w:r>
    </w:p>
    <w:p>
      <w:pPr>
        <w:spacing w:after="156" w:afterLines="50"/>
        <w:ind w:firstLine="359" w:firstLineChars="171"/>
        <w:rPr>
          <w:color w:val="000000"/>
        </w:rPr>
      </w:pPr>
      <w:r>
        <w:rPr>
          <w:color w:val="000000"/>
        </w:rPr>
        <w:t>比较仪在使用和校准过程中，零点跟踪装置须处于关闭状态。</w:t>
      </w:r>
    </w:p>
    <w:p>
      <w:pPr>
        <w:spacing w:after="156" w:afterLines="50"/>
        <w:rPr>
          <w:color w:val="000000"/>
        </w:rPr>
      </w:pPr>
      <w:r>
        <w:rPr>
          <w:color w:val="000000"/>
        </w:rPr>
        <w:t>5.1  局部示值误差</w:t>
      </w:r>
    </w:p>
    <w:p>
      <w:pPr>
        <w:spacing w:after="156" w:afterLines="50"/>
        <w:ind w:firstLine="359" w:firstLineChars="171"/>
        <w:rPr>
          <w:color w:val="000000"/>
        </w:rPr>
      </w:pPr>
      <w:r>
        <w:rPr>
          <w:color w:val="000000"/>
        </w:rPr>
        <w:t>在某一试验载荷下，添加一测量误差的小砝码，比较仪显示结果与标准小砝码约定质量值之差。</w:t>
      </w:r>
    </w:p>
    <w:p>
      <w:pPr>
        <w:spacing w:after="156" w:afterLines="50"/>
        <w:rPr>
          <w:color w:val="000000" w:themeColor="text1"/>
          <w14:textFill>
            <w14:solidFill>
              <w14:schemeClr w14:val="tx1"/>
            </w14:solidFill>
          </w14:textFill>
        </w:rPr>
      </w:pPr>
      <w:r>
        <w:rPr>
          <w:color w:val="000000" w:themeColor="text1"/>
          <w14:textFill>
            <w14:solidFill>
              <w14:schemeClr w14:val="tx1"/>
            </w14:solidFill>
          </w14:textFill>
        </w:rPr>
        <w:t xml:space="preserve">5.2  重复性 </w:t>
      </w:r>
    </w:p>
    <w:p>
      <w:pPr>
        <w:spacing w:after="156" w:afterLines="50"/>
        <w:ind w:firstLine="359" w:firstLineChars="171"/>
        <w:rPr>
          <w:color w:val="000000" w:themeColor="text1"/>
          <w14:textFill>
            <w14:solidFill>
              <w14:schemeClr w14:val="tx1"/>
            </w14:solidFill>
          </w14:textFill>
        </w:rPr>
      </w:pPr>
      <w:r>
        <w:rPr>
          <w:color w:val="000000" w:themeColor="text1"/>
          <w14:textFill>
            <w14:solidFill>
              <w14:schemeClr w14:val="tx1"/>
            </w14:solidFill>
          </w14:textFill>
        </w:rPr>
        <w:t>基于A、B、B、A或A、B、A的称量方式，同一载荷多次衡量结果之间的差值，用测定列的单次测定结果的标准偏差来表示。</w:t>
      </w:r>
    </w:p>
    <w:p>
      <w:pPr>
        <w:spacing w:after="156" w:afterLines="50"/>
        <w:rPr>
          <w:color w:val="000000" w:themeColor="text1"/>
          <w14:textFill>
            <w14:solidFill>
              <w14:schemeClr w14:val="tx1"/>
            </w14:solidFill>
          </w14:textFill>
        </w:rPr>
      </w:pPr>
      <w:r>
        <w:rPr>
          <w:color w:val="000000" w:themeColor="text1"/>
          <w14:textFill>
            <w14:solidFill>
              <w14:schemeClr w14:val="tx1"/>
            </w14:solidFill>
          </w14:textFill>
        </w:rPr>
        <w:t xml:space="preserve">5.3  偏载 </w:t>
      </w:r>
    </w:p>
    <w:p>
      <w:pPr>
        <w:spacing w:after="156" w:afterLines="50"/>
        <w:ind w:firstLine="359" w:firstLineChars="171"/>
        <w:rPr>
          <w:color w:val="000000" w:themeColor="text1"/>
          <w14:textFill>
            <w14:solidFill>
              <w14:schemeClr w14:val="tx1"/>
            </w14:solidFill>
          </w14:textFill>
        </w:rPr>
      </w:pPr>
      <w:r>
        <w:rPr>
          <w:color w:val="000000" w:themeColor="text1"/>
          <w14:textFill>
            <w14:solidFill>
              <w14:schemeClr w14:val="tx1"/>
            </w14:solidFill>
          </w14:textFill>
        </w:rPr>
        <w:t>对比较仪进行偏载误差测量时，载荷加在秤盘的不同位置上，用各点与中间点平均值之差绝对值中的最大值表示。</w:t>
      </w:r>
    </w:p>
    <w:p>
      <w:pPr>
        <w:spacing w:after="156" w:afterLines="50"/>
        <w:rPr>
          <w:color w:val="000000"/>
        </w:rPr>
      </w:pPr>
    </w:p>
    <w:p>
      <w:pPr>
        <w:spacing w:after="156" w:afterLines="50"/>
        <w:rPr>
          <w:b/>
          <w:color w:val="000000"/>
        </w:rPr>
      </w:pPr>
      <w:r>
        <w:rPr>
          <w:b/>
          <w:color w:val="000000"/>
        </w:rPr>
        <w:t>6</w:t>
      </w:r>
      <w:r>
        <w:rPr>
          <w:b/>
          <w:color w:val="000000"/>
        </w:rPr>
        <w:tab/>
      </w:r>
      <w:r>
        <w:rPr>
          <w:b/>
          <w:color w:val="000000"/>
        </w:rPr>
        <w:t>校准条件</w:t>
      </w:r>
    </w:p>
    <w:p>
      <w:pPr>
        <w:spacing w:after="156" w:afterLines="50"/>
        <w:rPr>
          <w:color w:val="000000"/>
        </w:rPr>
      </w:pPr>
      <w:r>
        <w:rPr>
          <w:color w:val="000000"/>
        </w:rPr>
        <w:t>6.1  标准砝码</w:t>
      </w:r>
    </w:p>
    <w:p>
      <w:pPr>
        <w:spacing w:after="156" w:afterLines="50"/>
        <w:ind w:firstLine="359" w:firstLineChars="171"/>
        <w:rPr>
          <w:color w:val="000000"/>
        </w:rPr>
        <w:sectPr>
          <w:headerReference w:type="default" r:id="rId26"/>
          <w:footerReference w:type="even" r:id="rId27"/>
          <w:footerReference w:type="default" r:id="rId28"/>
          <w:type w:val="nextPage"/>
          <w:pgSz w:w="11906" w:h="16838"/>
          <w:pgMar w:top="1440" w:right="1558" w:bottom="1440" w:left="1797" w:header="851" w:footer="992" w:gutter="0"/>
          <w:pgNumType w:start="5"/>
          <w:cols w:num="1" w:space="425"/>
          <w:titlePg w:val="0"/>
          <w:docGrid w:type="linesAndChars" w:linePitch="312" w:charSpace="0"/>
        </w:sectPr>
      </w:pPr>
      <w:r>
        <w:rPr>
          <w:color w:val="000000"/>
        </w:rPr>
        <w:t>校准比较仪时，应配备符合JJG99《砝码》检定规程相应等级的标准砝码。在测量和不确定度评定时，应计算标准砝码的最大允许误差，或者其约定质量修正值以及扩展不确定度 (</w:t>
      </w:r>
      <w:r>
        <w:rPr>
          <w:i/>
          <w:iCs/>
          <w:color w:val="000000"/>
        </w:rPr>
        <w:t>k</w:t>
      </w:r>
      <w:r>
        <w:rPr>
          <w:color w:val="000000"/>
        </w:rPr>
        <w:t>=2)。</w:t>
      </w:r>
    </w:p>
    <w:p>
      <w:pPr>
        <w:spacing w:after="156" w:afterLines="50"/>
        <w:ind w:firstLine="359" w:firstLineChars="171"/>
        <w:rPr>
          <w:color w:val="000000"/>
        </w:rPr>
      </w:pPr>
      <w:r>
        <w:rPr>
          <w:color w:val="000000"/>
        </w:rPr>
        <w:t>标准砝码的选择</w:t>
      </w:r>
      <w:r>
        <w:rPr>
          <w:color w:val="000000" w:themeColor="text1"/>
          <w14:textFill>
            <w14:solidFill>
              <w14:schemeClr w14:val="tx1"/>
            </w14:solidFill>
          </w14:textFill>
        </w:rPr>
        <w:t>建议满足表</w:t>
      </w:r>
      <w:r>
        <w:rPr>
          <w:color w:val="000000"/>
        </w:rPr>
        <w:t>3的要求：</w:t>
      </w:r>
    </w:p>
    <w:p>
      <w:pPr>
        <w:spacing w:after="156" w:afterLines="50"/>
        <w:ind w:firstLine="359" w:firstLineChars="171"/>
        <w:jc w:val="center"/>
        <w:rPr>
          <w:color w:val="000000"/>
        </w:rPr>
      </w:pPr>
      <w:r>
        <w:rPr>
          <w:color w:val="000000"/>
        </w:rPr>
        <w:t>表3  砝码准确度等级与比较仪实际分度数关系表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868"/>
        <w:gridCol w:w="1620"/>
        <w:gridCol w:w="1719"/>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1868" w:type="dxa"/>
            <w:vMerge w:val="restart"/>
            <w:vAlign w:val="center"/>
          </w:tcPr>
          <w:p>
            <w:pPr>
              <w:spacing w:after="156" w:afterLines="50"/>
              <w:jc w:val="center"/>
              <w:rPr>
                <w:color w:val="000000"/>
              </w:rPr>
            </w:pPr>
            <w:r>
              <w:rPr>
                <w:color w:val="000000"/>
              </w:rPr>
              <w:t>砝码准确度等级</w:t>
            </w:r>
          </w:p>
        </w:tc>
        <w:tc>
          <w:tcPr>
            <w:tcW w:w="3339" w:type="dxa"/>
            <w:gridSpan w:val="2"/>
            <w:vAlign w:val="center"/>
          </w:tcPr>
          <w:p>
            <w:pPr>
              <w:spacing w:after="156" w:afterLines="50"/>
              <w:jc w:val="center"/>
              <w:rPr>
                <w:color w:val="000000"/>
              </w:rPr>
            </w:pPr>
            <w:r>
              <w:rPr>
                <w:color w:val="000000"/>
              </w:rPr>
              <w:t>比较仪实际分度数（Max</w:t>
            </w:r>
            <w:r>
              <w:rPr>
                <w:i/>
                <w:color w:val="000000"/>
                <w:vertAlign w:val="subscript"/>
              </w:rPr>
              <w:t xml:space="preserve">i </w:t>
            </w:r>
            <w:r>
              <w:rPr>
                <w:color w:val="000000"/>
              </w:rPr>
              <w:t xml:space="preserve">/ </w:t>
            </w:r>
            <w:r>
              <w:rPr>
                <w:i/>
                <w:color w:val="000000"/>
              </w:rPr>
              <w:t>d</w:t>
            </w:r>
            <w:r>
              <w:rPr>
                <w:i/>
                <w:color w:val="000000"/>
                <w:vertAlign w:val="subscript"/>
              </w:rPr>
              <w:t>i</w:t>
            </w:r>
            <w:r>
              <w:rPr>
                <w:color w:val="000000"/>
              </w:rPr>
              <w:t>）</w:t>
            </w:r>
          </w:p>
        </w:tc>
      </w:tr>
      <w:tr>
        <w:tblPrEx>
          <w:tblW w:w="0" w:type="auto"/>
          <w:jc w:val="center"/>
          <w:tblCellMar>
            <w:top w:w="0" w:type="dxa"/>
            <w:left w:w="108" w:type="dxa"/>
            <w:bottom w:w="0" w:type="dxa"/>
            <w:right w:w="108" w:type="dxa"/>
          </w:tblCellMar>
        </w:tblPrEx>
        <w:trPr>
          <w:jc w:val="center"/>
        </w:trPr>
        <w:tc>
          <w:tcPr>
            <w:tcW w:w="1868" w:type="dxa"/>
            <w:vMerge/>
            <w:vAlign w:val="center"/>
          </w:tcPr>
          <w:p>
            <w:pPr>
              <w:spacing w:after="156" w:afterLines="50"/>
              <w:jc w:val="center"/>
              <w:rPr>
                <w:color w:val="000000"/>
              </w:rPr>
            </w:pPr>
          </w:p>
        </w:tc>
        <w:tc>
          <w:tcPr>
            <w:tcW w:w="1620" w:type="dxa"/>
            <w:vAlign w:val="center"/>
          </w:tcPr>
          <w:p>
            <w:pPr>
              <w:spacing w:after="156" w:afterLines="50"/>
              <w:jc w:val="center"/>
              <w:rPr>
                <w:color w:val="000000"/>
              </w:rPr>
            </w:pPr>
            <w:r>
              <w:rPr>
                <w:color w:val="000000"/>
              </w:rPr>
              <w:t>最小</w:t>
            </w:r>
          </w:p>
        </w:tc>
        <w:tc>
          <w:tcPr>
            <w:tcW w:w="1719" w:type="dxa"/>
            <w:vAlign w:val="center"/>
          </w:tcPr>
          <w:p>
            <w:pPr>
              <w:spacing w:after="156" w:afterLines="50"/>
              <w:jc w:val="center"/>
              <w:rPr>
                <w:color w:val="000000"/>
              </w:rPr>
            </w:pPr>
            <w:r>
              <w:rPr>
                <w:color w:val="000000"/>
              </w:rPr>
              <w:t>最大</w:t>
            </w:r>
          </w:p>
        </w:tc>
      </w:tr>
      <w:tr>
        <w:tblPrEx>
          <w:tblW w:w="0" w:type="auto"/>
          <w:jc w:val="center"/>
          <w:tblCellMar>
            <w:top w:w="0" w:type="dxa"/>
            <w:left w:w="108" w:type="dxa"/>
            <w:bottom w:w="0" w:type="dxa"/>
            <w:right w:w="108" w:type="dxa"/>
          </w:tblCellMar>
        </w:tblPrEx>
        <w:trPr>
          <w:jc w:val="center"/>
        </w:trPr>
        <w:tc>
          <w:tcPr>
            <w:tcW w:w="1868" w:type="dxa"/>
            <w:vAlign w:val="center"/>
          </w:tcPr>
          <w:p>
            <w:pPr>
              <w:spacing w:after="156" w:afterLines="50"/>
              <w:jc w:val="center"/>
              <w:rPr>
                <w:color w:val="000000"/>
              </w:rPr>
            </w:pPr>
            <w:r>
              <w:rPr>
                <w:color w:val="000000"/>
              </w:rPr>
              <w:t>E</w:t>
            </w:r>
            <w:r>
              <w:rPr>
                <w:color w:val="000000"/>
                <w:vertAlign w:val="subscript"/>
              </w:rPr>
              <w:t>1</w:t>
            </w:r>
          </w:p>
        </w:tc>
        <w:tc>
          <w:tcPr>
            <w:tcW w:w="1620" w:type="dxa"/>
            <w:vAlign w:val="center"/>
          </w:tcPr>
          <w:p>
            <w:pPr>
              <w:spacing w:after="156" w:afterLines="50"/>
              <w:jc w:val="center"/>
              <w:rPr>
                <w:color w:val="000000"/>
              </w:rPr>
            </w:pPr>
            <w:r>
              <w:rPr>
                <w:color w:val="000000"/>
              </w:rPr>
              <w:t>500 000</w:t>
            </w:r>
          </w:p>
        </w:tc>
        <w:tc>
          <w:tcPr>
            <w:tcW w:w="1719" w:type="dxa"/>
            <w:vAlign w:val="center"/>
          </w:tcPr>
          <w:p>
            <w:pPr>
              <w:spacing w:after="156" w:afterLines="50"/>
              <w:jc w:val="center"/>
              <w:rPr>
                <w:color w:val="000000"/>
              </w:rPr>
            </w:pPr>
            <w:r>
              <w:rPr>
                <w:color w:val="000000"/>
              </w:rPr>
              <w:t>/</w:t>
            </w:r>
          </w:p>
        </w:tc>
      </w:tr>
      <w:tr>
        <w:tblPrEx>
          <w:tblW w:w="0" w:type="auto"/>
          <w:jc w:val="center"/>
          <w:tblCellMar>
            <w:top w:w="0" w:type="dxa"/>
            <w:left w:w="108" w:type="dxa"/>
            <w:bottom w:w="0" w:type="dxa"/>
            <w:right w:w="108" w:type="dxa"/>
          </w:tblCellMar>
        </w:tblPrEx>
        <w:trPr>
          <w:jc w:val="center"/>
        </w:trPr>
        <w:tc>
          <w:tcPr>
            <w:tcW w:w="1868" w:type="dxa"/>
            <w:vAlign w:val="center"/>
          </w:tcPr>
          <w:p>
            <w:pPr>
              <w:spacing w:after="156" w:afterLines="50"/>
              <w:jc w:val="center"/>
              <w:rPr>
                <w:color w:val="000000"/>
              </w:rPr>
            </w:pPr>
            <w:r>
              <w:rPr>
                <w:color w:val="000000"/>
              </w:rPr>
              <w:t>E</w:t>
            </w:r>
            <w:r>
              <w:rPr>
                <w:color w:val="000000"/>
                <w:vertAlign w:val="subscript"/>
              </w:rPr>
              <w:t>2</w:t>
            </w:r>
          </w:p>
        </w:tc>
        <w:tc>
          <w:tcPr>
            <w:tcW w:w="1620" w:type="dxa"/>
            <w:vAlign w:val="center"/>
          </w:tcPr>
          <w:p>
            <w:pPr>
              <w:spacing w:after="156" w:afterLines="50"/>
              <w:jc w:val="center"/>
              <w:rPr>
                <w:color w:val="000000"/>
              </w:rPr>
            </w:pPr>
            <w:r>
              <w:rPr>
                <w:color w:val="000000"/>
              </w:rPr>
              <w:t>100 000</w:t>
            </w:r>
          </w:p>
        </w:tc>
        <w:tc>
          <w:tcPr>
            <w:tcW w:w="1719" w:type="dxa"/>
            <w:vAlign w:val="center"/>
          </w:tcPr>
          <w:p>
            <w:pPr>
              <w:spacing w:after="156" w:afterLines="50"/>
              <w:jc w:val="center"/>
              <w:rPr>
                <w:color w:val="000000"/>
              </w:rPr>
            </w:pPr>
            <w:r>
              <w:rPr>
                <w:color w:val="000000"/>
              </w:rPr>
              <w:t>500 000</w:t>
            </w:r>
          </w:p>
        </w:tc>
      </w:tr>
      <w:tr>
        <w:tblPrEx>
          <w:tblW w:w="0" w:type="auto"/>
          <w:jc w:val="center"/>
          <w:tblCellMar>
            <w:top w:w="0" w:type="dxa"/>
            <w:left w:w="108" w:type="dxa"/>
            <w:bottom w:w="0" w:type="dxa"/>
            <w:right w:w="108" w:type="dxa"/>
          </w:tblCellMar>
        </w:tblPrEx>
        <w:trPr>
          <w:jc w:val="center"/>
        </w:trPr>
        <w:tc>
          <w:tcPr>
            <w:tcW w:w="1868" w:type="dxa"/>
            <w:vAlign w:val="center"/>
          </w:tcPr>
          <w:p>
            <w:pPr>
              <w:spacing w:after="156" w:afterLines="50"/>
              <w:jc w:val="center"/>
              <w:rPr>
                <w:color w:val="000000"/>
              </w:rPr>
            </w:pPr>
            <w:r>
              <w:rPr>
                <w:color w:val="000000"/>
              </w:rPr>
              <w:t>F</w:t>
            </w:r>
            <w:r>
              <w:rPr>
                <w:color w:val="000000"/>
                <w:vertAlign w:val="subscript"/>
              </w:rPr>
              <w:t>1</w:t>
            </w:r>
          </w:p>
        </w:tc>
        <w:tc>
          <w:tcPr>
            <w:tcW w:w="1620" w:type="dxa"/>
            <w:vAlign w:val="center"/>
          </w:tcPr>
          <w:p>
            <w:pPr>
              <w:spacing w:after="156" w:afterLines="50"/>
              <w:jc w:val="center"/>
              <w:rPr>
                <w:color w:val="000000"/>
              </w:rPr>
            </w:pPr>
            <w:r>
              <w:rPr>
                <w:color w:val="000000"/>
              </w:rPr>
              <w:t>50 000</w:t>
            </w:r>
          </w:p>
        </w:tc>
        <w:tc>
          <w:tcPr>
            <w:tcW w:w="1719" w:type="dxa"/>
            <w:vAlign w:val="center"/>
          </w:tcPr>
          <w:p>
            <w:pPr>
              <w:spacing w:after="156" w:afterLines="50"/>
              <w:jc w:val="center"/>
              <w:rPr>
                <w:color w:val="000000"/>
              </w:rPr>
            </w:pPr>
            <w:r>
              <w:rPr>
                <w:color w:val="000000"/>
              </w:rPr>
              <w:t>100 000</w:t>
            </w:r>
          </w:p>
        </w:tc>
      </w:tr>
      <w:tr>
        <w:tblPrEx>
          <w:tblW w:w="0" w:type="auto"/>
          <w:jc w:val="center"/>
          <w:tblCellMar>
            <w:top w:w="0" w:type="dxa"/>
            <w:left w:w="108" w:type="dxa"/>
            <w:bottom w:w="0" w:type="dxa"/>
            <w:right w:w="108" w:type="dxa"/>
          </w:tblCellMar>
        </w:tblPrEx>
        <w:trPr>
          <w:jc w:val="center"/>
        </w:trPr>
        <w:tc>
          <w:tcPr>
            <w:tcW w:w="1868" w:type="dxa"/>
            <w:vAlign w:val="center"/>
          </w:tcPr>
          <w:p>
            <w:pPr>
              <w:spacing w:after="156" w:afterLines="50"/>
              <w:jc w:val="center"/>
              <w:rPr>
                <w:color w:val="000000"/>
              </w:rPr>
            </w:pPr>
            <w:r>
              <w:rPr>
                <w:color w:val="000000"/>
              </w:rPr>
              <w:t>F</w:t>
            </w:r>
            <w:r>
              <w:rPr>
                <w:color w:val="000000"/>
                <w:vertAlign w:val="subscript"/>
              </w:rPr>
              <w:t>2</w:t>
            </w:r>
          </w:p>
        </w:tc>
        <w:tc>
          <w:tcPr>
            <w:tcW w:w="1620" w:type="dxa"/>
            <w:vAlign w:val="center"/>
          </w:tcPr>
          <w:p>
            <w:pPr>
              <w:spacing w:after="156" w:afterLines="50"/>
              <w:jc w:val="center"/>
              <w:rPr>
                <w:color w:val="000000"/>
              </w:rPr>
            </w:pPr>
            <w:r>
              <w:rPr>
                <w:color w:val="000000"/>
              </w:rPr>
              <w:t>10 000</w:t>
            </w:r>
          </w:p>
        </w:tc>
        <w:tc>
          <w:tcPr>
            <w:tcW w:w="1719" w:type="dxa"/>
            <w:vAlign w:val="center"/>
          </w:tcPr>
          <w:p>
            <w:pPr>
              <w:spacing w:after="156" w:afterLines="50"/>
              <w:jc w:val="center"/>
              <w:rPr>
                <w:color w:val="000000"/>
              </w:rPr>
            </w:pPr>
            <w:r>
              <w:rPr>
                <w:color w:val="000000"/>
              </w:rPr>
              <w:t>50 000</w:t>
            </w:r>
          </w:p>
        </w:tc>
      </w:tr>
      <w:tr>
        <w:tblPrEx>
          <w:tblW w:w="0" w:type="auto"/>
          <w:jc w:val="center"/>
          <w:tblCellMar>
            <w:top w:w="0" w:type="dxa"/>
            <w:left w:w="108" w:type="dxa"/>
            <w:bottom w:w="0" w:type="dxa"/>
            <w:right w:w="108" w:type="dxa"/>
          </w:tblCellMar>
        </w:tblPrEx>
        <w:trPr>
          <w:jc w:val="center"/>
        </w:trPr>
        <w:tc>
          <w:tcPr>
            <w:tcW w:w="1868" w:type="dxa"/>
            <w:vAlign w:val="center"/>
          </w:tcPr>
          <w:p>
            <w:pPr>
              <w:spacing w:after="156" w:afterLines="50"/>
              <w:jc w:val="center"/>
              <w:rPr>
                <w:color w:val="000000"/>
              </w:rPr>
            </w:pPr>
            <w:r>
              <w:rPr>
                <w:color w:val="000000"/>
              </w:rPr>
              <w:t>M</w:t>
            </w:r>
            <w:r>
              <w:rPr>
                <w:color w:val="000000"/>
                <w:vertAlign w:val="subscript"/>
              </w:rPr>
              <w:t>1</w:t>
            </w:r>
          </w:p>
        </w:tc>
        <w:tc>
          <w:tcPr>
            <w:tcW w:w="1620" w:type="dxa"/>
            <w:vAlign w:val="center"/>
          </w:tcPr>
          <w:p>
            <w:pPr>
              <w:spacing w:after="156" w:afterLines="50"/>
              <w:jc w:val="center"/>
              <w:rPr>
                <w:color w:val="000000"/>
              </w:rPr>
            </w:pPr>
            <w:r>
              <w:rPr>
                <w:color w:val="000000"/>
              </w:rPr>
              <w:t>5 000</w:t>
            </w:r>
          </w:p>
        </w:tc>
        <w:tc>
          <w:tcPr>
            <w:tcW w:w="1719" w:type="dxa"/>
            <w:vAlign w:val="center"/>
          </w:tcPr>
          <w:p>
            <w:pPr>
              <w:spacing w:after="156" w:afterLines="50"/>
              <w:jc w:val="center"/>
              <w:rPr>
                <w:color w:val="000000"/>
              </w:rPr>
            </w:pPr>
            <w:r>
              <w:rPr>
                <w:color w:val="000000"/>
              </w:rPr>
              <w:t>10 000</w:t>
            </w:r>
          </w:p>
        </w:tc>
      </w:tr>
    </w:tbl>
    <w:p>
      <w:pPr>
        <w:spacing w:after="156" w:afterLines="50"/>
        <w:ind w:firstLine="359" w:firstLineChars="171"/>
        <w:rPr>
          <w:color w:val="000000"/>
        </w:rPr>
      </w:pPr>
      <w:r>
        <w:rPr>
          <w:color w:val="000000"/>
        </w:rPr>
        <w:t>在校准过程中，应确保标准砝码与被校比较仪之间的温度一致性，砝码质量值由于热传导引起的偏差不得超过0.1</w:t>
      </w:r>
      <w:r>
        <w:rPr>
          <w:i/>
          <w:color w:val="000000"/>
        </w:rPr>
        <w:t>U</w:t>
      </w:r>
      <w:r>
        <w:rPr>
          <w:color w:val="000000"/>
        </w:rPr>
        <w:t>*。表4给出了标准砝码与被校比较仪之间达到温度平衡的最小稳定时间。</w:t>
      </w:r>
    </w:p>
    <w:p>
      <w:pPr>
        <w:spacing w:after="156" w:afterLines="50"/>
        <w:ind w:firstLine="359" w:firstLineChars="171"/>
        <w:rPr>
          <w:color w:val="000000"/>
        </w:rPr>
      </w:pPr>
      <w:r>
        <w:rPr>
          <w:color w:val="000000"/>
        </w:rPr>
        <w:t>其中：Δ</w:t>
      </w:r>
      <w:r>
        <w:rPr>
          <w:i/>
          <w:color w:val="000000"/>
        </w:rPr>
        <w:t>T</w:t>
      </w:r>
      <w:r>
        <w:rPr>
          <w:color w:val="000000"/>
        </w:rPr>
        <w:t>为标准砝码与被校比较仪之间的温度差；</w:t>
      </w:r>
      <w:r>
        <w:rPr>
          <w:i/>
          <w:color w:val="000000"/>
        </w:rPr>
        <w:t>U</w:t>
      </w:r>
      <w:r>
        <w:rPr>
          <w:color w:val="000000"/>
        </w:rPr>
        <w:t>*为校准试验室预给被校比较仪最小的相对不确定度。</w:t>
      </w:r>
    </w:p>
    <w:p>
      <w:pPr>
        <w:spacing w:after="156" w:afterLines="50"/>
        <w:jc w:val="center"/>
        <w:rPr>
          <w:color w:val="000000"/>
        </w:rPr>
      </w:pPr>
      <w:r>
        <w:rPr>
          <w:color w:val="000000"/>
        </w:rPr>
        <w:t>表4  标准砝码与被校比较仪恒温时间表</w:t>
      </w:r>
    </w:p>
    <w:tbl>
      <w:tblPr>
        <w:tblStyle w:val="TableNormal"/>
        <w:tblW w:w="863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20"/>
        <w:gridCol w:w="704"/>
        <w:gridCol w:w="704"/>
        <w:gridCol w:w="635"/>
        <w:gridCol w:w="640"/>
        <w:gridCol w:w="643"/>
        <w:gridCol w:w="704"/>
        <w:gridCol w:w="635"/>
        <w:gridCol w:w="635"/>
        <w:gridCol w:w="621"/>
        <w:gridCol w:w="599"/>
        <w:gridCol w:w="599"/>
        <w:gridCol w:w="600"/>
      </w:tblGrid>
      <w:tr>
        <w:tblPrEx>
          <w:tblW w:w="863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80"/>
        </w:trPr>
        <w:tc>
          <w:tcPr>
            <w:tcW w:w="920" w:type="dxa"/>
          </w:tcPr>
          <w:p>
            <w:pPr>
              <w:spacing w:after="156" w:afterLines="50"/>
              <w:rPr>
                <w:color w:val="000000"/>
              </w:rPr>
            </w:pPr>
            <w:r>
              <w:rPr>
                <w:color w:val="000000"/>
              </w:rPr>
              <w:t>Δ</w:t>
            </w:r>
            <w:r>
              <w:rPr>
                <w:i/>
                <w:color w:val="000000"/>
              </w:rPr>
              <w:t>T</w:t>
            </w:r>
            <w:r>
              <w:rPr>
                <w:color w:val="000000"/>
              </w:rPr>
              <w:t>/K</w:t>
            </w:r>
          </w:p>
        </w:tc>
        <w:tc>
          <w:tcPr>
            <w:tcW w:w="3326" w:type="dxa"/>
            <w:gridSpan w:val="5"/>
          </w:tcPr>
          <w:p>
            <w:pPr>
              <w:spacing w:after="156" w:afterLines="50"/>
              <w:jc w:val="center"/>
              <w:rPr>
                <w:color w:val="000000"/>
              </w:rPr>
            </w:pPr>
            <m:oMath>
              <m:r>
                <m:rPr>
                  <m:sty m:val="p"/>
                </m:rPr>
                <w:rPr>
                  <w:rFonts w:ascii="Cambria Math" w:hAnsi="Cambria Math"/>
                  <w:color w:val="000000" w:themeColor="text1"/>
                  <w14:textFill>
                    <w14:solidFill>
                      <w14:schemeClr w14:val="tx1"/>
                    </w14:solidFill>
                  </w14:textFill>
                </w:rPr>
                <m:t>±</m:t>
              </m:r>
            </m:oMath>
            <w:r>
              <w:rPr>
                <w:color w:val="000000"/>
              </w:rPr>
              <w:t>20</w:t>
            </w:r>
          </w:p>
        </w:tc>
        <w:tc>
          <w:tcPr>
            <w:tcW w:w="2595" w:type="dxa"/>
            <w:gridSpan w:val="4"/>
          </w:tcPr>
          <w:p>
            <w:pPr>
              <w:spacing w:after="156" w:afterLines="50"/>
              <w:jc w:val="center"/>
              <w:rPr>
                <w:color w:val="000000"/>
              </w:rPr>
            </w:pPr>
            <m:oMath>
              <m:r>
                <m:rPr>
                  <m:sty m:val="p"/>
                </m:rPr>
                <w:rPr>
                  <w:rFonts w:ascii="Cambria Math" w:hAnsi="Cambria Math"/>
                  <w:color w:val="000000" w:themeColor="text1"/>
                  <w14:textFill>
                    <w14:solidFill>
                      <w14:schemeClr w14:val="tx1"/>
                    </w14:solidFill>
                  </w14:textFill>
                </w:rPr>
                <m:t>±</m:t>
              </m:r>
            </m:oMath>
            <w:r>
              <w:rPr>
                <w:color w:val="000000"/>
              </w:rPr>
              <w:t>10</w:t>
            </w:r>
          </w:p>
        </w:tc>
        <w:tc>
          <w:tcPr>
            <w:tcW w:w="1798" w:type="dxa"/>
            <w:gridSpan w:val="3"/>
          </w:tcPr>
          <w:p>
            <w:pPr>
              <w:spacing w:after="156" w:afterLines="50"/>
              <w:jc w:val="center"/>
              <w:rPr>
                <w:color w:val="000000"/>
              </w:rPr>
            </w:pPr>
            <m:oMath>
              <m:r>
                <m:rPr>
                  <m:sty m:val="p"/>
                </m:rPr>
                <w:rPr>
                  <w:rFonts w:ascii="Cambria Math" w:hAnsi="Cambria Math"/>
                  <w:color w:val="000000" w:themeColor="text1"/>
                  <w14:textFill>
                    <w14:solidFill>
                      <w14:schemeClr w14:val="tx1"/>
                    </w14:solidFill>
                  </w14:textFill>
                </w:rPr>
                <m:t>±</m:t>
              </m:r>
            </m:oMath>
            <w:r>
              <w:rPr>
                <w:color w:val="000000"/>
              </w:rPr>
              <w:t>5</w:t>
            </w:r>
          </w:p>
        </w:tc>
      </w:tr>
      <w:tr>
        <w:tblPrEx>
          <w:tblW w:w="8639" w:type="dxa"/>
          <w:tblInd w:w="0" w:type="dxa"/>
          <w:tblCellMar>
            <w:top w:w="0" w:type="dxa"/>
            <w:left w:w="108" w:type="dxa"/>
            <w:bottom w:w="0" w:type="dxa"/>
            <w:right w:w="108" w:type="dxa"/>
          </w:tblCellMar>
        </w:tblPrEx>
        <w:trPr>
          <w:trHeight w:val="524"/>
        </w:trPr>
        <w:tc>
          <w:tcPr>
            <w:tcW w:w="920" w:type="dxa"/>
            <w:vAlign w:val="center"/>
          </w:tcPr>
          <w:p>
            <w:pPr>
              <w:rPr>
                <w:color w:val="000000"/>
              </w:rPr>
            </w:pPr>
            <w:r>
              <w:rPr>
                <w:i/>
                <w:color w:val="000000"/>
              </w:rPr>
              <w:t>U</w:t>
            </w:r>
            <w:r>
              <w:rPr>
                <w:color w:val="000000"/>
              </w:rPr>
              <w:t>*/10</w:t>
            </w:r>
            <w:r>
              <w:rPr>
                <w:color w:val="000000"/>
                <w:szCs w:val="21"/>
                <w:vertAlign w:val="superscript"/>
              </w:rPr>
              <w:t>-6</w:t>
            </w:r>
          </w:p>
        </w:tc>
        <w:tc>
          <w:tcPr>
            <w:tcW w:w="704" w:type="dxa"/>
            <w:vAlign w:val="center"/>
          </w:tcPr>
          <w:p>
            <w:pPr>
              <w:jc w:val="center"/>
              <w:rPr>
                <w:color w:val="000000"/>
              </w:rPr>
            </w:pPr>
            <w:r>
              <w:rPr>
                <w:color w:val="000000"/>
              </w:rPr>
              <w:t>1</w:t>
            </w:r>
          </w:p>
        </w:tc>
        <w:tc>
          <w:tcPr>
            <w:tcW w:w="704" w:type="dxa"/>
            <w:vAlign w:val="center"/>
          </w:tcPr>
          <w:p>
            <w:pPr>
              <w:jc w:val="center"/>
              <w:rPr>
                <w:color w:val="000000"/>
              </w:rPr>
            </w:pPr>
            <w:r>
              <w:rPr>
                <w:color w:val="000000"/>
              </w:rPr>
              <w:t>2</w:t>
            </w:r>
          </w:p>
        </w:tc>
        <w:tc>
          <w:tcPr>
            <w:tcW w:w="635" w:type="dxa"/>
            <w:vAlign w:val="center"/>
          </w:tcPr>
          <w:p>
            <w:pPr>
              <w:jc w:val="center"/>
              <w:rPr>
                <w:color w:val="000000"/>
              </w:rPr>
            </w:pPr>
            <w:r>
              <w:rPr>
                <w:color w:val="000000"/>
              </w:rPr>
              <w:t>5</w:t>
            </w:r>
          </w:p>
        </w:tc>
        <w:tc>
          <w:tcPr>
            <w:tcW w:w="640" w:type="dxa"/>
            <w:vAlign w:val="center"/>
          </w:tcPr>
          <w:p>
            <w:pPr>
              <w:jc w:val="center"/>
              <w:rPr>
                <w:color w:val="000000"/>
              </w:rPr>
            </w:pPr>
            <w:r>
              <w:rPr>
                <w:color w:val="000000"/>
              </w:rPr>
              <w:t>10</w:t>
            </w:r>
          </w:p>
        </w:tc>
        <w:tc>
          <w:tcPr>
            <w:tcW w:w="643" w:type="dxa"/>
            <w:vAlign w:val="center"/>
          </w:tcPr>
          <w:p>
            <w:pPr>
              <w:jc w:val="center"/>
              <w:rPr>
                <w:color w:val="000000"/>
              </w:rPr>
            </w:pPr>
            <w:r>
              <w:rPr>
                <w:color w:val="000000"/>
              </w:rPr>
              <w:t>20</w:t>
            </w:r>
          </w:p>
        </w:tc>
        <w:tc>
          <w:tcPr>
            <w:tcW w:w="704" w:type="dxa"/>
            <w:vAlign w:val="center"/>
          </w:tcPr>
          <w:p>
            <w:pPr>
              <w:jc w:val="center"/>
              <w:rPr>
                <w:color w:val="000000"/>
              </w:rPr>
            </w:pPr>
            <w:r>
              <w:rPr>
                <w:color w:val="000000"/>
              </w:rPr>
              <w:t>1</w:t>
            </w:r>
          </w:p>
        </w:tc>
        <w:tc>
          <w:tcPr>
            <w:tcW w:w="635" w:type="dxa"/>
            <w:vAlign w:val="center"/>
          </w:tcPr>
          <w:p>
            <w:pPr>
              <w:jc w:val="center"/>
              <w:rPr>
                <w:color w:val="000000"/>
              </w:rPr>
            </w:pPr>
            <w:r>
              <w:rPr>
                <w:color w:val="000000"/>
              </w:rPr>
              <w:t>2</w:t>
            </w:r>
          </w:p>
        </w:tc>
        <w:tc>
          <w:tcPr>
            <w:tcW w:w="635" w:type="dxa"/>
            <w:vAlign w:val="center"/>
          </w:tcPr>
          <w:p>
            <w:pPr>
              <w:jc w:val="center"/>
              <w:rPr>
                <w:color w:val="000000"/>
              </w:rPr>
            </w:pPr>
            <w:r>
              <w:rPr>
                <w:color w:val="000000"/>
              </w:rPr>
              <w:t>5</w:t>
            </w:r>
          </w:p>
        </w:tc>
        <w:tc>
          <w:tcPr>
            <w:tcW w:w="621" w:type="dxa"/>
            <w:vAlign w:val="center"/>
          </w:tcPr>
          <w:p>
            <w:pPr>
              <w:jc w:val="center"/>
              <w:rPr>
                <w:color w:val="000000"/>
              </w:rPr>
            </w:pPr>
            <w:r>
              <w:rPr>
                <w:color w:val="000000"/>
              </w:rPr>
              <w:t>10</w:t>
            </w:r>
          </w:p>
        </w:tc>
        <w:tc>
          <w:tcPr>
            <w:tcW w:w="599" w:type="dxa"/>
            <w:vAlign w:val="center"/>
          </w:tcPr>
          <w:p>
            <w:pPr>
              <w:jc w:val="center"/>
              <w:rPr>
                <w:color w:val="000000"/>
              </w:rPr>
            </w:pPr>
            <w:r>
              <w:rPr>
                <w:color w:val="000000"/>
              </w:rPr>
              <w:t>1</w:t>
            </w:r>
          </w:p>
        </w:tc>
        <w:tc>
          <w:tcPr>
            <w:tcW w:w="599" w:type="dxa"/>
            <w:vAlign w:val="center"/>
          </w:tcPr>
          <w:p>
            <w:pPr>
              <w:jc w:val="center"/>
              <w:rPr>
                <w:color w:val="000000"/>
              </w:rPr>
            </w:pPr>
            <w:r>
              <w:rPr>
                <w:color w:val="000000"/>
              </w:rPr>
              <w:t>2</w:t>
            </w:r>
          </w:p>
        </w:tc>
        <w:tc>
          <w:tcPr>
            <w:tcW w:w="600" w:type="dxa"/>
            <w:vAlign w:val="center"/>
          </w:tcPr>
          <w:p>
            <w:pPr>
              <w:jc w:val="center"/>
              <w:rPr>
                <w:color w:val="000000"/>
              </w:rPr>
            </w:pPr>
            <w:r>
              <w:rPr>
                <w:color w:val="000000"/>
              </w:rPr>
              <w:t>5</w:t>
            </w:r>
          </w:p>
        </w:tc>
      </w:tr>
      <w:tr>
        <w:tblPrEx>
          <w:tblW w:w="8639" w:type="dxa"/>
          <w:tblInd w:w="0" w:type="dxa"/>
          <w:tblCellMar>
            <w:top w:w="0" w:type="dxa"/>
            <w:left w:w="108" w:type="dxa"/>
            <w:bottom w:w="0" w:type="dxa"/>
            <w:right w:w="108" w:type="dxa"/>
          </w:tblCellMar>
        </w:tblPrEx>
        <w:trPr>
          <w:trHeight w:val="289"/>
        </w:trPr>
        <w:tc>
          <w:tcPr>
            <w:tcW w:w="920" w:type="dxa"/>
          </w:tcPr>
          <w:p>
            <w:pPr>
              <w:jc w:val="center"/>
              <w:rPr>
                <w:color w:val="000000"/>
              </w:rPr>
            </w:pPr>
            <w:r>
              <w:rPr>
                <w:color w:val="000000"/>
              </w:rPr>
              <w:t>砝码</w:t>
            </w:r>
          </w:p>
        </w:tc>
        <w:tc>
          <w:tcPr>
            <w:tcW w:w="7719" w:type="dxa"/>
            <w:gridSpan w:val="12"/>
          </w:tcPr>
          <w:p>
            <w:pPr>
              <w:jc w:val="center"/>
              <w:rPr>
                <w:color w:val="000000"/>
              </w:rPr>
            </w:pPr>
            <w:r>
              <w:rPr>
                <w:color w:val="000000"/>
              </w:rPr>
              <w:t>稳定时间 / h</w:t>
            </w:r>
          </w:p>
        </w:tc>
      </w:tr>
      <w:tr>
        <w:tblPrEx>
          <w:tblW w:w="8639" w:type="dxa"/>
          <w:tblInd w:w="0" w:type="dxa"/>
          <w:tblCellMar>
            <w:top w:w="0" w:type="dxa"/>
            <w:left w:w="108" w:type="dxa"/>
            <w:bottom w:w="0" w:type="dxa"/>
            <w:right w:w="108" w:type="dxa"/>
          </w:tblCellMar>
        </w:tblPrEx>
        <w:trPr>
          <w:trHeight w:val="345"/>
        </w:trPr>
        <w:tc>
          <w:tcPr>
            <w:tcW w:w="920" w:type="dxa"/>
          </w:tcPr>
          <w:p>
            <w:pPr>
              <w:jc w:val="center"/>
              <w:rPr>
                <w:color w:val="000000" w:themeColor="text1"/>
                <w14:textFill>
                  <w14:solidFill>
                    <w14:schemeClr w14:val="tx1"/>
                  </w14:solidFill>
                </w14:textFill>
              </w:rPr>
            </w:pPr>
            <m:oMath>
              <m:r>
                <m:rPr>
                  <m:sty m:val="p"/>
                </m:rPr>
                <w:rPr>
                  <w:rFonts w:ascii="Cambria Math" w:hAnsi="Cambria Math"/>
                  <w:color w:val="000000" w:themeColor="text1"/>
                  <w14:textFill>
                    <w14:solidFill>
                      <w14:schemeClr w14:val="tx1"/>
                    </w14:solidFill>
                  </w14:textFill>
                </w:rPr>
                <m:t>≥</m:t>
              </m:r>
            </m:oMath>
            <w:r>
              <w:rPr>
                <w:color w:val="000000" w:themeColor="text1"/>
                <w14:textFill>
                  <w14:solidFill>
                    <w14:schemeClr w14:val="tx1"/>
                  </w14:solidFill>
                </w14:textFill>
              </w:rPr>
              <w:t>10 kg</w:t>
            </w:r>
          </w:p>
        </w:tc>
        <w:tc>
          <w:tcPr>
            <w:tcW w:w="704" w:type="dxa"/>
          </w:tcPr>
          <w:p>
            <w:pPr>
              <w:jc w:val="center"/>
              <w:rPr>
                <w:color w:val="000000"/>
              </w:rPr>
            </w:pPr>
            <w:r>
              <w:rPr>
                <w:color w:val="000000"/>
              </w:rPr>
              <w:t>16.5</w:t>
            </w:r>
          </w:p>
        </w:tc>
        <w:tc>
          <w:tcPr>
            <w:tcW w:w="704" w:type="dxa"/>
          </w:tcPr>
          <w:p>
            <w:pPr>
              <w:jc w:val="center"/>
              <w:rPr>
                <w:color w:val="000000"/>
              </w:rPr>
            </w:pPr>
            <w:r>
              <w:rPr>
                <w:color w:val="000000"/>
              </w:rPr>
              <w:t>12.75</w:t>
            </w:r>
          </w:p>
        </w:tc>
        <w:tc>
          <w:tcPr>
            <w:tcW w:w="635" w:type="dxa"/>
          </w:tcPr>
          <w:p>
            <w:pPr>
              <w:jc w:val="center"/>
              <w:rPr>
                <w:color w:val="000000"/>
              </w:rPr>
            </w:pPr>
            <w:r>
              <w:rPr>
                <w:color w:val="000000"/>
              </w:rPr>
              <w:t>8</w:t>
            </w:r>
          </w:p>
        </w:tc>
        <w:tc>
          <w:tcPr>
            <w:tcW w:w="640" w:type="dxa"/>
          </w:tcPr>
          <w:p>
            <w:pPr>
              <w:jc w:val="center"/>
              <w:rPr>
                <w:color w:val="000000"/>
              </w:rPr>
            </w:pPr>
            <w:r>
              <w:rPr>
                <w:color w:val="000000"/>
              </w:rPr>
              <w:t>4.25</w:t>
            </w:r>
          </w:p>
        </w:tc>
        <w:tc>
          <w:tcPr>
            <w:tcW w:w="643" w:type="dxa"/>
          </w:tcPr>
          <w:p>
            <w:pPr>
              <w:jc w:val="center"/>
              <w:rPr>
                <w:color w:val="000000"/>
              </w:rPr>
            </w:pPr>
            <w:r>
              <w:rPr>
                <w:color w:val="000000"/>
              </w:rPr>
              <w:t>1.7</w:t>
            </w:r>
          </w:p>
        </w:tc>
        <w:tc>
          <w:tcPr>
            <w:tcW w:w="704" w:type="dxa"/>
          </w:tcPr>
          <w:p>
            <w:pPr>
              <w:jc w:val="center"/>
              <w:rPr>
                <w:color w:val="000000"/>
              </w:rPr>
            </w:pPr>
            <w:r>
              <w:rPr>
                <w:color w:val="000000"/>
              </w:rPr>
              <w:t>12.75</w:t>
            </w:r>
          </w:p>
        </w:tc>
        <w:tc>
          <w:tcPr>
            <w:tcW w:w="635" w:type="dxa"/>
          </w:tcPr>
          <w:p>
            <w:pPr>
              <w:jc w:val="center"/>
              <w:rPr>
                <w:color w:val="000000"/>
              </w:rPr>
            </w:pPr>
            <w:r>
              <w:rPr>
                <w:color w:val="000000"/>
              </w:rPr>
              <w:t>9</w:t>
            </w:r>
          </w:p>
        </w:tc>
        <w:tc>
          <w:tcPr>
            <w:tcW w:w="635" w:type="dxa"/>
          </w:tcPr>
          <w:p>
            <w:pPr>
              <w:jc w:val="center"/>
              <w:rPr>
                <w:color w:val="000000"/>
              </w:rPr>
            </w:pPr>
            <w:r>
              <w:rPr>
                <w:color w:val="000000"/>
              </w:rPr>
              <w:t>4.25</w:t>
            </w:r>
          </w:p>
        </w:tc>
        <w:tc>
          <w:tcPr>
            <w:tcW w:w="621" w:type="dxa"/>
          </w:tcPr>
          <w:p>
            <w:pPr>
              <w:jc w:val="center"/>
              <w:rPr>
                <w:color w:val="000000"/>
              </w:rPr>
            </w:pPr>
            <w:r>
              <w:rPr>
                <w:color w:val="000000"/>
              </w:rPr>
              <w:t>1.7</w:t>
            </w:r>
          </w:p>
        </w:tc>
        <w:tc>
          <w:tcPr>
            <w:tcW w:w="599" w:type="dxa"/>
          </w:tcPr>
          <w:p>
            <w:pPr>
              <w:jc w:val="center"/>
              <w:rPr>
                <w:color w:val="000000"/>
              </w:rPr>
            </w:pPr>
            <w:r>
              <w:rPr>
                <w:color w:val="000000"/>
              </w:rPr>
              <w:t>9</w:t>
            </w:r>
          </w:p>
        </w:tc>
        <w:tc>
          <w:tcPr>
            <w:tcW w:w="599" w:type="dxa"/>
          </w:tcPr>
          <w:p>
            <w:pPr>
              <w:jc w:val="center"/>
              <w:rPr>
                <w:color w:val="000000"/>
              </w:rPr>
            </w:pPr>
            <w:r>
              <w:rPr>
                <w:color w:val="000000"/>
              </w:rPr>
              <w:t>5.5</w:t>
            </w:r>
          </w:p>
        </w:tc>
        <w:tc>
          <w:tcPr>
            <w:tcW w:w="600" w:type="dxa"/>
          </w:tcPr>
          <w:p>
            <w:pPr>
              <w:jc w:val="center"/>
              <w:rPr>
                <w:color w:val="000000"/>
              </w:rPr>
            </w:pPr>
            <w:r>
              <w:rPr>
                <w:color w:val="000000"/>
              </w:rPr>
              <w:t>1.7</w:t>
            </w:r>
          </w:p>
        </w:tc>
      </w:tr>
      <w:tr>
        <w:tblPrEx>
          <w:tblW w:w="8639" w:type="dxa"/>
          <w:tblInd w:w="0" w:type="dxa"/>
          <w:tblCellMar>
            <w:top w:w="0" w:type="dxa"/>
            <w:left w:w="108" w:type="dxa"/>
            <w:bottom w:w="0" w:type="dxa"/>
            <w:right w:w="108" w:type="dxa"/>
          </w:tblCellMar>
        </w:tblPrEx>
        <w:trPr>
          <w:trHeight w:val="345"/>
        </w:trPr>
        <w:tc>
          <w:tcPr>
            <w:tcW w:w="920" w:type="dxa"/>
          </w:tcPr>
          <w:p>
            <w:pPr>
              <w:wordWrap w:val="0"/>
              <w:jc w:val="center"/>
              <w:rPr>
                <w:color w:val="000000"/>
              </w:rPr>
            </w:pPr>
            <w:r>
              <w:rPr>
                <w:color w:val="000000"/>
              </w:rPr>
              <w:t>5 kg</w:t>
            </w:r>
          </w:p>
        </w:tc>
        <w:tc>
          <w:tcPr>
            <w:tcW w:w="704" w:type="dxa"/>
          </w:tcPr>
          <w:p>
            <w:pPr>
              <w:jc w:val="center"/>
              <w:rPr>
                <w:color w:val="000000"/>
              </w:rPr>
            </w:pPr>
            <w:r>
              <w:rPr>
                <w:color w:val="000000"/>
              </w:rPr>
              <w:t>12.25</w:t>
            </w:r>
          </w:p>
        </w:tc>
        <w:tc>
          <w:tcPr>
            <w:tcW w:w="704" w:type="dxa"/>
          </w:tcPr>
          <w:p>
            <w:pPr>
              <w:jc w:val="center"/>
              <w:rPr>
                <w:color w:val="000000"/>
              </w:rPr>
            </w:pPr>
            <w:r>
              <w:rPr>
                <w:color w:val="000000"/>
              </w:rPr>
              <w:t>9.75</w:t>
            </w:r>
          </w:p>
        </w:tc>
        <w:tc>
          <w:tcPr>
            <w:tcW w:w="635" w:type="dxa"/>
          </w:tcPr>
          <w:p>
            <w:pPr>
              <w:jc w:val="center"/>
              <w:rPr>
                <w:color w:val="000000"/>
              </w:rPr>
            </w:pPr>
            <w:r>
              <w:rPr>
                <w:color w:val="000000"/>
              </w:rPr>
              <w:t>6.25</w:t>
            </w:r>
          </w:p>
        </w:tc>
        <w:tc>
          <w:tcPr>
            <w:tcW w:w="640" w:type="dxa"/>
          </w:tcPr>
          <w:p>
            <w:pPr>
              <w:jc w:val="center"/>
              <w:rPr>
                <w:color w:val="000000"/>
              </w:rPr>
            </w:pPr>
            <w:r>
              <w:rPr>
                <w:color w:val="000000"/>
              </w:rPr>
              <w:t>3.75</w:t>
            </w:r>
          </w:p>
        </w:tc>
        <w:tc>
          <w:tcPr>
            <w:tcW w:w="643" w:type="dxa"/>
          </w:tcPr>
          <w:p>
            <w:pPr>
              <w:jc w:val="center"/>
              <w:rPr>
                <w:color w:val="000000"/>
              </w:rPr>
            </w:pPr>
            <w:r>
              <w:rPr>
                <w:color w:val="000000"/>
              </w:rPr>
              <w:t>1.6</w:t>
            </w:r>
          </w:p>
        </w:tc>
        <w:tc>
          <w:tcPr>
            <w:tcW w:w="704" w:type="dxa"/>
          </w:tcPr>
          <w:p>
            <w:pPr>
              <w:jc w:val="center"/>
              <w:rPr>
                <w:color w:val="000000"/>
              </w:rPr>
            </w:pPr>
            <w:r>
              <w:rPr>
                <w:color w:val="000000"/>
              </w:rPr>
              <w:t>9.75</w:t>
            </w:r>
          </w:p>
        </w:tc>
        <w:tc>
          <w:tcPr>
            <w:tcW w:w="635" w:type="dxa"/>
          </w:tcPr>
          <w:p>
            <w:pPr>
              <w:jc w:val="center"/>
              <w:rPr>
                <w:color w:val="000000"/>
              </w:rPr>
            </w:pPr>
            <w:r>
              <w:rPr>
                <w:color w:val="000000"/>
              </w:rPr>
              <w:t>7.25</w:t>
            </w:r>
          </w:p>
        </w:tc>
        <w:tc>
          <w:tcPr>
            <w:tcW w:w="635" w:type="dxa"/>
          </w:tcPr>
          <w:p>
            <w:pPr>
              <w:jc w:val="center"/>
              <w:rPr>
                <w:color w:val="000000"/>
              </w:rPr>
            </w:pPr>
            <w:r>
              <w:rPr>
                <w:color w:val="000000"/>
              </w:rPr>
              <w:t>3.75</w:t>
            </w:r>
          </w:p>
        </w:tc>
        <w:tc>
          <w:tcPr>
            <w:tcW w:w="621" w:type="dxa"/>
          </w:tcPr>
          <w:p>
            <w:pPr>
              <w:jc w:val="center"/>
              <w:rPr>
                <w:color w:val="000000"/>
              </w:rPr>
            </w:pPr>
            <w:r>
              <w:rPr>
                <w:color w:val="000000"/>
              </w:rPr>
              <w:t>1.6</w:t>
            </w:r>
          </w:p>
        </w:tc>
        <w:tc>
          <w:tcPr>
            <w:tcW w:w="599" w:type="dxa"/>
          </w:tcPr>
          <w:p>
            <w:pPr>
              <w:jc w:val="center"/>
              <w:rPr>
                <w:color w:val="000000"/>
              </w:rPr>
            </w:pPr>
            <w:r>
              <w:rPr>
                <w:color w:val="000000"/>
              </w:rPr>
              <w:t>7.25</w:t>
            </w:r>
          </w:p>
        </w:tc>
        <w:tc>
          <w:tcPr>
            <w:tcW w:w="599" w:type="dxa"/>
          </w:tcPr>
          <w:p>
            <w:pPr>
              <w:jc w:val="center"/>
              <w:rPr>
                <w:color w:val="000000"/>
              </w:rPr>
            </w:pPr>
            <w:r>
              <w:rPr>
                <w:color w:val="000000"/>
              </w:rPr>
              <w:t>4.75</w:t>
            </w:r>
          </w:p>
        </w:tc>
        <w:tc>
          <w:tcPr>
            <w:tcW w:w="600" w:type="dxa"/>
          </w:tcPr>
          <w:p>
            <w:pPr>
              <w:jc w:val="center"/>
              <w:rPr>
                <w:color w:val="000000"/>
              </w:rPr>
            </w:pPr>
            <w:r>
              <w:rPr>
                <w:color w:val="000000"/>
              </w:rPr>
              <w:t>1.6</w:t>
            </w:r>
          </w:p>
        </w:tc>
      </w:tr>
      <w:tr>
        <w:tblPrEx>
          <w:tblW w:w="8639" w:type="dxa"/>
          <w:tblInd w:w="0" w:type="dxa"/>
          <w:tblCellMar>
            <w:top w:w="0" w:type="dxa"/>
            <w:left w:w="108" w:type="dxa"/>
            <w:bottom w:w="0" w:type="dxa"/>
            <w:right w:w="108" w:type="dxa"/>
          </w:tblCellMar>
        </w:tblPrEx>
        <w:trPr>
          <w:trHeight w:val="345"/>
        </w:trPr>
        <w:tc>
          <w:tcPr>
            <w:tcW w:w="920" w:type="dxa"/>
          </w:tcPr>
          <w:p>
            <w:pPr>
              <w:wordWrap w:val="0"/>
              <w:jc w:val="center"/>
              <w:rPr>
                <w:color w:val="000000"/>
              </w:rPr>
            </w:pPr>
            <w:r>
              <w:rPr>
                <w:color w:val="000000"/>
              </w:rPr>
              <w:t>2 kg</w:t>
            </w:r>
          </w:p>
        </w:tc>
        <w:tc>
          <w:tcPr>
            <w:tcW w:w="704" w:type="dxa"/>
          </w:tcPr>
          <w:p>
            <w:pPr>
              <w:jc w:val="center"/>
              <w:rPr>
                <w:color w:val="000000"/>
              </w:rPr>
            </w:pPr>
            <w:r>
              <w:rPr>
                <w:color w:val="000000"/>
              </w:rPr>
              <w:t>8</w:t>
            </w:r>
          </w:p>
        </w:tc>
        <w:tc>
          <w:tcPr>
            <w:tcW w:w="704" w:type="dxa"/>
          </w:tcPr>
          <w:p>
            <w:pPr>
              <w:jc w:val="center"/>
              <w:rPr>
                <w:color w:val="000000"/>
              </w:rPr>
            </w:pPr>
            <w:r>
              <w:rPr>
                <w:color w:val="000000"/>
              </w:rPr>
              <w:t>6.5</w:t>
            </w:r>
          </w:p>
        </w:tc>
        <w:tc>
          <w:tcPr>
            <w:tcW w:w="635" w:type="dxa"/>
          </w:tcPr>
          <w:p>
            <w:pPr>
              <w:jc w:val="center"/>
              <w:rPr>
                <w:color w:val="000000"/>
              </w:rPr>
            </w:pPr>
            <w:r>
              <w:rPr>
                <w:color w:val="000000"/>
              </w:rPr>
              <w:t>4.5</w:t>
            </w:r>
          </w:p>
        </w:tc>
        <w:tc>
          <w:tcPr>
            <w:tcW w:w="640" w:type="dxa"/>
          </w:tcPr>
          <w:p>
            <w:pPr>
              <w:jc w:val="center"/>
              <w:rPr>
                <w:color w:val="000000"/>
              </w:rPr>
            </w:pPr>
            <w:r>
              <w:rPr>
                <w:color w:val="000000"/>
              </w:rPr>
              <w:t>3</w:t>
            </w:r>
          </w:p>
        </w:tc>
        <w:tc>
          <w:tcPr>
            <w:tcW w:w="643" w:type="dxa"/>
          </w:tcPr>
          <w:p>
            <w:pPr>
              <w:jc w:val="center"/>
              <w:rPr>
                <w:color w:val="000000"/>
              </w:rPr>
            </w:pPr>
            <w:r>
              <w:rPr>
                <w:color w:val="000000"/>
              </w:rPr>
              <w:t>1.5</w:t>
            </w:r>
          </w:p>
        </w:tc>
        <w:tc>
          <w:tcPr>
            <w:tcW w:w="704" w:type="dxa"/>
          </w:tcPr>
          <w:p>
            <w:pPr>
              <w:jc w:val="center"/>
              <w:rPr>
                <w:color w:val="000000"/>
              </w:rPr>
            </w:pPr>
            <w:r>
              <w:rPr>
                <w:color w:val="000000"/>
              </w:rPr>
              <w:t>6.5</w:t>
            </w:r>
          </w:p>
        </w:tc>
        <w:tc>
          <w:tcPr>
            <w:tcW w:w="635" w:type="dxa"/>
          </w:tcPr>
          <w:p>
            <w:pPr>
              <w:jc w:val="center"/>
              <w:rPr>
                <w:color w:val="000000"/>
              </w:rPr>
            </w:pPr>
            <w:r>
              <w:rPr>
                <w:color w:val="000000"/>
              </w:rPr>
              <w:t>5</w:t>
            </w:r>
          </w:p>
        </w:tc>
        <w:tc>
          <w:tcPr>
            <w:tcW w:w="635" w:type="dxa"/>
          </w:tcPr>
          <w:p>
            <w:pPr>
              <w:jc w:val="center"/>
              <w:rPr>
                <w:color w:val="000000"/>
              </w:rPr>
            </w:pPr>
            <w:r>
              <w:rPr>
                <w:color w:val="000000"/>
              </w:rPr>
              <w:t>3</w:t>
            </w:r>
          </w:p>
        </w:tc>
        <w:tc>
          <w:tcPr>
            <w:tcW w:w="621" w:type="dxa"/>
          </w:tcPr>
          <w:p>
            <w:pPr>
              <w:jc w:val="center"/>
              <w:rPr>
                <w:color w:val="000000"/>
              </w:rPr>
            </w:pPr>
            <w:r>
              <w:rPr>
                <w:color w:val="000000"/>
              </w:rPr>
              <w:t>1.5</w:t>
            </w:r>
          </w:p>
        </w:tc>
        <w:tc>
          <w:tcPr>
            <w:tcW w:w="599" w:type="dxa"/>
          </w:tcPr>
          <w:p>
            <w:pPr>
              <w:jc w:val="center"/>
              <w:rPr>
                <w:color w:val="000000"/>
              </w:rPr>
            </w:pPr>
            <w:r>
              <w:rPr>
                <w:color w:val="000000"/>
              </w:rPr>
              <w:t>5</w:t>
            </w:r>
          </w:p>
        </w:tc>
        <w:tc>
          <w:tcPr>
            <w:tcW w:w="599" w:type="dxa"/>
          </w:tcPr>
          <w:p>
            <w:pPr>
              <w:jc w:val="center"/>
              <w:rPr>
                <w:color w:val="000000"/>
              </w:rPr>
            </w:pPr>
            <w:r>
              <w:rPr>
                <w:color w:val="000000"/>
              </w:rPr>
              <w:t>3.5</w:t>
            </w:r>
          </w:p>
        </w:tc>
        <w:tc>
          <w:tcPr>
            <w:tcW w:w="600" w:type="dxa"/>
          </w:tcPr>
          <w:p>
            <w:pPr>
              <w:jc w:val="center"/>
              <w:rPr>
                <w:color w:val="000000"/>
              </w:rPr>
            </w:pPr>
            <w:r>
              <w:rPr>
                <w:color w:val="000000"/>
              </w:rPr>
              <w:t>1.5</w:t>
            </w:r>
          </w:p>
        </w:tc>
      </w:tr>
      <w:tr>
        <w:tblPrEx>
          <w:tblW w:w="8639" w:type="dxa"/>
          <w:tblInd w:w="0" w:type="dxa"/>
          <w:tblCellMar>
            <w:top w:w="0" w:type="dxa"/>
            <w:left w:w="108" w:type="dxa"/>
            <w:bottom w:w="0" w:type="dxa"/>
            <w:right w:w="108" w:type="dxa"/>
          </w:tblCellMar>
        </w:tblPrEx>
        <w:trPr>
          <w:trHeight w:val="345"/>
        </w:trPr>
        <w:tc>
          <w:tcPr>
            <w:tcW w:w="920" w:type="dxa"/>
          </w:tcPr>
          <w:p>
            <w:pPr>
              <w:wordWrap w:val="0"/>
              <w:jc w:val="center"/>
              <w:rPr>
                <w:color w:val="000000"/>
              </w:rPr>
            </w:pPr>
            <w:r>
              <w:rPr>
                <w:color w:val="000000"/>
              </w:rPr>
              <w:t>1 kg</w:t>
            </w:r>
          </w:p>
        </w:tc>
        <w:tc>
          <w:tcPr>
            <w:tcW w:w="704" w:type="dxa"/>
          </w:tcPr>
          <w:p>
            <w:pPr>
              <w:jc w:val="center"/>
              <w:rPr>
                <w:color w:val="000000"/>
              </w:rPr>
            </w:pPr>
            <w:r>
              <w:rPr>
                <w:color w:val="000000"/>
              </w:rPr>
              <w:t>6</w:t>
            </w:r>
          </w:p>
        </w:tc>
        <w:tc>
          <w:tcPr>
            <w:tcW w:w="704" w:type="dxa"/>
          </w:tcPr>
          <w:p>
            <w:pPr>
              <w:jc w:val="center"/>
              <w:rPr>
                <w:color w:val="000000"/>
              </w:rPr>
            </w:pPr>
            <w:r>
              <w:rPr>
                <w:color w:val="000000"/>
              </w:rPr>
              <w:t>4.75</w:t>
            </w:r>
          </w:p>
        </w:tc>
        <w:tc>
          <w:tcPr>
            <w:tcW w:w="635" w:type="dxa"/>
          </w:tcPr>
          <w:p>
            <w:pPr>
              <w:jc w:val="center"/>
              <w:rPr>
                <w:color w:val="000000"/>
              </w:rPr>
            </w:pPr>
            <w:r>
              <w:rPr>
                <w:color w:val="000000"/>
              </w:rPr>
              <w:t>3.5</w:t>
            </w:r>
          </w:p>
        </w:tc>
        <w:tc>
          <w:tcPr>
            <w:tcW w:w="640" w:type="dxa"/>
          </w:tcPr>
          <w:p>
            <w:pPr>
              <w:jc w:val="center"/>
              <w:rPr>
                <w:color w:val="000000"/>
              </w:rPr>
            </w:pPr>
            <w:r>
              <w:rPr>
                <w:color w:val="000000"/>
              </w:rPr>
              <w:t>2.5</w:t>
            </w:r>
          </w:p>
        </w:tc>
        <w:tc>
          <w:tcPr>
            <w:tcW w:w="643" w:type="dxa"/>
          </w:tcPr>
          <w:p>
            <w:pPr>
              <w:jc w:val="center"/>
              <w:rPr>
                <w:color w:val="000000"/>
              </w:rPr>
            </w:pPr>
            <w:r>
              <w:rPr>
                <w:color w:val="000000"/>
              </w:rPr>
              <w:t>1.35</w:t>
            </w:r>
          </w:p>
        </w:tc>
        <w:tc>
          <w:tcPr>
            <w:tcW w:w="704" w:type="dxa"/>
          </w:tcPr>
          <w:p>
            <w:pPr>
              <w:jc w:val="center"/>
              <w:rPr>
                <w:color w:val="000000"/>
              </w:rPr>
            </w:pPr>
            <w:r>
              <w:rPr>
                <w:color w:val="000000"/>
              </w:rPr>
              <w:t>4.75</w:t>
            </w:r>
          </w:p>
        </w:tc>
        <w:tc>
          <w:tcPr>
            <w:tcW w:w="635" w:type="dxa"/>
          </w:tcPr>
          <w:p>
            <w:pPr>
              <w:jc w:val="center"/>
              <w:rPr>
                <w:color w:val="000000"/>
              </w:rPr>
            </w:pPr>
            <w:r>
              <w:rPr>
                <w:color w:val="000000"/>
              </w:rPr>
              <w:t>3.75</w:t>
            </w:r>
          </w:p>
        </w:tc>
        <w:tc>
          <w:tcPr>
            <w:tcW w:w="635" w:type="dxa"/>
          </w:tcPr>
          <w:p>
            <w:pPr>
              <w:jc w:val="center"/>
              <w:rPr>
                <w:color w:val="000000"/>
              </w:rPr>
            </w:pPr>
            <w:r>
              <w:rPr>
                <w:color w:val="000000"/>
              </w:rPr>
              <w:t>2.5</w:t>
            </w:r>
          </w:p>
        </w:tc>
        <w:tc>
          <w:tcPr>
            <w:tcW w:w="621" w:type="dxa"/>
          </w:tcPr>
          <w:p>
            <w:pPr>
              <w:jc w:val="center"/>
              <w:rPr>
                <w:color w:val="000000"/>
              </w:rPr>
            </w:pPr>
            <w:r>
              <w:rPr>
                <w:color w:val="000000"/>
              </w:rPr>
              <w:t>1.35</w:t>
            </w:r>
          </w:p>
        </w:tc>
        <w:tc>
          <w:tcPr>
            <w:tcW w:w="599" w:type="dxa"/>
          </w:tcPr>
          <w:p>
            <w:pPr>
              <w:jc w:val="center"/>
              <w:rPr>
                <w:color w:val="000000"/>
              </w:rPr>
            </w:pPr>
            <w:r>
              <w:rPr>
                <w:color w:val="000000"/>
              </w:rPr>
              <w:t>3.75</w:t>
            </w:r>
          </w:p>
        </w:tc>
        <w:tc>
          <w:tcPr>
            <w:tcW w:w="599" w:type="dxa"/>
          </w:tcPr>
          <w:p>
            <w:pPr>
              <w:jc w:val="center"/>
              <w:rPr>
                <w:color w:val="000000"/>
              </w:rPr>
            </w:pPr>
            <w:r>
              <w:rPr>
                <w:color w:val="000000"/>
              </w:rPr>
              <w:t>2.75</w:t>
            </w:r>
          </w:p>
        </w:tc>
        <w:tc>
          <w:tcPr>
            <w:tcW w:w="600" w:type="dxa"/>
          </w:tcPr>
          <w:p>
            <w:pPr>
              <w:jc w:val="center"/>
              <w:rPr>
                <w:color w:val="000000"/>
              </w:rPr>
            </w:pPr>
            <w:r>
              <w:rPr>
                <w:color w:val="000000"/>
              </w:rPr>
              <w:t>1.3</w:t>
            </w:r>
          </w:p>
        </w:tc>
      </w:tr>
      <w:tr>
        <w:tblPrEx>
          <w:tblW w:w="8639" w:type="dxa"/>
          <w:tblInd w:w="0" w:type="dxa"/>
          <w:tblCellMar>
            <w:top w:w="0" w:type="dxa"/>
            <w:left w:w="108" w:type="dxa"/>
            <w:bottom w:w="0" w:type="dxa"/>
            <w:right w:w="108" w:type="dxa"/>
          </w:tblCellMar>
        </w:tblPrEx>
        <w:trPr>
          <w:trHeight w:val="345"/>
        </w:trPr>
        <w:tc>
          <w:tcPr>
            <w:tcW w:w="920" w:type="dxa"/>
          </w:tcPr>
          <w:p>
            <w:pPr>
              <w:wordWrap w:val="0"/>
              <w:jc w:val="center"/>
              <w:rPr>
                <w:color w:val="000000"/>
              </w:rPr>
            </w:pPr>
            <w:r>
              <w:rPr>
                <w:color w:val="000000"/>
              </w:rPr>
              <w:t>500 g</w:t>
            </w:r>
          </w:p>
        </w:tc>
        <w:tc>
          <w:tcPr>
            <w:tcW w:w="704" w:type="dxa"/>
          </w:tcPr>
          <w:p>
            <w:pPr>
              <w:jc w:val="center"/>
              <w:rPr>
                <w:color w:val="000000"/>
              </w:rPr>
            </w:pPr>
            <w:r>
              <w:rPr>
                <w:color w:val="000000"/>
              </w:rPr>
              <w:t>4</w:t>
            </w:r>
          </w:p>
        </w:tc>
        <w:tc>
          <w:tcPr>
            <w:tcW w:w="704" w:type="dxa"/>
          </w:tcPr>
          <w:p>
            <w:pPr>
              <w:jc w:val="center"/>
              <w:rPr>
                <w:color w:val="000000"/>
              </w:rPr>
            </w:pPr>
            <w:r>
              <w:rPr>
                <w:color w:val="000000"/>
              </w:rPr>
              <w:t>3.5</w:t>
            </w:r>
          </w:p>
        </w:tc>
        <w:tc>
          <w:tcPr>
            <w:tcW w:w="635" w:type="dxa"/>
          </w:tcPr>
          <w:p>
            <w:pPr>
              <w:jc w:val="center"/>
              <w:rPr>
                <w:color w:val="000000"/>
              </w:rPr>
            </w:pPr>
            <w:r>
              <w:rPr>
                <w:color w:val="000000"/>
              </w:rPr>
              <w:t>2.5</w:t>
            </w:r>
          </w:p>
        </w:tc>
        <w:tc>
          <w:tcPr>
            <w:tcW w:w="640" w:type="dxa"/>
          </w:tcPr>
          <w:p>
            <w:pPr>
              <w:jc w:val="center"/>
              <w:rPr>
                <w:color w:val="000000"/>
              </w:rPr>
            </w:pPr>
            <w:r>
              <w:rPr>
                <w:color w:val="000000"/>
              </w:rPr>
              <w:t>1.85</w:t>
            </w:r>
          </w:p>
        </w:tc>
        <w:tc>
          <w:tcPr>
            <w:tcW w:w="643" w:type="dxa"/>
          </w:tcPr>
          <w:p>
            <w:pPr>
              <w:jc w:val="center"/>
              <w:rPr>
                <w:color w:val="000000"/>
              </w:rPr>
            </w:pPr>
            <w:r>
              <w:rPr>
                <w:color w:val="000000"/>
              </w:rPr>
              <w:t>1.2</w:t>
            </w:r>
          </w:p>
        </w:tc>
        <w:tc>
          <w:tcPr>
            <w:tcW w:w="704" w:type="dxa"/>
          </w:tcPr>
          <w:p>
            <w:pPr>
              <w:jc w:val="center"/>
              <w:rPr>
                <w:color w:val="000000"/>
              </w:rPr>
            </w:pPr>
            <w:r>
              <w:rPr>
                <w:color w:val="000000"/>
              </w:rPr>
              <w:t>3.5</w:t>
            </w:r>
          </w:p>
        </w:tc>
        <w:tc>
          <w:tcPr>
            <w:tcW w:w="635" w:type="dxa"/>
          </w:tcPr>
          <w:p>
            <w:pPr>
              <w:jc w:val="center"/>
              <w:rPr>
                <w:color w:val="000000"/>
              </w:rPr>
            </w:pPr>
            <w:r>
              <w:rPr>
                <w:color w:val="000000"/>
              </w:rPr>
              <w:t>2.75</w:t>
            </w:r>
          </w:p>
        </w:tc>
        <w:tc>
          <w:tcPr>
            <w:tcW w:w="635" w:type="dxa"/>
          </w:tcPr>
          <w:p>
            <w:pPr>
              <w:jc w:val="center"/>
              <w:rPr>
                <w:color w:val="000000"/>
              </w:rPr>
            </w:pPr>
            <w:r>
              <w:rPr>
                <w:color w:val="000000"/>
              </w:rPr>
              <w:t>1.85</w:t>
            </w:r>
          </w:p>
        </w:tc>
        <w:tc>
          <w:tcPr>
            <w:tcW w:w="621" w:type="dxa"/>
          </w:tcPr>
          <w:p>
            <w:pPr>
              <w:jc w:val="center"/>
              <w:rPr>
                <w:color w:val="000000"/>
              </w:rPr>
            </w:pPr>
            <w:r>
              <w:rPr>
                <w:color w:val="000000"/>
              </w:rPr>
              <w:t>1.2</w:t>
            </w:r>
          </w:p>
        </w:tc>
        <w:tc>
          <w:tcPr>
            <w:tcW w:w="599" w:type="dxa"/>
          </w:tcPr>
          <w:p>
            <w:pPr>
              <w:jc w:val="center"/>
              <w:rPr>
                <w:color w:val="000000"/>
              </w:rPr>
            </w:pPr>
            <w:r>
              <w:rPr>
                <w:color w:val="000000"/>
              </w:rPr>
              <w:t>2.75</w:t>
            </w:r>
          </w:p>
        </w:tc>
        <w:tc>
          <w:tcPr>
            <w:tcW w:w="599" w:type="dxa"/>
          </w:tcPr>
          <w:p>
            <w:pPr>
              <w:jc w:val="center"/>
              <w:rPr>
                <w:color w:val="000000"/>
              </w:rPr>
            </w:pPr>
            <w:r>
              <w:rPr>
                <w:color w:val="000000"/>
              </w:rPr>
              <w:t>2</w:t>
            </w:r>
          </w:p>
        </w:tc>
        <w:tc>
          <w:tcPr>
            <w:tcW w:w="600" w:type="dxa"/>
          </w:tcPr>
          <w:p>
            <w:pPr>
              <w:jc w:val="center"/>
              <w:rPr>
                <w:color w:val="000000"/>
              </w:rPr>
            </w:pPr>
            <w:r>
              <w:rPr>
                <w:color w:val="000000"/>
              </w:rPr>
              <w:t>1.2</w:t>
            </w:r>
          </w:p>
        </w:tc>
      </w:tr>
      <w:tr>
        <w:tblPrEx>
          <w:tblW w:w="8639" w:type="dxa"/>
          <w:tblInd w:w="0" w:type="dxa"/>
          <w:tblCellMar>
            <w:top w:w="0" w:type="dxa"/>
            <w:left w:w="108" w:type="dxa"/>
            <w:bottom w:w="0" w:type="dxa"/>
            <w:right w:w="108" w:type="dxa"/>
          </w:tblCellMar>
        </w:tblPrEx>
        <w:trPr>
          <w:trHeight w:val="345"/>
        </w:trPr>
        <w:tc>
          <w:tcPr>
            <w:tcW w:w="920" w:type="dxa"/>
          </w:tcPr>
          <w:p>
            <w:pPr>
              <w:wordWrap w:val="0"/>
              <w:jc w:val="center"/>
              <w:rPr>
                <w:color w:val="000000"/>
              </w:rPr>
            </w:pPr>
            <w:r>
              <w:rPr>
                <w:color w:val="000000"/>
              </w:rPr>
              <w:t>200 g</w:t>
            </w:r>
          </w:p>
        </w:tc>
        <w:tc>
          <w:tcPr>
            <w:tcW w:w="704" w:type="dxa"/>
          </w:tcPr>
          <w:p>
            <w:pPr>
              <w:jc w:val="center"/>
              <w:rPr>
                <w:color w:val="000000"/>
              </w:rPr>
            </w:pPr>
            <w:r>
              <w:rPr>
                <w:color w:val="000000"/>
              </w:rPr>
              <w:t>2.5</w:t>
            </w:r>
          </w:p>
        </w:tc>
        <w:tc>
          <w:tcPr>
            <w:tcW w:w="704" w:type="dxa"/>
          </w:tcPr>
          <w:p>
            <w:pPr>
              <w:jc w:val="center"/>
              <w:rPr>
                <w:color w:val="000000"/>
              </w:rPr>
            </w:pPr>
            <w:r>
              <w:rPr>
                <w:color w:val="000000"/>
              </w:rPr>
              <w:t>2.2</w:t>
            </w:r>
          </w:p>
        </w:tc>
        <w:tc>
          <w:tcPr>
            <w:tcW w:w="635" w:type="dxa"/>
          </w:tcPr>
          <w:p>
            <w:pPr>
              <w:jc w:val="center"/>
              <w:rPr>
                <w:color w:val="000000"/>
              </w:rPr>
            </w:pPr>
            <w:r>
              <w:rPr>
                <w:color w:val="000000"/>
              </w:rPr>
              <w:t>1.7</w:t>
            </w:r>
          </w:p>
        </w:tc>
        <w:tc>
          <w:tcPr>
            <w:tcW w:w="640" w:type="dxa"/>
          </w:tcPr>
          <w:p>
            <w:pPr>
              <w:jc w:val="center"/>
              <w:rPr>
                <w:color w:val="000000"/>
              </w:rPr>
            </w:pPr>
            <w:r>
              <w:rPr>
                <w:color w:val="000000"/>
              </w:rPr>
              <w:t>1.25</w:t>
            </w:r>
          </w:p>
        </w:tc>
        <w:tc>
          <w:tcPr>
            <w:tcW w:w="643" w:type="dxa"/>
          </w:tcPr>
          <w:p>
            <w:pPr>
              <w:jc w:val="center"/>
              <w:rPr>
                <w:color w:val="000000"/>
              </w:rPr>
            </w:pPr>
            <w:r>
              <w:rPr>
                <w:color w:val="000000"/>
              </w:rPr>
              <w:t>0.85</w:t>
            </w:r>
          </w:p>
        </w:tc>
        <w:tc>
          <w:tcPr>
            <w:tcW w:w="704" w:type="dxa"/>
          </w:tcPr>
          <w:p>
            <w:pPr>
              <w:jc w:val="center"/>
              <w:rPr>
                <w:color w:val="000000"/>
              </w:rPr>
            </w:pPr>
            <w:r>
              <w:rPr>
                <w:color w:val="000000"/>
              </w:rPr>
              <w:t>2.2</w:t>
            </w:r>
          </w:p>
        </w:tc>
        <w:tc>
          <w:tcPr>
            <w:tcW w:w="635" w:type="dxa"/>
          </w:tcPr>
          <w:p>
            <w:pPr>
              <w:jc w:val="center"/>
              <w:rPr>
                <w:color w:val="000000"/>
              </w:rPr>
            </w:pPr>
            <w:r>
              <w:rPr>
                <w:color w:val="000000"/>
              </w:rPr>
              <w:t>1.75</w:t>
            </w:r>
          </w:p>
        </w:tc>
        <w:tc>
          <w:tcPr>
            <w:tcW w:w="635" w:type="dxa"/>
          </w:tcPr>
          <w:p>
            <w:pPr>
              <w:jc w:val="center"/>
              <w:rPr>
                <w:color w:val="000000"/>
              </w:rPr>
            </w:pPr>
            <w:r>
              <w:rPr>
                <w:color w:val="000000"/>
              </w:rPr>
              <w:t>1.25</w:t>
            </w:r>
          </w:p>
        </w:tc>
        <w:tc>
          <w:tcPr>
            <w:tcW w:w="621" w:type="dxa"/>
          </w:tcPr>
          <w:p>
            <w:pPr>
              <w:jc w:val="center"/>
              <w:rPr>
                <w:color w:val="000000"/>
              </w:rPr>
            </w:pPr>
            <w:r>
              <w:rPr>
                <w:color w:val="000000"/>
              </w:rPr>
              <w:t>0.85</w:t>
            </w:r>
          </w:p>
        </w:tc>
        <w:tc>
          <w:tcPr>
            <w:tcW w:w="599" w:type="dxa"/>
          </w:tcPr>
          <w:p>
            <w:pPr>
              <w:jc w:val="center"/>
              <w:rPr>
                <w:color w:val="000000"/>
              </w:rPr>
            </w:pPr>
            <w:r>
              <w:rPr>
                <w:color w:val="000000"/>
              </w:rPr>
              <w:t>1.75</w:t>
            </w:r>
          </w:p>
        </w:tc>
        <w:tc>
          <w:tcPr>
            <w:tcW w:w="599" w:type="dxa"/>
          </w:tcPr>
          <w:p>
            <w:pPr>
              <w:jc w:val="center"/>
              <w:rPr>
                <w:color w:val="000000"/>
              </w:rPr>
            </w:pPr>
            <w:r>
              <w:rPr>
                <w:color w:val="000000"/>
              </w:rPr>
              <w:t>1.35</w:t>
            </w:r>
          </w:p>
        </w:tc>
        <w:tc>
          <w:tcPr>
            <w:tcW w:w="600" w:type="dxa"/>
          </w:tcPr>
          <w:p>
            <w:pPr>
              <w:jc w:val="center"/>
              <w:rPr>
                <w:color w:val="000000"/>
              </w:rPr>
            </w:pPr>
            <w:r>
              <w:rPr>
                <w:color w:val="000000"/>
              </w:rPr>
              <w:t>0.85</w:t>
            </w:r>
          </w:p>
        </w:tc>
      </w:tr>
      <w:tr>
        <w:tblPrEx>
          <w:tblW w:w="8639" w:type="dxa"/>
          <w:tblInd w:w="0" w:type="dxa"/>
          <w:tblCellMar>
            <w:top w:w="0" w:type="dxa"/>
            <w:left w:w="108" w:type="dxa"/>
            <w:bottom w:w="0" w:type="dxa"/>
            <w:right w:w="108" w:type="dxa"/>
          </w:tblCellMar>
        </w:tblPrEx>
        <w:trPr>
          <w:trHeight w:val="345"/>
        </w:trPr>
        <w:tc>
          <w:tcPr>
            <w:tcW w:w="920" w:type="dxa"/>
          </w:tcPr>
          <w:p>
            <w:pPr>
              <w:wordWrap w:val="0"/>
              <w:jc w:val="center"/>
              <w:rPr>
                <w:color w:val="000000"/>
              </w:rPr>
            </w:pPr>
            <w:r>
              <w:rPr>
                <w:color w:val="000000"/>
              </w:rPr>
              <w:t>100 g</w:t>
            </w:r>
          </w:p>
        </w:tc>
        <w:tc>
          <w:tcPr>
            <w:tcW w:w="704" w:type="dxa"/>
          </w:tcPr>
          <w:p>
            <w:pPr>
              <w:jc w:val="center"/>
              <w:rPr>
                <w:color w:val="000000"/>
              </w:rPr>
            </w:pPr>
            <w:r>
              <w:rPr>
                <w:color w:val="000000"/>
              </w:rPr>
              <w:t>1.75</w:t>
            </w:r>
          </w:p>
        </w:tc>
        <w:tc>
          <w:tcPr>
            <w:tcW w:w="704" w:type="dxa"/>
          </w:tcPr>
          <w:p>
            <w:pPr>
              <w:jc w:val="center"/>
              <w:rPr>
                <w:color w:val="000000"/>
              </w:rPr>
            </w:pPr>
            <w:r>
              <w:rPr>
                <w:color w:val="000000"/>
              </w:rPr>
              <w:t>1.5</w:t>
            </w:r>
          </w:p>
        </w:tc>
        <w:tc>
          <w:tcPr>
            <w:tcW w:w="635" w:type="dxa"/>
          </w:tcPr>
          <w:p>
            <w:pPr>
              <w:jc w:val="center"/>
              <w:rPr>
                <w:color w:val="000000"/>
              </w:rPr>
            </w:pPr>
            <w:r>
              <w:rPr>
                <w:color w:val="000000"/>
              </w:rPr>
              <w:t>1.2</w:t>
            </w:r>
          </w:p>
        </w:tc>
        <w:tc>
          <w:tcPr>
            <w:tcW w:w="640" w:type="dxa"/>
          </w:tcPr>
          <w:p>
            <w:pPr>
              <w:jc w:val="center"/>
              <w:rPr>
                <w:color w:val="000000"/>
              </w:rPr>
            </w:pPr>
            <w:r>
              <w:rPr>
                <w:color w:val="000000"/>
              </w:rPr>
              <w:t>0.85</w:t>
            </w:r>
          </w:p>
        </w:tc>
        <w:tc>
          <w:tcPr>
            <w:tcW w:w="643" w:type="dxa"/>
          </w:tcPr>
          <w:p>
            <w:pPr>
              <w:jc w:val="center"/>
              <w:rPr>
                <w:color w:val="000000"/>
              </w:rPr>
            </w:pPr>
            <w:r>
              <w:rPr>
                <w:color w:val="000000"/>
              </w:rPr>
              <w:t>0.7</w:t>
            </w:r>
          </w:p>
        </w:tc>
        <w:tc>
          <w:tcPr>
            <w:tcW w:w="704" w:type="dxa"/>
          </w:tcPr>
          <w:p>
            <w:pPr>
              <w:jc w:val="center"/>
              <w:rPr>
                <w:color w:val="000000"/>
              </w:rPr>
            </w:pPr>
            <w:r>
              <w:rPr>
                <w:color w:val="000000"/>
              </w:rPr>
              <w:t>1.5</w:t>
            </w:r>
          </w:p>
        </w:tc>
        <w:tc>
          <w:tcPr>
            <w:tcW w:w="635" w:type="dxa"/>
          </w:tcPr>
          <w:p>
            <w:pPr>
              <w:jc w:val="center"/>
              <w:rPr>
                <w:color w:val="000000"/>
              </w:rPr>
            </w:pPr>
            <w:r>
              <w:rPr>
                <w:color w:val="000000"/>
              </w:rPr>
              <w:t>1.25</w:t>
            </w:r>
          </w:p>
        </w:tc>
        <w:tc>
          <w:tcPr>
            <w:tcW w:w="635" w:type="dxa"/>
          </w:tcPr>
          <w:p>
            <w:pPr>
              <w:jc w:val="center"/>
              <w:rPr>
                <w:color w:val="000000"/>
              </w:rPr>
            </w:pPr>
            <w:r>
              <w:rPr>
                <w:color w:val="000000"/>
              </w:rPr>
              <w:t>0.85</w:t>
            </w:r>
          </w:p>
        </w:tc>
        <w:tc>
          <w:tcPr>
            <w:tcW w:w="621" w:type="dxa"/>
          </w:tcPr>
          <w:p>
            <w:pPr>
              <w:jc w:val="center"/>
              <w:rPr>
                <w:color w:val="000000"/>
              </w:rPr>
            </w:pPr>
            <w:r>
              <w:rPr>
                <w:color w:val="000000"/>
              </w:rPr>
              <w:t>0.7</w:t>
            </w:r>
          </w:p>
        </w:tc>
        <w:tc>
          <w:tcPr>
            <w:tcW w:w="599" w:type="dxa"/>
          </w:tcPr>
          <w:p>
            <w:pPr>
              <w:jc w:val="center"/>
              <w:rPr>
                <w:color w:val="000000"/>
              </w:rPr>
            </w:pPr>
            <w:r>
              <w:rPr>
                <w:color w:val="000000"/>
              </w:rPr>
              <w:t>1.25</w:t>
            </w:r>
          </w:p>
        </w:tc>
        <w:tc>
          <w:tcPr>
            <w:tcW w:w="599" w:type="dxa"/>
          </w:tcPr>
          <w:p>
            <w:pPr>
              <w:jc w:val="center"/>
              <w:rPr>
                <w:color w:val="000000"/>
              </w:rPr>
            </w:pPr>
            <w:r>
              <w:rPr>
                <w:color w:val="000000"/>
              </w:rPr>
              <w:t>1</w:t>
            </w:r>
          </w:p>
        </w:tc>
        <w:tc>
          <w:tcPr>
            <w:tcW w:w="600" w:type="dxa"/>
          </w:tcPr>
          <w:p>
            <w:pPr>
              <w:jc w:val="center"/>
              <w:rPr>
                <w:color w:val="000000"/>
              </w:rPr>
            </w:pPr>
            <w:r>
              <w:rPr>
                <w:color w:val="000000"/>
              </w:rPr>
              <w:t>0.7</w:t>
            </w:r>
          </w:p>
        </w:tc>
      </w:tr>
      <w:tr>
        <w:tblPrEx>
          <w:tblW w:w="8639" w:type="dxa"/>
          <w:tblInd w:w="0" w:type="dxa"/>
          <w:tblCellMar>
            <w:top w:w="0" w:type="dxa"/>
            <w:left w:w="108" w:type="dxa"/>
            <w:bottom w:w="0" w:type="dxa"/>
            <w:right w:w="108" w:type="dxa"/>
          </w:tblCellMar>
        </w:tblPrEx>
        <w:trPr>
          <w:trHeight w:val="345"/>
        </w:trPr>
        <w:tc>
          <w:tcPr>
            <w:tcW w:w="920" w:type="dxa"/>
          </w:tcPr>
          <w:p>
            <w:pPr>
              <w:wordWrap w:val="0"/>
              <w:jc w:val="center"/>
              <w:rPr>
                <w:color w:val="000000"/>
              </w:rPr>
            </w:pPr>
            <w:r>
              <w:rPr>
                <w:color w:val="000000"/>
              </w:rPr>
              <w:t>50 g</w:t>
            </w:r>
          </w:p>
        </w:tc>
        <w:tc>
          <w:tcPr>
            <w:tcW w:w="704" w:type="dxa"/>
          </w:tcPr>
          <w:p>
            <w:pPr>
              <w:jc w:val="center"/>
              <w:rPr>
                <w:color w:val="000000"/>
              </w:rPr>
            </w:pPr>
            <w:r>
              <w:rPr>
                <w:color w:val="000000"/>
              </w:rPr>
              <w:t>1.2</w:t>
            </w:r>
          </w:p>
        </w:tc>
        <w:tc>
          <w:tcPr>
            <w:tcW w:w="704" w:type="dxa"/>
          </w:tcPr>
          <w:p>
            <w:pPr>
              <w:jc w:val="center"/>
              <w:rPr>
                <w:color w:val="000000"/>
              </w:rPr>
            </w:pPr>
            <w:r>
              <w:rPr>
                <w:color w:val="000000"/>
              </w:rPr>
              <w:t>1</w:t>
            </w:r>
          </w:p>
        </w:tc>
        <w:tc>
          <w:tcPr>
            <w:tcW w:w="635" w:type="dxa"/>
          </w:tcPr>
          <w:p>
            <w:pPr>
              <w:jc w:val="center"/>
              <w:rPr>
                <w:color w:val="000000"/>
              </w:rPr>
            </w:pPr>
            <w:r>
              <w:rPr>
                <w:color w:val="000000"/>
              </w:rPr>
              <w:t>0.75</w:t>
            </w:r>
          </w:p>
        </w:tc>
        <w:tc>
          <w:tcPr>
            <w:tcW w:w="640" w:type="dxa"/>
          </w:tcPr>
          <w:p>
            <w:pPr>
              <w:jc w:val="center"/>
              <w:rPr>
                <w:color w:val="000000"/>
              </w:rPr>
            </w:pPr>
            <w:r>
              <w:rPr>
                <w:color w:val="000000"/>
              </w:rPr>
              <w:t>0.7</w:t>
            </w:r>
          </w:p>
        </w:tc>
        <w:tc>
          <w:tcPr>
            <w:tcW w:w="643" w:type="dxa"/>
          </w:tcPr>
          <w:p>
            <w:pPr>
              <w:jc w:val="center"/>
              <w:rPr>
                <w:color w:val="000000"/>
              </w:rPr>
            </w:pPr>
            <w:r>
              <w:rPr>
                <w:color w:val="000000"/>
              </w:rPr>
              <w:t>0.5</w:t>
            </w:r>
          </w:p>
        </w:tc>
        <w:tc>
          <w:tcPr>
            <w:tcW w:w="704" w:type="dxa"/>
          </w:tcPr>
          <w:p>
            <w:pPr>
              <w:jc w:val="center"/>
              <w:rPr>
                <w:color w:val="000000"/>
              </w:rPr>
            </w:pPr>
            <w:r>
              <w:rPr>
                <w:color w:val="000000"/>
              </w:rPr>
              <w:t>1</w:t>
            </w:r>
          </w:p>
        </w:tc>
        <w:tc>
          <w:tcPr>
            <w:tcW w:w="635" w:type="dxa"/>
          </w:tcPr>
          <w:p>
            <w:pPr>
              <w:jc w:val="center"/>
              <w:rPr>
                <w:color w:val="000000"/>
              </w:rPr>
            </w:pPr>
            <w:r>
              <w:rPr>
                <w:color w:val="000000"/>
              </w:rPr>
              <w:t>0.75</w:t>
            </w:r>
          </w:p>
        </w:tc>
        <w:tc>
          <w:tcPr>
            <w:tcW w:w="635" w:type="dxa"/>
          </w:tcPr>
          <w:p>
            <w:pPr>
              <w:jc w:val="center"/>
              <w:rPr>
                <w:color w:val="000000"/>
              </w:rPr>
            </w:pPr>
            <w:r>
              <w:rPr>
                <w:color w:val="000000"/>
              </w:rPr>
              <w:t>0.7</w:t>
            </w:r>
          </w:p>
        </w:tc>
        <w:tc>
          <w:tcPr>
            <w:tcW w:w="621" w:type="dxa"/>
          </w:tcPr>
          <w:p>
            <w:pPr>
              <w:jc w:val="center"/>
              <w:rPr>
                <w:color w:val="000000"/>
              </w:rPr>
            </w:pPr>
            <w:r>
              <w:rPr>
                <w:color w:val="000000"/>
              </w:rPr>
              <w:t>0.5</w:t>
            </w:r>
          </w:p>
        </w:tc>
        <w:tc>
          <w:tcPr>
            <w:tcW w:w="599" w:type="dxa"/>
          </w:tcPr>
          <w:p>
            <w:pPr>
              <w:jc w:val="center"/>
              <w:rPr>
                <w:color w:val="000000"/>
              </w:rPr>
            </w:pPr>
            <w:r>
              <w:rPr>
                <w:color w:val="000000"/>
              </w:rPr>
              <w:t>0.85</w:t>
            </w:r>
          </w:p>
        </w:tc>
        <w:tc>
          <w:tcPr>
            <w:tcW w:w="599" w:type="dxa"/>
          </w:tcPr>
          <w:p>
            <w:pPr>
              <w:jc w:val="center"/>
              <w:rPr>
                <w:color w:val="000000"/>
              </w:rPr>
            </w:pPr>
            <w:r>
              <w:rPr>
                <w:color w:val="000000"/>
              </w:rPr>
              <w:t>0.7</w:t>
            </w:r>
          </w:p>
        </w:tc>
        <w:tc>
          <w:tcPr>
            <w:tcW w:w="600" w:type="dxa"/>
          </w:tcPr>
          <w:p>
            <w:pPr>
              <w:jc w:val="center"/>
              <w:rPr>
                <w:color w:val="000000"/>
              </w:rPr>
            </w:pPr>
            <w:r>
              <w:rPr>
                <w:color w:val="000000"/>
              </w:rPr>
              <w:t>0.5</w:t>
            </w:r>
          </w:p>
        </w:tc>
      </w:tr>
      <w:tr>
        <w:tblPrEx>
          <w:tblW w:w="8639" w:type="dxa"/>
          <w:tblInd w:w="0" w:type="dxa"/>
          <w:tblCellMar>
            <w:top w:w="0" w:type="dxa"/>
            <w:left w:w="108" w:type="dxa"/>
            <w:bottom w:w="0" w:type="dxa"/>
            <w:right w:w="108" w:type="dxa"/>
          </w:tblCellMar>
        </w:tblPrEx>
        <w:trPr>
          <w:trHeight w:val="345"/>
        </w:trPr>
        <w:tc>
          <w:tcPr>
            <w:tcW w:w="920" w:type="dxa"/>
          </w:tcPr>
          <w:p>
            <w:pPr>
              <w:jc w:val="center"/>
              <w:rPr>
                <w:color w:val="FF0000"/>
              </w:rPr>
            </w:pPr>
            <m:oMath>
              <m:r>
                <m:rPr>
                  <m:sty m:val="p"/>
                </m:rPr>
                <w:rPr>
                  <w:rFonts w:ascii="Cambria Math" w:hAnsi="Cambria Math"/>
                  <w:color w:val="000000" w:themeColor="text1"/>
                  <w14:textFill>
                    <w14:solidFill>
                      <w14:schemeClr w14:val="tx1"/>
                    </w14:solidFill>
                  </w14:textFill>
                </w:rPr>
                <m:t>≤</m:t>
              </m:r>
            </m:oMath>
            <w:r>
              <w:rPr>
                <w:color w:val="000000" w:themeColor="text1"/>
                <w14:textFill>
                  <w14:solidFill>
                    <w14:schemeClr w14:val="tx1"/>
                  </w14:solidFill>
                </w14:textFill>
              </w:rPr>
              <w:t>20 g</w:t>
            </w:r>
          </w:p>
        </w:tc>
        <w:tc>
          <w:tcPr>
            <w:tcW w:w="704" w:type="dxa"/>
          </w:tcPr>
          <w:p>
            <w:pPr>
              <w:jc w:val="center"/>
              <w:rPr>
                <w:color w:val="000000"/>
              </w:rPr>
            </w:pPr>
            <w:r>
              <w:rPr>
                <w:color w:val="000000"/>
              </w:rPr>
              <w:t>0.75</w:t>
            </w:r>
          </w:p>
        </w:tc>
        <w:tc>
          <w:tcPr>
            <w:tcW w:w="704" w:type="dxa"/>
          </w:tcPr>
          <w:p>
            <w:pPr>
              <w:jc w:val="center"/>
              <w:rPr>
                <w:color w:val="000000"/>
              </w:rPr>
            </w:pPr>
            <w:r>
              <w:rPr>
                <w:color w:val="000000"/>
              </w:rPr>
              <w:t>0.7</w:t>
            </w:r>
          </w:p>
        </w:tc>
        <w:tc>
          <w:tcPr>
            <w:tcW w:w="635" w:type="dxa"/>
          </w:tcPr>
          <w:p>
            <w:pPr>
              <w:jc w:val="center"/>
              <w:rPr>
                <w:color w:val="000000"/>
              </w:rPr>
            </w:pPr>
            <w:r>
              <w:rPr>
                <w:color w:val="000000"/>
              </w:rPr>
              <w:t>0.5</w:t>
            </w:r>
          </w:p>
        </w:tc>
        <w:tc>
          <w:tcPr>
            <w:tcW w:w="640" w:type="dxa"/>
          </w:tcPr>
          <w:p>
            <w:pPr>
              <w:jc w:val="center"/>
              <w:rPr>
                <w:color w:val="000000"/>
              </w:rPr>
            </w:pPr>
            <w:r>
              <w:rPr>
                <w:color w:val="000000"/>
              </w:rPr>
              <w:t>0.35</w:t>
            </w:r>
          </w:p>
        </w:tc>
        <w:tc>
          <w:tcPr>
            <w:tcW w:w="643" w:type="dxa"/>
          </w:tcPr>
          <w:p>
            <w:pPr>
              <w:jc w:val="center"/>
              <w:rPr>
                <w:color w:val="000000"/>
              </w:rPr>
            </w:pPr>
            <w:r>
              <w:rPr>
                <w:color w:val="000000"/>
              </w:rPr>
              <w:t>0.35</w:t>
            </w:r>
          </w:p>
        </w:tc>
        <w:tc>
          <w:tcPr>
            <w:tcW w:w="704" w:type="dxa"/>
          </w:tcPr>
          <w:p>
            <w:pPr>
              <w:jc w:val="center"/>
              <w:rPr>
                <w:color w:val="000000"/>
              </w:rPr>
            </w:pPr>
            <w:r>
              <w:rPr>
                <w:color w:val="000000"/>
              </w:rPr>
              <w:t>0.7</w:t>
            </w:r>
          </w:p>
        </w:tc>
        <w:tc>
          <w:tcPr>
            <w:tcW w:w="635" w:type="dxa"/>
          </w:tcPr>
          <w:p>
            <w:pPr>
              <w:jc w:val="center"/>
              <w:rPr>
                <w:color w:val="000000"/>
              </w:rPr>
            </w:pPr>
            <w:r>
              <w:rPr>
                <w:color w:val="000000"/>
              </w:rPr>
              <w:t>0.5</w:t>
            </w:r>
          </w:p>
        </w:tc>
        <w:tc>
          <w:tcPr>
            <w:tcW w:w="635" w:type="dxa"/>
          </w:tcPr>
          <w:p>
            <w:pPr>
              <w:jc w:val="center"/>
              <w:rPr>
                <w:color w:val="000000"/>
              </w:rPr>
            </w:pPr>
            <w:r>
              <w:rPr>
                <w:color w:val="000000"/>
              </w:rPr>
              <w:t>0.35</w:t>
            </w:r>
          </w:p>
        </w:tc>
        <w:tc>
          <w:tcPr>
            <w:tcW w:w="621" w:type="dxa"/>
          </w:tcPr>
          <w:p>
            <w:pPr>
              <w:jc w:val="center"/>
              <w:rPr>
                <w:color w:val="000000"/>
              </w:rPr>
            </w:pPr>
            <w:r>
              <w:rPr>
                <w:color w:val="000000"/>
              </w:rPr>
              <w:t>0.35</w:t>
            </w:r>
          </w:p>
        </w:tc>
        <w:tc>
          <w:tcPr>
            <w:tcW w:w="599" w:type="dxa"/>
          </w:tcPr>
          <w:p>
            <w:pPr>
              <w:jc w:val="center"/>
              <w:rPr>
                <w:color w:val="000000"/>
              </w:rPr>
            </w:pPr>
            <w:r>
              <w:rPr>
                <w:color w:val="000000"/>
              </w:rPr>
              <w:t>0.5</w:t>
            </w:r>
          </w:p>
        </w:tc>
        <w:tc>
          <w:tcPr>
            <w:tcW w:w="599" w:type="dxa"/>
          </w:tcPr>
          <w:p>
            <w:pPr>
              <w:jc w:val="center"/>
              <w:rPr>
                <w:color w:val="000000"/>
              </w:rPr>
            </w:pPr>
            <w:r>
              <w:rPr>
                <w:color w:val="000000"/>
              </w:rPr>
              <w:t>0.5</w:t>
            </w:r>
          </w:p>
        </w:tc>
        <w:tc>
          <w:tcPr>
            <w:tcW w:w="600" w:type="dxa"/>
          </w:tcPr>
          <w:p>
            <w:pPr>
              <w:jc w:val="center"/>
              <w:rPr>
                <w:color w:val="000000"/>
              </w:rPr>
            </w:pPr>
            <w:r>
              <w:rPr>
                <w:color w:val="000000"/>
              </w:rPr>
              <w:t>0.35</w:t>
            </w:r>
          </w:p>
        </w:tc>
      </w:tr>
    </w:tbl>
    <w:p>
      <w:pPr>
        <w:spacing w:before="156" w:beforeLines="50" w:after="156" w:afterLines="50"/>
        <w:rPr>
          <w:color w:val="000000"/>
        </w:rPr>
      </w:pPr>
      <w:r>
        <w:rPr>
          <w:color w:val="000000"/>
        </w:rPr>
        <w:t>6.2  其它有关测量用计量器具</w:t>
      </w:r>
    </w:p>
    <w:p>
      <w:pPr>
        <w:spacing w:after="156" w:afterLines="50"/>
        <w:ind w:firstLine="359" w:firstLineChars="171"/>
        <w:rPr>
          <w:color w:val="000000"/>
        </w:rPr>
      </w:pPr>
      <w:r>
        <w:rPr>
          <w:color w:val="000000"/>
        </w:rPr>
        <w:t xml:space="preserve">分度值不大于0.2 </w:t>
      </w:r>
      <w:r>
        <w:rPr>
          <w:rFonts w:ascii="宋体" w:hAnsi="宋体" w:cs="宋体" w:hint="eastAsia"/>
          <w:color w:val="000000"/>
        </w:rPr>
        <w:t>℃</w:t>
      </w:r>
      <w:r>
        <w:rPr>
          <w:color w:val="000000"/>
        </w:rPr>
        <w:t>的温度计；</w:t>
      </w:r>
    </w:p>
    <w:p>
      <w:pPr>
        <w:spacing w:after="156" w:afterLines="50"/>
        <w:ind w:firstLine="359" w:firstLineChars="171"/>
        <w:rPr>
          <w:color w:val="000000" w:themeColor="text1"/>
          <w14:textFill>
            <w14:solidFill>
              <w14:schemeClr w14:val="tx1"/>
            </w14:solidFill>
          </w14:textFill>
        </w:rPr>
      </w:pPr>
      <w:r>
        <w:rPr>
          <w:color w:val="000000" w:themeColor="text1"/>
          <w14:textFill>
            <w14:solidFill>
              <w14:schemeClr w14:val="tx1"/>
            </w14:solidFill>
          </w14:textFill>
        </w:rPr>
        <w:t>准确度不低于5 %RH的湿度计</w:t>
      </w:r>
      <w:r>
        <w:rPr>
          <w:rFonts w:hint="eastAsia"/>
          <w:color w:val="000000" w:themeColor="text1"/>
          <w14:textFill>
            <w14:solidFill>
              <w14:schemeClr w14:val="tx1"/>
            </w14:solidFill>
          </w14:textFill>
        </w:rPr>
        <w:t>。</w:t>
      </w:r>
    </w:p>
    <w:p>
      <w:pPr>
        <w:spacing w:after="156" w:afterLines="50"/>
        <w:rPr>
          <w:color w:val="000000"/>
        </w:rPr>
      </w:pPr>
      <w:r>
        <w:rPr>
          <w:color w:val="000000"/>
        </w:rPr>
        <w:t>6.3  校准环境条件</w:t>
      </w:r>
    </w:p>
    <w:p>
      <w:pPr>
        <w:spacing w:after="156" w:afterLines="50"/>
        <w:rPr>
          <w:color w:val="000000"/>
        </w:rPr>
        <w:sectPr>
          <w:headerReference w:type="default" r:id="rId29"/>
          <w:footerReference w:type="even" r:id="rId30"/>
          <w:footerReference w:type="default" r:id="rId31"/>
          <w:type w:val="nextPage"/>
          <w:pgSz w:w="11906" w:h="16838"/>
          <w:pgMar w:top="1440" w:right="1558" w:bottom="1440" w:left="1797" w:header="851" w:footer="992" w:gutter="0"/>
          <w:pgNumType w:start="6"/>
          <w:cols w:num="1" w:space="425"/>
          <w:titlePg w:val="0"/>
          <w:docGrid w:type="linesAndChars" w:linePitch="312" w:charSpace="0"/>
        </w:sectPr>
      </w:pPr>
      <w:r>
        <w:rPr>
          <w:color w:val="000000"/>
        </w:rPr>
        <w:t xml:space="preserve">    比较仪的校准应在稳定的环境状况下，校准用标准砝码的温度接近室温。</w:t>
      </w:r>
    </w:p>
    <w:p>
      <w:pPr>
        <w:spacing w:after="156" w:afterLines="50" w:line="360" w:lineRule="auto"/>
        <w:rPr>
          <w:color w:val="000000"/>
        </w:rPr>
      </w:pPr>
      <w:r>
        <w:rPr>
          <w:color w:val="000000"/>
        </w:rPr>
        <w:t>6.3.1  对于实际分度数为5</w:t>
      </w:r>
      <w:r>
        <w:rPr>
          <w:rFonts w:ascii="Symbol" w:hAnsi="Symbol"/>
          <w:color w:val="000000"/>
        </w:rPr>
        <w:sym w:font="Symbol" w:char="F0B4"/>
      </w:r>
      <w:r>
        <w:rPr>
          <w:color w:val="000000"/>
        </w:rPr>
        <w:t>10</w:t>
      </w:r>
      <w:r>
        <w:rPr>
          <w:color w:val="000000"/>
          <w:szCs w:val="21"/>
          <w:vertAlign w:val="superscript"/>
        </w:rPr>
        <w:t>5</w:t>
      </w:r>
      <w:r>
        <w:rPr>
          <w:color w:val="000000"/>
          <w:szCs w:val="21"/>
        </w:rPr>
        <w:t>以上的</w:t>
      </w:r>
      <w:r>
        <w:rPr>
          <w:color w:val="000000"/>
        </w:rPr>
        <w:t xml:space="preserve">比较仪，校准的环境温度应在18 </w:t>
      </w:r>
      <w:r>
        <w:rPr>
          <w:rFonts w:ascii="宋体" w:hAnsi="宋体" w:cs="宋体" w:hint="eastAsia"/>
          <w:color w:val="000000"/>
        </w:rPr>
        <w:t>℃</w:t>
      </w:r>
      <w:r>
        <w:rPr>
          <w:color w:val="000000"/>
        </w:rPr>
        <w:t xml:space="preserve">~23 </w:t>
      </w:r>
      <w:r>
        <w:rPr>
          <w:rFonts w:ascii="宋体" w:hAnsi="宋体" w:cs="宋体" w:hint="eastAsia"/>
          <w:color w:val="000000"/>
        </w:rPr>
        <w:t>℃</w:t>
      </w:r>
      <w:r>
        <w:rPr>
          <w:color w:val="000000"/>
        </w:rPr>
        <w:t xml:space="preserve">，校准时的温度变化每4 h最大变化1 </w:t>
      </w:r>
      <w:r>
        <w:rPr>
          <w:rFonts w:ascii="宋体" w:hAnsi="宋体" w:cs="宋体" w:hint="eastAsia"/>
          <w:color w:val="000000"/>
        </w:rPr>
        <w:t>℃</w:t>
      </w:r>
      <w:r>
        <w:rPr>
          <w:color w:val="000000"/>
        </w:rPr>
        <w:t>；相对湿度应在30 %~70 %，校准时的相对湿度变化每4 h最大变化10 %。</w:t>
      </w:r>
    </w:p>
    <w:p>
      <w:pPr>
        <w:spacing w:after="156" w:afterLines="50" w:line="360" w:lineRule="auto"/>
        <w:ind w:firstLine="359" w:firstLineChars="171"/>
        <w:rPr>
          <w:color w:val="000000"/>
        </w:rPr>
      </w:pPr>
      <w:r>
        <w:rPr>
          <w:color w:val="000000"/>
        </w:rPr>
        <w:t xml:space="preserve">其他比较仪，校准时的温度变化每4 h最大变化2 </w:t>
      </w:r>
      <w:r>
        <w:rPr>
          <w:rFonts w:ascii="宋体" w:hAnsi="宋体" w:cs="宋体" w:hint="eastAsia"/>
          <w:color w:val="000000"/>
        </w:rPr>
        <w:t>℃</w:t>
      </w:r>
      <w:r>
        <w:rPr>
          <w:color w:val="000000"/>
        </w:rPr>
        <w:t>；相对湿度应在30 %~70 %，校准时的相对湿度变化每4 h最大变化15 %。</w:t>
      </w:r>
    </w:p>
    <w:p>
      <w:pPr>
        <w:spacing w:after="156" w:afterLines="50" w:line="360" w:lineRule="auto"/>
        <w:rPr>
          <w:color w:val="000000"/>
        </w:rPr>
      </w:pPr>
      <w:r>
        <w:rPr>
          <w:color w:val="000000"/>
        </w:rPr>
        <w:t>6.3.2  校准环境不得有振动、气流及其他强磁场的影响，环境应保持清洁，使用面积适度，不得过分拥挤。</w:t>
      </w:r>
    </w:p>
    <w:p>
      <w:pPr>
        <w:spacing w:after="156" w:afterLines="50"/>
        <w:rPr>
          <w:color w:val="000000"/>
        </w:rPr>
      </w:pPr>
      <w:r>
        <w:rPr>
          <w:color w:val="000000"/>
        </w:rPr>
        <w:t>6.3.3  比较仪工作台平整、稳固，具有良好的刚度，并具有一定的防振、隔振效果。</w:t>
      </w:r>
    </w:p>
    <w:p>
      <w:pPr>
        <w:spacing w:after="156" w:afterLines="50"/>
        <w:rPr>
          <w:color w:val="000000"/>
        </w:rPr>
      </w:pPr>
      <w:r>
        <w:rPr>
          <w:color w:val="000000"/>
        </w:rPr>
        <w:t>6.3.4  被校比较仪和砝码应尽量避免阳光直接照射。</w:t>
      </w:r>
    </w:p>
    <w:p>
      <w:pPr>
        <w:spacing w:after="156" w:afterLines="50"/>
        <w:rPr>
          <w:color w:val="000000"/>
        </w:rPr>
      </w:pPr>
      <w:r>
        <w:rPr>
          <w:color w:val="000000"/>
        </w:rPr>
        <w:t>6.4  供电电源</w:t>
      </w:r>
    </w:p>
    <w:p>
      <w:pPr>
        <w:spacing w:after="156" w:afterLines="50"/>
        <w:ind w:firstLine="359" w:firstLineChars="171"/>
        <w:rPr>
          <w:color w:val="000000"/>
        </w:rPr>
      </w:pPr>
      <w:r>
        <w:rPr>
          <w:color w:val="000000"/>
        </w:rPr>
        <w:t>利用供电电源工作的比较仪，应在下列电源变化范围内遵守计量校准规范：</w:t>
      </w:r>
    </w:p>
    <w:p>
      <w:pPr>
        <w:spacing w:after="156" w:afterLines="50"/>
        <w:ind w:firstLine="359" w:firstLineChars="171"/>
        <w:rPr>
          <w:color w:val="000000" w:themeColor="text1"/>
          <w14:textFill>
            <w14:solidFill>
              <w14:schemeClr w14:val="tx1"/>
            </w14:solidFill>
          </w14:textFill>
        </w:rPr>
      </w:pPr>
      <w:r>
        <w:rPr>
          <w:color w:val="000000"/>
        </w:rPr>
        <w:t>对于额定电源电压</w:t>
      </w:r>
      <w:r>
        <w:rPr>
          <w:i/>
          <w:color w:val="000000" w:themeColor="text1"/>
          <w14:textFill>
            <w14:solidFill>
              <w14:schemeClr w14:val="tx1"/>
            </w14:solidFill>
          </w14:textFill>
        </w:rPr>
        <w:t>V</w:t>
      </w:r>
      <w:r>
        <w:rPr>
          <w:color w:val="000000" w:themeColor="text1"/>
          <w14:textFill>
            <w14:solidFill>
              <w14:schemeClr w14:val="tx1"/>
            </w14:solidFill>
          </w14:textFill>
        </w:rPr>
        <w:t>，变化为（1</w:t>
      </w:r>
      <w:r>
        <w:rPr>
          <w:rFonts w:ascii="Symbol" w:hAnsi="Symbol"/>
          <w:color w:val="000000" w:themeColor="text1"/>
          <w14:textFill>
            <w14:solidFill>
              <w14:schemeClr w14:val="tx1"/>
            </w14:solidFill>
          </w14:textFill>
        </w:rPr>
        <w:sym w:font="Symbol" w:char="F02D"/>
      </w:r>
      <w:r>
        <w:rPr>
          <w:color w:val="000000" w:themeColor="text1"/>
          <w14:textFill>
            <w14:solidFill>
              <w14:schemeClr w14:val="tx1"/>
            </w14:solidFill>
          </w14:textFill>
        </w:rPr>
        <w:t>15%）</w:t>
      </w:r>
      <w:r>
        <w:rPr>
          <w:i/>
          <w:color w:val="000000" w:themeColor="text1"/>
          <w14:textFill>
            <w14:solidFill>
              <w14:schemeClr w14:val="tx1"/>
            </w14:solidFill>
          </w14:textFill>
        </w:rPr>
        <w:t>V</w:t>
      </w:r>
      <w:r>
        <w:rPr>
          <w:color w:val="000000" w:themeColor="text1"/>
          <w14:textFill>
            <w14:solidFill>
              <w14:schemeClr w14:val="tx1"/>
            </w14:solidFill>
          </w14:textFill>
        </w:rPr>
        <w:t>至（1+10%）</w:t>
      </w:r>
      <w:r>
        <w:rPr>
          <w:i/>
          <w:color w:val="000000" w:themeColor="text1"/>
          <w14:textFill>
            <w14:solidFill>
              <w14:schemeClr w14:val="tx1"/>
            </w14:solidFill>
          </w14:textFill>
        </w:rPr>
        <w:t>V</w:t>
      </w:r>
      <w:r>
        <w:rPr>
          <w:color w:val="000000" w:themeColor="text1"/>
          <w14:textFill>
            <w14:solidFill>
              <w14:schemeClr w14:val="tx1"/>
            </w14:solidFill>
          </w14:textFill>
        </w:rPr>
        <w:t>；</w:t>
      </w:r>
    </w:p>
    <w:p>
      <w:pPr>
        <w:spacing w:after="156" w:afterLines="50"/>
        <w:ind w:firstLine="359" w:firstLineChars="171"/>
        <w:rPr>
          <w:color w:val="000000" w:themeColor="text1"/>
          <w14:textFill>
            <w14:solidFill>
              <w14:schemeClr w14:val="tx1"/>
            </w14:solidFill>
          </w14:textFill>
        </w:rPr>
      </w:pPr>
      <w:r>
        <w:rPr>
          <w:color w:val="000000" w:themeColor="text1"/>
          <w14:textFill>
            <w14:solidFill>
              <w14:schemeClr w14:val="tx1"/>
            </w14:solidFill>
          </w14:textFill>
        </w:rPr>
        <w:t>对于电源电压范围(</w:t>
      </w:r>
      <w:r>
        <w:rPr>
          <w:i/>
          <w:color w:val="000000" w:themeColor="text1"/>
          <w14:textFill>
            <w14:solidFill>
              <w14:schemeClr w14:val="tx1"/>
            </w14:solidFill>
          </w14:textFill>
        </w:rPr>
        <w:t>V</w:t>
      </w:r>
      <w:r>
        <w:rPr>
          <w:i/>
          <w:color w:val="000000" w:themeColor="text1"/>
          <w:vertAlign w:val="subscript"/>
          <w14:textFill>
            <w14:solidFill>
              <w14:schemeClr w14:val="tx1"/>
            </w14:solidFill>
          </w14:textFill>
        </w:rPr>
        <w:t>min</w:t>
      </w:r>
      <w:r>
        <w:rPr>
          <w:color w:val="000000" w:themeColor="text1"/>
          <w:vertAlign w:val="subscript"/>
          <w14:textFill>
            <w14:solidFill>
              <w14:schemeClr w14:val="tx1"/>
            </w14:solidFill>
          </w14:textFill>
        </w:rPr>
        <w:t>，</w:t>
      </w:r>
      <w:r>
        <w:rPr>
          <w:i/>
          <w:color w:val="000000" w:themeColor="text1"/>
          <w14:textFill>
            <w14:solidFill>
              <w14:schemeClr w14:val="tx1"/>
            </w14:solidFill>
          </w14:textFill>
        </w:rPr>
        <w:t>V</w:t>
      </w:r>
      <w:r>
        <w:rPr>
          <w:i/>
          <w:color w:val="000000" w:themeColor="text1"/>
          <w:vertAlign w:val="subscript"/>
          <w14:textFill>
            <w14:solidFill>
              <w14:schemeClr w14:val="tx1"/>
            </w14:solidFill>
          </w14:textFill>
        </w:rPr>
        <w:t>max</w:t>
      </w:r>
      <w:r>
        <w:rPr>
          <w:color w:val="000000" w:themeColor="text1"/>
          <w14:textFill>
            <w14:solidFill>
              <w14:schemeClr w14:val="tx1"/>
            </w14:solidFill>
          </w14:textFill>
        </w:rPr>
        <w:t>)，变化为（1</w:t>
      </w:r>
      <w:r>
        <w:rPr>
          <w:rFonts w:ascii="Symbol" w:hAnsi="Symbol"/>
          <w:color w:val="000000" w:themeColor="text1"/>
          <w14:textFill>
            <w14:solidFill>
              <w14:schemeClr w14:val="tx1"/>
            </w14:solidFill>
          </w14:textFill>
        </w:rPr>
        <w:sym w:font="Symbol" w:char="F02D"/>
      </w:r>
      <w:r>
        <w:rPr>
          <w:color w:val="000000" w:themeColor="text1"/>
          <w14:textFill>
            <w14:solidFill>
              <w14:schemeClr w14:val="tx1"/>
            </w14:solidFill>
          </w14:textFill>
        </w:rPr>
        <w:t>15%）</w:t>
      </w:r>
      <w:r>
        <w:rPr>
          <w:i/>
          <w:color w:val="000000" w:themeColor="text1"/>
          <w14:textFill>
            <w14:solidFill>
              <w14:schemeClr w14:val="tx1"/>
            </w14:solidFill>
          </w14:textFill>
        </w:rPr>
        <w:t>V</w:t>
      </w:r>
      <w:r>
        <w:rPr>
          <w:i/>
          <w:color w:val="000000" w:themeColor="text1"/>
          <w:vertAlign w:val="subscript"/>
          <w14:textFill>
            <w14:solidFill>
              <w14:schemeClr w14:val="tx1"/>
            </w14:solidFill>
          </w14:textFill>
        </w:rPr>
        <w:t>min</w:t>
      </w:r>
      <w:r>
        <w:rPr>
          <w:color w:val="000000" w:themeColor="text1"/>
          <w14:textFill>
            <w14:solidFill>
              <w14:schemeClr w14:val="tx1"/>
            </w14:solidFill>
          </w14:textFill>
        </w:rPr>
        <w:t>至（1+10%）</w:t>
      </w:r>
      <w:r>
        <w:rPr>
          <w:i/>
          <w:color w:val="000000" w:themeColor="text1"/>
          <w14:textFill>
            <w14:solidFill>
              <w14:schemeClr w14:val="tx1"/>
            </w14:solidFill>
          </w14:textFill>
        </w:rPr>
        <w:t>V</w:t>
      </w:r>
      <w:r>
        <w:rPr>
          <w:i/>
          <w:color w:val="000000" w:themeColor="text1"/>
          <w:vertAlign w:val="subscript"/>
          <w14:textFill>
            <w14:solidFill>
              <w14:schemeClr w14:val="tx1"/>
            </w14:solidFill>
          </w14:textFill>
        </w:rPr>
        <w:t>max</w:t>
      </w:r>
      <w:r>
        <w:rPr>
          <w:rFonts w:hint="eastAsia"/>
          <w:color w:val="000000" w:themeColor="text1"/>
          <w14:textFill>
            <w14:solidFill>
              <w14:schemeClr w14:val="tx1"/>
            </w14:solidFill>
          </w14:textFill>
        </w:rPr>
        <w:t>。</w:t>
      </w:r>
    </w:p>
    <w:p>
      <w:pPr>
        <w:spacing w:after="156" w:afterLines="50"/>
        <w:rPr>
          <w:color w:val="000000"/>
        </w:rPr>
      </w:pPr>
      <w:r>
        <w:rPr>
          <w:color w:val="000000"/>
        </w:rPr>
        <w:t>6.5  校准前比较仪的清洁处理</w:t>
      </w:r>
    </w:p>
    <w:p>
      <w:pPr>
        <w:spacing w:after="156" w:afterLines="50"/>
        <w:ind w:firstLine="435"/>
        <w:rPr>
          <w:color w:val="000000"/>
        </w:rPr>
      </w:pPr>
      <w:r>
        <w:rPr>
          <w:color w:val="000000"/>
        </w:rPr>
        <w:t>任何比较仪在正式校准之前，都应做好清洁工作。</w:t>
      </w:r>
    </w:p>
    <w:p>
      <w:pPr>
        <w:spacing w:after="156" w:afterLines="50"/>
        <w:rPr>
          <w:color w:val="000000"/>
        </w:rPr>
      </w:pPr>
      <w:r>
        <w:rPr>
          <w:color w:val="000000"/>
        </w:rPr>
        <w:t>6.6  比较仪的存放时间</w:t>
      </w:r>
    </w:p>
    <w:p>
      <w:pPr>
        <w:spacing w:after="156" w:afterLines="50"/>
        <w:ind w:firstLine="420" w:firstLineChars="200"/>
        <w:rPr>
          <w:color w:val="000000"/>
        </w:rPr>
      </w:pPr>
      <w:r>
        <w:rPr>
          <w:color w:val="000000"/>
        </w:rPr>
        <w:t>如果比较仪一直放在室内，应通电停放24小时之后，再开机半小时以上方可进行正式校准。</w:t>
      </w:r>
    </w:p>
    <w:p>
      <w:pPr>
        <w:spacing w:after="156" w:afterLines="50"/>
        <w:ind w:firstLine="420" w:firstLineChars="200"/>
        <w:rPr>
          <w:color w:val="000000"/>
        </w:rPr>
      </w:pPr>
      <w:r>
        <w:rPr>
          <w:color w:val="000000"/>
        </w:rPr>
        <w:t>如果比较仪经过搬动，应通电停放48小时之后，再开机半小时以上方可进行正式校准。</w:t>
      </w:r>
    </w:p>
    <w:p>
      <w:pPr>
        <w:spacing w:after="156" w:afterLines="50"/>
        <w:rPr>
          <w:color w:val="000000"/>
        </w:rPr>
      </w:pPr>
    </w:p>
    <w:p>
      <w:pPr>
        <w:spacing w:after="156" w:afterLines="50"/>
        <w:rPr>
          <w:b/>
          <w:color w:val="000000"/>
        </w:rPr>
      </w:pPr>
      <w:r>
        <w:rPr>
          <w:b/>
          <w:color w:val="000000"/>
        </w:rPr>
        <w:t>7</w:t>
      </w:r>
      <w:r>
        <w:rPr>
          <w:b/>
          <w:color w:val="000000"/>
        </w:rPr>
        <w:tab/>
      </w:r>
      <w:r>
        <w:rPr>
          <w:b/>
          <w:color w:val="000000"/>
        </w:rPr>
        <w:t>校准项目和校准方法</w:t>
      </w:r>
    </w:p>
    <w:p>
      <w:pPr>
        <w:spacing w:after="156" w:afterLines="50"/>
        <w:rPr>
          <w:color w:val="000000"/>
        </w:rPr>
      </w:pPr>
      <w:r>
        <w:rPr>
          <w:color w:val="000000"/>
        </w:rPr>
        <w:t>7.1  校准项目</w:t>
      </w:r>
    </w:p>
    <w:p>
      <w:pPr>
        <w:spacing w:after="156" w:afterLines="50"/>
        <w:rPr>
          <w:color w:val="000000"/>
        </w:rPr>
      </w:pPr>
      <w:r>
        <w:rPr>
          <w:rFonts w:hint="eastAsia"/>
          <w:color w:val="000000"/>
        </w:rPr>
        <w:t xml:space="preserve">     校准</w:t>
      </w:r>
      <w:r>
        <w:rPr>
          <w:color w:val="000000"/>
        </w:rPr>
        <w:t>项目见表</w:t>
      </w:r>
      <w:r>
        <w:rPr>
          <w:rFonts w:hint="eastAsia"/>
          <w:color w:val="000000"/>
        </w:rPr>
        <w:t>5。</w:t>
      </w:r>
    </w:p>
    <w:p>
      <w:pPr>
        <w:spacing w:after="156" w:afterLines="50"/>
        <w:jc w:val="center"/>
        <w:rPr>
          <w:b/>
          <w:bCs/>
          <w:color w:val="000000"/>
        </w:rPr>
      </w:pPr>
      <w:r>
        <w:rPr>
          <w:b/>
          <w:bCs/>
          <w:color w:val="000000"/>
        </w:rPr>
        <w:t>表5  校准项目一览表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3843"/>
        <w:gridCol w:w="3843"/>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650"/>
          <w:jc w:val="center"/>
        </w:trPr>
        <w:tc>
          <w:tcPr>
            <w:tcW w:w="3843" w:type="dxa"/>
            <w:vAlign w:val="center"/>
          </w:tcPr>
          <w:p>
            <w:pPr>
              <w:jc w:val="center"/>
              <w:rPr>
                <w:color w:val="000000"/>
              </w:rPr>
            </w:pPr>
            <w:r>
              <w:rPr>
                <w:color w:val="000000"/>
              </w:rPr>
              <w:t>校准项目</w:t>
            </w:r>
          </w:p>
        </w:tc>
        <w:tc>
          <w:tcPr>
            <w:tcW w:w="3843" w:type="dxa"/>
            <w:vAlign w:val="center"/>
          </w:tcPr>
          <w:p>
            <w:pPr>
              <w:jc w:val="center"/>
              <w:rPr>
                <w:color w:val="000000"/>
              </w:rPr>
            </w:pPr>
            <w:r>
              <w:rPr>
                <w:color w:val="000000"/>
              </w:rPr>
              <w:t>校准内容</w:t>
            </w:r>
          </w:p>
        </w:tc>
      </w:tr>
      <w:tr>
        <w:tblPrEx>
          <w:tblW w:w="0" w:type="auto"/>
          <w:jc w:val="center"/>
          <w:tblCellMar>
            <w:top w:w="0" w:type="dxa"/>
            <w:left w:w="108" w:type="dxa"/>
            <w:bottom w:w="0" w:type="dxa"/>
            <w:right w:w="108" w:type="dxa"/>
          </w:tblCellMar>
        </w:tblPrEx>
        <w:trPr>
          <w:trHeight w:val="1113"/>
          <w:jc w:val="center"/>
        </w:trPr>
        <w:tc>
          <w:tcPr>
            <w:tcW w:w="3843" w:type="dxa"/>
            <w:vAlign w:val="center"/>
          </w:tcPr>
          <w:p>
            <w:pPr>
              <w:jc w:val="center"/>
              <w:rPr>
                <w:color w:val="000000"/>
              </w:rPr>
            </w:pPr>
            <w:r>
              <w:rPr>
                <w:color w:val="000000"/>
              </w:rPr>
              <w:t>局部示值误差</w:t>
            </w:r>
          </w:p>
        </w:tc>
        <w:tc>
          <w:tcPr>
            <w:tcW w:w="3843" w:type="dxa"/>
            <w:vAlign w:val="center"/>
          </w:tcPr>
          <w:p>
            <w:pPr>
              <w:jc w:val="center"/>
              <w:rPr>
                <w:color w:val="000000"/>
              </w:rPr>
            </w:pPr>
            <w:r>
              <w:rPr>
                <w:color w:val="000000"/>
              </w:rPr>
              <w:t>测量及不确定度评定</w:t>
            </w:r>
          </w:p>
        </w:tc>
      </w:tr>
    </w:tbl>
    <w:p>
      <w:pPr>
        <w:spacing w:after="156" w:afterLines="50"/>
        <w:ind w:firstLine="359" w:firstLineChars="171"/>
        <w:rPr>
          <w:color w:val="000000"/>
          <w:szCs w:val="21"/>
        </w:rPr>
        <w:sectPr>
          <w:headerReference w:type="default" r:id="rId32"/>
          <w:footerReference w:type="even" r:id="rId33"/>
          <w:footerReference w:type="default" r:id="rId34"/>
          <w:type w:val="nextPage"/>
          <w:pgSz w:w="11906" w:h="16838"/>
          <w:pgMar w:top="1440" w:right="1558" w:bottom="1440" w:left="1797" w:header="851" w:footer="992" w:gutter="0"/>
          <w:pgNumType w:start="7"/>
          <w:cols w:num="1" w:space="425"/>
          <w:titlePg w:val="0"/>
          <w:docGrid w:type="linesAndChars" w:linePitch="312" w:charSpace="0"/>
        </w:sectPr>
      </w:pPr>
      <w:r>
        <w:rPr>
          <w:color w:val="000000"/>
          <w:szCs w:val="21"/>
        </w:rPr>
        <w:t>注：搬动后，比较仪应立即进行再校准。</w:t>
      </w:r>
    </w:p>
    <w:p>
      <w:pPr>
        <w:spacing w:after="156" w:afterLines="50"/>
        <w:rPr>
          <w:b/>
          <w:bCs/>
          <w:color w:val="000000"/>
        </w:rPr>
      </w:pPr>
      <w:r>
        <w:rPr>
          <w:color w:val="000000"/>
        </w:rPr>
        <w:t>7.2  校准方法</w:t>
      </w:r>
    </w:p>
    <w:p>
      <w:pPr>
        <w:spacing w:after="156" w:afterLines="50"/>
        <w:rPr>
          <w:color w:val="000000"/>
        </w:rPr>
      </w:pPr>
      <w:r>
        <w:rPr>
          <w:color w:val="000000"/>
        </w:rPr>
        <w:t xml:space="preserve">7.2.1  校准前的准备工作 </w:t>
      </w:r>
    </w:p>
    <w:p>
      <w:pPr>
        <w:spacing w:after="156" w:afterLines="50"/>
        <w:ind w:firstLine="420" w:firstLineChars="200"/>
        <w:rPr>
          <w:color w:val="000000"/>
        </w:rPr>
      </w:pPr>
      <w:r>
        <w:rPr>
          <w:color w:val="000000"/>
        </w:rPr>
        <w:t>以目力察看和手动检查的方式检查比较仪的外观质量是否符合4.3条的相应规定。</w:t>
      </w:r>
    </w:p>
    <w:p>
      <w:pPr>
        <w:spacing w:after="156" w:afterLines="50"/>
        <w:ind w:firstLine="420" w:firstLineChars="200"/>
        <w:rPr>
          <w:color w:val="000000"/>
        </w:rPr>
      </w:pPr>
      <w:r>
        <w:rPr>
          <w:color w:val="000000"/>
        </w:rPr>
        <w:t>校准开始前，应对被校比较仪作合法性和工作正常性检查，使其不得存在影响校准结果的缺陷。</w:t>
      </w:r>
    </w:p>
    <w:p>
      <w:pPr>
        <w:spacing w:after="156" w:afterLines="50"/>
        <w:ind w:firstLine="420" w:firstLineChars="200"/>
        <w:rPr>
          <w:color w:val="000000"/>
        </w:rPr>
      </w:pPr>
      <w:r>
        <w:rPr>
          <w:color w:val="000000"/>
        </w:rPr>
        <w:t>比较仪在工作及校准时，应处于水平状态，并且比较仪的自动零位调整装置和零位跟踪装置不得使用。</w:t>
      </w:r>
    </w:p>
    <w:p>
      <w:pPr>
        <w:spacing w:after="156" w:afterLines="50"/>
        <w:rPr>
          <w:color w:val="000000"/>
        </w:rPr>
      </w:pPr>
      <w:r>
        <w:rPr>
          <w:color w:val="000000"/>
        </w:rPr>
        <w:t xml:space="preserve">7.2.2  操作原则 </w:t>
      </w:r>
    </w:p>
    <w:p>
      <w:pPr>
        <w:spacing w:after="156" w:afterLines="50"/>
        <w:ind w:firstLine="359" w:firstLineChars="171"/>
        <w:rPr>
          <w:color w:val="000000"/>
        </w:rPr>
      </w:pPr>
      <w:r>
        <w:rPr>
          <w:color w:val="000000"/>
        </w:rPr>
        <w:tab/>
      </w:r>
      <w:r>
        <w:rPr>
          <w:color w:val="000000"/>
        </w:rPr>
        <w:t>（1）衡量循环</w:t>
      </w:r>
    </w:p>
    <w:p>
      <w:pPr>
        <w:ind w:firstLine="359" w:firstLineChars="171"/>
        <w:rPr>
          <w:color w:val="000000"/>
        </w:rPr>
      </w:pPr>
      <w:r>
        <w:rPr>
          <w:color w:val="000000"/>
        </w:rPr>
        <w:t>对于一台比较仪局部示值误差的校准和重复性、偏载测量时，只能采用下述两种衡量循环中的一种进行操作。</w:t>
      </w:r>
    </w:p>
    <w:p>
      <w:pPr>
        <w:spacing w:after="156" w:afterLines="50"/>
        <w:ind w:firstLine="359" w:firstLineChars="171"/>
        <w:rPr>
          <w:color w:val="000000"/>
        </w:rPr>
      </w:pPr>
      <w:r>
        <w:rPr>
          <w:color w:val="000000"/>
        </w:rPr>
        <w:t>本规范推荐两种衡量循环，最常用的是ABBA（优先选用）和ABABA；相应的，对于一个衡量点可采用独立的相邻4个衡量值A</w:t>
      </w:r>
      <w:r>
        <w:rPr>
          <w:color w:val="000000"/>
          <w:vertAlign w:val="subscript"/>
        </w:rPr>
        <w:t>1</w:t>
      </w:r>
      <w:r>
        <w:rPr>
          <w:color w:val="000000"/>
        </w:rPr>
        <w:t>、A</w:t>
      </w:r>
      <w:r>
        <w:rPr>
          <w:color w:val="000000"/>
          <w:vertAlign w:val="subscript"/>
        </w:rPr>
        <w:t>2</w:t>
      </w:r>
      <w:r>
        <w:rPr>
          <w:color w:val="000000"/>
        </w:rPr>
        <w:t>、A</w:t>
      </w:r>
      <w:r>
        <w:rPr>
          <w:color w:val="000000"/>
          <w:vertAlign w:val="subscript"/>
        </w:rPr>
        <w:t>3</w:t>
      </w:r>
      <w:r>
        <w:rPr>
          <w:color w:val="000000"/>
        </w:rPr>
        <w:t>、A</w:t>
      </w:r>
      <w:r>
        <w:rPr>
          <w:color w:val="000000"/>
          <w:vertAlign w:val="subscript"/>
        </w:rPr>
        <w:t>4</w:t>
      </w:r>
      <w:r>
        <w:rPr>
          <w:color w:val="000000"/>
        </w:rPr>
        <w:t>或相邻的3个衡量值A</w:t>
      </w:r>
      <w:r>
        <w:rPr>
          <w:color w:val="000000"/>
          <w:vertAlign w:val="subscript"/>
        </w:rPr>
        <w:t>1</w:t>
      </w:r>
      <w:r>
        <w:rPr>
          <w:color w:val="000000"/>
        </w:rPr>
        <w:t>、A</w:t>
      </w:r>
      <w:r>
        <w:rPr>
          <w:color w:val="000000"/>
          <w:vertAlign w:val="subscript"/>
        </w:rPr>
        <w:t>2</w:t>
      </w:r>
      <w:r>
        <w:rPr>
          <w:color w:val="000000"/>
        </w:rPr>
        <w:t>、A</w:t>
      </w:r>
      <w:r>
        <w:rPr>
          <w:color w:val="000000"/>
          <w:vertAlign w:val="subscript"/>
        </w:rPr>
        <w:t>3</w:t>
      </w:r>
      <w:r>
        <w:rPr>
          <w:color w:val="000000"/>
        </w:rPr>
        <w:t>做为一个循环。这两种衡量循环可最大限度地减少线性漂移对衡量结果的影响，但不能完全消除。故线性漂移也是比较仪的一项重要的技术指标。</w:t>
      </w:r>
    </w:p>
    <w:p>
      <w:pPr>
        <w:spacing w:after="156" w:afterLines="50"/>
        <w:rPr>
          <w:color w:val="000000"/>
        </w:rPr>
      </w:pPr>
    </w:p>
    <w:p>
      <w:pPr>
        <w:spacing w:after="156" w:afterLines="50"/>
        <w:ind w:firstLine="359"/>
        <w:rPr>
          <w:color w:val="000000"/>
        </w:rPr>
      </w:pPr>
      <w:r>
        <w:rPr>
          <w:color w:val="000000"/>
        </w:rPr>
        <w:t>（2）砝码衡量的计算公式</w:t>
      </w:r>
    </w:p>
    <w:p>
      <w:pPr>
        <w:spacing w:after="156" w:afterLines="50"/>
        <w:ind w:firstLine="359" w:firstLineChars="171"/>
        <w:rPr>
          <w:color w:val="000000"/>
        </w:rPr>
      </w:pPr>
      <w:r>
        <w:rPr>
          <w:color w:val="000000"/>
        </w:rPr>
        <w:t>当采用两个砝码进行测量时，循环ABBA（A</w:t>
      </w:r>
      <w:r>
        <w:rPr>
          <w:color w:val="000000"/>
          <w:vertAlign w:val="subscript"/>
        </w:rPr>
        <w:t>1</w:t>
      </w:r>
      <w:r>
        <w:rPr>
          <w:color w:val="000000"/>
        </w:rPr>
        <w:t>B</w:t>
      </w:r>
      <w:r>
        <w:rPr>
          <w:color w:val="000000"/>
          <w:vertAlign w:val="subscript"/>
        </w:rPr>
        <w:t>1</w:t>
      </w:r>
      <w:r>
        <w:rPr>
          <w:color w:val="000000"/>
        </w:rPr>
        <w:t>B</w:t>
      </w:r>
      <w:r>
        <w:rPr>
          <w:color w:val="000000"/>
          <w:vertAlign w:val="subscript"/>
        </w:rPr>
        <w:t>2</w:t>
      </w:r>
      <w:r>
        <w:rPr>
          <w:color w:val="000000"/>
        </w:rPr>
        <w:t>A</w:t>
      </w:r>
      <w:r>
        <w:rPr>
          <w:color w:val="000000"/>
          <w:vertAlign w:val="subscript"/>
        </w:rPr>
        <w:t>2</w:t>
      </w:r>
      <w:r>
        <w:rPr>
          <w:color w:val="000000"/>
        </w:rPr>
        <w:t>）：</w:t>
      </w:r>
      <w:r>
        <w:rPr>
          <w:i/>
          <w:iCs/>
          <w:color w:val="000000"/>
        </w:rPr>
        <w:tab/>
      </w:r>
      <w:r>
        <w:rPr>
          <w:i/>
          <w:iCs/>
          <w:color w:val="000000"/>
        </w:rPr>
        <w:t>I</w:t>
      </w:r>
      <w:r>
        <w:rPr>
          <w:i/>
          <w:color w:val="000000"/>
          <w:vertAlign w:val="subscript"/>
        </w:rPr>
        <w:t>A11</w:t>
      </w:r>
      <w:r>
        <w:rPr>
          <w:color w:val="000000"/>
        </w:rPr>
        <w:t>，</w:t>
      </w:r>
      <w:r>
        <w:rPr>
          <w:i/>
          <w:iCs/>
          <w:color w:val="000000"/>
        </w:rPr>
        <w:t>I</w:t>
      </w:r>
      <w:r>
        <w:rPr>
          <w:i/>
          <w:color w:val="000000"/>
          <w:vertAlign w:val="subscript"/>
        </w:rPr>
        <w:t>B11</w:t>
      </w:r>
      <w:r>
        <w:rPr>
          <w:color w:val="000000"/>
        </w:rPr>
        <w:t>，</w:t>
      </w:r>
      <w:r>
        <w:rPr>
          <w:i/>
          <w:iCs/>
          <w:color w:val="000000"/>
        </w:rPr>
        <w:t>I</w:t>
      </w:r>
      <w:r>
        <w:rPr>
          <w:i/>
          <w:color w:val="000000"/>
          <w:vertAlign w:val="subscript"/>
        </w:rPr>
        <w:t>B21</w:t>
      </w:r>
      <w:r>
        <w:rPr>
          <w:color w:val="000000"/>
        </w:rPr>
        <w:t>，</w:t>
      </w:r>
      <w:r>
        <w:rPr>
          <w:i/>
          <w:iCs/>
          <w:color w:val="000000"/>
        </w:rPr>
        <w:t>I</w:t>
      </w:r>
      <w:r>
        <w:rPr>
          <w:i/>
          <w:color w:val="000000"/>
          <w:vertAlign w:val="subscript"/>
        </w:rPr>
        <w:t>A21</w:t>
      </w:r>
      <w:r>
        <w:rPr>
          <w:color w:val="000000"/>
        </w:rPr>
        <w:t>，……，</w:t>
      </w:r>
      <w:r>
        <w:rPr>
          <w:i/>
          <w:iCs/>
          <w:color w:val="000000"/>
        </w:rPr>
        <w:t>I</w:t>
      </w:r>
      <w:r>
        <w:rPr>
          <w:i/>
          <w:color w:val="000000"/>
          <w:vertAlign w:val="subscript"/>
        </w:rPr>
        <w:t>A1n</w:t>
      </w:r>
      <w:r>
        <w:rPr>
          <w:color w:val="000000"/>
        </w:rPr>
        <w:t>，</w:t>
      </w:r>
      <w:r>
        <w:rPr>
          <w:i/>
          <w:iCs/>
          <w:color w:val="000000"/>
        </w:rPr>
        <w:t>I</w:t>
      </w:r>
      <w:r>
        <w:rPr>
          <w:i/>
          <w:color w:val="000000"/>
          <w:vertAlign w:val="subscript"/>
        </w:rPr>
        <w:t>B1n</w:t>
      </w:r>
      <w:r>
        <w:rPr>
          <w:color w:val="000000"/>
        </w:rPr>
        <w:t>，</w:t>
      </w:r>
      <w:r>
        <w:rPr>
          <w:i/>
          <w:iCs/>
          <w:color w:val="000000"/>
        </w:rPr>
        <w:t>I</w:t>
      </w:r>
      <w:r>
        <w:rPr>
          <w:i/>
          <w:color w:val="000000"/>
          <w:vertAlign w:val="subscript"/>
        </w:rPr>
        <w:t>B2n</w:t>
      </w:r>
      <w:r>
        <w:rPr>
          <w:color w:val="000000"/>
        </w:rPr>
        <w:t>，</w:t>
      </w:r>
      <w:r>
        <w:rPr>
          <w:i/>
          <w:iCs/>
          <w:color w:val="000000"/>
        </w:rPr>
        <w:t>I</w:t>
      </w:r>
      <w:r>
        <w:rPr>
          <w:i/>
          <w:color w:val="000000"/>
          <w:vertAlign w:val="subscript"/>
        </w:rPr>
        <w:t>A2n</w:t>
      </w:r>
      <w:r>
        <w:rPr>
          <w:rFonts w:hint="eastAsia"/>
          <w:color w:val="000000"/>
        </w:rPr>
        <w:t>，</w:t>
      </w:r>
      <w:r>
        <w:rPr>
          <w:color w:val="000000"/>
        </w:rPr>
        <w:t>则</w:t>
      </w:r>
      <w:r>
        <w:rPr>
          <w:rFonts w:hint="eastAsia"/>
          <w:color w:val="000000"/>
        </w:rPr>
        <w:t>：</w:t>
      </w:r>
    </w:p>
    <w:p>
      <w:pPr>
        <w:wordWrap w:val="0"/>
        <w:spacing w:after="156" w:afterLines="50"/>
        <w:ind w:firstLine="2339" w:firstLineChars="1114"/>
        <w:jc w:val="right"/>
        <w:rPr>
          <w:color w:val="000000"/>
        </w:rPr>
      </w:pPr>
      <w:r>
        <w:rPr>
          <w:color w:val="000000"/>
          <w:position w:val="-24"/>
        </w:rPr>
        <w:object>
          <v:shape id="_x0000_i1028" type="#_x0000_t75" style="width:141.1pt;height:30.55pt" o:ole="" coordsize="21600,21600" o:preferrelative="t" filled="f" stroked="f">
            <v:stroke joinstyle="miter"/>
            <v:imagedata r:id="rId35" o:title=""/>
            <o:lock v:ext="edit" aspectratio="t"/>
            <w10:anchorlock/>
          </v:shape>
          <o:OLEObject Type="Embed" ProgID="Equation.3" ShapeID="_x0000_i1028" DrawAspect="Content" ObjectID="_1468075726" r:id="rId36"/>
        </w:object>
      </w:r>
      <w:r>
        <w:rPr>
          <w:color w:val="000000"/>
        </w:rPr>
        <w:tab/>
      </w:r>
      <w:r>
        <w:rPr>
          <w:color w:val="000000"/>
        </w:rPr>
        <w:tab/>
      </w:r>
      <w:r>
        <w:rPr>
          <w:color w:val="000000"/>
        </w:rPr>
        <w:t xml:space="preserve">   </w:t>
      </w:r>
      <w:r>
        <w:rPr>
          <w:color w:val="000000"/>
        </w:rPr>
        <w:tab/>
      </w:r>
      <w:r>
        <w:rPr>
          <w:color w:val="000000"/>
        </w:rPr>
        <w:tab/>
      </w:r>
      <w:r>
        <w:rPr>
          <w:color w:val="000000"/>
        </w:rPr>
        <w:tab/>
      </w:r>
      <w:r>
        <w:rPr>
          <w:color w:val="000000"/>
        </w:rPr>
        <w:tab/>
      </w:r>
      <w:r>
        <w:rPr>
          <w:color w:val="000000"/>
        </w:rPr>
        <w:t>（1）</w:t>
      </w:r>
    </w:p>
    <w:p>
      <w:pPr>
        <w:spacing w:after="156" w:afterLines="50"/>
        <w:ind w:firstLine="359" w:firstLineChars="171"/>
        <w:rPr>
          <w:color w:val="000000"/>
        </w:rPr>
      </w:pPr>
      <w:r>
        <w:rPr>
          <w:color w:val="000000"/>
        </w:rPr>
        <w:t>其中：</w:t>
      </w:r>
      <w:r>
        <w:rPr>
          <w:i/>
          <w:color w:val="000000"/>
        </w:rPr>
        <w:t>i</w:t>
      </w:r>
      <w:r>
        <w:rPr>
          <w:color w:val="000000"/>
        </w:rPr>
        <w:t xml:space="preserve"> = 1，…，</w:t>
      </w:r>
      <w:r>
        <w:rPr>
          <w:i/>
          <w:color w:val="000000"/>
        </w:rPr>
        <w:t>n</w:t>
      </w:r>
      <w:r>
        <w:rPr>
          <w:rFonts w:hint="eastAsia"/>
          <w:color w:val="000000"/>
        </w:rPr>
        <w:t>。</w:t>
      </w:r>
    </w:p>
    <w:p>
      <w:pPr>
        <w:spacing w:after="156" w:afterLines="50"/>
        <w:ind w:firstLine="359" w:firstLineChars="171"/>
        <w:rPr>
          <w:color w:val="000000"/>
        </w:rPr>
      </w:pPr>
      <w:r>
        <w:rPr>
          <w:color w:val="000000"/>
        </w:rPr>
        <w:t>循环ABABA（A</w:t>
      </w:r>
      <w:r>
        <w:rPr>
          <w:color w:val="000000"/>
          <w:vertAlign w:val="subscript"/>
        </w:rPr>
        <w:t>1</w:t>
      </w:r>
      <w:r>
        <w:rPr>
          <w:color w:val="000000"/>
        </w:rPr>
        <w:t>B</w:t>
      </w:r>
      <w:r>
        <w:rPr>
          <w:color w:val="000000"/>
          <w:vertAlign w:val="subscript"/>
        </w:rPr>
        <w:t>1</w:t>
      </w:r>
      <w:r>
        <w:rPr>
          <w:color w:val="000000"/>
        </w:rPr>
        <w:t>A</w:t>
      </w:r>
      <w:r>
        <w:rPr>
          <w:color w:val="000000"/>
          <w:vertAlign w:val="subscript"/>
        </w:rPr>
        <w:t>2</w:t>
      </w:r>
      <w:r>
        <w:rPr>
          <w:color w:val="000000"/>
        </w:rPr>
        <w:t>B</w:t>
      </w:r>
      <w:r>
        <w:rPr>
          <w:color w:val="000000"/>
          <w:vertAlign w:val="subscript"/>
        </w:rPr>
        <w:t>2</w:t>
      </w:r>
      <w:r>
        <w:rPr>
          <w:color w:val="000000"/>
        </w:rPr>
        <w:t>A</w:t>
      </w:r>
      <w:r>
        <w:rPr>
          <w:color w:val="000000"/>
          <w:vertAlign w:val="subscript"/>
        </w:rPr>
        <w:t>3</w:t>
      </w:r>
      <w:r>
        <w:rPr>
          <w:color w:val="000000"/>
        </w:rPr>
        <w:t>）：</w:t>
      </w:r>
      <w:r>
        <w:rPr>
          <w:color w:val="000000"/>
        </w:rPr>
        <w:tab/>
      </w:r>
      <w:r>
        <w:rPr>
          <w:i/>
          <w:iCs/>
          <w:color w:val="000000"/>
        </w:rPr>
        <w:t>I</w:t>
      </w:r>
      <w:r>
        <w:rPr>
          <w:i/>
          <w:color w:val="000000"/>
          <w:vertAlign w:val="subscript"/>
        </w:rPr>
        <w:t>A1</w:t>
      </w:r>
      <w:r>
        <w:rPr>
          <w:color w:val="000000"/>
        </w:rPr>
        <w:t>，</w:t>
      </w:r>
      <w:r>
        <w:rPr>
          <w:i/>
          <w:iCs/>
          <w:color w:val="000000"/>
        </w:rPr>
        <w:t>I</w:t>
      </w:r>
      <w:r>
        <w:rPr>
          <w:i/>
          <w:color w:val="000000"/>
          <w:vertAlign w:val="subscript"/>
        </w:rPr>
        <w:t>B1</w:t>
      </w:r>
      <w:r>
        <w:rPr>
          <w:color w:val="000000"/>
        </w:rPr>
        <w:t>，</w:t>
      </w:r>
      <w:r>
        <w:rPr>
          <w:i/>
          <w:iCs/>
          <w:color w:val="000000"/>
        </w:rPr>
        <w:t>I</w:t>
      </w:r>
      <w:r>
        <w:rPr>
          <w:i/>
          <w:color w:val="000000"/>
          <w:vertAlign w:val="subscript"/>
        </w:rPr>
        <w:t>A2</w:t>
      </w:r>
      <w:r>
        <w:rPr>
          <w:color w:val="000000"/>
        </w:rPr>
        <w:t>，</w:t>
      </w:r>
      <w:r>
        <w:rPr>
          <w:i/>
          <w:iCs/>
          <w:color w:val="000000"/>
        </w:rPr>
        <w:t>I</w:t>
      </w:r>
      <w:r>
        <w:rPr>
          <w:i/>
          <w:color w:val="000000"/>
          <w:vertAlign w:val="subscript"/>
        </w:rPr>
        <w:t>B2</w:t>
      </w:r>
      <w:r>
        <w:rPr>
          <w:color w:val="000000"/>
        </w:rPr>
        <w:t>，</w:t>
      </w:r>
      <w:r>
        <w:rPr>
          <w:i/>
          <w:iCs/>
          <w:color w:val="000000"/>
        </w:rPr>
        <w:t>I</w:t>
      </w:r>
      <w:r>
        <w:rPr>
          <w:i/>
          <w:color w:val="000000"/>
          <w:vertAlign w:val="subscript"/>
        </w:rPr>
        <w:t>A3</w:t>
      </w:r>
      <w:r>
        <w:rPr>
          <w:color w:val="000000"/>
        </w:rPr>
        <w:t>，……，</w:t>
      </w:r>
      <w:r>
        <w:rPr>
          <w:i/>
          <w:iCs/>
          <w:color w:val="000000"/>
        </w:rPr>
        <w:t>I</w:t>
      </w:r>
      <w:r>
        <w:rPr>
          <w:i/>
          <w:color w:val="000000"/>
          <w:vertAlign w:val="subscript"/>
        </w:rPr>
        <w:t>An</w:t>
      </w:r>
      <w:r>
        <w:rPr>
          <w:color w:val="000000"/>
          <w:vertAlign w:val="subscript"/>
        </w:rPr>
        <w:t>+1</w:t>
      </w:r>
      <w:r>
        <w:rPr>
          <w:rFonts w:hint="eastAsia"/>
          <w:color w:val="000000"/>
        </w:rPr>
        <w:t>，</w:t>
      </w:r>
      <w:r>
        <w:rPr>
          <w:color w:val="000000"/>
        </w:rPr>
        <w:t>则</w:t>
      </w:r>
      <w:r>
        <w:rPr>
          <w:rFonts w:hint="eastAsia"/>
          <w:color w:val="000000"/>
        </w:rPr>
        <w:t>：</w:t>
      </w:r>
    </w:p>
    <w:p>
      <w:pPr>
        <w:spacing w:after="156" w:afterLines="50"/>
        <w:ind w:firstLine="2339" w:firstLineChars="1114"/>
        <w:jc w:val="right"/>
        <w:rPr>
          <w:color w:val="000000"/>
        </w:rPr>
      </w:pPr>
      <w:r>
        <w:rPr>
          <w:color w:val="000000"/>
          <w:position w:val="-24"/>
        </w:rPr>
        <w:object>
          <v:shape id="_x0000_i1029" type="#_x0000_t75" style="width:107.15pt;height:31.7pt" o:ole="" coordsize="21600,21600" o:preferrelative="t" filled="f" stroked="f">
            <v:stroke joinstyle="miter"/>
            <v:imagedata r:id="rId37" o:title=""/>
            <o:lock v:ext="edit" aspectratio="t"/>
            <w10:anchorlock/>
          </v:shape>
          <o:OLEObject Type="Embed" ProgID="Equation.3" ShapeID="_x0000_i1029" DrawAspect="Content" ObjectID="_1468075727" r:id="rId38"/>
        </w:object>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（2）</w:t>
      </w:r>
    </w:p>
    <w:p>
      <w:pPr>
        <w:spacing w:after="156" w:afterLines="50"/>
        <w:ind w:firstLine="359" w:firstLineChars="171"/>
        <w:rPr>
          <w:color w:val="000000"/>
        </w:rPr>
      </w:pPr>
      <w:r>
        <w:rPr>
          <w:color w:val="000000"/>
        </w:rPr>
        <w:t>其中：</w:t>
      </w:r>
      <w:r>
        <w:rPr>
          <w:i/>
          <w:color w:val="000000"/>
        </w:rPr>
        <w:t>i</w:t>
      </w:r>
      <w:r>
        <w:rPr>
          <w:color w:val="000000"/>
        </w:rPr>
        <w:t xml:space="preserve"> = 1，…，</w:t>
      </w:r>
      <w:r>
        <w:rPr>
          <w:i/>
          <w:color w:val="000000"/>
        </w:rPr>
        <w:t>n</w:t>
      </w:r>
      <w:r>
        <w:rPr>
          <w:rFonts w:hint="eastAsia"/>
          <w:color w:val="000000"/>
        </w:rPr>
        <w:t>。</w:t>
      </w:r>
    </w:p>
    <w:p>
      <w:pPr>
        <w:spacing w:after="156" w:afterLines="50"/>
        <w:ind w:firstLine="359" w:firstLineChars="171"/>
        <w:rPr>
          <w:color w:val="000000"/>
        </w:rPr>
      </w:pPr>
      <w:r>
        <w:rPr>
          <w:color w:val="000000"/>
        </w:rPr>
        <w:t>在ABBA和ABABA，</w:t>
      </w:r>
      <w:r>
        <w:rPr>
          <w:i/>
          <w:color w:val="000000"/>
        </w:rPr>
        <w:t>n</w:t>
      </w:r>
      <w:r>
        <w:rPr>
          <w:color w:val="000000"/>
        </w:rPr>
        <w:t>是序列的数目。</w:t>
      </w:r>
      <w:r>
        <w:rPr>
          <w:i/>
          <w:color w:val="000000"/>
        </w:rPr>
        <w:t>i</w:t>
      </w:r>
      <w:r>
        <w:rPr>
          <w:color w:val="000000"/>
        </w:rPr>
        <w:t>值为放在衡量盘上的砝码顺序号。下角标</w:t>
      </w:r>
      <w:r>
        <w:rPr>
          <w:color w:val="000000"/>
          <w:vertAlign w:val="subscript"/>
        </w:rPr>
        <w:t>A</w:t>
      </w:r>
      <w:r>
        <w:rPr>
          <w:color w:val="000000"/>
        </w:rPr>
        <w:t>和</w:t>
      </w:r>
      <w:r>
        <w:rPr>
          <w:color w:val="000000"/>
          <w:vertAlign w:val="subscript"/>
        </w:rPr>
        <w:t>B</w:t>
      </w:r>
      <w:r>
        <w:rPr>
          <w:color w:val="000000"/>
        </w:rPr>
        <w:t>分别代表校准比较仪所用的两个标称值相同的砝码。</w:t>
      </w:r>
      <w:r>
        <w:rPr>
          <w:rFonts w:ascii="Symbol" w:hAnsi="Symbol"/>
          <w:color w:val="000000"/>
        </w:rPr>
        <w:sym w:font="Symbol" w:char="F044"/>
      </w:r>
      <w:r>
        <w:rPr>
          <w:i/>
          <w:iCs/>
          <w:color w:val="000000"/>
        </w:rPr>
        <w:t>I</w:t>
      </w:r>
      <w:r>
        <w:rPr>
          <w:color w:val="000000"/>
          <w:vertAlign w:val="subscript"/>
        </w:rPr>
        <w:t>i</w:t>
      </w:r>
      <w:r>
        <w:rPr>
          <w:color w:val="000000"/>
        </w:rPr>
        <w:t>表示测量序列</w:t>
      </w:r>
      <w:r>
        <w:rPr>
          <w:i/>
          <w:color w:val="000000"/>
        </w:rPr>
        <w:t>i</w:t>
      </w:r>
      <w:r>
        <w:rPr>
          <w:color w:val="000000"/>
        </w:rPr>
        <w:t>的差值。</w:t>
      </w:r>
    </w:p>
    <w:p>
      <w:pPr>
        <w:spacing w:after="156" w:afterLines="50"/>
        <w:ind w:firstLine="359" w:firstLineChars="171"/>
        <w:rPr>
          <w:color w:val="000000"/>
        </w:rPr>
      </w:pPr>
      <w:r>
        <w:rPr>
          <w:color w:val="000000"/>
        </w:rPr>
        <w:t>当采用一个砝码进行测量时，循环 A</w:t>
      </w:r>
      <w:r>
        <w:rPr>
          <w:color w:val="000000"/>
          <w:vertAlign w:val="subscript"/>
        </w:rPr>
        <w:t>1</w:t>
      </w:r>
      <w:r>
        <w:rPr>
          <w:color w:val="000000"/>
        </w:rPr>
        <w:t>A</w:t>
      </w:r>
      <w:r>
        <w:rPr>
          <w:color w:val="000000"/>
          <w:vertAlign w:val="subscript"/>
        </w:rPr>
        <w:t>2</w:t>
      </w:r>
      <w:r>
        <w:rPr>
          <w:color w:val="000000"/>
        </w:rPr>
        <w:t>A</w:t>
      </w:r>
      <w:r>
        <w:rPr>
          <w:color w:val="000000"/>
          <w:vertAlign w:val="subscript"/>
        </w:rPr>
        <w:t>3</w:t>
      </w:r>
      <w:r>
        <w:rPr>
          <w:color w:val="000000"/>
        </w:rPr>
        <w:t>A</w:t>
      </w:r>
      <w:r>
        <w:rPr>
          <w:color w:val="000000"/>
          <w:vertAlign w:val="subscript"/>
        </w:rPr>
        <w:t>4</w:t>
      </w:r>
      <w:r>
        <w:rPr>
          <w:color w:val="000000"/>
        </w:rPr>
        <w:t>：</w:t>
      </w:r>
      <w:r>
        <w:rPr>
          <w:i/>
          <w:iCs/>
          <w:color w:val="000000"/>
        </w:rPr>
        <w:tab/>
      </w:r>
      <w:r>
        <w:rPr>
          <w:i/>
          <w:iCs/>
          <w:color w:val="000000"/>
        </w:rPr>
        <w:t>I</w:t>
      </w:r>
      <w:r>
        <w:rPr>
          <w:color w:val="000000"/>
          <w:vertAlign w:val="subscript"/>
        </w:rPr>
        <w:t>11</w:t>
      </w:r>
      <w:r>
        <w:rPr>
          <w:color w:val="000000"/>
        </w:rPr>
        <w:t>，</w:t>
      </w:r>
      <w:r>
        <w:rPr>
          <w:i/>
          <w:iCs/>
          <w:color w:val="000000"/>
        </w:rPr>
        <w:t>I</w:t>
      </w:r>
      <w:r>
        <w:rPr>
          <w:color w:val="000000"/>
          <w:vertAlign w:val="subscript"/>
        </w:rPr>
        <w:t>12</w:t>
      </w:r>
      <w:r>
        <w:rPr>
          <w:color w:val="000000"/>
        </w:rPr>
        <w:t>，</w:t>
      </w:r>
      <w:r>
        <w:rPr>
          <w:i/>
          <w:iCs/>
          <w:color w:val="000000"/>
        </w:rPr>
        <w:t>I</w:t>
      </w:r>
      <w:r>
        <w:rPr>
          <w:color w:val="000000"/>
          <w:vertAlign w:val="subscript"/>
        </w:rPr>
        <w:t>13</w:t>
      </w:r>
      <w:r>
        <w:rPr>
          <w:color w:val="000000"/>
        </w:rPr>
        <w:t>，</w:t>
      </w:r>
      <w:r>
        <w:rPr>
          <w:i/>
          <w:iCs/>
          <w:color w:val="000000"/>
        </w:rPr>
        <w:t>I</w:t>
      </w:r>
      <w:r>
        <w:rPr>
          <w:color w:val="000000"/>
          <w:vertAlign w:val="subscript"/>
        </w:rPr>
        <w:t>14</w:t>
      </w:r>
      <w:r>
        <w:rPr>
          <w:color w:val="000000"/>
        </w:rPr>
        <w:t>，……，</w:t>
      </w:r>
      <w:r>
        <w:rPr>
          <w:i/>
          <w:iCs/>
          <w:color w:val="000000"/>
        </w:rPr>
        <w:t>I</w:t>
      </w:r>
      <w:r>
        <w:rPr>
          <w:i/>
          <w:color w:val="000000"/>
          <w:vertAlign w:val="subscript"/>
        </w:rPr>
        <w:t>n</w:t>
      </w:r>
      <w:r>
        <w:rPr>
          <w:color w:val="000000"/>
          <w:vertAlign w:val="subscript"/>
        </w:rPr>
        <w:t>1</w:t>
      </w:r>
      <w:r>
        <w:rPr>
          <w:color w:val="000000"/>
        </w:rPr>
        <w:t>，</w:t>
      </w:r>
      <w:r>
        <w:rPr>
          <w:i/>
          <w:iCs/>
          <w:color w:val="000000"/>
        </w:rPr>
        <w:t>I</w:t>
      </w:r>
      <w:r>
        <w:rPr>
          <w:i/>
          <w:color w:val="000000"/>
          <w:vertAlign w:val="subscript"/>
        </w:rPr>
        <w:t>n</w:t>
      </w:r>
      <w:r>
        <w:rPr>
          <w:color w:val="000000"/>
          <w:vertAlign w:val="subscript"/>
        </w:rPr>
        <w:t>2</w:t>
      </w:r>
      <w:r>
        <w:rPr>
          <w:color w:val="000000"/>
        </w:rPr>
        <w:t>，</w:t>
      </w:r>
      <w:r>
        <w:rPr>
          <w:i/>
          <w:iCs/>
          <w:color w:val="000000"/>
        </w:rPr>
        <w:t>I</w:t>
      </w:r>
      <w:r>
        <w:rPr>
          <w:i/>
          <w:color w:val="000000"/>
          <w:vertAlign w:val="subscript"/>
        </w:rPr>
        <w:t>n</w:t>
      </w:r>
      <w:r>
        <w:rPr>
          <w:color w:val="000000"/>
          <w:vertAlign w:val="subscript"/>
        </w:rPr>
        <w:t>3</w:t>
      </w:r>
      <w:r>
        <w:rPr>
          <w:color w:val="000000"/>
        </w:rPr>
        <w:t>，</w:t>
      </w:r>
      <w:r>
        <w:rPr>
          <w:i/>
          <w:iCs/>
          <w:color w:val="000000"/>
        </w:rPr>
        <w:t>I</w:t>
      </w:r>
      <w:r>
        <w:rPr>
          <w:i/>
          <w:color w:val="000000"/>
          <w:vertAlign w:val="subscript"/>
        </w:rPr>
        <w:t>n</w:t>
      </w:r>
      <w:r>
        <w:rPr>
          <w:color w:val="000000"/>
          <w:vertAlign w:val="subscript"/>
        </w:rPr>
        <w:t>4</w:t>
      </w:r>
      <w:r>
        <w:rPr>
          <w:rFonts w:hint="eastAsia"/>
          <w:color w:val="000000"/>
        </w:rPr>
        <w:t>，</w:t>
      </w:r>
      <w:r>
        <w:rPr>
          <w:color w:val="000000"/>
        </w:rPr>
        <w:t>则</w:t>
      </w:r>
      <w:r>
        <w:rPr>
          <w:rFonts w:hint="eastAsia"/>
          <w:color w:val="000000"/>
        </w:rPr>
        <w:t>：</w:t>
      </w:r>
    </w:p>
    <w:p>
      <w:pPr>
        <w:spacing w:after="156" w:afterLines="50"/>
        <w:ind w:firstLine="2339" w:firstLineChars="1114"/>
        <w:jc w:val="right"/>
        <w:rPr>
          <w:color w:val="000000"/>
        </w:rPr>
      </w:pPr>
      <w:r>
        <w:rPr>
          <w:color w:val="000000"/>
          <w:position w:val="-24"/>
        </w:rPr>
        <w:object>
          <v:shape id="_x0000_i1030" type="#_x0000_t75" style="width:119.8pt;height:31.7pt" o:ole="" coordsize="21600,21600" o:preferrelative="t" filled="f" stroked="f">
            <v:stroke joinstyle="miter"/>
            <v:imagedata r:id="rId39" o:title=""/>
            <o:lock v:ext="edit" aspectratio="t"/>
            <w10:anchorlock/>
          </v:shape>
          <o:OLEObject Type="Embed" ProgID="Equation.3" ShapeID="_x0000_i1030" DrawAspect="Content" ObjectID="_1468075728" r:id="rId40"/>
        </w:object>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（3）</w:t>
      </w:r>
    </w:p>
    <w:p>
      <w:pPr>
        <w:spacing w:after="156" w:afterLines="50"/>
        <w:ind w:firstLine="359" w:firstLineChars="171"/>
        <w:rPr>
          <w:color w:val="000000"/>
        </w:rPr>
        <w:sectPr>
          <w:headerReference w:type="default" r:id="rId41"/>
          <w:footerReference w:type="even" r:id="rId42"/>
          <w:footerReference w:type="default" r:id="rId43"/>
          <w:type w:val="nextPage"/>
          <w:pgSz w:w="11906" w:h="16838"/>
          <w:pgMar w:top="1440" w:right="1558" w:bottom="1440" w:left="1797" w:header="851" w:footer="992" w:gutter="0"/>
          <w:pgNumType w:start="8"/>
          <w:cols w:num="1" w:space="425"/>
          <w:titlePg w:val="0"/>
          <w:docGrid w:type="linesAndChars" w:linePitch="312" w:charSpace="0"/>
        </w:sectPr>
      </w:pPr>
      <w:r>
        <w:rPr>
          <w:color w:val="000000"/>
        </w:rPr>
        <w:t>其中：</w:t>
      </w:r>
      <w:r>
        <w:rPr>
          <w:i/>
          <w:color w:val="000000"/>
        </w:rPr>
        <w:t>i</w:t>
      </w:r>
      <w:r>
        <w:rPr>
          <w:color w:val="000000"/>
        </w:rPr>
        <w:t xml:space="preserve"> = 1，…，</w:t>
      </w:r>
      <w:r>
        <w:rPr>
          <w:i/>
          <w:color w:val="000000"/>
        </w:rPr>
        <w:t>n</w:t>
      </w:r>
      <w:r>
        <w:rPr>
          <w:rFonts w:hint="eastAsia"/>
          <w:color w:val="000000"/>
        </w:rPr>
        <w:t>。</w:t>
      </w:r>
    </w:p>
    <w:p>
      <w:pPr>
        <w:spacing w:after="156" w:afterLines="50"/>
        <w:ind w:firstLine="359" w:firstLineChars="171"/>
        <w:rPr>
          <w:color w:val="000000"/>
        </w:rPr>
      </w:pPr>
      <w:r>
        <w:rPr>
          <w:color w:val="000000"/>
        </w:rPr>
        <w:t>循环 A</w:t>
      </w:r>
      <w:r>
        <w:rPr>
          <w:color w:val="000000"/>
          <w:vertAlign w:val="subscript"/>
        </w:rPr>
        <w:t>11</w:t>
      </w:r>
      <w:r>
        <w:rPr>
          <w:color w:val="000000"/>
        </w:rPr>
        <w:t>A</w:t>
      </w:r>
      <w:r>
        <w:rPr>
          <w:color w:val="000000"/>
          <w:vertAlign w:val="subscript"/>
        </w:rPr>
        <w:t>12</w:t>
      </w:r>
      <w:r>
        <w:rPr>
          <w:color w:val="000000"/>
        </w:rPr>
        <w:t>A</w:t>
      </w:r>
      <w:r>
        <w:rPr>
          <w:color w:val="000000"/>
          <w:vertAlign w:val="subscript"/>
        </w:rPr>
        <w:t>21</w:t>
      </w:r>
      <w:r>
        <w:rPr>
          <w:color w:val="000000"/>
        </w:rPr>
        <w:t>A</w:t>
      </w:r>
      <w:r>
        <w:rPr>
          <w:color w:val="000000"/>
          <w:vertAlign w:val="subscript"/>
        </w:rPr>
        <w:t>22</w:t>
      </w:r>
      <w:r>
        <w:rPr>
          <w:color w:val="000000"/>
        </w:rPr>
        <w:t>A</w:t>
      </w:r>
      <w:r>
        <w:rPr>
          <w:color w:val="000000"/>
          <w:vertAlign w:val="subscript"/>
        </w:rPr>
        <w:t>31</w:t>
      </w:r>
      <w:r>
        <w:rPr>
          <w:color w:val="000000"/>
        </w:rPr>
        <w:t>：</w:t>
      </w:r>
      <w:r>
        <w:rPr>
          <w:color w:val="000000"/>
        </w:rPr>
        <w:tab/>
      </w:r>
      <w:r>
        <w:rPr>
          <w:i/>
          <w:iCs/>
          <w:color w:val="000000"/>
        </w:rPr>
        <w:t>I</w:t>
      </w:r>
      <w:r>
        <w:rPr>
          <w:color w:val="000000"/>
          <w:vertAlign w:val="subscript"/>
        </w:rPr>
        <w:t>11</w:t>
      </w:r>
      <w:r>
        <w:rPr>
          <w:color w:val="000000"/>
        </w:rPr>
        <w:t>，</w:t>
      </w:r>
      <w:r>
        <w:rPr>
          <w:i/>
          <w:iCs/>
          <w:color w:val="000000"/>
        </w:rPr>
        <w:t>I</w:t>
      </w:r>
      <w:r>
        <w:rPr>
          <w:color w:val="000000"/>
          <w:vertAlign w:val="subscript"/>
        </w:rPr>
        <w:t>12</w:t>
      </w:r>
      <w:r>
        <w:rPr>
          <w:color w:val="000000"/>
        </w:rPr>
        <w:t>，</w:t>
      </w:r>
      <w:r>
        <w:rPr>
          <w:i/>
          <w:iCs/>
          <w:color w:val="000000"/>
        </w:rPr>
        <w:t>I</w:t>
      </w:r>
      <w:r>
        <w:rPr>
          <w:color w:val="000000"/>
          <w:vertAlign w:val="subscript"/>
        </w:rPr>
        <w:t>21</w:t>
      </w:r>
      <w:r>
        <w:rPr>
          <w:color w:val="000000"/>
        </w:rPr>
        <w:t>，</w:t>
      </w:r>
      <w:r>
        <w:rPr>
          <w:i/>
          <w:iCs/>
          <w:color w:val="000000"/>
        </w:rPr>
        <w:t>I</w:t>
      </w:r>
      <w:r>
        <w:rPr>
          <w:color w:val="000000"/>
          <w:vertAlign w:val="subscript"/>
        </w:rPr>
        <w:t>22</w:t>
      </w:r>
      <w:r>
        <w:rPr>
          <w:color w:val="000000"/>
        </w:rPr>
        <w:t>，</w:t>
      </w:r>
      <w:r>
        <w:rPr>
          <w:i/>
          <w:iCs/>
          <w:color w:val="000000"/>
        </w:rPr>
        <w:t>I</w:t>
      </w:r>
      <w:r>
        <w:rPr>
          <w:color w:val="000000"/>
          <w:vertAlign w:val="subscript"/>
        </w:rPr>
        <w:t>31</w:t>
      </w:r>
      <w:r>
        <w:rPr>
          <w:color w:val="000000"/>
        </w:rPr>
        <w:t>，……，</w:t>
      </w:r>
      <w:r>
        <w:rPr>
          <w:i/>
          <w:iCs/>
          <w:color w:val="000000"/>
        </w:rPr>
        <w:t>I</w:t>
      </w:r>
      <w:r>
        <w:rPr>
          <w:color w:val="000000"/>
          <w:vertAlign w:val="subscript"/>
        </w:rPr>
        <w:t>(</w:t>
      </w:r>
      <w:r>
        <w:rPr>
          <w:i/>
          <w:color w:val="000000"/>
          <w:vertAlign w:val="subscript"/>
        </w:rPr>
        <w:t>n</w:t>
      </w:r>
      <w:r>
        <w:rPr>
          <w:color w:val="000000"/>
          <w:vertAlign w:val="subscript"/>
        </w:rPr>
        <w:t>+1)1</w:t>
      </w:r>
      <w:r>
        <w:rPr>
          <w:color w:val="000000"/>
        </w:rPr>
        <w:t xml:space="preserve"> ，</w:t>
      </w:r>
      <w:r>
        <w:rPr>
          <w:i/>
          <w:iCs/>
          <w:color w:val="000000"/>
        </w:rPr>
        <w:t>I</w:t>
      </w:r>
      <w:r>
        <w:rPr>
          <w:color w:val="000000"/>
          <w:vertAlign w:val="subscript"/>
        </w:rPr>
        <w:t>(</w:t>
      </w:r>
      <w:r>
        <w:rPr>
          <w:i/>
          <w:color w:val="000000"/>
          <w:vertAlign w:val="subscript"/>
        </w:rPr>
        <w:t>n</w:t>
      </w:r>
      <w:r>
        <w:rPr>
          <w:color w:val="000000"/>
          <w:vertAlign w:val="subscript"/>
        </w:rPr>
        <w:t>+1)2</w:t>
      </w:r>
      <w:r>
        <w:rPr>
          <w:rFonts w:hint="eastAsia"/>
          <w:color w:val="000000"/>
        </w:rPr>
        <w:t>，</w:t>
      </w:r>
      <w:r>
        <w:rPr>
          <w:color w:val="000000"/>
        </w:rPr>
        <w:t>则</w:t>
      </w:r>
      <w:r>
        <w:rPr>
          <w:rFonts w:hint="eastAsia"/>
          <w:color w:val="000000"/>
        </w:rPr>
        <w:t>：</w:t>
      </w:r>
    </w:p>
    <w:p>
      <w:pPr>
        <w:spacing w:after="156" w:afterLines="50"/>
        <w:ind w:firstLine="2339" w:firstLineChars="1114"/>
        <w:rPr>
          <w:color w:val="000000"/>
        </w:rPr>
      </w:pPr>
      <w:r>
        <w:rPr>
          <w:color w:val="000000"/>
          <w:position w:val="-24"/>
        </w:rPr>
        <w:object>
          <v:shape id="_x0000_i1031" type="#_x0000_t75" style="width:101.4pt;height:32.85pt" o:ole="" coordsize="21600,21600" o:preferrelative="t" filled="f" stroked="f">
            <v:stroke joinstyle="miter"/>
            <v:imagedata r:id="rId44" o:title=""/>
            <o:lock v:ext="edit" aspectratio="t"/>
            <w10:anchorlock/>
          </v:shape>
          <o:OLEObject Type="Embed" ProgID="Equation.DSMT4" ShapeID="_x0000_i1031" DrawAspect="Content" ObjectID="_1468075729" r:id="rId45"/>
        </w:object>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（4）</w:t>
      </w:r>
    </w:p>
    <w:p>
      <w:pPr>
        <w:spacing w:after="156" w:afterLines="50"/>
        <w:ind w:firstLine="359" w:firstLineChars="171"/>
        <w:rPr>
          <w:color w:val="000000"/>
        </w:rPr>
      </w:pPr>
      <w:r>
        <w:rPr>
          <w:color w:val="000000"/>
        </w:rPr>
        <w:t>其中：</w:t>
      </w:r>
      <w:r>
        <w:rPr>
          <w:i/>
          <w:color w:val="000000"/>
        </w:rPr>
        <w:t>i</w:t>
      </w:r>
      <w:r>
        <w:rPr>
          <w:color w:val="000000"/>
        </w:rPr>
        <w:t xml:space="preserve"> = 1，…，</w:t>
      </w:r>
      <w:r>
        <w:rPr>
          <w:i/>
          <w:color w:val="000000"/>
        </w:rPr>
        <w:t>n</w:t>
      </w:r>
      <w:r>
        <w:rPr>
          <w:rFonts w:hint="eastAsia"/>
          <w:color w:val="000000"/>
        </w:rPr>
        <w:t>。</w:t>
      </w:r>
    </w:p>
    <w:p>
      <w:pPr>
        <w:spacing w:after="156" w:afterLines="50"/>
        <w:ind w:firstLine="359" w:firstLineChars="171"/>
        <w:rPr>
          <w:color w:val="000000"/>
        </w:rPr>
      </w:pPr>
      <w:r>
        <w:rPr>
          <w:color w:val="000000"/>
        </w:rPr>
        <w:t>上述，</w:t>
      </w:r>
      <w:r>
        <w:rPr>
          <w:i/>
          <w:color w:val="000000"/>
        </w:rPr>
        <w:t>n</w:t>
      </w:r>
      <w:r>
        <w:rPr>
          <w:color w:val="000000"/>
        </w:rPr>
        <w:t>是序列的数目</w:t>
      </w:r>
      <w:r>
        <w:rPr>
          <w:rFonts w:hint="eastAsia"/>
          <w:color w:val="000000"/>
        </w:rPr>
        <w:t>；</w:t>
      </w:r>
      <w:r>
        <w:rPr>
          <w:i/>
          <w:color w:val="000000"/>
        </w:rPr>
        <w:t>i</w:t>
      </w:r>
      <w:r>
        <w:rPr>
          <w:color w:val="000000"/>
        </w:rPr>
        <w:t>值为放在衡量盘上的砝码顺序号</w:t>
      </w:r>
      <w:r>
        <w:rPr>
          <w:rFonts w:hint="eastAsia"/>
          <w:color w:val="000000"/>
        </w:rPr>
        <w:t>；</w:t>
      </w:r>
      <w:r>
        <w:rPr>
          <w:rFonts w:ascii="Symbol" w:hAnsi="Symbol"/>
          <w:color w:val="000000"/>
        </w:rPr>
        <w:sym w:font="Symbol" w:char="F044"/>
      </w:r>
      <w:r>
        <w:rPr>
          <w:i/>
          <w:iCs/>
          <w:color w:val="000000"/>
        </w:rPr>
        <w:t>I</w:t>
      </w:r>
      <w:r>
        <w:rPr>
          <w:i/>
          <w:color w:val="000000"/>
          <w:vertAlign w:val="subscript"/>
        </w:rPr>
        <w:t>i</w:t>
      </w:r>
      <w:r>
        <w:rPr>
          <w:color w:val="000000"/>
        </w:rPr>
        <w:t>表示测量序列</w:t>
      </w:r>
      <w:r>
        <w:rPr>
          <w:i/>
          <w:color w:val="000000"/>
        </w:rPr>
        <w:t>i</w:t>
      </w:r>
      <w:r>
        <w:rPr>
          <w:color w:val="000000"/>
        </w:rPr>
        <w:t>的差值。</w:t>
      </w:r>
    </w:p>
    <w:p>
      <w:pPr>
        <w:spacing w:after="156" w:afterLines="50"/>
        <w:ind w:firstLine="359"/>
        <w:rPr>
          <w:color w:val="000000"/>
        </w:rPr>
      </w:pPr>
      <w:r>
        <w:rPr>
          <w:color w:val="000000"/>
        </w:rPr>
        <w:t>（3）读数时间</w:t>
      </w:r>
    </w:p>
    <w:p>
      <w:pPr>
        <w:spacing w:after="156" w:afterLines="50"/>
        <w:ind w:firstLine="359"/>
        <w:rPr>
          <w:color w:val="000000"/>
        </w:rPr>
      </w:pPr>
      <w:r>
        <w:rPr>
          <w:color w:val="000000"/>
        </w:rPr>
        <w:t>校准过程中读取平衡位置读数的时间间隔应尽量一致。</w:t>
      </w:r>
    </w:p>
    <w:p>
      <w:pPr>
        <w:spacing w:after="156" w:afterLines="50"/>
        <w:ind w:firstLine="359"/>
        <w:rPr>
          <w:color w:val="000000"/>
        </w:rPr>
      </w:pPr>
      <w:r>
        <w:rPr>
          <w:color w:val="000000"/>
        </w:rPr>
        <w:t>（4）校准时的测量载荷</w:t>
      </w:r>
    </w:p>
    <w:p>
      <w:pPr>
        <w:spacing w:after="156" w:afterLines="50"/>
        <w:ind w:firstLine="359" w:firstLineChars="171"/>
        <w:rPr>
          <w:color w:val="000000"/>
        </w:rPr>
      </w:pPr>
      <w:r>
        <w:rPr>
          <w:color w:val="000000"/>
        </w:rPr>
        <w:t>在进行显示误差校准和重复性、偏载测量时，均在试验载荷点上进行测量，参见3.1.7。</w:t>
      </w:r>
    </w:p>
    <w:p>
      <w:pPr>
        <w:spacing w:after="156" w:afterLines="50"/>
        <w:rPr>
          <w:color w:val="000000"/>
        </w:rPr>
      </w:pPr>
      <w:r>
        <w:rPr>
          <w:color w:val="000000"/>
        </w:rPr>
        <w:t>7.2.3  局部示值的校准</w:t>
      </w:r>
    </w:p>
    <w:p>
      <w:pPr>
        <w:spacing w:after="156" w:afterLines="50"/>
        <w:ind w:firstLine="540" w:firstLineChars="257"/>
        <w:rPr>
          <w:color w:val="000000"/>
        </w:rPr>
      </w:pPr>
      <w:r>
        <w:rPr>
          <w:color w:val="000000"/>
        </w:rPr>
        <w:t>由于比较仪在使用中的特点，标准砝码与被测物体之间的质量差值只在一定的范围以内，故在比较仪校准的过程中，可以仅针对一个小的、相对合理的电子显示范围对显示误差进行校准。</w:t>
      </w:r>
    </w:p>
    <w:p>
      <w:pPr>
        <w:spacing w:after="156" w:afterLines="50"/>
        <w:ind w:firstLine="540" w:firstLineChars="257"/>
        <w:rPr>
          <w:color w:val="000000"/>
        </w:rPr>
      </w:pPr>
      <w:r>
        <w:rPr>
          <w:color w:val="000000"/>
        </w:rPr>
        <w:t>用于测量</w:t>
      </w:r>
      <w:r>
        <w:rPr>
          <w:color w:val="000000"/>
          <w:szCs w:val="21"/>
        </w:rPr>
        <w:t>该项</w:t>
      </w:r>
      <w:r>
        <w:rPr>
          <w:color w:val="000000"/>
        </w:rPr>
        <w:t>误差而添加砝码的质量值</w:t>
      </w:r>
      <w:r>
        <w:rPr>
          <w:i/>
          <w:color w:val="000000"/>
        </w:rPr>
        <w:t>m</w:t>
      </w:r>
      <w:r>
        <w:rPr>
          <w:color w:val="000000"/>
          <w:szCs w:val="21"/>
          <w:vertAlign w:val="subscript"/>
        </w:rPr>
        <w:t>s</w:t>
      </w:r>
      <w:r>
        <w:rPr>
          <w:color w:val="000000"/>
        </w:rPr>
        <w:t>，为被校比较仪实际分度值</w:t>
      </w:r>
      <w:r>
        <w:rPr>
          <w:i/>
          <w:color w:val="000000"/>
        </w:rPr>
        <w:t>d</w:t>
      </w:r>
      <w:r>
        <w:rPr>
          <w:color w:val="000000"/>
        </w:rPr>
        <w:t>的1000倍到5000倍之间任意一个单个砝码（当</w:t>
      </w:r>
      <w:r>
        <w:rPr>
          <w:i/>
          <w:color w:val="000000"/>
        </w:rPr>
        <w:t>d</w:t>
      </w:r>
      <w:r>
        <w:rPr>
          <w:color w:val="000000"/>
        </w:rPr>
        <w:t xml:space="preserve">&lt;1 </w:t>
      </w:r>
      <w:r>
        <w:rPr>
          <w:rFonts w:ascii="Symbol" w:hAnsi="Symbol"/>
          <w:color w:val="000000"/>
        </w:rPr>
        <w:sym w:font="Symbol" w:char="F06D"/>
      </w:r>
      <w:r>
        <w:rPr>
          <w:color w:val="000000"/>
        </w:rPr>
        <w:t>g时，仅可选用1 mg砝码测量该项误差）。</w:t>
      </w:r>
    </w:p>
    <w:p>
      <w:pPr>
        <w:spacing w:after="156" w:afterLines="50"/>
        <w:rPr>
          <w:color w:val="000000"/>
        </w:rPr>
      </w:pPr>
      <w:r>
        <w:rPr>
          <w:color w:val="000000"/>
        </w:rPr>
        <w:t>7.2.3.1  校准程序与要求</w:t>
      </w:r>
    </w:p>
    <w:p>
      <w:pPr>
        <w:spacing w:after="156" w:afterLines="50"/>
        <w:ind w:firstLine="359" w:firstLineChars="171"/>
        <w:rPr>
          <w:color w:val="000000"/>
        </w:rPr>
      </w:pPr>
      <w:r>
        <w:rPr>
          <w:color w:val="000000"/>
        </w:rPr>
        <w:t>在进行局部示值误差校准时，若比较仪在被测的载荷点上</w:t>
      </w:r>
      <w:r>
        <w:rPr>
          <w:color w:val="000000"/>
          <w:szCs w:val="21"/>
        </w:rPr>
        <w:t>采用配衡装置方</w:t>
      </w:r>
      <w:r>
        <w:rPr>
          <w:color w:val="000000"/>
        </w:rPr>
        <w:t>可显示质量量值，则只能选用一个满足校准比较仪的标准砝码按照ABBA</w:t>
      </w:r>
      <w:r>
        <w:rPr>
          <w:color w:val="000000"/>
          <w:szCs w:val="21"/>
        </w:rPr>
        <w:t>或ABABA</w:t>
      </w:r>
      <w:r>
        <w:rPr>
          <w:color w:val="000000"/>
        </w:rPr>
        <w:t>的方式（其中：B=A+</w:t>
      </w:r>
      <w:r>
        <w:rPr>
          <w:i/>
          <w:color w:val="000000"/>
        </w:rPr>
        <w:t>m</w:t>
      </w:r>
      <w:r>
        <w:rPr>
          <w:color w:val="000000"/>
          <w:szCs w:val="21"/>
          <w:vertAlign w:val="subscript"/>
        </w:rPr>
        <w:t>s</w:t>
      </w:r>
      <w:r>
        <w:rPr>
          <w:color w:val="000000"/>
        </w:rPr>
        <w:t>）分别将标准砝码放在称盘上，待比较仪稳定，记录显示器示值。此时测量次数为1次</w:t>
      </w:r>
      <w:r>
        <w:rPr>
          <w:rFonts w:ascii="Symbol" w:hAnsi="Symbol"/>
          <w:color w:val="000000"/>
        </w:rPr>
        <w:sym w:font="Symbol" w:char="F07E"/>
      </w:r>
      <w:r>
        <w:rPr>
          <w:color w:val="000000"/>
        </w:rPr>
        <w:t>3次。</w:t>
      </w:r>
    </w:p>
    <w:p>
      <w:pPr>
        <w:spacing w:after="156" w:afterLines="50"/>
        <w:ind w:firstLine="359" w:firstLineChars="171"/>
        <w:rPr>
          <w:color w:val="000000"/>
        </w:rPr>
      </w:pPr>
      <w:r>
        <w:rPr>
          <w:color w:val="000000"/>
        </w:rPr>
        <w:t>故校准局部示值误差时的衡量循环为：A、(A+</w:t>
      </w:r>
      <w:r>
        <w:rPr>
          <w:i/>
          <w:color w:val="000000"/>
        </w:rPr>
        <w:t xml:space="preserve"> m</w:t>
      </w:r>
      <w:r>
        <w:rPr>
          <w:color w:val="000000"/>
          <w:szCs w:val="21"/>
          <w:vertAlign w:val="subscript"/>
        </w:rPr>
        <w:t>s</w:t>
      </w:r>
      <w:r>
        <w:rPr>
          <w:color w:val="000000"/>
        </w:rPr>
        <w:t>)、(A+</w:t>
      </w:r>
      <w:r>
        <w:rPr>
          <w:i/>
          <w:color w:val="000000"/>
        </w:rPr>
        <w:t xml:space="preserve"> m</w:t>
      </w:r>
      <w:r>
        <w:rPr>
          <w:color w:val="000000"/>
          <w:szCs w:val="21"/>
          <w:vertAlign w:val="subscript"/>
        </w:rPr>
        <w:t>s</w:t>
      </w:r>
      <w:r>
        <w:rPr>
          <w:color w:val="000000"/>
        </w:rPr>
        <w:t>)、A；或者A、(A+</w:t>
      </w:r>
      <w:r>
        <w:rPr>
          <w:i/>
          <w:color w:val="000000"/>
        </w:rPr>
        <w:t xml:space="preserve"> m</w:t>
      </w:r>
      <w:r>
        <w:rPr>
          <w:color w:val="000000"/>
          <w:szCs w:val="21"/>
          <w:vertAlign w:val="subscript"/>
        </w:rPr>
        <w:t>s</w:t>
      </w:r>
      <w:r>
        <w:rPr>
          <w:color w:val="000000"/>
        </w:rPr>
        <w:t>)、A。</w:t>
      </w:r>
    </w:p>
    <w:p>
      <w:pPr>
        <w:spacing w:after="156" w:afterLines="50"/>
        <w:rPr>
          <w:color w:val="000000"/>
        </w:rPr>
      </w:pPr>
      <w:r>
        <w:rPr>
          <w:color w:val="000000"/>
        </w:rPr>
        <w:t>7.2.3.2  校准结果的计算</w:t>
      </w:r>
    </w:p>
    <w:p>
      <w:pPr>
        <w:spacing w:after="156" w:afterLines="50"/>
        <w:ind w:firstLine="359" w:firstLineChars="171"/>
        <w:rPr>
          <w:color w:val="000000"/>
        </w:rPr>
      </w:pPr>
      <w:r>
        <w:rPr>
          <w:color w:val="000000"/>
        </w:rPr>
        <w:t>循环A</w:t>
      </w:r>
      <w:r>
        <w:rPr>
          <w:color w:val="000000"/>
          <w:szCs w:val="21"/>
          <w:vertAlign w:val="subscript"/>
        </w:rPr>
        <w:t>1</w:t>
      </w:r>
      <w:r>
        <w:rPr>
          <w:color w:val="000000"/>
        </w:rPr>
        <w:t>、(A+</w:t>
      </w:r>
      <w:r>
        <w:rPr>
          <w:i/>
          <w:color w:val="000000"/>
        </w:rPr>
        <w:t xml:space="preserve"> m</w:t>
      </w:r>
      <w:r>
        <w:rPr>
          <w:color w:val="000000"/>
          <w:szCs w:val="21"/>
          <w:vertAlign w:val="subscript"/>
        </w:rPr>
        <w:t>s</w:t>
      </w:r>
      <w:r>
        <w:rPr>
          <w:color w:val="000000"/>
        </w:rPr>
        <w:t>)</w:t>
      </w:r>
      <w:r>
        <w:rPr>
          <w:color w:val="000000"/>
          <w:szCs w:val="21"/>
          <w:vertAlign w:val="subscript"/>
        </w:rPr>
        <w:t>1</w:t>
      </w:r>
      <w:r>
        <w:rPr>
          <w:color w:val="000000"/>
        </w:rPr>
        <w:t>、(A+</w:t>
      </w:r>
      <w:r>
        <w:rPr>
          <w:i/>
          <w:color w:val="000000"/>
        </w:rPr>
        <w:t xml:space="preserve"> m</w:t>
      </w:r>
      <w:r>
        <w:rPr>
          <w:color w:val="000000"/>
          <w:szCs w:val="21"/>
          <w:vertAlign w:val="subscript"/>
        </w:rPr>
        <w:t>s</w:t>
      </w:r>
      <w:r>
        <w:rPr>
          <w:color w:val="000000"/>
        </w:rPr>
        <w:t>)</w:t>
      </w:r>
      <w:r>
        <w:rPr>
          <w:color w:val="000000"/>
          <w:szCs w:val="21"/>
          <w:vertAlign w:val="subscript"/>
        </w:rPr>
        <w:t>2</w:t>
      </w:r>
      <w:r>
        <w:rPr>
          <w:color w:val="000000"/>
        </w:rPr>
        <w:t>、A</w:t>
      </w:r>
      <w:r>
        <w:rPr>
          <w:color w:val="000000"/>
          <w:szCs w:val="21"/>
          <w:vertAlign w:val="subscript"/>
        </w:rPr>
        <w:t>2</w:t>
      </w:r>
      <w:r>
        <w:rPr>
          <w:color w:val="000000"/>
        </w:rPr>
        <w:t>：</w:t>
      </w:r>
    </w:p>
    <w:p>
      <w:pPr>
        <w:spacing w:after="156" w:afterLines="50"/>
        <w:ind w:firstLine="359" w:firstLineChars="171"/>
        <w:jc w:val="right"/>
        <w:rPr>
          <w:color w:val="000000"/>
        </w:rPr>
      </w:pPr>
      <w:r>
        <w:rPr>
          <w:color w:val="000000"/>
          <w:position w:val="-24"/>
        </w:rPr>
        <w:object>
          <v:shape id="_x0000_i1032" type="#_x0000_t75" style="width:173.4pt;height:32.85pt" o:ole="" coordsize="21600,21600" o:preferrelative="t" filled="f" stroked="f">
            <v:stroke joinstyle="miter"/>
            <v:imagedata r:id="rId46" o:title=""/>
            <o:lock v:ext="edit" aspectratio="t"/>
            <w10:anchorlock/>
          </v:shape>
          <o:OLEObject Type="Embed" ProgID="Equation.3" ShapeID="_x0000_i1032" DrawAspect="Content" ObjectID="_1468075730" r:id="rId47"/>
        </w:object>
      </w:r>
      <w:r>
        <w:rPr>
          <w:color w:val="000000"/>
        </w:rPr>
        <w:tab/>
      </w:r>
      <w:r>
        <w:rPr>
          <w:color w:val="000000"/>
        </w:rPr>
        <w:tab/>
      </w:r>
      <w:r>
        <w:rPr>
          <w:color w:val="000000"/>
        </w:rPr>
        <w:tab/>
      </w:r>
      <w:r>
        <w:rPr>
          <w:color w:val="000000"/>
        </w:rPr>
        <w:tab/>
      </w:r>
      <w:r>
        <w:rPr>
          <w:color w:val="000000"/>
        </w:rPr>
        <w:tab/>
      </w:r>
      <w:r>
        <w:rPr>
          <w:color w:val="000000"/>
        </w:rPr>
        <w:t>（5）</w:t>
      </w:r>
    </w:p>
    <w:p>
      <w:pPr>
        <w:spacing w:after="156" w:afterLines="50"/>
        <w:ind w:firstLine="359" w:firstLineChars="171"/>
        <w:rPr>
          <w:color w:val="000000"/>
        </w:rPr>
      </w:pPr>
      <w:r>
        <w:rPr>
          <w:color w:val="000000"/>
        </w:rPr>
        <w:t>循环A</w:t>
      </w:r>
      <w:r>
        <w:rPr>
          <w:color w:val="000000"/>
          <w:szCs w:val="21"/>
          <w:vertAlign w:val="subscript"/>
        </w:rPr>
        <w:t>1</w:t>
      </w:r>
      <w:r>
        <w:rPr>
          <w:color w:val="000000"/>
        </w:rPr>
        <w:t>、(A+</w:t>
      </w:r>
      <w:r>
        <w:rPr>
          <w:i/>
          <w:color w:val="000000"/>
        </w:rPr>
        <w:t xml:space="preserve"> m</w:t>
      </w:r>
      <w:r>
        <w:rPr>
          <w:color w:val="000000"/>
          <w:szCs w:val="21"/>
          <w:vertAlign w:val="subscript"/>
        </w:rPr>
        <w:t>s</w:t>
      </w:r>
      <w:r>
        <w:rPr>
          <w:color w:val="000000"/>
        </w:rPr>
        <w:t>)、A</w:t>
      </w:r>
      <w:r>
        <w:rPr>
          <w:color w:val="000000"/>
          <w:szCs w:val="21"/>
          <w:vertAlign w:val="subscript"/>
        </w:rPr>
        <w:t>2</w:t>
      </w:r>
      <w:r>
        <w:rPr>
          <w:color w:val="000000"/>
        </w:rPr>
        <w:t>：</w:t>
      </w:r>
    </w:p>
    <w:p>
      <w:pPr>
        <w:spacing w:after="156" w:afterLines="50"/>
        <w:ind w:firstLine="359" w:firstLineChars="171"/>
        <w:jc w:val="right"/>
        <w:rPr>
          <w:color w:val="000000"/>
        </w:rPr>
      </w:pPr>
      <w:r>
        <w:rPr>
          <w:color w:val="000000"/>
        </w:rPr>
        <w:tab/>
      </w:r>
      <w:r>
        <w:rPr>
          <w:color w:val="000000"/>
          <w:position w:val="-24"/>
        </w:rPr>
        <w:object>
          <v:shape id="_x0000_i1033" type="#_x0000_t75" style="width:123.85pt;height:31.7pt" o:ole="" coordsize="21600,21600" o:preferrelative="t" filled="f" stroked="f">
            <v:stroke joinstyle="miter"/>
            <v:imagedata r:id="rId48" o:title=""/>
            <o:lock v:ext="edit" aspectratio="t"/>
            <w10:anchorlock/>
          </v:shape>
          <o:OLEObject Type="Embed" ProgID="Equation.3" ShapeID="_x0000_i1033" DrawAspect="Content" ObjectID="_1468075731" r:id="rId49"/>
        </w:object>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（6）</w:t>
      </w:r>
    </w:p>
    <w:p>
      <w:pPr>
        <w:spacing w:after="156" w:afterLines="50"/>
        <w:ind w:firstLine="359" w:firstLineChars="171"/>
        <w:rPr>
          <w:color w:val="000000"/>
        </w:rPr>
      </w:pPr>
      <w:r>
        <w:rPr>
          <w:color w:val="000000"/>
        </w:rPr>
        <w:t>按公式（5）、（6）计算出由于添加了局部示值误差小砝码而引起的比较仪显示值的变化量</w:t>
      </w:r>
      <w:r>
        <w:rPr>
          <w:rFonts w:ascii="Symbol" w:hAnsi="Symbol"/>
          <w:color w:val="000000"/>
        </w:rPr>
        <w:sym w:font="Symbol" w:char="F044"/>
      </w:r>
      <w:r>
        <w:rPr>
          <w:i/>
          <w:color w:val="000000"/>
        </w:rPr>
        <w:t>I</w:t>
      </w:r>
      <w:r>
        <w:rPr>
          <w:color w:val="000000"/>
          <w:szCs w:val="21"/>
          <w:vertAlign w:val="subscript"/>
        </w:rPr>
        <w:t>ms</w:t>
      </w:r>
      <w:r>
        <w:rPr>
          <w:color w:val="000000"/>
        </w:rPr>
        <w:t>。如果局部示值误差为多次测量的结果，则取其算术平均值作为显示值的变化量。</w:t>
      </w:r>
    </w:p>
    <w:p>
      <w:pPr>
        <w:spacing w:after="156" w:afterLines="50"/>
        <w:ind w:firstLine="359" w:firstLineChars="171"/>
        <w:rPr>
          <w:color w:val="000000"/>
        </w:rPr>
      </w:pPr>
    </w:p>
    <w:p>
      <w:pPr>
        <w:spacing w:after="156" w:afterLines="50"/>
        <w:rPr>
          <w:color w:val="000000"/>
        </w:rPr>
        <w:sectPr>
          <w:headerReference w:type="default" r:id="rId50"/>
          <w:footerReference w:type="even" r:id="rId51"/>
          <w:footerReference w:type="default" r:id="rId52"/>
          <w:type w:val="nextPage"/>
          <w:pgSz w:w="11906" w:h="16838"/>
          <w:pgMar w:top="1440" w:right="1558" w:bottom="1440" w:left="1797" w:header="851" w:footer="992" w:gutter="0"/>
          <w:pgNumType w:start="9"/>
          <w:cols w:num="1" w:space="425"/>
          <w:titlePg w:val="0"/>
          <w:docGrid w:type="linesAndChars" w:linePitch="312" w:charSpace="0"/>
        </w:sectPr>
      </w:pPr>
      <w:r>
        <w:rPr>
          <w:color w:val="000000"/>
        </w:rPr>
        <w:t>7.2.4  重复性的测量</w:t>
      </w:r>
    </w:p>
    <w:p>
      <w:pPr>
        <w:spacing w:after="156" w:afterLines="50"/>
        <w:rPr>
          <w:color w:val="000000"/>
        </w:rPr>
      </w:pPr>
      <w:r>
        <w:rPr>
          <w:color w:val="000000"/>
        </w:rPr>
        <w:t>7.2.4.1  总则</w:t>
      </w:r>
    </w:p>
    <w:p>
      <w:pPr>
        <w:spacing w:after="156" w:afterLines="50"/>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衡量循环可以采用ABBA，ABABA或者A</w:t>
      </w:r>
      <w:r>
        <w:rPr>
          <w:color w:val="000000" w:themeColor="text1"/>
          <w:vertAlign w:val="subscript"/>
          <w14:textFill>
            <w14:solidFill>
              <w14:schemeClr w14:val="tx1"/>
            </w14:solidFill>
          </w14:textFill>
        </w:rPr>
        <w:t>1</w:t>
      </w:r>
      <w:r>
        <w:rPr>
          <w:color w:val="000000" w:themeColor="text1"/>
          <w14:textFill>
            <w14:solidFill>
              <w14:schemeClr w14:val="tx1"/>
            </w14:solidFill>
          </w14:textFill>
        </w:rPr>
        <w:t>A</w:t>
      </w:r>
      <w:r>
        <w:rPr>
          <w:color w:val="000000" w:themeColor="text1"/>
          <w:vertAlign w:val="subscript"/>
          <w14:textFill>
            <w14:solidFill>
              <w14:schemeClr w14:val="tx1"/>
            </w14:solidFill>
          </w14:textFill>
        </w:rPr>
        <w:t>2</w:t>
      </w:r>
      <w:r>
        <w:rPr>
          <w:color w:val="000000" w:themeColor="text1"/>
          <w14:textFill>
            <w14:solidFill>
              <w14:schemeClr w14:val="tx1"/>
            </w14:solidFill>
          </w14:textFill>
        </w:rPr>
        <w:t>A</w:t>
      </w:r>
      <w:r>
        <w:rPr>
          <w:color w:val="000000" w:themeColor="text1"/>
          <w:vertAlign w:val="subscript"/>
          <w14:textFill>
            <w14:solidFill>
              <w14:schemeClr w14:val="tx1"/>
            </w14:solidFill>
          </w14:textFill>
        </w:rPr>
        <w:t>3</w:t>
      </w:r>
      <w:r>
        <w:rPr>
          <w:color w:val="000000" w:themeColor="text1"/>
          <w14:textFill>
            <w14:solidFill>
              <w14:schemeClr w14:val="tx1"/>
            </w14:solidFill>
          </w14:textFill>
        </w:rPr>
        <w:t>A</w:t>
      </w:r>
      <w:r>
        <w:rPr>
          <w:color w:val="000000" w:themeColor="text1"/>
          <w:vertAlign w:val="subscript"/>
          <w14:textFill>
            <w14:solidFill>
              <w14:schemeClr w14:val="tx1"/>
            </w14:solidFill>
          </w14:textFill>
        </w:rPr>
        <w:t>4</w:t>
      </w:r>
      <w:r>
        <w:rPr>
          <w:color w:val="000000" w:themeColor="text1"/>
          <w14:textFill>
            <w14:solidFill>
              <w14:schemeClr w14:val="tx1"/>
            </w14:solidFill>
          </w14:textFill>
        </w:rPr>
        <w:t>、A</w:t>
      </w:r>
      <w:r>
        <w:rPr>
          <w:color w:val="000000" w:themeColor="text1"/>
          <w:vertAlign w:val="subscript"/>
          <w14:textFill>
            <w14:solidFill>
              <w14:schemeClr w14:val="tx1"/>
            </w14:solidFill>
          </w14:textFill>
        </w:rPr>
        <w:t>1</w:t>
      </w:r>
      <w:r>
        <w:rPr>
          <w:color w:val="000000" w:themeColor="text1"/>
          <w14:textFill>
            <w14:solidFill>
              <w14:schemeClr w14:val="tx1"/>
            </w14:solidFill>
          </w14:textFill>
        </w:rPr>
        <w:t>A</w:t>
      </w:r>
      <w:r>
        <w:rPr>
          <w:color w:val="000000" w:themeColor="text1"/>
          <w:vertAlign w:val="subscript"/>
          <w14:textFill>
            <w14:solidFill>
              <w14:schemeClr w14:val="tx1"/>
            </w14:solidFill>
          </w14:textFill>
        </w:rPr>
        <w:t>2</w:t>
      </w:r>
      <w:r>
        <w:rPr>
          <w:color w:val="000000" w:themeColor="text1"/>
          <w14:textFill>
            <w14:solidFill>
              <w14:schemeClr w14:val="tx1"/>
            </w14:solidFill>
          </w14:textFill>
        </w:rPr>
        <w:t>A</w:t>
      </w:r>
      <w:r>
        <w:rPr>
          <w:color w:val="000000" w:themeColor="text1"/>
          <w:vertAlign w:val="subscript"/>
          <w14:textFill>
            <w14:solidFill>
              <w14:schemeClr w14:val="tx1"/>
            </w14:solidFill>
          </w14:textFill>
        </w:rPr>
        <w:t>3</w:t>
      </w:r>
      <w:r>
        <w:rPr>
          <w:color w:val="000000" w:themeColor="text1"/>
          <w14:textFill>
            <w14:solidFill>
              <w14:schemeClr w14:val="tx1"/>
            </w14:solidFill>
          </w14:textFill>
        </w:rPr>
        <w:t>（当A和B为同一砝码时）的衡量模式，循环次数不少于6次。</w:t>
      </w:r>
    </w:p>
    <w:p>
      <w:pPr>
        <w:spacing w:after="156" w:afterLines="50"/>
        <w:ind w:firstLine="420" w:firstLineChars="200"/>
        <w:rPr>
          <w:color w:val="000000"/>
        </w:rPr>
      </w:pPr>
      <w:r>
        <w:rPr>
          <w:color w:val="000000"/>
        </w:rPr>
        <w:t>用测定序列的单次测量结果的标准偏差表示最终重复性校准结果。</w:t>
      </w:r>
    </w:p>
    <w:p>
      <w:pPr>
        <w:spacing w:after="156" w:afterLines="50"/>
        <w:rPr>
          <w:color w:val="000000"/>
        </w:rPr>
      </w:pPr>
      <w:r>
        <w:rPr>
          <w:color w:val="000000"/>
        </w:rPr>
        <w:t>7.2.4.2  校准程序和要求</w:t>
      </w:r>
    </w:p>
    <w:p>
      <w:pPr>
        <w:spacing w:after="156" w:afterLines="50"/>
        <w:ind w:firstLine="359" w:firstLineChars="171"/>
        <w:rPr>
          <w:color w:val="000000"/>
        </w:rPr>
      </w:pPr>
      <w:r>
        <w:rPr>
          <w:color w:val="000000"/>
        </w:rPr>
        <w:t>若比较仪在试验载荷点上采用配衡装置方可显示质量量值，则只能选用一个满足校准比较仪的标准砝码按照A</w:t>
      </w:r>
      <w:r>
        <w:rPr>
          <w:color w:val="000000"/>
          <w:vertAlign w:val="subscript"/>
        </w:rPr>
        <w:t>1</w:t>
      </w:r>
      <w:r>
        <w:rPr>
          <w:color w:val="000000"/>
        </w:rPr>
        <w:t>A</w:t>
      </w:r>
      <w:r>
        <w:rPr>
          <w:color w:val="000000"/>
          <w:vertAlign w:val="subscript"/>
        </w:rPr>
        <w:t>2</w:t>
      </w:r>
      <w:r>
        <w:rPr>
          <w:color w:val="000000"/>
        </w:rPr>
        <w:t>A</w:t>
      </w:r>
      <w:r>
        <w:rPr>
          <w:color w:val="000000"/>
          <w:vertAlign w:val="subscript"/>
        </w:rPr>
        <w:t>3</w:t>
      </w:r>
      <w:r>
        <w:rPr>
          <w:color w:val="000000"/>
        </w:rPr>
        <w:t>A</w:t>
      </w:r>
      <w:r>
        <w:rPr>
          <w:color w:val="000000"/>
          <w:vertAlign w:val="subscript"/>
        </w:rPr>
        <w:t>4</w:t>
      </w:r>
      <w:r>
        <w:rPr>
          <w:color w:val="000000"/>
        </w:rPr>
        <w:t>、A</w:t>
      </w:r>
      <w:r>
        <w:rPr>
          <w:color w:val="000000"/>
          <w:vertAlign w:val="subscript"/>
        </w:rPr>
        <w:t>1</w:t>
      </w:r>
      <w:r>
        <w:rPr>
          <w:color w:val="000000"/>
        </w:rPr>
        <w:t>A</w:t>
      </w:r>
      <w:r>
        <w:rPr>
          <w:color w:val="000000"/>
          <w:vertAlign w:val="subscript"/>
        </w:rPr>
        <w:t>2</w:t>
      </w:r>
      <w:r>
        <w:rPr>
          <w:color w:val="000000"/>
        </w:rPr>
        <w:t>A</w:t>
      </w:r>
      <w:r>
        <w:rPr>
          <w:color w:val="000000"/>
          <w:vertAlign w:val="subscript"/>
        </w:rPr>
        <w:t>3</w:t>
      </w:r>
      <w:r>
        <w:rPr>
          <w:color w:val="000000"/>
        </w:rPr>
        <w:t>的方式将这个标准砝码放在秤盘中心位置，待比较仪显示稳定后，记录显示器示值。</w:t>
      </w:r>
    </w:p>
    <w:p>
      <w:pPr>
        <w:spacing w:after="156" w:afterLines="50"/>
        <w:ind w:firstLine="359" w:firstLineChars="171"/>
        <w:rPr>
          <w:color w:val="000000"/>
        </w:rPr>
      </w:pPr>
      <w:r>
        <w:rPr>
          <w:color w:val="000000"/>
        </w:rPr>
        <w:t>若被校比较仪为全量程电子秤量范围，则既可选用一个满足校准比较仪的标准砝码按照A</w:t>
      </w:r>
      <w:r>
        <w:rPr>
          <w:color w:val="000000"/>
          <w:vertAlign w:val="subscript"/>
        </w:rPr>
        <w:t>1</w:t>
      </w:r>
      <w:r>
        <w:rPr>
          <w:color w:val="000000"/>
        </w:rPr>
        <w:t>A</w:t>
      </w:r>
      <w:r>
        <w:rPr>
          <w:color w:val="000000"/>
          <w:vertAlign w:val="subscript"/>
        </w:rPr>
        <w:t>2</w:t>
      </w:r>
      <w:r>
        <w:rPr>
          <w:color w:val="000000"/>
        </w:rPr>
        <w:t>A</w:t>
      </w:r>
      <w:r>
        <w:rPr>
          <w:color w:val="000000"/>
          <w:vertAlign w:val="subscript"/>
        </w:rPr>
        <w:t>3</w:t>
      </w:r>
      <w:r>
        <w:rPr>
          <w:color w:val="000000"/>
        </w:rPr>
        <w:t>A</w:t>
      </w:r>
      <w:r>
        <w:rPr>
          <w:color w:val="000000"/>
          <w:vertAlign w:val="subscript"/>
        </w:rPr>
        <w:t>4</w:t>
      </w:r>
      <w:r>
        <w:rPr>
          <w:color w:val="000000"/>
        </w:rPr>
        <w:t>、A</w:t>
      </w:r>
      <w:r>
        <w:rPr>
          <w:color w:val="000000"/>
          <w:vertAlign w:val="subscript"/>
        </w:rPr>
        <w:t>1</w:t>
      </w:r>
      <w:r>
        <w:rPr>
          <w:color w:val="000000"/>
        </w:rPr>
        <w:t>A</w:t>
      </w:r>
      <w:r>
        <w:rPr>
          <w:color w:val="000000"/>
          <w:vertAlign w:val="subscript"/>
        </w:rPr>
        <w:t>2</w:t>
      </w:r>
      <w:r>
        <w:rPr>
          <w:color w:val="000000"/>
        </w:rPr>
        <w:t>A</w:t>
      </w:r>
      <w:r>
        <w:rPr>
          <w:color w:val="000000"/>
          <w:vertAlign w:val="subscript"/>
        </w:rPr>
        <w:t>3</w:t>
      </w:r>
      <w:r>
        <w:rPr>
          <w:color w:val="000000"/>
        </w:rPr>
        <w:t>的方式将这个标准砝码放在秤盘中心位置，待比较仪显示稳定后，记录显示器示值。又可选用一个标准砝码与空载进行比较，按照ABBA或ABABA的衡量方式，将标准砝码放在秤盘中心位置，待比较仪显示稳定后，记录显示器示值和空载示值。</w:t>
      </w:r>
    </w:p>
    <w:p>
      <w:pPr>
        <w:spacing w:after="156" w:afterLines="50"/>
        <w:rPr>
          <w:color w:val="000000"/>
        </w:rPr>
      </w:pPr>
      <w:r>
        <w:rPr>
          <w:color w:val="000000"/>
        </w:rPr>
        <w:t>7.2.4.3  测量结果的计算（标准偏差法）</w:t>
      </w:r>
    </w:p>
    <w:p>
      <w:pPr>
        <w:spacing w:after="156" w:afterLines="50"/>
        <w:ind w:firstLine="360"/>
        <w:rPr>
          <w:color w:val="000000"/>
        </w:rPr>
      </w:pPr>
      <w:r>
        <w:rPr>
          <w:color w:val="000000"/>
        </w:rPr>
        <w:t>对于某一指定的试验载荷，共有</w:t>
      </w:r>
      <w:r>
        <w:rPr>
          <w:i/>
          <w:color w:val="000000"/>
        </w:rPr>
        <w:t>n</w:t>
      </w:r>
      <w:r>
        <w:rPr>
          <w:color w:val="000000"/>
        </w:rPr>
        <w:t>个（</w:t>
      </w:r>
      <w:r>
        <w:rPr>
          <w:i/>
          <w:color w:val="000000"/>
        </w:rPr>
        <w:t>n</w:t>
      </w:r>
      <w:r>
        <w:rPr>
          <w:color w:val="000000"/>
        </w:rPr>
        <w:t>正好等于该试验载荷的测量次数。ABBA、A</w:t>
      </w:r>
      <w:r>
        <w:rPr>
          <w:color w:val="000000"/>
          <w:vertAlign w:val="subscript"/>
        </w:rPr>
        <w:t>1</w:t>
      </w:r>
      <w:r>
        <w:rPr>
          <w:color w:val="000000"/>
        </w:rPr>
        <w:t>A</w:t>
      </w:r>
      <w:r>
        <w:rPr>
          <w:color w:val="000000"/>
          <w:vertAlign w:val="subscript"/>
        </w:rPr>
        <w:t>2</w:t>
      </w:r>
      <w:r>
        <w:rPr>
          <w:color w:val="000000"/>
        </w:rPr>
        <w:t>A</w:t>
      </w:r>
      <w:r>
        <w:rPr>
          <w:color w:val="000000"/>
          <w:vertAlign w:val="subscript"/>
        </w:rPr>
        <w:t>3</w:t>
      </w:r>
      <w:r>
        <w:rPr>
          <w:color w:val="000000"/>
        </w:rPr>
        <w:t>A</w:t>
      </w:r>
      <w:r>
        <w:rPr>
          <w:color w:val="000000"/>
          <w:vertAlign w:val="subscript"/>
        </w:rPr>
        <w:t>4</w:t>
      </w:r>
      <w:r>
        <w:rPr>
          <w:color w:val="000000"/>
        </w:rPr>
        <w:t>为1次，ABABA 、A</w:t>
      </w:r>
      <w:r>
        <w:rPr>
          <w:color w:val="000000"/>
          <w:vertAlign w:val="subscript"/>
        </w:rPr>
        <w:t>1</w:t>
      </w:r>
      <w:r>
        <w:rPr>
          <w:color w:val="000000"/>
        </w:rPr>
        <w:t>A</w:t>
      </w:r>
      <w:r>
        <w:rPr>
          <w:color w:val="000000"/>
          <w:vertAlign w:val="subscript"/>
        </w:rPr>
        <w:t>2</w:t>
      </w:r>
      <w:r>
        <w:rPr>
          <w:color w:val="000000"/>
        </w:rPr>
        <w:t>A</w:t>
      </w:r>
      <w:r>
        <w:rPr>
          <w:color w:val="000000"/>
          <w:vertAlign w:val="subscript"/>
        </w:rPr>
        <w:t>3</w:t>
      </w:r>
      <w:r>
        <w:rPr>
          <w:color w:val="000000"/>
        </w:rPr>
        <w:t>为2次）数据，则此时该试验载荷的单次测量结果的标准偏差为：</w:t>
      </w:r>
    </w:p>
    <w:p>
      <w:pPr>
        <w:spacing w:after="156" w:afterLines="50"/>
        <w:ind w:firstLine="359" w:firstLineChars="171"/>
        <w:rPr>
          <w:color w:val="000000"/>
        </w:rPr>
      </w:pPr>
      <w:r>
        <w:rPr>
          <w:color w:val="000000"/>
          <w:szCs w:val="21"/>
        </w:rPr>
        <w:t>对于ABBA、A</w:t>
      </w:r>
      <w:r>
        <w:rPr>
          <w:color w:val="000000"/>
          <w:szCs w:val="21"/>
          <w:vertAlign w:val="subscript"/>
        </w:rPr>
        <w:t>1</w:t>
      </w:r>
      <w:r>
        <w:rPr>
          <w:color w:val="000000"/>
          <w:szCs w:val="21"/>
        </w:rPr>
        <w:t>A</w:t>
      </w:r>
      <w:r>
        <w:rPr>
          <w:color w:val="000000"/>
          <w:szCs w:val="21"/>
          <w:vertAlign w:val="subscript"/>
        </w:rPr>
        <w:t>2</w:t>
      </w:r>
      <w:r>
        <w:rPr>
          <w:color w:val="000000"/>
          <w:szCs w:val="21"/>
        </w:rPr>
        <w:t>A</w:t>
      </w:r>
      <w:r>
        <w:rPr>
          <w:color w:val="000000"/>
          <w:szCs w:val="21"/>
          <w:vertAlign w:val="subscript"/>
        </w:rPr>
        <w:t>3</w:t>
      </w:r>
      <w:r>
        <w:rPr>
          <w:color w:val="000000"/>
          <w:szCs w:val="21"/>
        </w:rPr>
        <w:t>A</w:t>
      </w:r>
      <w:r>
        <w:rPr>
          <w:color w:val="000000"/>
          <w:szCs w:val="21"/>
          <w:vertAlign w:val="subscript"/>
        </w:rPr>
        <w:t>4</w:t>
      </w:r>
      <w:r>
        <w:rPr>
          <w:color w:val="000000"/>
          <w:szCs w:val="21"/>
        </w:rPr>
        <w:t>衡量循环</w:t>
      </w:r>
      <w:r>
        <w:rPr>
          <w:color w:val="000000"/>
        </w:rPr>
        <w:t>：</w:t>
      </w:r>
    </w:p>
    <w:p>
      <w:pPr>
        <w:spacing w:after="156" w:afterLines="50"/>
        <w:ind w:firstLine="359" w:firstLineChars="171"/>
        <w:jc w:val="right"/>
        <w:rPr>
          <w:color w:val="000000"/>
        </w:rPr>
      </w:pPr>
      <w:r>
        <w:rPr>
          <w:color w:val="000000"/>
          <w:position w:val="-30"/>
        </w:rPr>
        <w:object>
          <v:shape id="_x0000_i1034" type="#_x0000_t75" style="width:101.95pt;height:54.15pt" o:ole="" coordsize="21600,21600" o:preferrelative="t" filled="f" stroked="f">
            <v:stroke joinstyle="miter"/>
            <v:imagedata r:id="rId53" o:title=""/>
            <o:lock v:ext="edit" aspectratio="t"/>
            <w10:anchorlock/>
          </v:shape>
          <o:OLEObject Type="Embed" ProgID="Equation.3" ShapeID="_x0000_i1034" DrawAspect="Content" ObjectID="_1468075732" r:id="rId54"/>
        </w:object>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（7）</w:t>
      </w:r>
    </w:p>
    <w:p>
      <w:pPr>
        <w:spacing w:after="156" w:afterLines="50"/>
        <w:ind w:firstLine="359" w:firstLineChars="171"/>
        <w:rPr>
          <w:color w:val="000000"/>
        </w:rPr>
      </w:pPr>
      <w:r>
        <w:rPr>
          <w:color w:val="000000"/>
        </w:rPr>
        <w:t>对于ABABA、A</w:t>
      </w:r>
      <w:r>
        <w:rPr>
          <w:color w:val="000000"/>
          <w:vertAlign w:val="subscript"/>
        </w:rPr>
        <w:t>1</w:t>
      </w:r>
      <w:r>
        <w:rPr>
          <w:color w:val="000000"/>
        </w:rPr>
        <w:t>A</w:t>
      </w:r>
      <w:r>
        <w:rPr>
          <w:color w:val="000000"/>
          <w:vertAlign w:val="subscript"/>
        </w:rPr>
        <w:t>2</w:t>
      </w:r>
      <w:r>
        <w:rPr>
          <w:color w:val="000000"/>
        </w:rPr>
        <w:t>A</w:t>
      </w:r>
      <w:r>
        <w:rPr>
          <w:color w:val="000000"/>
          <w:vertAlign w:val="subscript"/>
        </w:rPr>
        <w:t>3</w:t>
      </w:r>
      <w:r>
        <w:rPr>
          <w:color w:val="000000"/>
        </w:rPr>
        <w:t>衡量循环：</w:t>
      </w:r>
    </w:p>
    <w:p>
      <w:pPr>
        <w:spacing w:after="156" w:afterLines="50"/>
        <w:ind w:firstLine="359" w:firstLineChars="171"/>
        <w:jc w:val="right"/>
        <w:rPr>
          <w:strike/>
          <w:color w:val="000000"/>
        </w:rPr>
      </w:pPr>
      <w:r>
        <w:rPr>
          <w:color w:val="000000"/>
          <w:position w:val="-30"/>
        </w:rPr>
        <w:object>
          <v:shape id="_x0000_i1035" type="#_x0000_t75" style="width:141.1pt;height:54.15pt" o:ole="" coordsize="21600,21600" o:preferrelative="t" filled="f" stroked="f">
            <v:stroke joinstyle="miter"/>
            <v:imagedata r:id="rId55" o:title=""/>
            <o:lock v:ext="edit" aspectratio="t"/>
            <w10:anchorlock/>
          </v:shape>
          <o:OLEObject Type="Embed" ProgID="Equation.3" ShapeID="_x0000_i1035" DrawAspect="Content" ObjectID="_1468075733" r:id="rId56"/>
        </w:object>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（8）</w:t>
      </w:r>
    </w:p>
    <w:p>
      <w:pPr>
        <w:spacing w:after="156" w:afterLines="50"/>
        <w:ind w:firstLine="359" w:firstLineChars="171"/>
        <w:rPr>
          <w:color w:val="000000"/>
          <w:szCs w:val="21"/>
        </w:rPr>
      </w:pPr>
      <w:r>
        <w:rPr>
          <w:color w:val="000000"/>
          <w:szCs w:val="21"/>
        </w:rPr>
        <w:t>分别计算出试验载荷点下重复性的单次测量结果的标准偏差。</w:t>
      </w:r>
    </w:p>
    <w:p>
      <w:pPr>
        <w:spacing w:after="156" w:afterLines="50"/>
        <w:rPr>
          <w:color w:val="000000"/>
        </w:rPr>
      </w:pPr>
      <w:r>
        <w:rPr>
          <w:color w:val="000000"/>
        </w:rPr>
        <w:t>7.2.5  偏载的测量</w:t>
      </w:r>
    </w:p>
    <w:p>
      <w:pPr>
        <w:spacing w:after="156" w:afterLines="50"/>
        <w:ind w:firstLine="359" w:firstLineChars="171"/>
        <w:rPr>
          <w:color w:val="000000"/>
        </w:rPr>
      </w:pPr>
      <w:r>
        <w:rPr>
          <w:color w:val="000000"/>
        </w:rPr>
        <w:t>比较仪的秤盘有多种形式，如：上皿式固定秤盘、上皿式可自动定心秤盘、吊挂式秤盘、吊挂式可自动定心秤盘、</w:t>
      </w:r>
      <w:r>
        <w:rPr>
          <w:rFonts w:ascii="Symbol" w:hAnsi="Symbol"/>
          <w:color w:val="000000"/>
        </w:rPr>
        <w:sym w:font="Symbol" w:char="F0BC"/>
      </w:r>
      <w:r>
        <w:rPr>
          <w:rFonts w:ascii="Symbol" w:hAnsi="Symbol"/>
          <w:color w:val="000000"/>
        </w:rPr>
        <w:sym w:font="Symbol" w:char="F0BC"/>
      </w:r>
      <w:r>
        <w:rPr>
          <w:color w:val="000000"/>
        </w:rPr>
        <w:t>等。对于带有自动定心秤盘和吊挂式秤盘的比较仪，应在确保砝码和比较仪安全的情况下，测量其偏载。</w:t>
      </w:r>
    </w:p>
    <w:p>
      <w:pPr>
        <w:spacing w:after="156" w:afterLines="50"/>
        <w:ind w:firstLine="359" w:firstLineChars="171"/>
        <w:rPr>
          <w:color w:val="000000"/>
        </w:rPr>
      </w:pPr>
      <w:r>
        <w:rPr>
          <w:color w:val="000000"/>
        </w:rPr>
        <w:t>校准过程中，标准砝码的偏离位置应为：</w:t>
      </w:r>
    </w:p>
    <w:p>
      <w:pPr>
        <w:spacing w:after="156" w:afterLines="50"/>
        <w:ind w:firstLine="359" w:firstLineChars="171"/>
        <w:rPr>
          <w:color w:val="000000"/>
        </w:rPr>
      </w:pPr>
      <w:r>
        <w:rPr>
          <w:rFonts w:ascii="Symbol" w:hAnsi="Symbol"/>
          <w:color w:val="000000"/>
        </w:rPr>
        <w:sym w:font="Symbol" w:char="F02D"/>
      </w:r>
      <w:r>
        <w:rPr>
          <w:color w:val="000000"/>
        </w:rPr>
        <w:t xml:space="preserve"> 方形秤盘，长边和宽边平分线所形成四块面积的中心位置；</w:t>
      </w:r>
    </w:p>
    <w:p>
      <w:pPr>
        <w:spacing w:after="156" w:afterLines="50"/>
        <w:ind w:firstLine="359" w:firstLineChars="171"/>
        <w:rPr>
          <w:color w:val="000000"/>
        </w:rPr>
      </w:pPr>
      <w:r>
        <w:rPr>
          <w:rFonts w:ascii="Symbol" w:hAnsi="Symbol"/>
          <w:color w:val="000000"/>
        </w:rPr>
        <w:sym w:font="Symbol" w:char="F02D"/>
      </w:r>
      <w:r>
        <w:rPr>
          <w:color w:val="000000"/>
        </w:rPr>
        <w:t xml:space="preserve"> 圆形秤盘，垂直两条直径所形成四块面积的中心位置；</w:t>
      </w:r>
    </w:p>
    <w:p>
      <w:pPr>
        <w:spacing w:after="156" w:afterLines="50"/>
        <w:ind w:firstLine="359" w:firstLineChars="171"/>
        <w:rPr>
          <w:color w:val="000000"/>
        </w:rPr>
      </w:pPr>
      <w:r>
        <w:rPr>
          <w:rFonts w:ascii="Symbol" w:hAnsi="Symbol"/>
          <w:color w:val="000000"/>
        </w:rPr>
        <w:sym w:font="Symbol" w:char="F02D"/>
      </w:r>
      <w:r>
        <w:rPr>
          <w:color w:val="000000"/>
        </w:rPr>
        <w:t xml:space="preserve"> 三角形秤盘，内切圆中顶角平分线和与之相垂直直径所形成四块面积的中心位置。</w:t>
      </w:r>
    </w:p>
    <w:p>
      <w:pPr>
        <w:spacing w:after="156" w:afterLines="50"/>
        <w:ind w:firstLine="359" w:firstLineChars="171"/>
        <w:jc w:val="center"/>
        <w:rPr>
          <w:color w:val="000000"/>
        </w:rPr>
        <w:sectPr>
          <w:headerReference w:type="default" r:id="rId57"/>
          <w:footerReference w:type="even" r:id="rId58"/>
          <w:footerReference w:type="default" r:id="rId59"/>
          <w:type w:val="nextPage"/>
          <w:pgSz w:w="11906" w:h="16838"/>
          <w:pgMar w:top="1440" w:right="1558" w:bottom="1440" w:left="1797" w:header="851" w:footer="992" w:gutter="0"/>
          <w:pgNumType w:start="10"/>
          <w:cols w:num="1" w:space="425"/>
          <w:titlePg w:val="0"/>
          <w:docGrid w:type="linesAndChars" w:linePitch="312" w:charSpace="0"/>
        </w:sectPr>
      </w:pPr>
    </w:p>
    <w:p>
      <w:pPr>
        <w:spacing w:after="156" w:afterLines="50"/>
        <w:jc w:val="center"/>
        <w:rPr>
          <w:color w:val="000000"/>
        </w:rPr>
      </w:pPr>
      <w:r>
        <w:rPr>
          <w:color w:val="000000"/>
        </w:rPr>
        <w:drawing>
          <wp:inline distT="0" distB="0" distL="0" distR="0">
            <wp:extent cx="2011680" cy="126555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xmlns:r="http://schemas.openxmlformats.org/officeDocument/2006/relationships" r:embed="rId60">
                      <a:extLst>
                        <a:ext xmlns:a="http://schemas.openxmlformats.org/drawingml/2006/main" uri="{28A0092B-C50C-407E-A947-70E740481C1C}">
                          <a14:useLocalDpi xmlns:a14="http://schemas.microsoft.com/office/drawing/2010/main" val="0"/>
                        </a:ext>
                      </a:extLst>
                    </a:blip>
                    <a:stretch>
                      <a:fillRect/>
                    </a:stretch>
                  </pic:blipFill>
                  <pic:spPr>
                    <a:xfrm>
                      <a:off x="0" y="0"/>
                      <a:ext cx="2011680" cy="1265555"/>
                    </a:xfrm>
                    <a:prstGeom prst="rect">
                      <a:avLst/>
                    </a:prstGeom>
                    <a:noFill/>
                    <a:ln>
                      <a:noFill/>
                    </a:ln>
                  </pic:spPr>
                </pic:pic>
              </a:graphicData>
            </a:graphic>
          </wp:inline>
        </w:drawing>
      </w:r>
      <w:r>
        <w:rPr>
          <w:color w:val="000000"/>
        </w:rPr>
        <w:drawing>
          <wp:inline distT="0" distB="0" distL="0" distR="0">
            <wp:extent cx="1397000" cy="13462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xmlns:r="http://schemas.openxmlformats.org/officeDocument/2006/relationships" r:embed="rId61">
                      <a:extLst>
                        <a:ext xmlns:a="http://schemas.openxmlformats.org/drawingml/2006/main" uri="{28A0092B-C50C-407E-A947-70E740481C1C}">
                          <a14:useLocalDpi xmlns:a14="http://schemas.microsoft.com/office/drawing/2010/main" val="0"/>
                        </a:ext>
                      </a:extLst>
                    </a:blip>
                    <a:stretch>
                      <a:fillRect/>
                    </a:stretch>
                  </pic:blipFill>
                  <pic:spPr>
                    <a:xfrm>
                      <a:off x="0" y="0"/>
                      <a:ext cx="1397000" cy="1346200"/>
                    </a:xfrm>
                    <a:prstGeom prst="rect">
                      <a:avLst/>
                    </a:prstGeom>
                    <a:noFill/>
                    <a:ln>
                      <a:noFill/>
                    </a:ln>
                  </pic:spPr>
                </pic:pic>
              </a:graphicData>
            </a:graphic>
          </wp:inline>
        </w:drawing>
      </w:r>
      <w:r>
        <w:rPr>
          <w:color w:val="000000"/>
        </w:rPr>
        <w:drawing>
          <wp:inline distT="0" distB="0" distL="0" distR="0">
            <wp:extent cx="1668145" cy="141922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xmlns:r="http://schemas.openxmlformats.org/officeDocument/2006/relationships" r:embed="rId62">
                      <a:extLst>
                        <a:ext xmlns:a="http://schemas.openxmlformats.org/drawingml/2006/main" uri="{28A0092B-C50C-407E-A947-70E740481C1C}">
                          <a14:useLocalDpi xmlns:a14="http://schemas.microsoft.com/office/drawing/2010/main" val="0"/>
                        </a:ext>
                      </a:extLst>
                    </a:blip>
                    <a:stretch>
                      <a:fillRect/>
                    </a:stretch>
                  </pic:blipFill>
                  <pic:spPr>
                    <a:xfrm>
                      <a:off x="0" y="0"/>
                      <a:ext cx="1668145" cy="1419225"/>
                    </a:xfrm>
                    <a:prstGeom prst="rect">
                      <a:avLst/>
                    </a:prstGeom>
                    <a:noFill/>
                    <a:ln>
                      <a:noFill/>
                    </a:ln>
                  </pic:spPr>
                </pic:pic>
              </a:graphicData>
            </a:graphic>
          </wp:inline>
        </w:drawing>
      </w:r>
    </w:p>
    <w:p>
      <w:pPr>
        <w:spacing w:after="156" w:afterLines="50"/>
        <w:ind w:firstLine="359" w:firstLineChars="171"/>
        <w:jc w:val="center"/>
        <w:rPr>
          <w:color w:val="000000"/>
        </w:rPr>
      </w:pPr>
      <w:r>
        <w:rPr>
          <w:color w:val="000000"/>
        </w:rPr>
        <w:t>图1  不同形状秤盘的偏载示意图</w:t>
      </w:r>
    </w:p>
    <w:p>
      <w:pPr>
        <w:spacing w:after="156" w:afterLines="50"/>
        <w:jc w:val="center"/>
        <w:rPr>
          <w:color w:val="000000"/>
        </w:rPr>
      </w:pPr>
    </w:p>
    <w:p>
      <w:pPr>
        <w:spacing w:after="156" w:afterLines="50"/>
        <w:rPr>
          <w:color w:val="000000"/>
        </w:rPr>
      </w:pPr>
      <w:r>
        <w:rPr>
          <w:color w:val="000000"/>
        </w:rPr>
        <w:t>7.2.5.1  测量步骤</w:t>
      </w:r>
    </w:p>
    <w:p>
      <w:pPr>
        <w:spacing w:after="156" w:afterLines="50"/>
        <w:ind w:firstLine="359" w:firstLineChars="171"/>
        <w:rPr>
          <w:color w:val="000000"/>
        </w:rPr>
      </w:pPr>
      <w:r>
        <w:rPr>
          <w:rFonts w:ascii="宋体" w:hAnsi="宋体" w:cs="宋体" w:hint="eastAsia"/>
          <w:color w:val="000000"/>
        </w:rPr>
        <w:t>①</w:t>
      </w:r>
      <w:r>
        <w:rPr>
          <w:color w:val="000000"/>
        </w:rPr>
        <w:t xml:space="preserve">  将试验载荷放在秤盘的中心位置，待显示稳定后，记录显示读数，</w:t>
      </w:r>
      <w:r>
        <w:rPr>
          <w:i/>
          <w:color w:val="000000"/>
        </w:rPr>
        <w:t>I</w:t>
      </w:r>
      <w:r>
        <w:rPr>
          <w:color w:val="000000"/>
          <w:szCs w:val="21"/>
          <w:vertAlign w:val="subscript"/>
        </w:rPr>
        <w:t>01</w:t>
      </w:r>
      <w:r>
        <w:rPr>
          <w:color w:val="000000"/>
        </w:rPr>
        <w:t>；</w:t>
      </w:r>
    </w:p>
    <w:p>
      <w:pPr>
        <w:spacing w:after="156" w:afterLines="50"/>
        <w:ind w:firstLine="359" w:firstLineChars="171"/>
        <w:rPr>
          <w:color w:val="000000"/>
        </w:rPr>
      </w:pPr>
      <w:r>
        <w:rPr>
          <w:rFonts w:ascii="宋体" w:hAnsi="宋体" w:cs="宋体" w:hint="eastAsia"/>
          <w:color w:val="000000"/>
        </w:rPr>
        <w:t>②</w:t>
      </w:r>
      <w:r>
        <w:rPr>
          <w:color w:val="000000"/>
        </w:rPr>
        <w:t xml:space="preserve">  对于上皿式固定秤盘，将试验载荷放置在秤盘中心到规定的“前”方向上的正式周边的距离（通常称为称量盘半径）三分之一处；对于带有自动定心秤盘，或吊挂式秤盘，将试验载荷放置在偏离秤盘中心的“前”方，并可使比较仪正确读数、确保砝码及比较仪安全的位置。待显示稳定后，记录下显示读数，</w:t>
      </w:r>
      <w:r>
        <w:rPr>
          <w:i/>
          <w:color w:val="000000"/>
        </w:rPr>
        <w:t>I</w:t>
      </w:r>
      <w:r>
        <w:rPr>
          <w:color w:val="000000"/>
          <w:szCs w:val="21"/>
          <w:vertAlign w:val="subscript"/>
        </w:rPr>
        <w:t>f</w:t>
      </w:r>
      <w:r>
        <w:rPr>
          <w:color w:val="000000"/>
        </w:rPr>
        <w:t>；</w:t>
      </w:r>
    </w:p>
    <w:p>
      <w:pPr>
        <w:spacing w:after="156" w:afterLines="50"/>
        <w:ind w:left="359"/>
        <w:rPr>
          <w:color w:val="000000"/>
        </w:rPr>
      </w:pPr>
      <w:r>
        <w:rPr>
          <w:rFonts w:ascii="宋体" w:hAnsi="宋体" w:cs="宋体" w:hint="eastAsia"/>
          <w:color w:val="000000"/>
        </w:rPr>
        <w:t>③</w:t>
      </w:r>
      <w:r>
        <w:rPr>
          <w:color w:val="000000"/>
        </w:rPr>
        <w:t xml:space="preserve">  将试验载荷放在秤盘的中心位置，待显示稳定后，记录显示读数，</w:t>
      </w:r>
      <w:r>
        <w:rPr>
          <w:i/>
          <w:color w:val="000000"/>
        </w:rPr>
        <w:t>I</w:t>
      </w:r>
      <w:r>
        <w:rPr>
          <w:color w:val="000000"/>
          <w:szCs w:val="21"/>
          <w:vertAlign w:val="subscript"/>
        </w:rPr>
        <w:t>02</w:t>
      </w:r>
      <w:r>
        <w:rPr>
          <w:color w:val="000000"/>
        </w:rPr>
        <w:t>；</w:t>
      </w:r>
    </w:p>
    <w:p>
      <w:pPr>
        <w:spacing w:after="156" w:afterLines="50"/>
        <w:ind w:firstLine="357" w:firstLineChars="170"/>
        <w:rPr>
          <w:color w:val="000000"/>
        </w:rPr>
      </w:pPr>
      <w:r>
        <w:rPr>
          <w:rFonts w:ascii="宋体" w:hAnsi="宋体" w:cs="宋体" w:hint="eastAsia"/>
          <w:color w:val="000000"/>
        </w:rPr>
        <w:t>④</w:t>
      </w:r>
      <w:r>
        <w:rPr>
          <w:color w:val="000000"/>
        </w:rPr>
        <w:t xml:space="preserve">  重复上述步骤</w:t>
      </w:r>
      <w:r>
        <w:rPr>
          <w:rFonts w:ascii="宋体" w:hAnsi="宋体" w:cs="宋体" w:hint="eastAsia"/>
          <w:color w:val="000000"/>
        </w:rPr>
        <w:t>①</w:t>
      </w:r>
      <w:r>
        <w:rPr>
          <w:color w:val="000000"/>
        </w:rPr>
        <w:t>到</w:t>
      </w:r>
      <w:r>
        <w:rPr>
          <w:rFonts w:ascii="宋体" w:hAnsi="宋体" w:cs="宋体" w:hint="eastAsia"/>
          <w:color w:val="000000"/>
        </w:rPr>
        <w:t>③</w:t>
      </w:r>
      <w:r>
        <w:rPr>
          <w:color w:val="000000"/>
        </w:rPr>
        <w:t>，但在第</w:t>
      </w:r>
      <w:r>
        <w:rPr>
          <w:rFonts w:ascii="宋体" w:hAnsi="宋体" w:cs="宋体" w:hint="eastAsia"/>
          <w:color w:val="000000"/>
        </w:rPr>
        <w:t>②</w:t>
      </w:r>
      <w:r>
        <w:rPr>
          <w:color w:val="000000"/>
        </w:rPr>
        <w:t>步骤中，需将砝码依次分别放在偏离秤盘中心的“后”</w:t>
      </w:r>
      <w:r>
        <w:rPr>
          <w:i/>
          <w:color w:val="000000"/>
        </w:rPr>
        <w:t>I</w:t>
      </w:r>
      <w:r>
        <w:rPr>
          <w:color w:val="000000"/>
          <w:szCs w:val="21"/>
          <w:vertAlign w:val="subscript"/>
        </w:rPr>
        <w:t>b</w:t>
      </w:r>
      <w:r>
        <w:rPr>
          <w:color w:val="000000"/>
        </w:rPr>
        <w:t>、“左”</w:t>
      </w:r>
      <w:r>
        <w:rPr>
          <w:i/>
          <w:color w:val="000000"/>
        </w:rPr>
        <w:t>I</w:t>
      </w:r>
      <w:r>
        <w:rPr>
          <w:color w:val="000000"/>
          <w:szCs w:val="21"/>
          <w:vertAlign w:val="subscript"/>
        </w:rPr>
        <w:t>l</w:t>
      </w:r>
      <w:r>
        <w:rPr>
          <w:color w:val="000000"/>
        </w:rPr>
        <w:t>、“右”</w:t>
      </w:r>
      <w:r>
        <w:rPr>
          <w:i/>
          <w:color w:val="000000"/>
        </w:rPr>
        <w:t>I</w:t>
      </w:r>
      <w:r>
        <w:rPr>
          <w:color w:val="000000"/>
          <w:szCs w:val="21"/>
          <w:vertAlign w:val="subscript"/>
        </w:rPr>
        <w:t>r</w:t>
      </w:r>
      <w:r>
        <w:rPr>
          <w:color w:val="000000"/>
        </w:rPr>
        <w:t>的位置。</w:t>
      </w:r>
    </w:p>
    <w:p>
      <w:pPr>
        <w:spacing w:after="156" w:afterLines="50"/>
        <w:rPr>
          <w:color w:val="000000"/>
        </w:rPr>
      </w:pPr>
      <w:r>
        <w:rPr>
          <w:color w:val="000000"/>
        </w:rPr>
        <w:t>7.2.5.2  测量结果的计算</w:t>
      </w:r>
    </w:p>
    <w:p>
      <w:pPr>
        <w:ind w:firstLine="359" w:firstLineChars="171"/>
        <w:rPr>
          <w:color w:val="000000"/>
        </w:rPr>
      </w:pPr>
      <w:r>
        <w:rPr>
          <w:color w:val="000000"/>
        </w:rPr>
        <w:t>按照7.2.4.1条款的要求对偏载各个位置的显示读数进行计算。例如：试验载荷放在“前”方位置，计算测量的结果为：</w:t>
      </w:r>
      <w:r>
        <w:rPr>
          <w:color w:val="000000"/>
          <w:position w:val="-24"/>
        </w:rPr>
        <w:object>
          <v:shape id="_x0000_i1036" type="#_x0000_t75" style="width:94.45pt;height:31.1pt" o:ole="" coordsize="21600,21600" o:preferrelative="t" filled="f" stroked="f">
            <v:stroke joinstyle="miter"/>
            <v:imagedata r:id="rId63" o:title=""/>
            <o:lock v:ext="edit" aspectratio="t"/>
            <w10:anchorlock/>
          </v:shape>
          <o:OLEObject Type="Embed" ProgID="Equation.DSMT4" ShapeID="_x0000_i1036" DrawAspect="Content" ObjectID="_1468075734" r:id="rId64"/>
        </w:object>
      </w:r>
      <w:r>
        <w:rPr>
          <w:color w:val="000000"/>
        </w:rPr>
        <w:t>。其它位置依此类推。</w:t>
      </w:r>
    </w:p>
    <w:p>
      <w:pPr>
        <w:spacing w:before="156" w:beforeLines="50" w:after="156" w:afterLines="50"/>
        <w:rPr>
          <w:color w:val="000000"/>
        </w:rPr>
      </w:pPr>
      <w:r>
        <w:rPr>
          <w:b/>
          <w:color w:val="000000"/>
        </w:rPr>
        <w:t>8</w:t>
      </w:r>
      <w:r>
        <w:rPr>
          <w:b/>
          <w:color w:val="000000"/>
        </w:rPr>
        <w:tab/>
      </w:r>
      <w:r>
        <w:rPr>
          <w:b/>
          <w:color w:val="000000"/>
        </w:rPr>
        <w:t>校准结果</w:t>
      </w:r>
      <w:r>
        <w:rPr>
          <w:rFonts w:hint="eastAsia"/>
          <w:b/>
          <w:color w:val="000000"/>
        </w:rPr>
        <w:t>表达</w:t>
      </w:r>
    </w:p>
    <w:p>
      <w:pPr>
        <w:spacing w:after="156" w:afterLines="50"/>
        <w:ind w:firstLine="359" w:firstLineChars="171"/>
        <w:rPr>
          <w:color w:val="000000"/>
        </w:rPr>
      </w:pPr>
      <w:r>
        <w:rPr>
          <w:color w:val="000000"/>
        </w:rPr>
        <w:t>经校准的比较仪发给校准证书（内页见附录C）。</w:t>
      </w:r>
    </w:p>
    <w:p>
      <w:pPr>
        <w:spacing w:after="156" w:afterLines="50"/>
        <w:ind w:firstLine="359" w:firstLineChars="171"/>
        <w:rPr>
          <w:color w:val="000000"/>
        </w:rPr>
      </w:pPr>
      <w:r>
        <w:rPr>
          <w:color w:val="000000"/>
        </w:rPr>
        <w:t xml:space="preserve">校准证书应至少包括以下信息： </w:t>
      </w:r>
    </w:p>
    <w:p>
      <w:pPr>
        <w:spacing w:after="156" w:afterLines="50"/>
        <w:ind w:left="420" w:leftChars="200"/>
        <w:rPr>
          <w:color w:val="000000"/>
        </w:rPr>
      </w:pPr>
      <w:r>
        <w:rPr>
          <w:color w:val="000000"/>
        </w:rPr>
        <w:t xml:space="preserve">a) 标题：“校准证书”； </w:t>
      </w:r>
    </w:p>
    <w:p>
      <w:pPr>
        <w:spacing w:after="156" w:afterLines="50"/>
        <w:ind w:left="420" w:leftChars="200"/>
        <w:rPr>
          <w:color w:val="000000"/>
        </w:rPr>
      </w:pPr>
      <w:r>
        <w:rPr>
          <w:color w:val="000000"/>
        </w:rPr>
        <w:t xml:space="preserve">b) 实验室名称和地址； </w:t>
      </w:r>
    </w:p>
    <w:p>
      <w:pPr>
        <w:spacing w:after="156" w:afterLines="50"/>
        <w:ind w:left="420" w:leftChars="200"/>
        <w:rPr>
          <w:color w:val="000000"/>
        </w:rPr>
      </w:pPr>
      <w:r>
        <w:rPr>
          <w:color w:val="000000"/>
        </w:rPr>
        <w:t xml:space="preserve">c) 进行校准的地点（如果与实验室的地址不同）； </w:t>
      </w:r>
    </w:p>
    <w:p>
      <w:pPr>
        <w:spacing w:after="156" w:afterLines="50"/>
        <w:ind w:left="420" w:leftChars="200"/>
        <w:rPr>
          <w:color w:val="000000"/>
        </w:rPr>
      </w:pPr>
      <w:r>
        <w:rPr>
          <w:color w:val="000000"/>
        </w:rPr>
        <w:t xml:space="preserve">d) 证书的唯一性标识（如编号），每页及总页数的标识； </w:t>
      </w:r>
    </w:p>
    <w:p>
      <w:pPr>
        <w:spacing w:after="156" w:afterLines="50"/>
        <w:ind w:left="420" w:leftChars="200"/>
        <w:rPr>
          <w:color w:val="000000"/>
        </w:rPr>
      </w:pPr>
      <w:r>
        <w:rPr>
          <w:color w:val="000000"/>
        </w:rPr>
        <w:t xml:space="preserve">e) 客户的名称和地址； </w:t>
      </w:r>
    </w:p>
    <w:p>
      <w:pPr>
        <w:spacing w:after="156" w:afterLines="50"/>
        <w:ind w:left="420" w:leftChars="200"/>
        <w:rPr>
          <w:color w:val="000000"/>
        </w:rPr>
      </w:pPr>
      <w:r>
        <w:rPr>
          <w:color w:val="000000"/>
        </w:rPr>
        <w:t xml:space="preserve">f) 被校对象的描述和明确标识； </w:t>
      </w:r>
    </w:p>
    <w:p>
      <w:pPr>
        <w:spacing w:after="156" w:afterLines="50"/>
        <w:ind w:left="420" w:leftChars="200"/>
        <w:rPr>
          <w:color w:val="000000"/>
        </w:rPr>
      </w:pPr>
      <w:r>
        <w:rPr>
          <w:color w:val="000000"/>
        </w:rPr>
        <w:t xml:space="preserve">g) 校准所依据的技术规范的标识，包括名称及代号； </w:t>
      </w:r>
    </w:p>
    <w:p>
      <w:pPr>
        <w:spacing w:after="156" w:afterLines="50"/>
        <w:ind w:left="420" w:leftChars="200"/>
        <w:rPr>
          <w:color w:val="000000"/>
        </w:rPr>
      </w:pPr>
      <w:r>
        <w:rPr>
          <w:color w:val="000000"/>
        </w:rPr>
        <w:t xml:space="preserve">h) 本次校准所用试验载荷的溯源性及有效性说明； </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5" w:history="1">
        <w:r>
          <w:rPr>
            <w:rFonts w:ascii="SimSun" w:eastAsia="SimSun" w:hAnsi="SimSun" w:cs="SimSun"/>
            <w:b/>
            <w:bCs/>
            <w:color w:val="0000EE"/>
            <w:kern w:val="0"/>
            <w:sz w:val="30"/>
            <w:szCs w:val="30"/>
            <w:u w:val="single" w:color="0000EE"/>
          </w:rPr>
          <w:t>https://d.book118.com/578006026064006041</w:t>
        </w:r>
      </w:hyperlink>
    </w:p>
    <w:p>
      <w:pPr>
        <w:spacing w:after="156" w:afterLines="50"/>
        <w:ind w:left="420" w:leftChars="200"/>
        <w:rPr>
          <w:color w:val="000000"/>
        </w:rPr>
      </w:pPr>
    </w:p>
    <w:sectPr>
      <w:headerReference w:type="default" r:id="rId66"/>
      <w:footerReference w:type="even" r:id="rId67"/>
      <w:footerReference w:type="default" r:id="rId68"/>
      <w:type w:val="nextPage"/>
      <w:pgSz w:w="11906" w:h="16838"/>
      <w:pgMar w:top="1440" w:right="1558" w:bottom="1440" w:left="1797" w:header="851" w:footer="992" w:gutter="0"/>
      <w:pgNumType w:start="11"/>
      <w:cols w:num="1" w:space="425"/>
      <w:titlePg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Georgia">
    <w:panose1 w:val="02040502050405020303"/>
    <w:charset w:val="00"/>
    <w:family w:val="roman"/>
    <w:pitch w:val="default"/>
    <w:sig w:usb0="00000287" w:usb1="00000000" w:usb2="00000000" w:usb3="00000000" w:csb0="2000009F" w:csb1="00000000"/>
  </w:font>
  <w:font w:name="Cambria Math">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华文彩云">
    <w:panose1 w:val="02010800040101010101"/>
    <w:charset w:val="86"/>
    <w:family w:val="auto"/>
    <w:pitch w:val="default"/>
    <w:sig w:usb0="00000001" w:usb1="080F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MS Mincho">
    <w:altName w:val="Yu Gothic UI"/>
    <w:panose1 w:val="02020609040205080304"/>
    <w:charset w:val="80"/>
    <w:family w:val="modern"/>
    <w:pitch w:val="default"/>
    <w:sig w:usb0="00000000" w:usb1="00000000"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jc w:val="center"/>
    </w:pPr>
    <w:r>
      <w:rPr>
        <w:rStyle w:val="PageNumber"/>
      </w:rPr>
      <w:fldChar w:fldCharType="begin"/>
    </w:r>
    <w:r>
      <w:rPr>
        <w:rStyle w:val="PageNumber"/>
      </w:rPr>
      <w:instrText xml:space="preserve"> PAGE </w:instrText>
    </w:r>
    <w:r>
      <w:rPr>
        <w:rStyle w:val="PageNumber"/>
      </w:rPr>
      <w:fldChar w:fldCharType="separate"/>
    </w:r>
    <w:r>
      <w:rPr>
        <w:rStyle w:val="PageNumber"/>
      </w:rPr>
      <w:t>v</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jc w:val="center"/>
    </w:pPr>
    <w:r>
      <w:rPr>
        <w:rStyle w:val="PageNumber"/>
      </w:rPr>
      <w:fldChar w:fldCharType="begin"/>
    </w:r>
    <w:r>
      <w:rPr>
        <w:rStyle w:val="PageNumber"/>
      </w:rPr>
      <w:instrText xml:space="preserve"> PAGE </w:instrText>
    </w:r>
    <w:r>
      <w:rPr>
        <w:rStyle w:val="PageNumber"/>
      </w:rPr>
      <w:fldChar w:fldCharType="separate"/>
    </w:r>
    <w:r>
      <w:rPr>
        <w:rStyle w:val="PageNumber"/>
      </w:rPr>
      <w:t>I</w:t>
    </w:r>
    <w:r>
      <w:rPr>
        <w:rStyle w:val="PageNumber"/>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jc w:val="cente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jc w:val="cente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jc w:val="cente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jc w:val="cente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firstLine="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jc w:val="cente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firstLine="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jc w:val="cente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firstLine="36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jc w:val="cente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firstLine="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jc w:val="cente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firstLine="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jc w:val="cente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firstLine="360"/>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jc w:val="cente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firstLine="36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jc w:val="cente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ind w:right="360" w:firstLine="36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jc w:val="cente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75E264C"/>
    <w:multiLevelType w:val="multilevel"/>
    <w:tmpl w:val="175E264C"/>
    <w:lvl w:ilvl="0">
      <w:start w:val="3"/>
      <w:numFmt w:val="decimal"/>
      <w:lvlText w:val="%1"/>
      <w:lvlJc w:val="left"/>
      <w:pPr>
        <w:tabs>
          <w:tab w:val="left" w:pos="495"/>
        </w:tabs>
        <w:ind w:left="495" w:hanging="495"/>
      </w:pPr>
      <w:rPr>
        <w:rFonts w:hint="default"/>
      </w:rPr>
    </w:lvl>
    <w:lvl w:ilvl="1">
      <w:start w:val="2"/>
      <w:numFmt w:val="decimal"/>
      <w:lvlText w:val="%1.%2"/>
      <w:lvlJc w:val="left"/>
      <w:pPr>
        <w:tabs>
          <w:tab w:val="left" w:pos="495"/>
        </w:tabs>
        <w:ind w:left="495" w:hanging="495"/>
      </w:pPr>
      <w:rPr>
        <w:rFonts w:hint="default"/>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080"/>
        </w:tabs>
        <w:ind w:left="1080" w:hanging="108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440"/>
        </w:tabs>
        <w:ind w:left="1440" w:hanging="1440"/>
      </w:pPr>
      <w:rPr>
        <w:rFonts w:hint="default"/>
      </w:rPr>
    </w:lvl>
  </w:abstractNum>
  <w:abstractNum w:abstractNumId="1">
    <w:nsid w:val="27E655AD"/>
    <w:multiLevelType w:val="multilevel"/>
    <w:tmpl w:val="27E655AD"/>
    <w:lvl w:ilvl="0">
      <w:start w:val="2"/>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40A248A5"/>
    <w:multiLevelType w:val="multilevel"/>
    <w:tmpl w:val="40A248A5"/>
    <w:lvl w:ilvl="0">
      <w:start w:val="1"/>
      <w:numFmt w:val="japaneseCounting"/>
      <w:lvlText w:val="%1、"/>
      <w:lvlJc w:val="left"/>
      <w:pPr>
        <w:tabs>
          <w:tab w:val="left" w:pos="420"/>
        </w:tabs>
        <w:ind w:left="420" w:hanging="4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6CEA2025"/>
    <w:multiLevelType w:val="multilevel"/>
    <w:tmpl w:val="6CEA2025"/>
    <w:lvl w:ilvl="0">
      <w:start w:val="1"/>
      <w:numFmt w:val="none"/>
      <w:pStyle w:val="a11"/>
      <w:suff w:val="nothing"/>
      <w:lvlText w:val="%1"/>
      <w:lvlJc w:val="left"/>
      <w:pPr>
        <w:ind w:left="0" w:firstLine="0"/>
      </w:pPr>
      <w:rPr>
        <w:rFonts w:ascii="Times New Roman" w:hAnsi="Times New Roman" w:cs="Times New Roman" w:hint="default"/>
        <w:b/>
        <w:i w:val="0"/>
        <w:sz w:val="21"/>
      </w:rPr>
    </w:lvl>
    <w:lvl w:ilvl="1">
      <w:start w:val="7"/>
      <w:numFmt w:val="decimal"/>
      <w:pStyle w:val="a8"/>
      <w:suff w:val="nothing"/>
      <w:lvlText w:val="%1%2　"/>
      <w:lvlJc w:val="left"/>
      <w:pPr>
        <w:ind w:left="0" w:firstLine="0"/>
      </w:pPr>
      <w:rPr>
        <w:rFonts w:ascii="黑体" w:eastAsia="黑体" w:hAnsi="Times New Roman" w:hint="eastAsia"/>
        <w:b w:val="0"/>
        <w:i w:val="0"/>
        <w:sz w:val="21"/>
      </w:rPr>
    </w:lvl>
    <w:lvl w:ilvl="2">
      <w:start w:val="1"/>
      <w:numFmt w:val="decimal"/>
      <w:pStyle w:val="a9"/>
      <w:suff w:val="nothing"/>
      <w:lvlText w:val="%1%2.%3　"/>
      <w:lvlJc w:val="left"/>
      <w:pPr>
        <w:ind w:left="0" w:firstLine="0"/>
      </w:pPr>
      <w:rPr>
        <w:rFonts w:ascii="黑体" w:eastAsia="黑体" w:hAnsi="Times New Roman" w:hint="eastAsia"/>
        <w:b w:val="0"/>
        <w:i w:val="0"/>
        <w:sz w:val="21"/>
      </w:rPr>
    </w:lvl>
    <w:lvl w:ilvl="3">
      <w:start w:val="4"/>
      <w:numFmt w:val="none"/>
      <w:pStyle w:val="a10"/>
      <w:suff w:val="nothing"/>
      <w:lvlText w:val="7.4.1　"/>
      <w:lvlJc w:val="left"/>
      <w:pPr>
        <w:ind w:left="0" w:firstLine="0"/>
      </w:pPr>
      <w:rPr>
        <w:rFonts w:ascii="黑体" w:eastAsia="黑体" w:hAnsi="Times New Roman" w:hint="eastAsia"/>
        <w:b w:val="0"/>
        <w:i w:val="0"/>
        <w:sz w:val="21"/>
      </w:rPr>
    </w:lvl>
    <w:lvl w:ilvl="4">
      <w:start w:val="1"/>
      <w:numFmt w:val="decimal"/>
      <w:pStyle w:val="a12"/>
      <w:suff w:val="nothing"/>
      <w:lvlText w:val="%1%2.%3.%4.%5　"/>
      <w:lvlJc w:val="left"/>
      <w:pPr>
        <w:ind w:left="0" w:firstLine="0"/>
      </w:pPr>
      <w:rPr>
        <w:rFonts w:ascii="黑体" w:eastAsia="黑体" w:hAnsi="Times New Roman" w:hint="eastAsia"/>
        <w:b w:val="0"/>
        <w:i w:val="0"/>
        <w:sz w:val="21"/>
      </w:rPr>
    </w:lvl>
    <w:lvl w:ilvl="5">
      <w:start w:val="1"/>
      <w:numFmt w:val="decimal"/>
      <w:pStyle w:val="a13"/>
      <w:suff w:val="nothing"/>
      <w:lvlText w:val="%1%2.%3.%4.%5.%6　"/>
      <w:lvlJc w:val="left"/>
      <w:pPr>
        <w:ind w:left="0" w:firstLine="0"/>
      </w:pPr>
      <w:rPr>
        <w:rFonts w:ascii="黑体" w:eastAsia="黑体" w:hAnsi="Times New Roman" w:hint="eastAsia"/>
        <w:b w:val="0"/>
        <w:i w:val="0"/>
        <w:sz w:val="21"/>
      </w:rPr>
    </w:lvl>
    <w:lvl w:ilvl="6">
      <w:start w:val="1"/>
      <w:numFmt w:val="decimal"/>
      <w:pStyle w:val="a14"/>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lvl>
    <w:lvl w:ilvl="8">
      <w:start w:val="1"/>
      <w:numFmt w:val="decimal"/>
      <w:lvlText w:val="%1.%2.%3.%4.%5.%6.%7.%8.%9"/>
      <w:lvlJc w:val="left"/>
      <w:pPr>
        <w:tabs>
          <w:tab w:val="left" w:pos="4777"/>
        </w:tabs>
        <w:ind w:left="4677" w:hanging="1700"/>
      </w:pPr>
    </w:lvl>
  </w:abstractNum>
  <w:num w:numId="1">
    <w:abstractNumId w:val="3"/>
    <w:lvlOverride w:ilvl="0">
      <w:startOverride w:val="1"/>
    </w:lvlOverride>
    <w:lvlOverride w:ilvl="1">
      <w:startOverride w:val="7"/>
    </w:lvlOverride>
    <w:lvlOverride w:ilvl="2">
      <w:startOverride w:val="1"/>
    </w:lvlOverride>
    <w:lvlOverride w:ilvl="3">
      <w:startOverride w:val="4"/>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embedSystemFont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4980"/>
    <w:rsid w:val="000009CA"/>
    <w:rsid w:val="00002747"/>
    <w:rsid w:val="000102DB"/>
    <w:rsid w:val="00011D0E"/>
    <w:rsid w:val="00011E3E"/>
    <w:rsid w:val="00012BC9"/>
    <w:rsid w:val="0002026E"/>
    <w:rsid w:val="00031311"/>
    <w:rsid w:val="00031369"/>
    <w:rsid w:val="000339B1"/>
    <w:rsid w:val="00040828"/>
    <w:rsid w:val="000440A1"/>
    <w:rsid w:val="00045846"/>
    <w:rsid w:val="00047D51"/>
    <w:rsid w:val="00050D3D"/>
    <w:rsid w:val="000513FB"/>
    <w:rsid w:val="00052527"/>
    <w:rsid w:val="00052CA2"/>
    <w:rsid w:val="000548E8"/>
    <w:rsid w:val="00060C2E"/>
    <w:rsid w:val="00061857"/>
    <w:rsid w:val="0006421D"/>
    <w:rsid w:val="0006779F"/>
    <w:rsid w:val="000706B8"/>
    <w:rsid w:val="00074F73"/>
    <w:rsid w:val="00075527"/>
    <w:rsid w:val="000770CE"/>
    <w:rsid w:val="000775E5"/>
    <w:rsid w:val="00077B36"/>
    <w:rsid w:val="00080AA0"/>
    <w:rsid w:val="0008341B"/>
    <w:rsid w:val="0008753A"/>
    <w:rsid w:val="000911E6"/>
    <w:rsid w:val="00095160"/>
    <w:rsid w:val="00095BCC"/>
    <w:rsid w:val="000A6B78"/>
    <w:rsid w:val="000A7209"/>
    <w:rsid w:val="000B26B9"/>
    <w:rsid w:val="000B2ADF"/>
    <w:rsid w:val="000B4B27"/>
    <w:rsid w:val="000B6D3A"/>
    <w:rsid w:val="000B7B72"/>
    <w:rsid w:val="000C1A4B"/>
    <w:rsid w:val="000C1D73"/>
    <w:rsid w:val="000C236B"/>
    <w:rsid w:val="000C4F64"/>
    <w:rsid w:val="000C521E"/>
    <w:rsid w:val="000C5AD7"/>
    <w:rsid w:val="000C671D"/>
    <w:rsid w:val="000C7B2E"/>
    <w:rsid w:val="000D10AE"/>
    <w:rsid w:val="000D2B80"/>
    <w:rsid w:val="000D53AD"/>
    <w:rsid w:val="000E2384"/>
    <w:rsid w:val="000E2D36"/>
    <w:rsid w:val="000E47F1"/>
    <w:rsid w:val="000F17A6"/>
    <w:rsid w:val="000F68D0"/>
    <w:rsid w:val="0010043E"/>
    <w:rsid w:val="00102A71"/>
    <w:rsid w:val="001064DE"/>
    <w:rsid w:val="00106760"/>
    <w:rsid w:val="001068C5"/>
    <w:rsid w:val="00110A69"/>
    <w:rsid w:val="00111A0F"/>
    <w:rsid w:val="00111C03"/>
    <w:rsid w:val="00112D27"/>
    <w:rsid w:val="00121D14"/>
    <w:rsid w:val="00124DEF"/>
    <w:rsid w:val="00124DFA"/>
    <w:rsid w:val="00125E22"/>
    <w:rsid w:val="00125F71"/>
    <w:rsid w:val="00126A46"/>
    <w:rsid w:val="00130A23"/>
    <w:rsid w:val="00133DBB"/>
    <w:rsid w:val="0013737B"/>
    <w:rsid w:val="0014097C"/>
    <w:rsid w:val="00140E0D"/>
    <w:rsid w:val="00142E5F"/>
    <w:rsid w:val="0014300E"/>
    <w:rsid w:val="0014706C"/>
    <w:rsid w:val="001505B6"/>
    <w:rsid w:val="00150C52"/>
    <w:rsid w:val="0015435A"/>
    <w:rsid w:val="001607BB"/>
    <w:rsid w:val="00164F15"/>
    <w:rsid w:val="00166313"/>
    <w:rsid w:val="001679D0"/>
    <w:rsid w:val="001679D8"/>
    <w:rsid w:val="00167C21"/>
    <w:rsid w:val="00173181"/>
    <w:rsid w:val="00175125"/>
    <w:rsid w:val="001859FF"/>
    <w:rsid w:val="00187500"/>
    <w:rsid w:val="00187F18"/>
    <w:rsid w:val="00190F71"/>
    <w:rsid w:val="001932AF"/>
    <w:rsid w:val="00193485"/>
    <w:rsid w:val="00195E9C"/>
    <w:rsid w:val="001A350F"/>
    <w:rsid w:val="001A3DFF"/>
    <w:rsid w:val="001A4C0E"/>
    <w:rsid w:val="001A5727"/>
    <w:rsid w:val="001B1958"/>
    <w:rsid w:val="001B2877"/>
    <w:rsid w:val="001B292B"/>
    <w:rsid w:val="001C170A"/>
    <w:rsid w:val="001C4747"/>
    <w:rsid w:val="001C4C31"/>
    <w:rsid w:val="001C4EEC"/>
    <w:rsid w:val="001C59A6"/>
    <w:rsid w:val="001C65FB"/>
    <w:rsid w:val="001D5EED"/>
    <w:rsid w:val="001D708E"/>
    <w:rsid w:val="001D797B"/>
    <w:rsid w:val="001E2C99"/>
    <w:rsid w:val="001E317A"/>
    <w:rsid w:val="001E4F82"/>
    <w:rsid w:val="001E56D6"/>
    <w:rsid w:val="001E5EE2"/>
    <w:rsid w:val="001E6A63"/>
    <w:rsid w:val="001E71CF"/>
    <w:rsid w:val="001E7409"/>
    <w:rsid w:val="001E7C7C"/>
    <w:rsid w:val="001E7F90"/>
    <w:rsid w:val="001F15A5"/>
    <w:rsid w:val="001F317D"/>
    <w:rsid w:val="001F6DC3"/>
    <w:rsid w:val="001F71A7"/>
    <w:rsid w:val="001F7D10"/>
    <w:rsid w:val="00201B32"/>
    <w:rsid w:val="00202B8B"/>
    <w:rsid w:val="00204DFF"/>
    <w:rsid w:val="00207820"/>
    <w:rsid w:val="002107F0"/>
    <w:rsid w:val="00210CA3"/>
    <w:rsid w:val="00212151"/>
    <w:rsid w:val="0021265C"/>
    <w:rsid w:val="0021541D"/>
    <w:rsid w:val="002179D5"/>
    <w:rsid w:val="00220B0B"/>
    <w:rsid w:val="00220BD5"/>
    <w:rsid w:val="002236D6"/>
    <w:rsid w:val="00232F93"/>
    <w:rsid w:val="00234BCB"/>
    <w:rsid w:val="00235908"/>
    <w:rsid w:val="00240472"/>
    <w:rsid w:val="0024459E"/>
    <w:rsid w:val="002465AB"/>
    <w:rsid w:val="00247387"/>
    <w:rsid w:val="00252372"/>
    <w:rsid w:val="00253346"/>
    <w:rsid w:val="002551E7"/>
    <w:rsid w:val="002557E8"/>
    <w:rsid w:val="002579AA"/>
    <w:rsid w:val="0026063D"/>
    <w:rsid w:val="00261ABF"/>
    <w:rsid w:val="00261F97"/>
    <w:rsid w:val="002621BF"/>
    <w:rsid w:val="002622C0"/>
    <w:rsid w:val="002660C7"/>
    <w:rsid w:val="002725B3"/>
    <w:rsid w:val="00272CF3"/>
    <w:rsid w:val="00276DD5"/>
    <w:rsid w:val="0027728D"/>
    <w:rsid w:val="0028374C"/>
    <w:rsid w:val="00283917"/>
    <w:rsid w:val="00286628"/>
    <w:rsid w:val="00286951"/>
    <w:rsid w:val="00287933"/>
    <w:rsid w:val="002904A6"/>
    <w:rsid w:val="00291EB4"/>
    <w:rsid w:val="002951FB"/>
    <w:rsid w:val="00297E33"/>
    <w:rsid w:val="002A225C"/>
    <w:rsid w:val="002A4AF7"/>
    <w:rsid w:val="002A52FC"/>
    <w:rsid w:val="002B47DC"/>
    <w:rsid w:val="002B7AEB"/>
    <w:rsid w:val="002B7CAD"/>
    <w:rsid w:val="002C5521"/>
    <w:rsid w:val="002C6D19"/>
    <w:rsid w:val="002D3725"/>
    <w:rsid w:val="002D3960"/>
    <w:rsid w:val="002D4BF3"/>
    <w:rsid w:val="002D6268"/>
    <w:rsid w:val="002D63DC"/>
    <w:rsid w:val="002E2357"/>
    <w:rsid w:val="002E281F"/>
    <w:rsid w:val="002E318B"/>
    <w:rsid w:val="002E38F6"/>
    <w:rsid w:val="002E54F0"/>
    <w:rsid w:val="002E5550"/>
    <w:rsid w:val="002E6786"/>
    <w:rsid w:val="002E7D4B"/>
    <w:rsid w:val="002F28D9"/>
    <w:rsid w:val="002F3EBD"/>
    <w:rsid w:val="002F7D2A"/>
    <w:rsid w:val="00302954"/>
    <w:rsid w:val="00305F86"/>
    <w:rsid w:val="003122BB"/>
    <w:rsid w:val="0031273A"/>
    <w:rsid w:val="00315B15"/>
    <w:rsid w:val="003161AD"/>
    <w:rsid w:val="003204B0"/>
    <w:rsid w:val="00322634"/>
    <w:rsid w:val="00322A08"/>
    <w:rsid w:val="00322FB7"/>
    <w:rsid w:val="003230A7"/>
    <w:rsid w:val="00325004"/>
    <w:rsid w:val="003336F1"/>
    <w:rsid w:val="00334742"/>
    <w:rsid w:val="00335432"/>
    <w:rsid w:val="003370A8"/>
    <w:rsid w:val="003442BB"/>
    <w:rsid w:val="00345838"/>
    <w:rsid w:val="00347553"/>
    <w:rsid w:val="0035074A"/>
    <w:rsid w:val="003512FA"/>
    <w:rsid w:val="003515CE"/>
    <w:rsid w:val="0035420F"/>
    <w:rsid w:val="00355FDF"/>
    <w:rsid w:val="00356E99"/>
    <w:rsid w:val="00357667"/>
    <w:rsid w:val="00357C1A"/>
    <w:rsid w:val="00357FD0"/>
    <w:rsid w:val="00360669"/>
    <w:rsid w:val="003670F3"/>
    <w:rsid w:val="0037113C"/>
    <w:rsid w:val="0037430E"/>
    <w:rsid w:val="0037677B"/>
    <w:rsid w:val="00377216"/>
    <w:rsid w:val="00377817"/>
    <w:rsid w:val="0038021C"/>
    <w:rsid w:val="00381125"/>
    <w:rsid w:val="00381238"/>
    <w:rsid w:val="00381434"/>
    <w:rsid w:val="003829E4"/>
    <w:rsid w:val="00384112"/>
    <w:rsid w:val="0038654D"/>
    <w:rsid w:val="00390F47"/>
    <w:rsid w:val="00391042"/>
    <w:rsid w:val="003948A0"/>
    <w:rsid w:val="00395221"/>
    <w:rsid w:val="00396A1E"/>
    <w:rsid w:val="003A2C95"/>
    <w:rsid w:val="003A5516"/>
    <w:rsid w:val="003B073C"/>
    <w:rsid w:val="003B24BC"/>
    <w:rsid w:val="003B2A54"/>
    <w:rsid w:val="003B3FCA"/>
    <w:rsid w:val="003B51E0"/>
    <w:rsid w:val="003B6271"/>
    <w:rsid w:val="003B6812"/>
    <w:rsid w:val="003C0F2E"/>
    <w:rsid w:val="003C17E1"/>
    <w:rsid w:val="003C39AF"/>
    <w:rsid w:val="003C3B8C"/>
    <w:rsid w:val="003C6607"/>
    <w:rsid w:val="003D6AB4"/>
    <w:rsid w:val="003E0058"/>
    <w:rsid w:val="003E0226"/>
    <w:rsid w:val="003E16E1"/>
    <w:rsid w:val="003E1A84"/>
    <w:rsid w:val="003F0763"/>
    <w:rsid w:val="004036EA"/>
    <w:rsid w:val="004048D6"/>
    <w:rsid w:val="00404980"/>
    <w:rsid w:val="004114CC"/>
    <w:rsid w:val="004118FE"/>
    <w:rsid w:val="004142E6"/>
    <w:rsid w:val="00415A50"/>
    <w:rsid w:val="00415AF7"/>
    <w:rsid w:val="00416405"/>
    <w:rsid w:val="004177E4"/>
    <w:rsid w:val="00422EEA"/>
    <w:rsid w:val="0042581E"/>
    <w:rsid w:val="00435736"/>
    <w:rsid w:val="004410B2"/>
    <w:rsid w:val="00444876"/>
    <w:rsid w:val="00451CB0"/>
    <w:rsid w:val="0045257D"/>
    <w:rsid w:val="00453BC7"/>
    <w:rsid w:val="00455E1A"/>
    <w:rsid w:val="0045688E"/>
    <w:rsid w:val="00456B35"/>
    <w:rsid w:val="00456FB0"/>
    <w:rsid w:val="00464591"/>
    <w:rsid w:val="00464C60"/>
    <w:rsid w:val="00470E2A"/>
    <w:rsid w:val="004716F5"/>
    <w:rsid w:val="004742EF"/>
    <w:rsid w:val="00475E36"/>
    <w:rsid w:val="00476456"/>
    <w:rsid w:val="004765D0"/>
    <w:rsid w:val="004770E4"/>
    <w:rsid w:val="00477513"/>
    <w:rsid w:val="00477CF5"/>
    <w:rsid w:val="004805AC"/>
    <w:rsid w:val="004828BE"/>
    <w:rsid w:val="004858E3"/>
    <w:rsid w:val="00490206"/>
    <w:rsid w:val="0049675D"/>
    <w:rsid w:val="004A7D8D"/>
    <w:rsid w:val="004B10A2"/>
    <w:rsid w:val="004B1403"/>
    <w:rsid w:val="004B34DC"/>
    <w:rsid w:val="004B3878"/>
    <w:rsid w:val="004B410D"/>
    <w:rsid w:val="004B5770"/>
    <w:rsid w:val="004C137C"/>
    <w:rsid w:val="004C3B17"/>
    <w:rsid w:val="004C5571"/>
    <w:rsid w:val="004D2906"/>
    <w:rsid w:val="004D29B3"/>
    <w:rsid w:val="004D3B75"/>
    <w:rsid w:val="004D4022"/>
    <w:rsid w:val="004D5D26"/>
    <w:rsid w:val="004D611F"/>
    <w:rsid w:val="004D612F"/>
    <w:rsid w:val="004E1FEF"/>
    <w:rsid w:val="004E4190"/>
    <w:rsid w:val="004E42DC"/>
    <w:rsid w:val="004E49A7"/>
    <w:rsid w:val="004E5CDE"/>
    <w:rsid w:val="004E621A"/>
    <w:rsid w:val="004F008E"/>
    <w:rsid w:val="004F3326"/>
    <w:rsid w:val="004F4433"/>
    <w:rsid w:val="004F55F6"/>
    <w:rsid w:val="004F68E4"/>
    <w:rsid w:val="004F7AFC"/>
    <w:rsid w:val="005009D3"/>
    <w:rsid w:val="00501728"/>
    <w:rsid w:val="00502701"/>
    <w:rsid w:val="00503D0B"/>
    <w:rsid w:val="00504D86"/>
    <w:rsid w:val="0050553A"/>
    <w:rsid w:val="00505646"/>
    <w:rsid w:val="0050740C"/>
    <w:rsid w:val="00507A28"/>
    <w:rsid w:val="005121D4"/>
    <w:rsid w:val="00515606"/>
    <w:rsid w:val="0051723C"/>
    <w:rsid w:val="0052236F"/>
    <w:rsid w:val="00523121"/>
    <w:rsid w:val="00523986"/>
    <w:rsid w:val="00524E84"/>
    <w:rsid w:val="005250DA"/>
    <w:rsid w:val="00525261"/>
    <w:rsid w:val="005303F5"/>
    <w:rsid w:val="00530C14"/>
    <w:rsid w:val="005315B1"/>
    <w:rsid w:val="00533418"/>
    <w:rsid w:val="00533869"/>
    <w:rsid w:val="0053481C"/>
    <w:rsid w:val="0054500F"/>
    <w:rsid w:val="005466BB"/>
    <w:rsid w:val="0054708B"/>
    <w:rsid w:val="005512C2"/>
    <w:rsid w:val="00554173"/>
    <w:rsid w:val="00560618"/>
    <w:rsid w:val="00561312"/>
    <w:rsid w:val="00565FD3"/>
    <w:rsid w:val="0057452D"/>
    <w:rsid w:val="00574871"/>
    <w:rsid w:val="00575042"/>
    <w:rsid w:val="0057747E"/>
    <w:rsid w:val="00582115"/>
    <w:rsid w:val="00593056"/>
    <w:rsid w:val="005951E8"/>
    <w:rsid w:val="005951F7"/>
    <w:rsid w:val="00595FE7"/>
    <w:rsid w:val="005A07C7"/>
    <w:rsid w:val="005A2672"/>
    <w:rsid w:val="005A3E99"/>
    <w:rsid w:val="005A794F"/>
    <w:rsid w:val="005B4697"/>
    <w:rsid w:val="005B67FF"/>
    <w:rsid w:val="005B6920"/>
    <w:rsid w:val="005C1F46"/>
    <w:rsid w:val="005C1F90"/>
    <w:rsid w:val="005C26A7"/>
    <w:rsid w:val="005C2997"/>
    <w:rsid w:val="005C2F14"/>
    <w:rsid w:val="005C38D4"/>
    <w:rsid w:val="005C3942"/>
    <w:rsid w:val="005C6252"/>
    <w:rsid w:val="005C76A5"/>
    <w:rsid w:val="005C78F7"/>
    <w:rsid w:val="005D08E5"/>
    <w:rsid w:val="005D3989"/>
    <w:rsid w:val="005D5442"/>
    <w:rsid w:val="005E2066"/>
    <w:rsid w:val="005E2C10"/>
    <w:rsid w:val="005E4CD5"/>
    <w:rsid w:val="005E69FF"/>
    <w:rsid w:val="005E6C5C"/>
    <w:rsid w:val="005E74CC"/>
    <w:rsid w:val="005F15F3"/>
    <w:rsid w:val="005F2793"/>
    <w:rsid w:val="006019F4"/>
    <w:rsid w:val="00601E9B"/>
    <w:rsid w:val="00605BE1"/>
    <w:rsid w:val="0060667C"/>
    <w:rsid w:val="00610F4A"/>
    <w:rsid w:val="00614A2E"/>
    <w:rsid w:val="006175CE"/>
    <w:rsid w:val="00620A21"/>
    <w:rsid w:val="0062496B"/>
    <w:rsid w:val="00625957"/>
    <w:rsid w:val="00633FFF"/>
    <w:rsid w:val="0063728B"/>
    <w:rsid w:val="00644798"/>
    <w:rsid w:val="00644D39"/>
    <w:rsid w:val="006459A3"/>
    <w:rsid w:val="00646623"/>
    <w:rsid w:val="006471FA"/>
    <w:rsid w:val="00656CB6"/>
    <w:rsid w:val="0065714F"/>
    <w:rsid w:val="00661616"/>
    <w:rsid w:val="00662ECB"/>
    <w:rsid w:val="00666261"/>
    <w:rsid w:val="00667315"/>
    <w:rsid w:val="00667A2E"/>
    <w:rsid w:val="00670261"/>
    <w:rsid w:val="006717DB"/>
    <w:rsid w:val="006800D5"/>
    <w:rsid w:val="00681A29"/>
    <w:rsid w:val="00683C41"/>
    <w:rsid w:val="00685EBB"/>
    <w:rsid w:val="00690972"/>
    <w:rsid w:val="006928D5"/>
    <w:rsid w:val="00693570"/>
    <w:rsid w:val="00693A21"/>
    <w:rsid w:val="006A5B95"/>
    <w:rsid w:val="006A62D0"/>
    <w:rsid w:val="006A6496"/>
    <w:rsid w:val="006A65A3"/>
    <w:rsid w:val="006A7407"/>
    <w:rsid w:val="006A7D34"/>
    <w:rsid w:val="006B33B8"/>
    <w:rsid w:val="006B4DE8"/>
    <w:rsid w:val="006B5F08"/>
    <w:rsid w:val="006B600E"/>
    <w:rsid w:val="006B713A"/>
    <w:rsid w:val="006B7394"/>
    <w:rsid w:val="006C3CBA"/>
    <w:rsid w:val="006C5309"/>
    <w:rsid w:val="006C56E1"/>
    <w:rsid w:val="006D2103"/>
    <w:rsid w:val="006D3E70"/>
    <w:rsid w:val="006D3F89"/>
    <w:rsid w:val="006D6A86"/>
    <w:rsid w:val="006D6EE1"/>
    <w:rsid w:val="006D78D3"/>
    <w:rsid w:val="006E2877"/>
    <w:rsid w:val="006E4218"/>
    <w:rsid w:val="006E7754"/>
    <w:rsid w:val="006F0384"/>
    <w:rsid w:val="006F24FB"/>
    <w:rsid w:val="006F3C5E"/>
    <w:rsid w:val="006F4695"/>
    <w:rsid w:val="006F5043"/>
    <w:rsid w:val="006F6AC1"/>
    <w:rsid w:val="00702881"/>
    <w:rsid w:val="00704970"/>
    <w:rsid w:val="0071086E"/>
    <w:rsid w:val="0071104E"/>
    <w:rsid w:val="007126B4"/>
    <w:rsid w:val="00720FD0"/>
    <w:rsid w:val="00725B47"/>
    <w:rsid w:val="00726283"/>
    <w:rsid w:val="00726303"/>
    <w:rsid w:val="00727F1E"/>
    <w:rsid w:val="00731110"/>
    <w:rsid w:val="0073140B"/>
    <w:rsid w:val="00734B1C"/>
    <w:rsid w:val="00735CB9"/>
    <w:rsid w:val="007404CA"/>
    <w:rsid w:val="0074089A"/>
    <w:rsid w:val="00741691"/>
    <w:rsid w:val="007461B4"/>
    <w:rsid w:val="00746E57"/>
    <w:rsid w:val="00747AE8"/>
    <w:rsid w:val="0075102E"/>
    <w:rsid w:val="0075300D"/>
    <w:rsid w:val="00753D1E"/>
    <w:rsid w:val="007645D8"/>
    <w:rsid w:val="0077629C"/>
    <w:rsid w:val="00776982"/>
    <w:rsid w:val="00776D39"/>
    <w:rsid w:val="007779C2"/>
    <w:rsid w:val="00782BED"/>
    <w:rsid w:val="00784E5A"/>
    <w:rsid w:val="00787DDF"/>
    <w:rsid w:val="00790947"/>
    <w:rsid w:val="0079116D"/>
    <w:rsid w:val="00791672"/>
    <w:rsid w:val="00792C20"/>
    <w:rsid w:val="0079353F"/>
    <w:rsid w:val="00795C02"/>
    <w:rsid w:val="00796647"/>
    <w:rsid w:val="007A0083"/>
    <w:rsid w:val="007A65DD"/>
    <w:rsid w:val="007A77FD"/>
    <w:rsid w:val="007B17C8"/>
    <w:rsid w:val="007B2CEC"/>
    <w:rsid w:val="007B2E1E"/>
    <w:rsid w:val="007B3236"/>
    <w:rsid w:val="007B5676"/>
    <w:rsid w:val="007B7041"/>
    <w:rsid w:val="007C31F3"/>
    <w:rsid w:val="007C49E3"/>
    <w:rsid w:val="007D1B20"/>
    <w:rsid w:val="007D3461"/>
    <w:rsid w:val="007D4165"/>
    <w:rsid w:val="007D45FD"/>
    <w:rsid w:val="007D478B"/>
    <w:rsid w:val="007D5C85"/>
    <w:rsid w:val="007D725A"/>
    <w:rsid w:val="007D7509"/>
    <w:rsid w:val="007D76CB"/>
    <w:rsid w:val="007E169D"/>
    <w:rsid w:val="007E1D7C"/>
    <w:rsid w:val="007E2E0A"/>
    <w:rsid w:val="007E3BFC"/>
    <w:rsid w:val="007E541F"/>
    <w:rsid w:val="007F0377"/>
    <w:rsid w:val="007F6630"/>
    <w:rsid w:val="007F67EE"/>
    <w:rsid w:val="007F7281"/>
    <w:rsid w:val="007F795D"/>
    <w:rsid w:val="00802B8A"/>
    <w:rsid w:val="008051D3"/>
    <w:rsid w:val="008063CB"/>
    <w:rsid w:val="008112D4"/>
    <w:rsid w:val="00813866"/>
    <w:rsid w:val="008203E0"/>
    <w:rsid w:val="0082132F"/>
    <w:rsid w:val="008228E3"/>
    <w:rsid w:val="00822CDE"/>
    <w:rsid w:val="008265DD"/>
    <w:rsid w:val="00830652"/>
    <w:rsid w:val="00830C31"/>
    <w:rsid w:val="00836F45"/>
    <w:rsid w:val="00840495"/>
    <w:rsid w:val="008404C4"/>
    <w:rsid w:val="00843F74"/>
    <w:rsid w:val="00845B6D"/>
    <w:rsid w:val="008462BC"/>
    <w:rsid w:val="00851167"/>
    <w:rsid w:val="00851E0E"/>
    <w:rsid w:val="00852C90"/>
    <w:rsid w:val="00852E3A"/>
    <w:rsid w:val="0085531D"/>
    <w:rsid w:val="008567AB"/>
    <w:rsid w:val="00860013"/>
    <w:rsid w:val="00860323"/>
    <w:rsid w:val="008610ED"/>
    <w:rsid w:val="008625E2"/>
    <w:rsid w:val="00865972"/>
    <w:rsid w:val="00870D77"/>
    <w:rsid w:val="00876AE8"/>
    <w:rsid w:val="00884BEE"/>
    <w:rsid w:val="00886CBE"/>
    <w:rsid w:val="00890360"/>
    <w:rsid w:val="00891B44"/>
    <w:rsid w:val="00892921"/>
    <w:rsid w:val="008945A4"/>
    <w:rsid w:val="00895CCB"/>
    <w:rsid w:val="0089785F"/>
    <w:rsid w:val="008A2664"/>
    <w:rsid w:val="008A2692"/>
    <w:rsid w:val="008A49CE"/>
    <w:rsid w:val="008A4BE3"/>
    <w:rsid w:val="008A669C"/>
    <w:rsid w:val="008A6F4F"/>
    <w:rsid w:val="008B077A"/>
    <w:rsid w:val="008B1B1E"/>
    <w:rsid w:val="008B25B6"/>
    <w:rsid w:val="008C3B7D"/>
    <w:rsid w:val="008D03AF"/>
    <w:rsid w:val="008D1CCD"/>
    <w:rsid w:val="008D201C"/>
    <w:rsid w:val="008D229B"/>
    <w:rsid w:val="008D785B"/>
    <w:rsid w:val="008D7D0F"/>
    <w:rsid w:val="008E34DC"/>
    <w:rsid w:val="008F15BF"/>
    <w:rsid w:val="008F3911"/>
    <w:rsid w:val="008F6C8C"/>
    <w:rsid w:val="009013BE"/>
    <w:rsid w:val="00902F2F"/>
    <w:rsid w:val="009071A0"/>
    <w:rsid w:val="0090754D"/>
    <w:rsid w:val="0091245E"/>
    <w:rsid w:val="00912E93"/>
    <w:rsid w:val="009139D1"/>
    <w:rsid w:val="00913B99"/>
    <w:rsid w:val="009161FC"/>
    <w:rsid w:val="009177A9"/>
    <w:rsid w:val="00920184"/>
    <w:rsid w:val="00922E18"/>
    <w:rsid w:val="00926E05"/>
    <w:rsid w:val="00932723"/>
    <w:rsid w:val="00934C54"/>
    <w:rsid w:val="00940203"/>
    <w:rsid w:val="00942B21"/>
    <w:rsid w:val="00945600"/>
    <w:rsid w:val="00950E7E"/>
    <w:rsid w:val="009524FF"/>
    <w:rsid w:val="00954578"/>
    <w:rsid w:val="009548F4"/>
    <w:rsid w:val="00960BA5"/>
    <w:rsid w:val="00960CBD"/>
    <w:rsid w:val="00965DFE"/>
    <w:rsid w:val="00966AFC"/>
    <w:rsid w:val="0097118C"/>
    <w:rsid w:val="00974B37"/>
    <w:rsid w:val="00976293"/>
    <w:rsid w:val="00980D14"/>
    <w:rsid w:val="00985680"/>
    <w:rsid w:val="00986FC5"/>
    <w:rsid w:val="00990DA6"/>
    <w:rsid w:val="009916FB"/>
    <w:rsid w:val="00993BC9"/>
    <w:rsid w:val="00994222"/>
    <w:rsid w:val="0099716E"/>
    <w:rsid w:val="009A00E6"/>
    <w:rsid w:val="009A09E3"/>
    <w:rsid w:val="009A112F"/>
    <w:rsid w:val="009A1DF8"/>
    <w:rsid w:val="009A2190"/>
    <w:rsid w:val="009A2842"/>
    <w:rsid w:val="009A30C0"/>
    <w:rsid w:val="009A4263"/>
    <w:rsid w:val="009A4CFB"/>
    <w:rsid w:val="009B0845"/>
    <w:rsid w:val="009B12B4"/>
    <w:rsid w:val="009B155A"/>
    <w:rsid w:val="009B1848"/>
    <w:rsid w:val="009B1D5C"/>
    <w:rsid w:val="009B71FC"/>
    <w:rsid w:val="009B7F26"/>
    <w:rsid w:val="009C024F"/>
    <w:rsid w:val="009C197C"/>
    <w:rsid w:val="009C24CE"/>
    <w:rsid w:val="009C3C43"/>
    <w:rsid w:val="009C6684"/>
    <w:rsid w:val="009D214D"/>
    <w:rsid w:val="009D35D6"/>
    <w:rsid w:val="009D3B34"/>
    <w:rsid w:val="009D543E"/>
    <w:rsid w:val="009E01F7"/>
    <w:rsid w:val="009E0391"/>
    <w:rsid w:val="009E2F72"/>
    <w:rsid w:val="009E3D56"/>
    <w:rsid w:val="009E4883"/>
    <w:rsid w:val="009E4AED"/>
    <w:rsid w:val="009F4360"/>
    <w:rsid w:val="009F79ED"/>
    <w:rsid w:val="00A02573"/>
    <w:rsid w:val="00A03FBF"/>
    <w:rsid w:val="00A04CF4"/>
    <w:rsid w:val="00A056D4"/>
    <w:rsid w:val="00A06B3A"/>
    <w:rsid w:val="00A10248"/>
    <w:rsid w:val="00A13C8D"/>
    <w:rsid w:val="00A20638"/>
    <w:rsid w:val="00A246D9"/>
    <w:rsid w:val="00A26C52"/>
    <w:rsid w:val="00A2790D"/>
    <w:rsid w:val="00A420CC"/>
    <w:rsid w:val="00A431E2"/>
    <w:rsid w:val="00A462E6"/>
    <w:rsid w:val="00A46932"/>
    <w:rsid w:val="00A503FD"/>
    <w:rsid w:val="00A507AB"/>
    <w:rsid w:val="00A516F1"/>
    <w:rsid w:val="00A549EC"/>
    <w:rsid w:val="00A550DC"/>
    <w:rsid w:val="00A5540A"/>
    <w:rsid w:val="00A56514"/>
    <w:rsid w:val="00A57191"/>
    <w:rsid w:val="00A64B5B"/>
    <w:rsid w:val="00A64C92"/>
    <w:rsid w:val="00A66552"/>
    <w:rsid w:val="00A717E7"/>
    <w:rsid w:val="00A7234A"/>
    <w:rsid w:val="00A732C8"/>
    <w:rsid w:val="00A7345D"/>
    <w:rsid w:val="00A74743"/>
    <w:rsid w:val="00A74AAF"/>
    <w:rsid w:val="00A75DA7"/>
    <w:rsid w:val="00A841A3"/>
    <w:rsid w:val="00A8477A"/>
    <w:rsid w:val="00A853BD"/>
    <w:rsid w:val="00A85973"/>
    <w:rsid w:val="00A8599F"/>
    <w:rsid w:val="00A86F22"/>
    <w:rsid w:val="00A87BE4"/>
    <w:rsid w:val="00A87DE0"/>
    <w:rsid w:val="00A9035C"/>
    <w:rsid w:val="00A9127B"/>
    <w:rsid w:val="00A92A10"/>
    <w:rsid w:val="00A936EE"/>
    <w:rsid w:val="00A962E2"/>
    <w:rsid w:val="00AA1842"/>
    <w:rsid w:val="00AA24B3"/>
    <w:rsid w:val="00AA6B83"/>
    <w:rsid w:val="00AB47E2"/>
    <w:rsid w:val="00AB66CA"/>
    <w:rsid w:val="00AB733C"/>
    <w:rsid w:val="00AC5FAA"/>
    <w:rsid w:val="00AC66F3"/>
    <w:rsid w:val="00AC7DA9"/>
    <w:rsid w:val="00AD2557"/>
    <w:rsid w:val="00AD31F0"/>
    <w:rsid w:val="00AD39ED"/>
    <w:rsid w:val="00AD3AB3"/>
    <w:rsid w:val="00AD7015"/>
    <w:rsid w:val="00AD7C5A"/>
    <w:rsid w:val="00AE10EF"/>
    <w:rsid w:val="00AE2475"/>
    <w:rsid w:val="00AE598A"/>
    <w:rsid w:val="00AE5B53"/>
    <w:rsid w:val="00AE5BC6"/>
    <w:rsid w:val="00AE65A1"/>
    <w:rsid w:val="00AF152D"/>
    <w:rsid w:val="00AF1A1C"/>
    <w:rsid w:val="00B01E03"/>
    <w:rsid w:val="00B02829"/>
    <w:rsid w:val="00B05179"/>
    <w:rsid w:val="00B06097"/>
    <w:rsid w:val="00B11B52"/>
    <w:rsid w:val="00B156C4"/>
    <w:rsid w:val="00B23A09"/>
    <w:rsid w:val="00B26DBA"/>
    <w:rsid w:val="00B277CA"/>
    <w:rsid w:val="00B32AE8"/>
    <w:rsid w:val="00B36F82"/>
    <w:rsid w:val="00B37498"/>
    <w:rsid w:val="00B3755C"/>
    <w:rsid w:val="00B415AE"/>
    <w:rsid w:val="00B41C09"/>
    <w:rsid w:val="00B4295D"/>
    <w:rsid w:val="00B46972"/>
    <w:rsid w:val="00B50D06"/>
    <w:rsid w:val="00B549B0"/>
    <w:rsid w:val="00B56B59"/>
    <w:rsid w:val="00B6079B"/>
    <w:rsid w:val="00B61D1C"/>
    <w:rsid w:val="00B62DFD"/>
    <w:rsid w:val="00B6351A"/>
    <w:rsid w:val="00B63777"/>
    <w:rsid w:val="00B668C0"/>
    <w:rsid w:val="00B66F85"/>
    <w:rsid w:val="00B70699"/>
    <w:rsid w:val="00B744C4"/>
    <w:rsid w:val="00B757C6"/>
    <w:rsid w:val="00B817AF"/>
    <w:rsid w:val="00B82BB6"/>
    <w:rsid w:val="00B82E9E"/>
    <w:rsid w:val="00B87AAA"/>
    <w:rsid w:val="00B9010D"/>
    <w:rsid w:val="00B927E9"/>
    <w:rsid w:val="00B9379B"/>
    <w:rsid w:val="00B9528F"/>
    <w:rsid w:val="00B952AC"/>
    <w:rsid w:val="00B97850"/>
    <w:rsid w:val="00BA0BC0"/>
    <w:rsid w:val="00BA46BC"/>
    <w:rsid w:val="00BA46F2"/>
    <w:rsid w:val="00BA6776"/>
    <w:rsid w:val="00BA6961"/>
    <w:rsid w:val="00BA72AB"/>
    <w:rsid w:val="00BB182F"/>
    <w:rsid w:val="00BB1F38"/>
    <w:rsid w:val="00BB326D"/>
    <w:rsid w:val="00BB6773"/>
    <w:rsid w:val="00BB68D3"/>
    <w:rsid w:val="00BC1D97"/>
    <w:rsid w:val="00BC1E8F"/>
    <w:rsid w:val="00BC2C1B"/>
    <w:rsid w:val="00BC329C"/>
    <w:rsid w:val="00BC584D"/>
    <w:rsid w:val="00BC7797"/>
    <w:rsid w:val="00BD3472"/>
    <w:rsid w:val="00BD48D1"/>
    <w:rsid w:val="00BD62C4"/>
    <w:rsid w:val="00BE3742"/>
    <w:rsid w:val="00BE4EED"/>
    <w:rsid w:val="00BE5E59"/>
    <w:rsid w:val="00BE64ED"/>
    <w:rsid w:val="00BF055D"/>
    <w:rsid w:val="00BF0C8E"/>
    <w:rsid w:val="00BF13E1"/>
    <w:rsid w:val="00BF33BE"/>
    <w:rsid w:val="00BF431D"/>
    <w:rsid w:val="00BF5EAD"/>
    <w:rsid w:val="00C00054"/>
    <w:rsid w:val="00C00260"/>
    <w:rsid w:val="00C0049C"/>
    <w:rsid w:val="00C00AC7"/>
    <w:rsid w:val="00C03ECC"/>
    <w:rsid w:val="00C077AE"/>
    <w:rsid w:val="00C078DD"/>
    <w:rsid w:val="00C15AD7"/>
    <w:rsid w:val="00C16704"/>
    <w:rsid w:val="00C24AE0"/>
    <w:rsid w:val="00C278AC"/>
    <w:rsid w:val="00C27FC4"/>
    <w:rsid w:val="00C33ADB"/>
    <w:rsid w:val="00C344CF"/>
    <w:rsid w:val="00C364CE"/>
    <w:rsid w:val="00C3666C"/>
    <w:rsid w:val="00C42999"/>
    <w:rsid w:val="00C43B61"/>
    <w:rsid w:val="00C46F4E"/>
    <w:rsid w:val="00C50556"/>
    <w:rsid w:val="00C50E28"/>
    <w:rsid w:val="00C518EA"/>
    <w:rsid w:val="00C529E4"/>
    <w:rsid w:val="00C54198"/>
    <w:rsid w:val="00C567B7"/>
    <w:rsid w:val="00C56E17"/>
    <w:rsid w:val="00C61D6F"/>
    <w:rsid w:val="00C62ECA"/>
    <w:rsid w:val="00C7076B"/>
    <w:rsid w:val="00C717EC"/>
    <w:rsid w:val="00C75196"/>
    <w:rsid w:val="00C7795B"/>
    <w:rsid w:val="00C77A42"/>
    <w:rsid w:val="00C8074F"/>
    <w:rsid w:val="00C80D5A"/>
    <w:rsid w:val="00C82EE5"/>
    <w:rsid w:val="00C943C4"/>
    <w:rsid w:val="00C94B08"/>
    <w:rsid w:val="00C95967"/>
    <w:rsid w:val="00C95CCA"/>
    <w:rsid w:val="00CA735F"/>
    <w:rsid w:val="00CB014B"/>
    <w:rsid w:val="00CB1D41"/>
    <w:rsid w:val="00CB6983"/>
    <w:rsid w:val="00CC16E0"/>
    <w:rsid w:val="00CC24FE"/>
    <w:rsid w:val="00CC40C1"/>
    <w:rsid w:val="00CC4599"/>
    <w:rsid w:val="00CC46D5"/>
    <w:rsid w:val="00CC6C52"/>
    <w:rsid w:val="00CD16EB"/>
    <w:rsid w:val="00CD444E"/>
    <w:rsid w:val="00CD7D5F"/>
    <w:rsid w:val="00CE1CC4"/>
    <w:rsid w:val="00CE386D"/>
    <w:rsid w:val="00CE5A43"/>
    <w:rsid w:val="00CE668C"/>
    <w:rsid w:val="00CF0EC3"/>
    <w:rsid w:val="00CF13F2"/>
    <w:rsid w:val="00CF153F"/>
    <w:rsid w:val="00CF169B"/>
    <w:rsid w:val="00CF1C68"/>
    <w:rsid w:val="00CF3033"/>
    <w:rsid w:val="00CF37B5"/>
    <w:rsid w:val="00CF3F1E"/>
    <w:rsid w:val="00CF53E6"/>
    <w:rsid w:val="00CF5AB4"/>
    <w:rsid w:val="00CF63CA"/>
    <w:rsid w:val="00CF6EDA"/>
    <w:rsid w:val="00D04159"/>
    <w:rsid w:val="00D05DE1"/>
    <w:rsid w:val="00D07838"/>
    <w:rsid w:val="00D07E34"/>
    <w:rsid w:val="00D10FD8"/>
    <w:rsid w:val="00D119F1"/>
    <w:rsid w:val="00D11AEF"/>
    <w:rsid w:val="00D14E57"/>
    <w:rsid w:val="00D15950"/>
    <w:rsid w:val="00D15EA4"/>
    <w:rsid w:val="00D226F4"/>
    <w:rsid w:val="00D25347"/>
    <w:rsid w:val="00D30C37"/>
    <w:rsid w:val="00D32885"/>
    <w:rsid w:val="00D32B2D"/>
    <w:rsid w:val="00D33281"/>
    <w:rsid w:val="00D336E1"/>
    <w:rsid w:val="00D34A01"/>
    <w:rsid w:val="00D366E5"/>
    <w:rsid w:val="00D422D7"/>
    <w:rsid w:val="00D42582"/>
    <w:rsid w:val="00D441E3"/>
    <w:rsid w:val="00D470F1"/>
    <w:rsid w:val="00D51FCF"/>
    <w:rsid w:val="00D55A2A"/>
    <w:rsid w:val="00D5720E"/>
    <w:rsid w:val="00D6049A"/>
    <w:rsid w:val="00D61EFB"/>
    <w:rsid w:val="00D64D11"/>
    <w:rsid w:val="00D67522"/>
    <w:rsid w:val="00D7000F"/>
    <w:rsid w:val="00D70109"/>
    <w:rsid w:val="00D705AC"/>
    <w:rsid w:val="00D708C3"/>
    <w:rsid w:val="00D71557"/>
    <w:rsid w:val="00D72B6C"/>
    <w:rsid w:val="00D7339C"/>
    <w:rsid w:val="00D74828"/>
    <w:rsid w:val="00D7497C"/>
    <w:rsid w:val="00D75EA9"/>
    <w:rsid w:val="00D7682D"/>
    <w:rsid w:val="00D8293C"/>
    <w:rsid w:val="00D83765"/>
    <w:rsid w:val="00D83A9B"/>
    <w:rsid w:val="00D849FA"/>
    <w:rsid w:val="00D8643F"/>
    <w:rsid w:val="00D86D12"/>
    <w:rsid w:val="00D92BB4"/>
    <w:rsid w:val="00D9410A"/>
    <w:rsid w:val="00D9545A"/>
    <w:rsid w:val="00DA0CAC"/>
    <w:rsid w:val="00DA64FF"/>
    <w:rsid w:val="00DA6A98"/>
    <w:rsid w:val="00DB317C"/>
    <w:rsid w:val="00DB606C"/>
    <w:rsid w:val="00DB6E46"/>
    <w:rsid w:val="00DB757B"/>
    <w:rsid w:val="00DB7667"/>
    <w:rsid w:val="00DB7E4D"/>
    <w:rsid w:val="00DD2BD7"/>
    <w:rsid w:val="00DE2AA9"/>
    <w:rsid w:val="00DE5098"/>
    <w:rsid w:val="00DE5904"/>
    <w:rsid w:val="00DE7424"/>
    <w:rsid w:val="00DE7660"/>
    <w:rsid w:val="00DF114F"/>
    <w:rsid w:val="00DF4A37"/>
    <w:rsid w:val="00DF5F2F"/>
    <w:rsid w:val="00DF7095"/>
    <w:rsid w:val="00E03369"/>
    <w:rsid w:val="00E03846"/>
    <w:rsid w:val="00E10F1F"/>
    <w:rsid w:val="00E10F9A"/>
    <w:rsid w:val="00E10FC4"/>
    <w:rsid w:val="00E12900"/>
    <w:rsid w:val="00E132B3"/>
    <w:rsid w:val="00E134A8"/>
    <w:rsid w:val="00E14045"/>
    <w:rsid w:val="00E155F6"/>
    <w:rsid w:val="00E215A0"/>
    <w:rsid w:val="00E24AAE"/>
    <w:rsid w:val="00E24DAC"/>
    <w:rsid w:val="00E3017C"/>
    <w:rsid w:val="00E35C14"/>
    <w:rsid w:val="00E35C4B"/>
    <w:rsid w:val="00E3689A"/>
    <w:rsid w:val="00E42240"/>
    <w:rsid w:val="00E44E00"/>
    <w:rsid w:val="00E51AB2"/>
    <w:rsid w:val="00E5254E"/>
    <w:rsid w:val="00E54444"/>
    <w:rsid w:val="00E54B2C"/>
    <w:rsid w:val="00E55286"/>
    <w:rsid w:val="00E61DE6"/>
    <w:rsid w:val="00E63529"/>
    <w:rsid w:val="00E64FE9"/>
    <w:rsid w:val="00E66FB4"/>
    <w:rsid w:val="00E67EEE"/>
    <w:rsid w:val="00E73F7A"/>
    <w:rsid w:val="00E74CA6"/>
    <w:rsid w:val="00E80336"/>
    <w:rsid w:val="00E83949"/>
    <w:rsid w:val="00E846DA"/>
    <w:rsid w:val="00E855D2"/>
    <w:rsid w:val="00E875D0"/>
    <w:rsid w:val="00E90E05"/>
    <w:rsid w:val="00E910D1"/>
    <w:rsid w:val="00E91354"/>
    <w:rsid w:val="00EA245D"/>
    <w:rsid w:val="00EA2E07"/>
    <w:rsid w:val="00EA306B"/>
    <w:rsid w:val="00EA4519"/>
    <w:rsid w:val="00EA53FC"/>
    <w:rsid w:val="00EA7174"/>
    <w:rsid w:val="00EB06A4"/>
    <w:rsid w:val="00EB34F2"/>
    <w:rsid w:val="00EB3F65"/>
    <w:rsid w:val="00EB42F3"/>
    <w:rsid w:val="00EB4E8E"/>
    <w:rsid w:val="00EB6422"/>
    <w:rsid w:val="00EC36FB"/>
    <w:rsid w:val="00EC65C2"/>
    <w:rsid w:val="00ED10E0"/>
    <w:rsid w:val="00ED18CA"/>
    <w:rsid w:val="00ED69E1"/>
    <w:rsid w:val="00ED77AB"/>
    <w:rsid w:val="00EE12F9"/>
    <w:rsid w:val="00EE1B4A"/>
    <w:rsid w:val="00EE28A0"/>
    <w:rsid w:val="00EE3609"/>
    <w:rsid w:val="00EE5A0A"/>
    <w:rsid w:val="00EE5DD0"/>
    <w:rsid w:val="00EF1869"/>
    <w:rsid w:val="00EF2257"/>
    <w:rsid w:val="00EF2B20"/>
    <w:rsid w:val="00F02459"/>
    <w:rsid w:val="00F03D43"/>
    <w:rsid w:val="00F0497E"/>
    <w:rsid w:val="00F076E4"/>
    <w:rsid w:val="00F07C4A"/>
    <w:rsid w:val="00F07FCF"/>
    <w:rsid w:val="00F101D2"/>
    <w:rsid w:val="00F14796"/>
    <w:rsid w:val="00F16325"/>
    <w:rsid w:val="00F172DB"/>
    <w:rsid w:val="00F22A82"/>
    <w:rsid w:val="00F26034"/>
    <w:rsid w:val="00F2731B"/>
    <w:rsid w:val="00F27456"/>
    <w:rsid w:val="00F379E9"/>
    <w:rsid w:val="00F43538"/>
    <w:rsid w:val="00F463E6"/>
    <w:rsid w:val="00F501AE"/>
    <w:rsid w:val="00F50975"/>
    <w:rsid w:val="00F51B61"/>
    <w:rsid w:val="00F52B8F"/>
    <w:rsid w:val="00F5706B"/>
    <w:rsid w:val="00F653E0"/>
    <w:rsid w:val="00F666F3"/>
    <w:rsid w:val="00F67B9F"/>
    <w:rsid w:val="00F67D0B"/>
    <w:rsid w:val="00F71D7A"/>
    <w:rsid w:val="00F75C70"/>
    <w:rsid w:val="00F760A5"/>
    <w:rsid w:val="00F77D0B"/>
    <w:rsid w:val="00F80128"/>
    <w:rsid w:val="00F8330A"/>
    <w:rsid w:val="00F8344C"/>
    <w:rsid w:val="00F85D97"/>
    <w:rsid w:val="00F92202"/>
    <w:rsid w:val="00F92D09"/>
    <w:rsid w:val="00F97866"/>
    <w:rsid w:val="00FA009F"/>
    <w:rsid w:val="00FA23B5"/>
    <w:rsid w:val="00FA250F"/>
    <w:rsid w:val="00FA5CF6"/>
    <w:rsid w:val="00FA6985"/>
    <w:rsid w:val="00FB0C80"/>
    <w:rsid w:val="00FB17A0"/>
    <w:rsid w:val="00FB33B4"/>
    <w:rsid w:val="00FB3BF6"/>
    <w:rsid w:val="00FB43BD"/>
    <w:rsid w:val="00FB56A4"/>
    <w:rsid w:val="00FB5A03"/>
    <w:rsid w:val="00FB7BA9"/>
    <w:rsid w:val="00FC0066"/>
    <w:rsid w:val="00FC0EAE"/>
    <w:rsid w:val="00FC37CB"/>
    <w:rsid w:val="00FC5DEF"/>
    <w:rsid w:val="00FD6F84"/>
    <w:rsid w:val="00FE0899"/>
    <w:rsid w:val="00FE3713"/>
    <w:rsid w:val="00FE5B31"/>
    <w:rsid w:val="00FE7036"/>
    <w:rsid w:val="00FE75C6"/>
    <w:rsid w:val="00FE7AAF"/>
    <w:rsid w:val="00FF1227"/>
    <w:rsid w:val="00FF3ECD"/>
    <w:rsid w:val="00FF46D1"/>
    <w:rsid w:val="37DC39F4"/>
  </w:rsids>
  <w:docVars>
    <w:docVar w:name="commondata" w:val="eyJoZGlkIjoiNzgyYjI0MGRkMmY4NDE0YjgxYzdjMzBiNDQ0OTk1Mm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qFormat="1"/>
    <w:lsdException w:name="toc 2" w:semiHidden="0" w:uiPriority="39" w:qFormat="1"/>
    <w:lsdException w:name="toc 3" w:semiHidden="0" w:uiPriority="39" w:qFormat="1"/>
    <w:lsdException w:name="toc 4" w:semiHidden="0" w:uiPriority="39"/>
    <w:lsdException w:name="toc 5" w:semiHidden="0" w:uiPriority="39"/>
    <w:lsdException w:name="toc 6" w:semiHidden="0" w:uiPriority="39"/>
    <w:lsdException w:name="toc 7" w:semiHidden="0" w:uiPriority="39"/>
    <w:lsdException w:name="toc 8" w:semiHidden="0" w:uiPriority="39"/>
    <w:lsdException w:name="toc 9" w:semiHidden="0" w:uiPriority="39"/>
    <w:lsdException w:name="Normal Indent" w:semiHidden="0" w:uiPriority="0" w:unhideWhenUsed="0"/>
    <w:lsdException w:name="footnote text" w:semiHidden="0"/>
    <w:lsdException w:name="annotation text" w:unhideWhenUsed="0" w:qFormat="1"/>
    <w:lsdException w:name="header" w:semiHidden="0" w:unhideWhenUsed="0"/>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lsdException w:name="annotation reference" w:unhideWhenUsed="0"/>
    <w:lsdException w:name="line number" w:semiHidden="0" w:uiPriority="0" w:unhideWhenUsed="0"/>
    <w:lsdException w:name="page number" w:semiHidden="0" w:uiPriority="0" w:unhideWhenUsed="0"/>
    <w:lsdException w:name="endnote reference" w:semiHidden="0"/>
    <w:lsdException w:name="endnote text" w:semiHidden="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qFormat="1"/>
    <w:lsdException w:name="Body Text Indent 3" w:semiHidden="0" w:uiPriority="0" w:unhideWhenUsed="0"/>
    <w:lsdException w:name="Block Text" w:semiHidden="0" w:uiPriority="0" w:unhideWhenUsed="0"/>
    <w:lsdException w:name="Hyperlink" w:semiHidden="0"/>
    <w:lsdException w:name="FollowedHyperlink" w:semiHidden="0" w:uiPriority="0" w:unhideWhenUsed="0"/>
    <w:lsdException w:name="Strong" w:semiHidden="0" w:uiPriority="22" w:unhideWhenUsed="0" w:qFormat="1"/>
    <w:lsdException w:name="Emphasis" w:semiHidden="0" w:uiPriority="2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nhideWhenUsed="0" w:qFormat="1"/>
    <w:lsdException w:name="Table Grid" w:semiHidden="0" w:uiPriority="59" w:unhideWhenUsed="0" w:qFormat="1"/>
    <w:lsdException w:name="Table Theme" w:uiPriority="0"/>
    <w:lsdException w:name="Placeholder Text"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
    <w:autoRedefine/>
    <w:uiPriority w:val="9"/>
    <w:qFormat/>
    <w:pPr>
      <w:keepNext/>
      <w:keepLines/>
      <w:widowControl/>
      <w:spacing w:before="340" w:after="330" w:line="578" w:lineRule="auto"/>
      <w:outlineLvl w:val="0"/>
    </w:pPr>
    <w:rPr>
      <w:rFonts w:ascii="Arial" w:hAnsi="Arial"/>
      <w:b/>
      <w:bCs/>
      <w:kern w:val="44"/>
      <w:sz w:val="44"/>
      <w:szCs w:val="44"/>
      <w:lang w:val="zh-CN"/>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TOC7">
    <w:name w:val="toc 7"/>
    <w:basedOn w:val="Normal"/>
    <w:next w:val="Normal"/>
    <w:autoRedefine/>
    <w:uiPriority w:val="39"/>
    <w:unhideWhenUsed/>
    <w:pPr>
      <w:widowControl/>
      <w:spacing w:line="360" w:lineRule="auto"/>
      <w:ind w:left="2520" w:leftChars="1200"/>
    </w:pPr>
    <w:rPr>
      <w:rFonts w:ascii="Calibri" w:hAnsi="Calibri"/>
      <w:szCs w:val="22"/>
      <w:lang w:val="zh-CN"/>
    </w:rPr>
  </w:style>
  <w:style w:type="paragraph" w:styleId="CommentText">
    <w:name w:val="annotation text"/>
    <w:basedOn w:val="Normal"/>
    <w:link w:val="a5"/>
    <w:autoRedefine/>
    <w:uiPriority w:val="99"/>
    <w:semiHidden/>
    <w:qFormat/>
    <w:pPr>
      <w:jc w:val="left"/>
    </w:pPr>
  </w:style>
  <w:style w:type="paragraph" w:styleId="BodyTextIndent">
    <w:name w:val="Body Text Indent"/>
    <w:basedOn w:val="Normal"/>
    <w:link w:val="a1"/>
    <w:autoRedefine/>
    <w:qFormat/>
    <w:pPr>
      <w:ind w:firstLine="435" w:firstLineChars="207"/>
    </w:pPr>
  </w:style>
  <w:style w:type="paragraph" w:styleId="TOC5">
    <w:name w:val="toc 5"/>
    <w:basedOn w:val="Normal"/>
    <w:next w:val="Normal"/>
    <w:autoRedefine/>
    <w:uiPriority w:val="39"/>
    <w:unhideWhenUsed/>
    <w:pPr>
      <w:widowControl/>
      <w:spacing w:line="360" w:lineRule="auto"/>
      <w:ind w:left="1680" w:leftChars="800"/>
    </w:pPr>
    <w:rPr>
      <w:rFonts w:ascii="Calibri" w:hAnsi="Calibri"/>
      <w:szCs w:val="22"/>
      <w:lang w:val="zh-CN"/>
    </w:rPr>
  </w:style>
  <w:style w:type="paragraph" w:styleId="TOC3">
    <w:name w:val="toc 3"/>
    <w:basedOn w:val="Normal"/>
    <w:next w:val="Normal"/>
    <w:autoRedefine/>
    <w:uiPriority w:val="39"/>
    <w:unhideWhenUsed/>
    <w:qFormat/>
    <w:pPr>
      <w:widowControl/>
      <w:spacing w:line="360" w:lineRule="auto"/>
      <w:ind w:left="840" w:leftChars="400"/>
    </w:pPr>
    <w:rPr>
      <w:rFonts w:ascii="Arial" w:hAnsi="Arial"/>
      <w:szCs w:val="22"/>
      <w:lang w:val="zh-CN"/>
    </w:rPr>
  </w:style>
  <w:style w:type="paragraph" w:styleId="TOC8">
    <w:name w:val="toc 8"/>
    <w:basedOn w:val="Normal"/>
    <w:next w:val="Normal"/>
    <w:autoRedefine/>
    <w:uiPriority w:val="39"/>
    <w:unhideWhenUsed/>
    <w:pPr>
      <w:widowControl/>
      <w:spacing w:line="360" w:lineRule="auto"/>
      <w:ind w:left="2940" w:leftChars="1400"/>
    </w:pPr>
    <w:rPr>
      <w:rFonts w:ascii="Calibri" w:hAnsi="Calibri"/>
      <w:szCs w:val="22"/>
      <w:lang w:val="zh-CN"/>
    </w:rPr>
  </w:style>
  <w:style w:type="paragraph" w:styleId="Date">
    <w:name w:val="Date"/>
    <w:basedOn w:val="Normal"/>
    <w:next w:val="Normal"/>
    <w:link w:val="a15"/>
    <w:uiPriority w:val="99"/>
    <w:pPr>
      <w:ind w:left="100" w:leftChars="2500"/>
    </w:pPr>
  </w:style>
  <w:style w:type="paragraph" w:styleId="BodyTextIndent2">
    <w:name w:val="Body Text Indent 2"/>
    <w:basedOn w:val="Normal"/>
    <w:autoRedefine/>
    <w:qFormat/>
    <w:pPr>
      <w:ind w:firstLine="10270" w:firstLineChars="1975"/>
    </w:pPr>
    <w:rPr>
      <w:rFonts w:ascii="宋体"/>
      <w:sz w:val="52"/>
    </w:rPr>
  </w:style>
  <w:style w:type="paragraph" w:styleId="EndnoteText">
    <w:name w:val="endnote text"/>
    <w:basedOn w:val="Normal"/>
    <w:link w:val="a4"/>
    <w:uiPriority w:val="99"/>
    <w:unhideWhenUsed/>
    <w:pPr>
      <w:widowControl/>
      <w:snapToGrid w:val="0"/>
      <w:spacing w:line="360" w:lineRule="auto"/>
      <w:jc w:val="left"/>
    </w:pPr>
    <w:rPr>
      <w:rFonts w:ascii="Arial" w:hAnsi="Arial"/>
      <w:szCs w:val="22"/>
      <w:lang w:val="zh-CN"/>
    </w:rPr>
  </w:style>
  <w:style w:type="paragraph" w:styleId="BalloonText">
    <w:name w:val="Balloon Text"/>
    <w:basedOn w:val="Normal"/>
    <w:link w:val="a2"/>
    <w:autoRedefine/>
    <w:uiPriority w:val="99"/>
    <w:semiHidden/>
    <w:qFormat/>
    <w:rPr>
      <w:sz w:val="18"/>
      <w:szCs w:val="18"/>
    </w:rPr>
  </w:style>
  <w:style w:type="paragraph" w:styleId="Footer">
    <w:name w:val="footer"/>
    <w:basedOn w:val="Normal"/>
    <w:link w:val="a"/>
    <w:autoRedefine/>
    <w:qFormat/>
    <w:pPr>
      <w:tabs>
        <w:tab w:val="center" w:pos="4153"/>
        <w:tab w:val="right" w:pos="8306"/>
      </w:tabs>
      <w:snapToGrid w:val="0"/>
      <w:jc w:val="left"/>
    </w:pPr>
    <w:rPr>
      <w:sz w:val="18"/>
      <w:szCs w:val="18"/>
    </w:rPr>
  </w:style>
  <w:style w:type="paragraph" w:styleId="Header">
    <w:name w:val="header"/>
    <w:basedOn w:val="Normal"/>
    <w:link w:val="a0"/>
    <w:uiPriority w:val="99"/>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pPr>
      <w:widowControl/>
      <w:tabs>
        <w:tab w:val="right" w:leader="dot" w:pos="9497"/>
      </w:tabs>
      <w:spacing w:line="360" w:lineRule="auto"/>
      <w:jc w:val="center"/>
    </w:pPr>
    <w:rPr>
      <w:rFonts w:ascii="黑体" w:eastAsia="黑体" w:hAnsi="黑体"/>
      <w:sz w:val="44"/>
      <w:szCs w:val="44"/>
      <w:lang w:val="zh-CN"/>
    </w:rPr>
  </w:style>
  <w:style w:type="paragraph" w:styleId="TOC4">
    <w:name w:val="toc 4"/>
    <w:basedOn w:val="Normal"/>
    <w:next w:val="Normal"/>
    <w:autoRedefine/>
    <w:uiPriority w:val="39"/>
    <w:unhideWhenUsed/>
    <w:pPr>
      <w:widowControl/>
      <w:spacing w:line="360" w:lineRule="auto"/>
      <w:ind w:left="1260" w:leftChars="600"/>
    </w:pPr>
    <w:rPr>
      <w:rFonts w:ascii="Calibri" w:hAnsi="Calibri"/>
      <w:szCs w:val="22"/>
      <w:lang w:val="zh-CN"/>
    </w:rPr>
  </w:style>
  <w:style w:type="paragraph" w:styleId="FootnoteText">
    <w:name w:val="footnote text"/>
    <w:basedOn w:val="Normal"/>
    <w:link w:val="a3"/>
    <w:uiPriority w:val="99"/>
    <w:unhideWhenUsed/>
    <w:pPr>
      <w:widowControl/>
      <w:snapToGrid w:val="0"/>
      <w:spacing w:line="360" w:lineRule="auto"/>
      <w:jc w:val="left"/>
    </w:pPr>
    <w:rPr>
      <w:rFonts w:ascii="Arial" w:hAnsi="Arial"/>
      <w:sz w:val="18"/>
      <w:szCs w:val="18"/>
      <w:lang w:val="zh-CN"/>
    </w:rPr>
  </w:style>
  <w:style w:type="paragraph" w:styleId="TOC6">
    <w:name w:val="toc 6"/>
    <w:basedOn w:val="Normal"/>
    <w:next w:val="Normal"/>
    <w:autoRedefine/>
    <w:uiPriority w:val="39"/>
    <w:unhideWhenUsed/>
    <w:pPr>
      <w:widowControl/>
      <w:spacing w:line="360" w:lineRule="auto"/>
      <w:ind w:left="2100" w:leftChars="1000"/>
    </w:pPr>
    <w:rPr>
      <w:rFonts w:ascii="Calibri" w:hAnsi="Calibri"/>
      <w:szCs w:val="22"/>
      <w:lang w:val="zh-CN"/>
    </w:rPr>
  </w:style>
  <w:style w:type="paragraph" w:styleId="BodyTextIndent3">
    <w:name w:val="Body Text Indent 3"/>
    <w:basedOn w:val="Normal"/>
    <w:pPr>
      <w:ind w:firstLine="435"/>
    </w:pPr>
    <w:rPr>
      <w:color w:val="0000FF"/>
    </w:rPr>
  </w:style>
  <w:style w:type="paragraph" w:styleId="TOC2">
    <w:name w:val="toc 2"/>
    <w:basedOn w:val="Normal"/>
    <w:next w:val="Normal"/>
    <w:autoRedefine/>
    <w:uiPriority w:val="39"/>
    <w:unhideWhenUsed/>
    <w:qFormat/>
    <w:pPr>
      <w:widowControl/>
      <w:spacing w:line="360" w:lineRule="auto"/>
      <w:ind w:left="420" w:leftChars="200"/>
    </w:pPr>
    <w:rPr>
      <w:rFonts w:ascii="Arial" w:hAnsi="Arial"/>
      <w:szCs w:val="22"/>
      <w:lang w:val="zh-CN"/>
    </w:rPr>
  </w:style>
  <w:style w:type="paragraph" w:styleId="TOC9">
    <w:name w:val="toc 9"/>
    <w:basedOn w:val="Normal"/>
    <w:next w:val="Normal"/>
    <w:autoRedefine/>
    <w:uiPriority w:val="39"/>
    <w:unhideWhenUsed/>
    <w:pPr>
      <w:widowControl/>
      <w:spacing w:line="360" w:lineRule="auto"/>
      <w:ind w:left="3360" w:leftChars="1600"/>
    </w:pPr>
    <w:rPr>
      <w:rFonts w:ascii="Calibri" w:hAnsi="Calibri"/>
      <w:szCs w:val="22"/>
      <w:lang w:val="zh-CN"/>
    </w:rPr>
  </w:style>
  <w:style w:type="paragraph" w:styleId="CommentSubject">
    <w:name w:val="annotation subject"/>
    <w:basedOn w:val="CommentText"/>
    <w:next w:val="CommentText"/>
    <w:link w:val="a6"/>
    <w:autoRedefine/>
    <w:uiPriority w:val="99"/>
    <w:semiHidden/>
    <w:qFormat/>
    <w:rPr>
      <w:b/>
      <w:bCs/>
    </w:rPr>
  </w:style>
  <w:style w:type="table" w:styleId="TableGrid">
    <w:name w:val="Table Grid"/>
    <w:basedOn w:val="TableNormal"/>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style>
  <w:style w:type="character" w:styleId="EndnoteReference">
    <w:name w:val="endnote reference"/>
    <w:uiPriority w:val="99"/>
    <w:unhideWhenUsed/>
    <w:rPr>
      <w:vertAlign w:val="superscript"/>
      <w:lang w:val="zh-CN" w:eastAsia="zh-CN"/>
    </w:rPr>
  </w:style>
  <w:style w:type="character" w:styleId="PageNumber">
    <w:name w:val="page number"/>
    <w:basedOn w:val="DefaultParagraphFont"/>
  </w:style>
  <w:style w:type="character" w:styleId="Emphasis">
    <w:name w:val="Emphasis"/>
    <w:basedOn w:val="DefaultParagraphFont"/>
    <w:uiPriority w:val="20"/>
    <w:qFormat/>
    <w:rPr>
      <w:i/>
      <w:iCs/>
    </w:rPr>
  </w:style>
  <w:style w:type="character" w:styleId="Hyperlink">
    <w:name w:val="Hyperlink"/>
    <w:uiPriority w:val="99"/>
    <w:unhideWhenUsed/>
    <w:rPr>
      <w:color w:val="0000FF"/>
      <w:u w:val="single"/>
      <w:lang w:val="zh-CN" w:eastAsia="zh-CN"/>
    </w:rPr>
  </w:style>
  <w:style w:type="character" w:styleId="CommentReference">
    <w:name w:val="annotation reference"/>
    <w:uiPriority w:val="99"/>
    <w:semiHidden/>
    <w:rPr>
      <w:sz w:val="21"/>
      <w:szCs w:val="21"/>
    </w:rPr>
  </w:style>
  <w:style w:type="character" w:styleId="FootnoteReference">
    <w:name w:val="footnote reference"/>
    <w:uiPriority w:val="99"/>
    <w:unhideWhenUsed/>
    <w:rPr>
      <w:vertAlign w:val="superscript"/>
      <w:lang w:val="zh-CN" w:eastAsia="zh-CN"/>
    </w:rPr>
  </w:style>
  <w:style w:type="character" w:customStyle="1" w:styleId="a">
    <w:name w:val="页脚 字符"/>
    <w:link w:val="Footer"/>
    <w:autoRedefine/>
    <w:uiPriority w:val="99"/>
    <w:qFormat/>
    <w:rPr>
      <w:kern w:val="2"/>
      <w:sz w:val="18"/>
      <w:szCs w:val="18"/>
    </w:rPr>
  </w:style>
  <w:style w:type="character" w:customStyle="1" w:styleId="1">
    <w:name w:val="标题 1 字符"/>
    <w:basedOn w:val="DefaultParagraphFont"/>
    <w:link w:val="Heading1"/>
    <w:uiPriority w:val="9"/>
    <w:rPr>
      <w:rFonts w:ascii="Arial" w:hAnsi="Arial"/>
      <w:b/>
      <w:bCs/>
      <w:kern w:val="44"/>
      <w:sz w:val="44"/>
      <w:szCs w:val="44"/>
      <w:lang w:val="zh-CN"/>
    </w:rPr>
  </w:style>
  <w:style w:type="character" w:customStyle="1" w:styleId="a0">
    <w:name w:val="页眉 字符"/>
    <w:basedOn w:val="DefaultParagraphFont"/>
    <w:link w:val="Header"/>
    <w:uiPriority w:val="99"/>
    <w:rPr>
      <w:kern w:val="2"/>
      <w:sz w:val="18"/>
      <w:szCs w:val="18"/>
    </w:rPr>
  </w:style>
  <w:style w:type="character" w:customStyle="1" w:styleId="a1">
    <w:name w:val="正文文本缩进 字符"/>
    <w:basedOn w:val="DefaultParagraphFont"/>
    <w:link w:val="BodyTextIndent"/>
    <w:rPr>
      <w:kern w:val="2"/>
      <w:sz w:val="21"/>
      <w:szCs w:val="24"/>
    </w:rPr>
  </w:style>
  <w:style w:type="character" w:customStyle="1" w:styleId="high-light-bg4">
    <w:name w:val="high-light-bg4"/>
  </w:style>
  <w:style w:type="character" w:customStyle="1" w:styleId="a2">
    <w:name w:val="批注框文本 字符"/>
    <w:basedOn w:val="DefaultParagraphFont"/>
    <w:link w:val="BalloonText"/>
    <w:uiPriority w:val="99"/>
    <w:semiHidden/>
    <w:rPr>
      <w:kern w:val="2"/>
      <w:sz w:val="18"/>
      <w:szCs w:val="18"/>
    </w:rPr>
  </w:style>
  <w:style w:type="character" w:customStyle="1" w:styleId="a3">
    <w:name w:val="脚注文本 字符"/>
    <w:basedOn w:val="DefaultParagraphFont"/>
    <w:link w:val="FootnoteText"/>
    <w:uiPriority w:val="99"/>
    <w:rPr>
      <w:rFonts w:ascii="Arial" w:hAnsi="Arial"/>
      <w:kern w:val="2"/>
      <w:sz w:val="18"/>
      <w:szCs w:val="18"/>
      <w:lang w:val="zh-CN"/>
    </w:rPr>
  </w:style>
  <w:style w:type="character" w:customStyle="1" w:styleId="a4">
    <w:name w:val="尾注文本 字符"/>
    <w:basedOn w:val="DefaultParagraphFont"/>
    <w:link w:val="EndnoteText"/>
    <w:uiPriority w:val="99"/>
    <w:rPr>
      <w:rFonts w:ascii="Arial" w:hAnsi="Arial"/>
      <w:kern w:val="2"/>
      <w:sz w:val="21"/>
      <w:szCs w:val="22"/>
      <w:lang w:val="zh-CN"/>
    </w:rPr>
  </w:style>
  <w:style w:type="paragraph" w:customStyle="1" w:styleId="TableParagraph">
    <w:name w:val="Table Paragraph"/>
    <w:basedOn w:val="Normal"/>
    <w:uiPriority w:val="1"/>
    <w:qFormat/>
    <w:pPr>
      <w:widowControl/>
      <w:autoSpaceDE w:val="0"/>
      <w:autoSpaceDN w:val="0"/>
      <w:adjustRightInd w:val="0"/>
      <w:spacing w:line="360" w:lineRule="auto"/>
      <w:jc w:val="left"/>
    </w:pPr>
    <w:rPr>
      <w:rFonts w:cs="Courier New"/>
      <w:sz w:val="24"/>
      <w:lang w:val="zh-CN"/>
    </w:rPr>
  </w:style>
  <w:style w:type="paragraph" w:styleId="ListParagraph">
    <w:name w:val="List Paragraph"/>
    <w:basedOn w:val="Normal"/>
    <w:qFormat/>
    <w:pPr>
      <w:widowControl/>
      <w:autoSpaceDE w:val="0"/>
      <w:autoSpaceDN w:val="0"/>
      <w:adjustRightInd w:val="0"/>
      <w:spacing w:line="360" w:lineRule="auto"/>
      <w:jc w:val="left"/>
    </w:pPr>
    <w:rPr>
      <w:rFonts w:cs="Courier New"/>
      <w:sz w:val="24"/>
      <w:lang w:val="zh-CN"/>
    </w:rPr>
  </w:style>
  <w:style w:type="paragraph" w:customStyle="1" w:styleId="TOCHeading">
    <w:name w:val="TOC Heading"/>
    <w:basedOn w:val="Heading1"/>
    <w:next w:val="Normal"/>
    <w:uiPriority w:val="39"/>
    <w:semiHidden/>
    <w:unhideWhenUsed/>
    <w:qFormat/>
    <w:pPr>
      <w:spacing w:before="480" w:after="0" w:line="276" w:lineRule="auto"/>
      <w:jc w:val="left"/>
      <w:outlineLvl w:val="9"/>
    </w:pPr>
    <w:rPr>
      <w:rFonts w:ascii="Cambria" w:hAnsi="Cambria"/>
      <w:color w:val="365F91"/>
      <w:kern w:val="0"/>
      <w:sz w:val="28"/>
      <w:szCs w:val="28"/>
      <w:lang w:val="en-US"/>
    </w:rPr>
  </w:style>
  <w:style w:type="character" w:customStyle="1" w:styleId="a5">
    <w:name w:val="批注文字 字符"/>
    <w:basedOn w:val="DefaultParagraphFont"/>
    <w:link w:val="CommentText"/>
    <w:uiPriority w:val="99"/>
    <w:semiHidden/>
    <w:rPr>
      <w:kern w:val="2"/>
      <w:sz w:val="21"/>
      <w:szCs w:val="24"/>
    </w:rPr>
  </w:style>
  <w:style w:type="character" w:customStyle="1" w:styleId="a6">
    <w:name w:val="批注主题 字符"/>
    <w:basedOn w:val="a5"/>
    <w:link w:val="CommentSubject"/>
    <w:uiPriority w:val="99"/>
    <w:semiHidden/>
    <w:rPr>
      <w:b/>
      <w:bCs/>
      <w:kern w:val="2"/>
      <w:sz w:val="21"/>
      <w:szCs w:val="24"/>
    </w:rPr>
  </w:style>
  <w:style w:type="paragraph" w:customStyle="1" w:styleId="a7">
    <w:name w:val="段"/>
    <w:pPr>
      <w:autoSpaceDE w:val="0"/>
      <w:autoSpaceDN w:val="0"/>
      <w:spacing w:line="360" w:lineRule="auto"/>
      <w:ind w:firstLine="200" w:firstLineChars="200"/>
      <w:jc w:val="both"/>
    </w:pPr>
    <w:rPr>
      <w:rFonts w:ascii="宋体" w:eastAsia="宋体" w:hAnsi="Times New Roman" w:cs="Times New Roman"/>
      <w:sz w:val="21"/>
      <w:lang w:val="en-US" w:eastAsia="zh-CN" w:bidi="ar-SA"/>
    </w:rPr>
  </w:style>
  <w:style w:type="character" w:customStyle="1" w:styleId="ordinary-span-edit2">
    <w:name w:val="ordinary-span-edit2"/>
  </w:style>
  <w:style w:type="paragraph" w:customStyle="1" w:styleId="a8">
    <w:name w:val="标准文件_章标题"/>
    <w:next w:val="Normal"/>
    <w:pPr>
      <w:numPr>
        <w:ilvl w:val="1"/>
        <w:numId w:val="1"/>
      </w:numPr>
      <w:spacing w:beforeLines="50" w:afterLines="50"/>
      <w:ind w:right="-50" w:rightChars="-50"/>
      <w:jc w:val="both"/>
      <w:outlineLvl w:val="1"/>
    </w:pPr>
    <w:rPr>
      <w:rFonts w:ascii="黑体" w:eastAsia="黑体" w:hAnsi="Times New Roman" w:cs="Times New Roman"/>
      <w:spacing w:val="2"/>
      <w:sz w:val="21"/>
      <w:lang w:val="en-US" w:eastAsia="zh-CN" w:bidi="ar-SA"/>
    </w:rPr>
  </w:style>
  <w:style w:type="paragraph" w:customStyle="1" w:styleId="a9">
    <w:name w:val="标准文件_一级条标题"/>
    <w:basedOn w:val="a8"/>
    <w:next w:val="Normal"/>
    <w:pPr>
      <w:numPr>
        <w:ilvl w:val="2"/>
      </w:numPr>
      <w:spacing w:beforeLines="0" w:afterLines="0"/>
      <w:outlineLvl w:val="2"/>
    </w:pPr>
  </w:style>
  <w:style w:type="paragraph" w:customStyle="1" w:styleId="a10">
    <w:name w:val="标准文件_二级条标题"/>
    <w:basedOn w:val="a9"/>
    <w:next w:val="Normal"/>
    <w:pPr>
      <w:numPr>
        <w:ilvl w:val="3"/>
      </w:numPr>
      <w:outlineLvl w:val="3"/>
    </w:pPr>
  </w:style>
  <w:style w:type="paragraph" w:customStyle="1" w:styleId="a11">
    <w:name w:val="前言标题"/>
    <w:next w:val="Normal"/>
    <w:pPr>
      <w:numPr>
        <w:ilvl w:val="0"/>
        <w:numId w:val="1"/>
      </w:numPr>
      <w:shd w:val="clear" w:color="auto" w:fill="FFFFFF"/>
      <w:spacing w:before="540" w:after="600"/>
      <w:jc w:val="center"/>
      <w:outlineLvl w:val="0"/>
    </w:pPr>
    <w:rPr>
      <w:rFonts w:ascii="黑体" w:eastAsia="黑体" w:hAnsi="Times New Roman" w:cs="Times New Roman"/>
      <w:sz w:val="32"/>
      <w:lang w:val="en-US" w:eastAsia="zh-CN" w:bidi="ar-SA"/>
    </w:rPr>
  </w:style>
  <w:style w:type="paragraph" w:customStyle="1" w:styleId="a12">
    <w:name w:val="标准文件_三级条标题"/>
    <w:basedOn w:val="a10"/>
    <w:next w:val="Normal"/>
    <w:pPr>
      <w:numPr>
        <w:ilvl w:val="4"/>
      </w:numPr>
      <w:outlineLvl w:val="4"/>
    </w:pPr>
  </w:style>
  <w:style w:type="paragraph" w:customStyle="1" w:styleId="a13">
    <w:name w:val="标准文件_四级条标题"/>
    <w:basedOn w:val="a12"/>
    <w:next w:val="Normal"/>
    <w:pPr>
      <w:numPr>
        <w:ilvl w:val="5"/>
      </w:numPr>
      <w:outlineLvl w:val="5"/>
    </w:pPr>
  </w:style>
  <w:style w:type="paragraph" w:customStyle="1" w:styleId="a14">
    <w:name w:val="标准文件_五级条标题"/>
    <w:basedOn w:val="a13"/>
    <w:next w:val="Normal"/>
    <w:pPr>
      <w:numPr>
        <w:ilvl w:val="6"/>
      </w:numPr>
      <w:outlineLvl w:val="6"/>
    </w:pPr>
  </w:style>
  <w:style w:type="character" w:customStyle="1" w:styleId="a15">
    <w:name w:val="日期 字符"/>
    <w:basedOn w:val="DefaultParagraphFont"/>
    <w:link w:val="Date"/>
    <w:uiPriority w:val="99"/>
    <w:rPr>
      <w:kern w:val="2"/>
      <w:sz w:val="21"/>
      <w:szCs w:val="24"/>
    </w:rPr>
  </w:style>
  <w:style w:type="character" w:styleId="PlaceholderText">
    <w:name w:val="Placeholder Text"/>
    <w:basedOn w:val="DefaultParagraphFont"/>
    <w:uiPriority w:val="99"/>
    <w:semiHidden/>
    <w:rPr>
      <w:color w:val="808080"/>
    </w:rPr>
  </w:style>
  <w:style w:type="character" w:customStyle="1" w:styleId="emtidy-1">
    <w:name w:val="emtidy-1"/>
    <w:basedOn w:val="DefaultParagraphFont"/>
    <w:rPr>
      <w:rFonts w:ascii="Georgia" w:hAnsi="Georgia" w:hint="default"/>
      <w:i/>
      <w:iCs/>
    </w:rPr>
  </w:style>
  <w:style w:type="character" w:customStyle="1" w:styleId="emtidy-3">
    <w:name w:val="emtidy-3"/>
    <w:basedOn w:val="DefaultParagraphFont"/>
    <w:rPr>
      <w:rFonts w:ascii="Cambria Math" w:hAnsi="Cambria Math" w:eastAsiaTheme="minorEastAsia" w:cs="Arial" w:hint="default"/>
      <w:sz w:val="24"/>
      <w:szCs w:val="24"/>
      <w:lang w:val="zh-CN" w:eastAsia="zh-CN" w:bidi="ar-SA"/>
    </w:rPr>
  </w:style>
  <w:style w:type="paragraph" w:customStyle="1" w:styleId="a16">
    <w:name w:val="一级标题"/>
    <w:basedOn w:val="Heading1"/>
    <w:next w:val="Normal"/>
    <w:autoRedefine/>
    <w:pPr>
      <w:keepLines w:val="0"/>
      <w:widowControl w:val="0"/>
      <w:adjustRightInd w:val="0"/>
      <w:spacing w:before="240" w:beforeLines="100" w:after="240" w:afterLines="100" w:line="420" w:lineRule="exact"/>
      <w:ind w:firstLine="3784" w:firstLineChars="860"/>
      <w:jc w:val="left"/>
      <w:textAlignment w:val="baseline"/>
    </w:pPr>
    <w:rPr>
      <w:rFonts w:ascii="黑体" w:eastAsia="黑体" w:hAnsi="宋体"/>
      <w:b w:val="0"/>
      <w:bCs w:val="0"/>
      <w:kern w:val="0"/>
      <w:lang w:val="en-US"/>
    </w:rPr>
  </w:style>
  <w:style w:type="table" w:customStyle="1" w:styleId="TableGrid0">
    <w:name w:val="Table Grid_0"/>
    <w:basedOn w:val="TableNormal"/>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header" Target="header1.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image" Target="media/image1.wmf" /><Relationship Id="rId16" Type="http://schemas.openxmlformats.org/officeDocument/2006/relationships/oleObject" Target="embeddings/oleObject1.bin" /><Relationship Id="rId17" Type="http://schemas.openxmlformats.org/officeDocument/2006/relationships/header" Target="header2.xml" /><Relationship Id="rId18" Type="http://schemas.openxmlformats.org/officeDocument/2006/relationships/footer" Target="footer9.xml"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header" Target="header3.xml" /><Relationship Id="rId21" Type="http://schemas.openxmlformats.org/officeDocument/2006/relationships/footer" Target="footer11.xml" /><Relationship Id="rId22" Type="http://schemas.openxmlformats.org/officeDocument/2006/relationships/footer" Target="footer12.xml" /><Relationship Id="rId23" Type="http://schemas.openxmlformats.org/officeDocument/2006/relationships/header" Target="header4.xml" /><Relationship Id="rId24" Type="http://schemas.openxmlformats.org/officeDocument/2006/relationships/footer" Target="footer13.xml" /><Relationship Id="rId25" Type="http://schemas.openxmlformats.org/officeDocument/2006/relationships/footer" Target="footer14.xml" /><Relationship Id="rId26" Type="http://schemas.openxmlformats.org/officeDocument/2006/relationships/header" Target="header5.xml" /><Relationship Id="rId27" Type="http://schemas.openxmlformats.org/officeDocument/2006/relationships/footer" Target="footer15.xml" /><Relationship Id="rId28" Type="http://schemas.openxmlformats.org/officeDocument/2006/relationships/footer" Target="footer16.xml" /><Relationship Id="rId29" Type="http://schemas.openxmlformats.org/officeDocument/2006/relationships/header" Target="header6.xml" /><Relationship Id="rId3" Type="http://schemas.openxmlformats.org/officeDocument/2006/relationships/fontTable" Target="fontTable.xml" /><Relationship Id="rId30" Type="http://schemas.openxmlformats.org/officeDocument/2006/relationships/footer" Target="footer17.xml" /><Relationship Id="rId31" Type="http://schemas.openxmlformats.org/officeDocument/2006/relationships/footer" Target="footer18.xml" /><Relationship Id="rId32" Type="http://schemas.openxmlformats.org/officeDocument/2006/relationships/header" Target="header7.xml" /><Relationship Id="rId33" Type="http://schemas.openxmlformats.org/officeDocument/2006/relationships/footer" Target="footer19.xml" /><Relationship Id="rId34" Type="http://schemas.openxmlformats.org/officeDocument/2006/relationships/footer" Target="footer20.xml" /><Relationship Id="rId35" Type="http://schemas.openxmlformats.org/officeDocument/2006/relationships/image" Target="media/image2.wmf" /><Relationship Id="rId36" Type="http://schemas.openxmlformats.org/officeDocument/2006/relationships/oleObject" Target="embeddings/oleObject2.bin" /><Relationship Id="rId37" Type="http://schemas.openxmlformats.org/officeDocument/2006/relationships/image" Target="media/image3.wmf" /><Relationship Id="rId38" Type="http://schemas.openxmlformats.org/officeDocument/2006/relationships/oleObject" Target="embeddings/oleObject3.bin" /><Relationship Id="rId39" Type="http://schemas.openxmlformats.org/officeDocument/2006/relationships/image" Target="media/image4.wmf" /><Relationship Id="rId4" Type="http://schemas.openxmlformats.org/officeDocument/2006/relationships/customXml" Target="../customXml/item1.xml" /><Relationship Id="rId40" Type="http://schemas.openxmlformats.org/officeDocument/2006/relationships/oleObject" Target="embeddings/oleObject4.bin" /><Relationship Id="rId41" Type="http://schemas.openxmlformats.org/officeDocument/2006/relationships/header" Target="header8.xml" /><Relationship Id="rId42" Type="http://schemas.openxmlformats.org/officeDocument/2006/relationships/footer" Target="footer21.xml" /><Relationship Id="rId43" Type="http://schemas.openxmlformats.org/officeDocument/2006/relationships/footer" Target="footer22.xml" /><Relationship Id="rId44" Type="http://schemas.openxmlformats.org/officeDocument/2006/relationships/image" Target="media/image5.wmf" /><Relationship Id="rId45" Type="http://schemas.openxmlformats.org/officeDocument/2006/relationships/oleObject" Target="embeddings/oleObject5.bin" /><Relationship Id="rId46" Type="http://schemas.openxmlformats.org/officeDocument/2006/relationships/image" Target="media/image6.wmf" /><Relationship Id="rId47" Type="http://schemas.openxmlformats.org/officeDocument/2006/relationships/oleObject" Target="embeddings/oleObject6.bin" /><Relationship Id="rId48" Type="http://schemas.openxmlformats.org/officeDocument/2006/relationships/image" Target="media/image7.wmf" /><Relationship Id="rId49" Type="http://schemas.openxmlformats.org/officeDocument/2006/relationships/oleObject" Target="embeddings/oleObject7.bin" /><Relationship Id="rId5" Type="http://schemas.openxmlformats.org/officeDocument/2006/relationships/customXml" Target="../customXml/item2.xml" /><Relationship Id="rId50" Type="http://schemas.openxmlformats.org/officeDocument/2006/relationships/header" Target="header9.xml" /><Relationship Id="rId51" Type="http://schemas.openxmlformats.org/officeDocument/2006/relationships/footer" Target="footer23.xml" /><Relationship Id="rId52" Type="http://schemas.openxmlformats.org/officeDocument/2006/relationships/footer" Target="footer24.xml" /><Relationship Id="rId53" Type="http://schemas.openxmlformats.org/officeDocument/2006/relationships/image" Target="media/image8.wmf" /><Relationship Id="rId54" Type="http://schemas.openxmlformats.org/officeDocument/2006/relationships/oleObject" Target="embeddings/oleObject8.bin" /><Relationship Id="rId55" Type="http://schemas.openxmlformats.org/officeDocument/2006/relationships/image" Target="media/image9.wmf" /><Relationship Id="rId56" Type="http://schemas.openxmlformats.org/officeDocument/2006/relationships/oleObject" Target="embeddings/oleObject9.bin" /><Relationship Id="rId57" Type="http://schemas.openxmlformats.org/officeDocument/2006/relationships/header" Target="header10.xml" /><Relationship Id="rId58" Type="http://schemas.openxmlformats.org/officeDocument/2006/relationships/footer" Target="footer25.xml" /><Relationship Id="rId59" Type="http://schemas.openxmlformats.org/officeDocument/2006/relationships/footer" Target="footer26.xml" /><Relationship Id="rId6" Type="http://schemas.openxmlformats.org/officeDocument/2006/relationships/footer" Target="footer1.xml" /><Relationship Id="rId60" Type="http://schemas.openxmlformats.org/officeDocument/2006/relationships/image" Target="media/image10.emf" /><Relationship Id="rId61" Type="http://schemas.openxmlformats.org/officeDocument/2006/relationships/image" Target="media/image11.emf" /><Relationship Id="rId62" Type="http://schemas.openxmlformats.org/officeDocument/2006/relationships/image" Target="media/image12.emf" /><Relationship Id="rId63" Type="http://schemas.openxmlformats.org/officeDocument/2006/relationships/image" Target="media/image13.wmf" /><Relationship Id="rId64" Type="http://schemas.openxmlformats.org/officeDocument/2006/relationships/oleObject" Target="embeddings/oleObject10.bin" /><Relationship Id="rId65" Type="http://schemas.openxmlformats.org/officeDocument/2006/relationships/hyperlink" Target="https://d.book118.com/578006026064006041" TargetMode="External" /><Relationship Id="rId66" Type="http://schemas.openxmlformats.org/officeDocument/2006/relationships/header" Target="header11.xml" /><Relationship Id="rId67" Type="http://schemas.openxmlformats.org/officeDocument/2006/relationships/footer" Target="footer27.xml" /><Relationship Id="rId68" Type="http://schemas.openxmlformats.org/officeDocument/2006/relationships/footer" Target="footer28.xml" /><Relationship Id="rId69" Type="http://schemas.openxmlformats.org/officeDocument/2006/relationships/theme" Target="theme/theme1.xml" /><Relationship Id="rId7" Type="http://schemas.openxmlformats.org/officeDocument/2006/relationships/footer" Target="footer2.xml" /><Relationship Id="rId70" Type="http://schemas.openxmlformats.org/officeDocument/2006/relationships/numbering" Target="numbering.xml" /><Relationship Id="rId71" Type="http://schemas.openxmlformats.org/officeDocument/2006/relationships/styles" Target="styles.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83002EC-B34F-4F7E-A894-C68CA619C133}">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3311</Words>
  <Characters>18875</Characters>
  <Application>Microsoft Office Word</Application>
  <DocSecurity>0</DocSecurity>
  <Lines>157</Lines>
  <Paragraphs>44</Paragraphs>
  <ScaleCrop>false</ScaleCrop>
  <Company>National Institute Metrology</Company>
  <LinksUpToDate>false</LinksUpToDate>
  <CharactersWithSpaces>22142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非自动天平试行检定规程</dc:title>
  <dc:creator>Mass Standard Laboratory</dc:creator>
  <cp:lastModifiedBy>xwbjl</cp:lastModifiedBy>
  <cp:revision>353</cp:revision>
  <cp:lastPrinted>2007-10-13T02:56:00Z</cp:lastPrinted>
  <dcterms:created xsi:type="dcterms:W3CDTF">2023-10-27T05:59:00Z</dcterms:created>
  <dcterms:modified xsi:type="dcterms:W3CDTF">2024-02-29T11:39:08Z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42BF1C195ADC4BEF9E4737C476E795FC_12</vt:lpwstr>
  </property>
  <property fmtid="{D5CDD505-2E9C-101B-9397-08002B2CF9AE}" pid="3" name="KSOProductBuildVer">
    <vt:lpwstr>2052-12.1.0.16388</vt:lpwstr>
  </property>
</Properties>
</file>