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商用衡器项目规划设计蓝图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3" w:history="1">
        <w:r>
          <w:rPr>
            <w:rFonts w:ascii="仿宋" w:eastAsia="仿宋" w:hAnsi="仿宋" w:cs="仿宋" w:hint="eastAsia"/>
            <w:lang w:eastAsia="zh-CN"/>
          </w:rPr>
          <w:t>前言</w:t>
        </w:r>
        <w:r>
          <w:tab/>
        </w:r>
        <w:r>
          <w:fldChar w:fldCharType="begin"/>
        </w:r>
        <w:r>
          <w:instrText xml:space="preserve"> PAGEREF _Toc27083 \h </w:instrText>
        </w:r>
        <w:r>
          <w:fldChar w:fldCharType="separate"/>
        </w:r>
        <w:r>
          <w:t>3</w:t>
        </w:r>
        <w:r>
          <w:fldChar w:fldCharType="end"/>
        </w:r>
      </w:hyperlink>
    </w:p>
    <w:p>
      <w:pPr>
        <w:pStyle w:val="TOC1"/>
        <w:tabs>
          <w:tab w:val="right" w:leader="dot" w:pos="8306"/>
        </w:tabs>
      </w:pPr>
      <w:hyperlink w:anchor="_Toc26066" w:history="1">
        <w:r>
          <w:rPr>
            <w:rFonts w:ascii="仿宋" w:eastAsia="仿宋" w:hAnsi="仿宋" w:cs="仿宋" w:hint="eastAsia"/>
            <w:lang w:eastAsia="zh-CN"/>
          </w:rPr>
          <w:t>一、市场分析、调研</w:t>
        </w:r>
        <w:r>
          <w:tab/>
        </w:r>
        <w:r>
          <w:fldChar w:fldCharType="begin"/>
        </w:r>
        <w:r>
          <w:instrText xml:space="preserve"> PAGEREF _Toc26066 \h </w:instrText>
        </w:r>
        <w:r>
          <w:fldChar w:fldCharType="separate"/>
        </w:r>
        <w:r>
          <w:t>3</w:t>
        </w:r>
        <w:r>
          <w:fldChar w:fldCharType="end"/>
        </w:r>
      </w:hyperlink>
    </w:p>
    <w:p>
      <w:pPr>
        <w:pStyle w:val="TOC2"/>
        <w:tabs>
          <w:tab w:val="right" w:leader="dot" w:pos="8306"/>
        </w:tabs>
      </w:pPr>
      <w:hyperlink w:anchor="_Toc28743" w:history="1">
        <w:r>
          <w:rPr>
            <w:rFonts w:ascii="仿宋" w:eastAsia="仿宋" w:hAnsi="仿宋" w:cs="仿宋" w:hint="eastAsia"/>
            <w:lang w:eastAsia="zh-CN"/>
          </w:rPr>
          <w:t>(一)、商用衡器行业分析</w:t>
        </w:r>
        <w:r>
          <w:tab/>
        </w:r>
        <w:r>
          <w:fldChar w:fldCharType="begin"/>
        </w:r>
        <w:r>
          <w:instrText xml:space="preserve"> PAGEREF _Toc28743 \h </w:instrText>
        </w:r>
        <w:r>
          <w:fldChar w:fldCharType="separate"/>
        </w:r>
        <w:r>
          <w:t>3</w:t>
        </w:r>
        <w:r>
          <w:fldChar w:fldCharType="end"/>
        </w:r>
      </w:hyperlink>
    </w:p>
    <w:p>
      <w:pPr>
        <w:pStyle w:val="TOC2"/>
        <w:tabs>
          <w:tab w:val="right" w:leader="dot" w:pos="8306"/>
        </w:tabs>
      </w:pPr>
      <w:hyperlink w:anchor="_Toc20027" w:history="1">
        <w:r>
          <w:rPr>
            <w:rFonts w:ascii="仿宋" w:eastAsia="仿宋" w:hAnsi="仿宋" w:cs="仿宋" w:hint="eastAsia"/>
            <w:lang w:eastAsia="zh-CN"/>
          </w:rPr>
          <w:t>(二)、商用衡器市场分析预测</w:t>
        </w:r>
        <w:r>
          <w:tab/>
        </w:r>
        <w:r>
          <w:fldChar w:fldCharType="begin"/>
        </w:r>
        <w:r>
          <w:instrText xml:space="preserve"> PAGEREF _Toc20027 \h </w:instrText>
        </w:r>
        <w:r>
          <w:fldChar w:fldCharType="separate"/>
        </w:r>
        <w:r>
          <w:t>4</w:t>
        </w:r>
        <w:r>
          <w:fldChar w:fldCharType="end"/>
        </w:r>
      </w:hyperlink>
    </w:p>
    <w:p>
      <w:pPr>
        <w:pStyle w:val="TOC1"/>
        <w:tabs>
          <w:tab w:val="right" w:leader="dot" w:pos="8306"/>
        </w:tabs>
      </w:pPr>
      <w:hyperlink w:anchor="_Toc4501" w:history="1">
        <w:r>
          <w:rPr>
            <w:rFonts w:ascii="仿宋" w:eastAsia="仿宋" w:hAnsi="仿宋" w:cs="仿宋" w:hint="eastAsia"/>
            <w:lang w:eastAsia="zh-CN"/>
          </w:rPr>
          <w:t>二、商用衡器项目文档管理</w:t>
        </w:r>
        <w:r>
          <w:tab/>
        </w:r>
        <w:r>
          <w:fldChar w:fldCharType="begin"/>
        </w:r>
        <w:r>
          <w:instrText xml:space="preserve"> PAGEREF _Toc4501 \h </w:instrText>
        </w:r>
        <w:r>
          <w:fldChar w:fldCharType="separate"/>
        </w:r>
        <w:r>
          <w:t>5</w:t>
        </w:r>
        <w:r>
          <w:fldChar w:fldCharType="end"/>
        </w:r>
      </w:hyperlink>
    </w:p>
    <w:p>
      <w:pPr>
        <w:pStyle w:val="TOC2"/>
        <w:tabs>
          <w:tab w:val="right" w:leader="dot" w:pos="8306"/>
        </w:tabs>
      </w:pPr>
      <w:hyperlink w:anchor="_Toc28758" w:history="1">
        <w:r>
          <w:rPr>
            <w:rFonts w:ascii="仿宋" w:eastAsia="仿宋" w:hAnsi="仿宋" w:cs="仿宋" w:hint="eastAsia"/>
            <w:lang w:eastAsia="zh-CN"/>
          </w:rPr>
          <w:t>(一)、文档编制与审查</w:t>
        </w:r>
        <w:r>
          <w:tab/>
        </w:r>
        <w:r>
          <w:fldChar w:fldCharType="begin"/>
        </w:r>
        <w:r>
          <w:instrText xml:space="preserve"> PAGEREF _Toc28758 \h </w:instrText>
        </w:r>
        <w:r>
          <w:fldChar w:fldCharType="separate"/>
        </w:r>
        <w:r>
          <w:t>5</w:t>
        </w:r>
        <w:r>
          <w:fldChar w:fldCharType="end"/>
        </w:r>
      </w:hyperlink>
    </w:p>
    <w:p>
      <w:pPr>
        <w:pStyle w:val="TOC2"/>
        <w:tabs>
          <w:tab w:val="right" w:leader="dot" w:pos="8306"/>
        </w:tabs>
      </w:pPr>
      <w:hyperlink w:anchor="_Toc22611" w:history="1">
        <w:r>
          <w:rPr>
            <w:rFonts w:ascii="仿宋" w:eastAsia="仿宋" w:hAnsi="仿宋" w:cs="仿宋" w:hint="eastAsia"/>
            <w:lang w:eastAsia="zh-CN"/>
          </w:rPr>
          <w:t>(二)、文档发布与分发</w:t>
        </w:r>
        <w:r>
          <w:tab/>
        </w:r>
        <w:r>
          <w:fldChar w:fldCharType="begin"/>
        </w:r>
        <w:r>
          <w:instrText xml:space="preserve"> PAGEREF _Toc22611 \h </w:instrText>
        </w:r>
        <w:r>
          <w:fldChar w:fldCharType="separate"/>
        </w:r>
        <w:r>
          <w:t>6</w:t>
        </w:r>
        <w:r>
          <w:fldChar w:fldCharType="end"/>
        </w:r>
      </w:hyperlink>
    </w:p>
    <w:p>
      <w:pPr>
        <w:pStyle w:val="TOC2"/>
        <w:tabs>
          <w:tab w:val="right" w:leader="dot" w:pos="8306"/>
        </w:tabs>
      </w:pPr>
      <w:hyperlink w:anchor="_Toc22413" w:history="1">
        <w:r>
          <w:rPr>
            <w:rFonts w:ascii="仿宋" w:eastAsia="仿宋" w:hAnsi="仿宋" w:cs="仿宋" w:hint="eastAsia"/>
            <w:lang w:eastAsia="zh-CN"/>
          </w:rPr>
          <w:t>(三)、文档存档与归档</w:t>
        </w:r>
        <w:r>
          <w:tab/>
        </w:r>
        <w:r>
          <w:fldChar w:fldCharType="begin"/>
        </w:r>
        <w:r>
          <w:instrText xml:space="preserve"> PAGEREF _Toc22413 \h </w:instrText>
        </w:r>
        <w:r>
          <w:fldChar w:fldCharType="separate"/>
        </w:r>
        <w:r>
          <w:t>7</w:t>
        </w:r>
        <w:r>
          <w:fldChar w:fldCharType="end"/>
        </w:r>
      </w:hyperlink>
    </w:p>
    <w:p>
      <w:pPr>
        <w:pStyle w:val="TOC1"/>
        <w:tabs>
          <w:tab w:val="right" w:leader="dot" w:pos="8306"/>
        </w:tabs>
      </w:pPr>
      <w:hyperlink w:anchor="_Toc10370" w:history="1">
        <w:r>
          <w:rPr>
            <w:rFonts w:ascii="仿宋" w:eastAsia="仿宋" w:hAnsi="仿宋" w:cs="仿宋" w:hint="eastAsia"/>
            <w:lang w:eastAsia="zh-CN"/>
          </w:rPr>
          <w:t>三、商用衡器项目可持续发展</w:t>
        </w:r>
        <w:r>
          <w:tab/>
        </w:r>
        <w:r>
          <w:fldChar w:fldCharType="begin"/>
        </w:r>
        <w:r>
          <w:instrText xml:space="preserve"> PAGEREF _Toc10370 \h </w:instrText>
        </w:r>
        <w:r>
          <w:fldChar w:fldCharType="separate"/>
        </w:r>
        <w:r>
          <w:t>8</w:t>
        </w:r>
        <w:r>
          <w:fldChar w:fldCharType="end"/>
        </w:r>
      </w:hyperlink>
    </w:p>
    <w:p>
      <w:pPr>
        <w:pStyle w:val="TOC2"/>
        <w:tabs>
          <w:tab w:val="right" w:leader="dot" w:pos="8306"/>
        </w:tabs>
      </w:pPr>
      <w:hyperlink w:anchor="_Toc11564" w:history="1">
        <w:r>
          <w:rPr>
            <w:rFonts w:ascii="仿宋" w:eastAsia="仿宋" w:hAnsi="仿宋" w:cs="仿宋" w:hint="eastAsia"/>
            <w:lang w:eastAsia="zh-CN"/>
          </w:rPr>
          <w:t>(一)、可持续战略与实践</w:t>
        </w:r>
        <w:r>
          <w:tab/>
        </w:r>
        <w:r>
          <w:fldChar w:fldCharType="begin"/>
        </w:r>
        <w:r>
          <w:instrText xml:space="preserve"> PAGEREF _Toc11564 \h </w:instrText>
        </w:r>
        <w:r>
          <w:fldChar w:fldCharType="separate"/>
        </w:r>
        <w:r>
          <w:t>8</w:t>
        </w:r>
        <w:r>
          <w:fldChar w:fldCharType="end"/>
        </w:r>
      </w:hyperlink>
    </w:p>
    <w:p>
      <w:pPr>
        <w:pStyle w:val="TOC2"/>
        <w:tabs>
          <w:tab w:val="right" w:leader="dot" w:pos="8306"/>
        </w:tabs>
      </w:pPr>
      <w:hyperlink w:anchor="_Toc20032" w:history="1">
        <w:r>
          <w:rPr>
            <w:rFonts w:ascii="仿宋" w:eastAsia="仿宋" w:hAnsi="仿宋" w:cs="仿宋" w:hint="eastAsia"/>
            <w:lang w:eastAsia="zh-CN"/>
          </w:rPr>
          <w:t>(二)、环保与社会责任</w:t>
        </w:r>
        <w:r>
          <w:tab/>
        </w:r>
        <w:r>
          <w:fldChar w:fldCharType="begin"/>
        </w:r>
        <w:r>
          <w:instrText xml:space="preserve"> PAGEREF _Toc20032 \h </w:instrText>
        </w:r>
        <w:r>
          <w:fldChar w:fldCharType="separate"/>
        </w:r>
        <w:r>
          <w:t>9</w:t>
        </w:r>
        <w:r>
          <w:fldChar w:fldCharType="end"/>
        </w:r>
      </w:hyperlink>
    </w:p>
    <w:p>
      <w:pPr>
        <w:pStyle w:val="TOC1"/>
        <w:tabs>
          <w:tab w:val="right" w:leader="dot" w:pos="8306"/>
        </w:tabs>
      </w:pPr>
      <w:hyperlink w:anchor="_Toc23739" w:history="1">
        <w:r>
          <w:rPr>
            <w:rFonts w:ascii="仿宋" w:eastAsia="仿宋" w:hAnsi="仿宋" w:cs="仿宋" w:hint="eastAsia"/>
            <w:lang w:eastAsia="zh-CN"/>
          </w:rPr>
          <w:t>四、商用衡器项目建设背景及必要性分析</w:t>
        </w:r>
        <w:r>
          <w:tab/>
        </w:r>
        <w:r>
          <w:fldChar w:fldCharType="begin"/>
        </w:r>
        <w:r>
          <w:instrText xml:space="preserve"> PAGEREF _Toc23739 \h </w:instrText>
        </w:r>
        <w:r>
          <w:fldChar w:fldCharType="separate"/>
        </w:r>
        <w:r>
          <w:t>10</w:t>
        </w:r>
        <w:r>
          <w:fldChar w:fldCharType="end"/>
        </w:r>
      </w:hyperlink>
    </w:p>
    <w:p>
      <w:pPr>
        <w:pStyle w:val="TOC2"/>
        <w:tabs>
          <w:tab w:val="right" w:leader="dot" w:pos="8306"/>
        </w:tabs>
      </w:pPr>
      <w:hyperlink w:anchor="_Toc8021" w:history="1">
        <w:r>
          <w:rPr>
            <w:rFonts w:ascii="仿宋" w:eastAsia="仿宋" w:hAnsi="仿宋" w:cs="仿宋" w:hint="eastAsia"/>
            <w:lang w:eastAsia="zh-CN"/>
          </w:rPr>
          <w:t>(一)、商用衡器项目背景分析</w:t>
        </w:r>
        <w:r>
          <w:tab/>
        </w:r>
        <w:r>
          <w:fldChar w:fldCharType="begin"/>
        </w:r>
        <w:r>
          <w:instrText xml:space="preserve"> PAGEREF _Toc8021 \h </w:instrText>
        </w:r>
        <w:r>
          <w:fldChar w:fldCharType="separate"/>
        </w:r>
        <w:r>
          <w:t>10</w:t>
        </w:r>
        <w:r>
          <w:fldChar w:fldCharType="end"/>
        </w:r>
      </w:hyperlink>
    </w:p>
    <w:p>
      <w:pPr>
        <w:pStyle w:val="TOC2"/>
        <w:tabs>
          <w:tab w:val="right" w:leader="dot" w:pos="8306"/>
        </w:tabs>
      </w:pPr>
      <w:hyperlink w:anchor="_Toc982" w:history="1">
        <w:r>
          <w:rPr>
            <w:rFonts w:ascii="仿宋" w:eastAsia="仿宋" w:hAnsi="仿宋" w:cs="仿宋" w:hint="eastAsia"/>
            <w:lang w:eastAsia="zh-CN"/>
          </w:rPr>
          <w:t>(二)、商用衡器项目建设必要性分析</w:t>
        </w:r>
        <w:r>
          <w:tab/>
        </w:r>
        <w:r>
          <w:fldChar w:fldCharType="begin"/>
        </w:r>
        <w:r>
          <w:instrText xml:space="preserve"> PAGEREF _Toc982 \h </w:instrText>
        </w:r>
        <w:r>
          <w:fldChar w:fldCharType="separate"/>
        </w:r>
        <w:r>
          <w:t>11</w:t>
        </w:r>
        <w:r>
          <w:fldChar w:fldCharType="end"/>
        </w:r>
      </w:hyperlink>
    </w:p>
    <w:p>
      <w:pPr>
        <w:pStyle w:val="TOC1"/>
        <w:tabs>
          <w:tab w:val="right" w:leader="dot" w:pos="8306"/>
        </w:tabs>
      </w:pPr>
      <w:hyperlink w:anchor="_Toc11796" w:history="1">
        <w:r>
          <w:rPr>
            <w:rFonts w:ascii="仿宋" w:eastAsia="仿宋" w:hAnsi="仿宋" w:cs="仿宋" w:hint="eastAsia"/>
            <w:lang w:eastAsia="zh-CN"/>
          </w:rPr>
          <w:t>五、商用衡器项目绩效评估</w:t>
        </w:r>
        <w:r>
          <w:tab/>
        </w:r>
        <w:r>
          <w:fldChar w:fldCharType="begin"/>
        </w:r>
        <w:r>
          <w:instrText xml:space="preserve"> PAGEREF _Toc11796 \h </w:instrText>
        </w:r>
        <w:r>
          <w:fldChar w:fldCharType="separate"/>
        </w:r>
        <w:r>
          <w:t>13</w:t>
        </w:r>
        <w:r>
          <w:fldChar w:fldCharType="end"/>
        </w:r>
      </w:hyperlink>
    </w:p>
    <w:p>
      <w:pPr>
        <w:pStyle w:val="TOC2"/>
        <w:tabs>
          <w:tab w:val="right" w:leader="dot" w:pos="8306"/>
        </w:tabs>
      </w:pPr>
      <w:hyperlink w:anchor="_Toc20997" w:history="1">
        <w:r>
          <w:rPr>
            <w:rFonts w:ascii="仿宋" w:eastAsia="仿宋" w:hAnsi="仿宋" w:cs="仿宋" w:hint="eastAsia"/>
            <w:lang w:eastAsia="zh-CN"/>
          </w:rPr>
          <w:t>(一)、绩效评估指标</w:t>
        </w:r>
        <w:r>
          <w:tab/>
        </w:r>
        <w:r>
          <w:fldChar w:fldCharType="begin"/>
        </w:r>
        <w:r>
          <w:instrText xml:space="preserve"> PAGEREF _Toc20997 \h </w:instrText>
        </w:r>
        <w:r>
          <w:fldChar w:fldCharType="separate"/>
        </w:r>
        <w:r>
          <w:t>13</w:t>
        </w:r>
        <w:r>
          <w:fldChar w:fldCharType="end"/>
        </w:r>
      </w:hyperlink>
    </w:p>
    <w:p>
      <w:pPr>
        <w:pStyle w:val="TOC2"/>
        <w:tabs>
          <w:tab w:val="right" w:leader="dot" w:pos="8306"/>
        </w:tabs>
      </w:pPr>
      <w:hyperlink w:anchor="_Toc16484" w:history="1">
        <w:r>
          <w:rPr>
            <w:rFonts w:ascii="仿宋" w:eastAsia="仿宋" w:hAnsi="仿宋" w:cs="仿宋" w:hint="eastAsia"/>
            <w:lang w:eastAsia="zh-CN"/>
          </w:rPr>
          <w:t>(二)、绩效评估方法</w:t>
        </w:r>
        <w:r>
          <w:tab/>
        </w:r>
        <w:r>
          <w:fldChar w:fldCharType="begin"/>
        </w:r>
        <w:r>
          <w:instrText xml:space="preserve"> PAGEREF _Toc16484 \h </w:instrText>
        </w:r>
        <w:r>
          <w:fldChar w:fldCharType="separate"/>
        </w:r>
        <w:r>
          <w:t>14</w:t>
        </w:r>
        <w:r>
          <w:fldChar w:fldCharType="end"/>
        </w:r>
      </w:hyperlink>
    </w:p>
    <w:p>
      <w:pPr>
        <w:pStyle w:val="TOC2"/>
        <w:tabs>
          <w:tab w:val="right" w:leader="dot" w:pos="8306"/>
        </w:tabs>
      </w:pPr>
      <w:hyperlink w:anchor="_Toc24616" w:history="1">
        <w:r>
          <w:rPr>
            <w:rFonts w:ascii="仿宋" w:eastAsia="仿宋" w:hAnsi="仿宋" w:cs="仿宋" w:hint="eastAsia"/>
            <w:lang w:eastAsia="zh-CN"/>
          </w:rPr>
          <w:t>(三)、绩效评估周期</w:t>
        </w:r>
        <w:r>
          <w:tab/>
        </w:r>
        <w:r>
          <w:fldChar w:fldCharType="begin"/>
        </w:r>
        <w:r>
          <w:instrText xml:space="preserve"> PAGEREF _Toc24616 \h </w:instrText>
        </w:r>
        <w:r>
          <w:fldChar w:fldCharType="separate"/>
        </w:r>
        <w:r>
          <w:t>15</w:t>
        </w:r>
        <w:r>
          <w:fldChar w:fldCharType="end"/>
        </w:r>
      </w:hyperlink>
    </w:p>
    <w:p>
      <w:pPr>
        <w:pStyle w:val="TOC1"/>
        <w:tabs>
          <w:tab w:val="right" w:leader="dot" w:pos="8306"/>
        </w:tabs>
      </w:pPr>
      <w:hyperlink w:anchor="_Toc5096" w:history="1">
        <w:r>
          <w:rPr>
            <w:rFonts w:ascii="仿宋" w:eastAsia="仿宋" w:hAnsi="仿宋" w:cs="仿宋" w:hint="eastAsia"/>
            <w:lang w:eastAsia="zh-CN"/>
          </w:rPr>
          <w:t>六、商用衡器项目建设单位说明</w:t>
        </w:r>
        <w:r>
          <w:tab/>
        </w:r>
        <w:r>
          <w:fldChar w:fldCharType="begin"/>
        </w:r>
        <w:r>
          <w:instrText xml:space="preserve"> PAGEREF _Toc5096 \h </w:instrText>
        </w:r>
        <w:r>
          <w:fldChar w:fldCharType="separate"/>
        </w:r>
        <w:r>
          <w:t>16</w:t>
        </w:r>
        <w:r>
          <w:fldChar w:fldCharType="end"/>
        </w:r>
      </w:hyperlink>
    </w:p>
    <w:p>
      <w:pPr>
        <w:pStyle w:val="TOC2"/>
        <w:tabs>
          <w:tab w:val="right" w:leader="dot" w:pos="8306"/>
        </w:tabs>
      </w:pPr>
      <w:hyperlink w:anchor="_Toc1137" w:history="1">
        <w:r>
          <w:rPr>
            <w:rFonts w:ascii="仿宋" w:eastAsia="仿宋" w:hAnsi="仿宋" w:cs="仿宋" w:hint="eastAsia"/>
            <w:lang w:eastAsia="zh-CN"/>
          </w:rPr>
          <w:t>(一)、商用衡器项目承办单位基本情况</w:t>
        </w:r>
        <w:r>
          <w:tab/>
        </w:r>
        <w:r>
          <w:fldChar w:fldCharType="begin"/>
        </w:r>
        <w:r>
          <w:instrText xml:space="preserve"> PAGEREF _Toc1137 \h </w:instrText>
        </w:r>
        <w:r>
          <w:fldChar w:fldCharType="separate"/>
        </w:r>
        <w:r>
          <w:t>16</w:t>
        </w:r>
        <w:r>
          <w:fldChar w:fldCharType="end"/>
        </w:r>
      </w:hyperlink>
    </w:p>
    <w:p>
      <w:pPr>
        <w:pStyle w:val="TOC2"/>
        <w:tabs>
          <w:tab w:val="right" w:leader="dot" w:pos="8306"/>
        </w:tabs>
      </w:pPr>
      <w:hyperlink w:anchor="_Toc166" w:history="1">
        <w:r>
          <w:rPr>
            <w:rFonts w:ascii="仿宋" w:eastAsia="仿宋" w:hAnsi="仿宋" w:cs="仿宋" w:hint="eastAsia"/>
            <w:lang w:eastAsia="zh-CN"/>
          </w:rPr>
          <w:t>(二)、公司经济效益分析</w:t>
        </w:r>
        <w:r>
          <w:tab/>
        </w:r>
        <w:r>
          <w:fldChar w:fldCharType="begin"/>
        </w:r>
        <w:r>
          <w:instrText xml:space="preserve"> PAGEREF _Toc166 \h </w:instrText>
        </w:r>
        <w:r>
          <w:fldChar w:fldCharType="separate"/>
        </w:r>
        <w:r>
          <w:t>16</w:t>
        </w:r>
        <w:r>
          <w:fldChar w:fldCharType="end"/>
        </w:r>
      </w:hyperlink>
    </w:p>
    <w:p>
      <w:pPr>
        <w:pStyle w:val="TOC1"/>
        <w:tabs>
          <w:tab w:val="right" w:leader="dot" w:pos="8306"/>
        </w:tabs>
      </w:pPr>
      <w:hyperlink w:anchor="_Toc3846" w:history="1">
        <w:r>
          <w:rPr>
            <w:rFonts w:ascii="仿宋" w:eastAsia="仿宋" w:hAnsi="仿宋" w:cs="仿宋" w:hint="eastAsia"/>
            <w:lang w:eastAsia="zh-CN"/>
          </w:rPr>
          <w:t>七、商用衡器项目经营效益</w:t>
        </w:r>
        <w:r>
          <w:tab/>
        </w:r>
        <w:r>
          <w:fldChar w:fldCharType="begin"/>
        </w:r>
        <w:r>
          <w:instrText xml:space="preserve"> PAGEREF _Toc3846 \h </w:instrText>
        </w:r>
        <w:r>
          <w:fldChar w:fldCharType="separate"/>
        </w:r>
        <w:r>
          <w:t>17</w:t>
        </w:r>
        <w:r>
          <w:fldChar w:fldCharType="end"/>
        </w:r>
      </w:hyperlink>
    </w:p>
    <w:p>
      <w:pPr>
        <w:pStyle w:val="TOC2"/>
        <w:tabs>
          <w:tab w:val="right" w:leader="dot" w:pos="8306"/>
        </w:tabs>
      </w:pPr>
      <w:hyperlink w:anchor="_Toc21914" w:history="1">
        <w:r>
          <w:rPr>
            <w:rFonts w:ascii="仿宋" w:eastAsia="仿宋" w:hAnsi="仿宋" w:cs="仿宋" w:hint="eastAsia"/>
            <w:lang w:eastAsia="zh-CN"/>
          </w:rPr>
          <w:t>(一)、经济评价财务测算</w:t>
        </w:r>
        <w:r>
          <w:tab/>
        </w:r>
        <w:r>
          <w:fldChar w:fldCharType="begin"/>
        </w:r>
        <w:r>
          <w:instrText xml:space="preserve"> PAGEREF _Toc21914 \h </w:instrText>
        </w:r>
        <w:r>
          <w:fldChar w:fldCharType="separate"/>
        </w:r>
        <w:r>
          <w:t>17</w:t>
        </w:r>
        <w:r>
          <w:fldChar w:fldCharType="end"/>
        </w:r>
      </w:hyperlink>
    </w:p>
    <w:p>
      <w:pPr>
        <w:pStyle w:val="TOC2"/>
        <w:tabs>
          <w:tab w:val="right" w:leader="dot" w:pos="8306"/>
        </w:tabs>
      </w:pPr>
      <w:hyperlink w:anchor="_Toc31926" w:history="1">
        <w:r>
          <w:rPr>
            <w:rFonts w:ascii="仿宋" w:eastAsia="仿宋" w:hAnsi="仿宋" w:cs="仿宋" w:hint="eastAsia"/>
            <w:lang w:eastAsia="zh-CN"/>
          </w:rPr>
          <w:t>(二)、商用衡器项目盈利能力分析</w:t>
        </w:r>
        <w:r>
          <w:tab/>
        </w:r>
        <w:r>
          <w:fldChar w:fldCharType="begin"/>
        </w:r>
        <w:r>
          <w:instrText xml:space="preserve"> PAGEREF _Toc31926 \h </w:instrText>
        </w:r>
        <w:r>
          <w:fldChar w:fldCharType="separate"/>
        </w:r>
        <w:r>
          <w:t>19</w:t>
        </w:r>
        <w:r>
          <w:fldChar w:fldCharType="end"/>
        </w:r>
      </w:hyperlink>
    </w:p>
    <w:p>
      <w:pPr>
        <w:pStyle w:val="TOC1"/>
        <w:tabs>
          <w:tab w:val="right" w:leader="dot" w:pos="8306"/>
        </w:tabs>
      </w:pPr>
      <w:hyperlink w:anchor="_Toc26382" w:history="1">
        <w:r>
          <w:rPr>
            <w:rFonts w:ascii="仿宋" w:eastAsia="仿宋" w:hAnsi="仿宋" w:cs="仿宋" w:hint="eastAsia"/>
            <w:lang w:eastAsia="zh-CN"/>
          </w:rPr>
          <w:t>八、商用衡器项目计划安排</w:t>
        </w:r>
        <w:r>
          <w:tab/>
        </w:r>
        <w:r>
          <w:fldChar w:fldCharType="begin"/>
        </w:r>
        <w:r>
          <w:instrText xml:space="preserve"> PAGEREF _Toc26382 \h </w:instrText>
        </w:r>
        <w:r>
          <w:fldChar w:fldCharType="separate"/>
        </w:r>
        <w:r>
          <w:t>19</w:t>
        </w:r>
        <w:r>
          <w:fldChar w:fldCharType="end"/>
        </w:r>
      </w:hyperlink>
    </w:p>
    <w:p>
      <w:pPr>
        <w:pStyle w:val="TOC2"/>
        <w:tabs>
          <w:tab w:val="right" w:leader="dot" w:pos="8306"/>
        </w:tabs>
      </w:pPr>
      <w:hyperlink w:anchor="_Toc22639" w:history="1">
        <w:r>
          <w:rPr>
            <w:rFonts w:ascii="仿宋" w:eastAsia="仿宋" w:hAnsi="仿宋" w:cs="仿宋" w:hint="eastAsia"/>
            <w:lang w:eastAsia="zh-CN"/>
          </w:rPr>
          <w:t>(一)、建设周期</w:t>
        </w:r>
        <w:r>
          <w:tab/>
        </w:r>
        <w:r>
          <w:fldChar w:fldCharType="begin"/>
        </w:r>
        <w:r>
          <w:instrText xml:space="preserve"> PAGEREF _Toc22639 \h </w:instrText>
        </w:r>
        <w:r>
          <w:fldChar w:fldCharType="separate"/>
        </w:r>
        <w:r>
          <w:t>19</w:t>
        </w:r>
        <w:r>
          <w:fldChar w:fldCharType="end"/>
        </w:r>
      </w:hyperlink>
    </w:p>
    <w:p>
      <w:pPr>
        <w:pStyle w:val="TOC2"/>
        <w:tabs>
          <w:tab w:val="right" w:leader="dot" w:pos="8306"/>
        </w:tabs>
      </w:pPr>
      <w:hyperlink w:anchor="_Toc17601" w:history="1">
        <w:r>
          <w:rPr>
            <w:rFonts w:ascii="仿宋" w:eastAsia="仿宋" w:hAnsi="仿宋" w:cs="仿宋" w:hint="eastAsia"/>
            <w:lang w:eastAsia="zh-CN"/>
          </w:rPr>
          <w:t>(二)、建设进度</w:t>
        </w:r>
        <w:r>
          <w:tab/>
        </w:r>
        <w:r>
          <w:fldChar w:fldCharType="begin"/>
        </w:r>
        <w:r>
          <w:instrText xml:space="preserve"> PAGEREF _Toc17601 \h </w:instrText>
        </w:r>
        <w:r>
          <w:fldChar w:fldCharType="separate"/>
        </w:r>
        <w:r>
          <w:t>20</w:t>
        </w:r>
        <w:r>
          <w:fldChar w:fldCharType="end"/>
        </w:r>
      </w:hyperlink>
    </w:p>
    <w:p>
      <w:pPr>
        <w:pStyle w:val="TOC2"/>
        <w:tabs>
          <w:tab w:val="right" w:leader="dot" w:pos="8306"/>
        </w:tabs>
      </w:pPr>
      <w:hyperlink w:anchor="_Toc2393" w:history="1">
        <w:r>
          <w:rPr>
            <w:rFonts w:ascii="仿宋" w:eastAsia="仿宋" w:hAnsi="仿宋" w:cs="仿宋" w:hint="eastAsia"/>
            <w:lang w:eastAsia="zh-CN"/>
          </w:rPr>
          <w:t>(三)、进度安排注意事项</w:t>
        </w:r>
        <w:r>
          <w:tab/>
        </w:r>
        <w:r>
          <w:fldChar w:fldCharType="begin"/>
        </w:r>
        <w:r>
          <w:instrText xml:space="preserve"> PAGEREF _Toc2393 \h </w:instrText>
        </w:r>
        <w:r>
          <w:fldChar w:fldCharType="separate"/>
        </w:r>
        <w:r>
          <w:t>21</w:t>
        </w:r>
        <w:r>
          <w:fldChar w:fldCharType="end"/>
        </w:r>
      </w:hyperlink>
    </w:p>
    <w:p>
      <w:pPr>
        <w:pStyle w:val="TOC2"/>
        <w:tabs>
          <w:tab w:val="right" w:leader="dot" w:pos="8306"/>
        </w:tabs>
      </w:pPr>
      <w:hyperlink w:anchor="_Toc32279" w:history="1">
        <w:r>
          <w:rPr>
            <w:rFonts w:ascii="仿宋" w:eastAsia="仿宋" w:hAnsi="仿宋" w:cs="仿宋" w:hint="eastAsia"/>
            <w:lang w:eastAsia="zh-CN"/>
          </w:rPr>
          <w:t>(四)、人力资源配置</w:t>
        </w:r>
        <w:r>
          <w:tab/>
        </w:r>
        <w:r>
          <w:fldChar w:fldCharType="begin"/>
        </w:r>
        <w:r>
          <w:instrText xml:space="preserve"> PAGEREF _Toc32279 \h </w:instrText>
        </w:r>
        <w:r>
          <w:fldChar w:fldCharType="separate"/>
        </w:r>
        <w:r>
          <w:t>23</w:t>
        </w:r>
        <w:r>
          <w:fldChar w:fldCharType="end"/>
        </w:r>
      </w:hyperlink>
    </w:p>
    <w:p>
      <w:pPr>
        <w:pStyle w:val="TOC1"/>
        <w:tabs>
          <w:tab w:val="right" w:leader="dot" w:pos="8306"/>
        </w:tabs>
      </w:pPr>
      <w:hyperlink w:anchor="_Toc31419" w:history="1">
        <w:r>
          <w:rPr>
            <w:rFonts w:ascii="仿宋" w:eastAsia="仿宋" w:hAnsi="仿宋" w:cs="仿宋" w:hint="eastAsia"/>
            <w:lang w:eastAsia="zh-CN"/>
          </w:rPr>
          <w:t>九、商用衡器项目风险管理</w:t>
        </w:r>
        <w:r>
          <w:tab/>
        </w:r>
        <w:r>
          <w:fldChar w:fldCharType="begin"/>
        </w:r>
        <w:r>
          <w:instrText xml:space="preserve"> PAGEREF _Toc31419 \h </w:instrText>
        </w:r>
        <w:r>
          <w:fldChar w:fldCharType="separate"/>
        </w:r>
        <w:r>
          <w:t>23</w:t>
        </w:r>
        <w:r>
          <w:fldChar w:fldCharType="end"/>
        </w:r>
      </w:hyperlink>
    </w:p>
    <w:p>
      <w:pPr>
        <w:pStyle w:val="TOC2"/>
        <w:tabs>
          <w:tab w:val="right" w:leader="dot" w:pos="8306"/>
        </w:tabs>
      </w:pPr>
      <w:hyperlink w:anchor="_Toc19686" w:history="1">
        <w:r>
          <w:rPr>
            <w:rFonts w:ascii="仿宋" w:eastAsia="仿宋" w:hAnsi="仿宋" w:cs="仿宋" w:hint="eastAsia"/>
            <w:lang w:eastAsia="zh-CN"/>
          </w:rPr>
          <w:t>(一)、风险识别与评估</w:t>
        </w:r>
        <w:r>
          <w:tab/>
        </w:r>
        <w:r>
          <w:fldChar w:fldCharType="begin"/>
        </w:r>
        <w:r>
          <w:instrText xml:space="preserve"> PAGEREF _Toc19686 \h </w:instrText>
        </w:r>
        <w:r>
          <w:fldChar w:fldCharType="separate"/>
        </w:r>
        <w:r>
          <w:t>23</w:t>
        </w:r>
        <w:r>
          <w:fldChar w:fldCharType="end"/>
        </w:r>
      </w:hyperlink>
    </w:p>
    <w:p>
      <w:pPr>
        <w:pStyle w:val="TOC2"/>
        <w:tabs>
          <w:tab w:val="right" w:leader="dot" w:pos="8306"/>
        </w:tabs>
      </w:pPr>
      <w:hyperlink w:anchor="_Toc13334" w:history="1">
        <w:r>
          <w:rPr>
            <w:rFonts w:ascii="仿宋" w:eastAsia="仿宋" w:hAnsi="仿宋" w:cs="仿宋" w:hint="eastAsia"/>
            <w:lang w:eastAsia="zh-CN"/>
          </w:rPr>
          <w:t>(二)、风险应对策略</w:t>
        </w:r>
        <w:r>
          <w:tab/>
        </w:r>
        <w:r>
          <w:fldChar w:fldCharType="begin"/>
        </w:r>
        <w:r>
          <w:instrText xml:space="preserve"> PAGEREF _Toc13334 \h </w:instrText>
        </w:r>
        <w:r>
          <w:fldChar w:fldCharType="separate"/>
        </w:r>
        <w:r>
          <w:t>25</w:t>
        </w:r>
        <w:r>
          <w:fldChar w:fldCharType="end"/>
        </w:r>
      </w:hyperlink>
    </w:p>
    <w:p>
      <w:pPr>
        <w:pStyle w:val="TOC2"/>
        <w:tabs>
          <w:tab w:val="right" w:leader="dot" w:pos="8306"/>
        </w:tabs>
      </w:pPr>
      <w:hyperlink w:anchor="_Toc929" w:history="1">
        <w:r>
          <w:rPr>
            <w:rFonts w:ascii="仿宋" w:eastAsia="仿宋" w:hAnsi="仿宋" w:cs="仿宋" w:hint="eastAsia"/>
            <w:lang w:eastAsia="zh-CN"/>
          </w:rPr>
          <w:t>(三)、风险监控与控制</w:t>
        </w:r>
        <w:r>
          <w:tab/>
        </w:r>
        <w:r>
          <w:fldChar w:fldCharType="begin"/>
        </w:r>
        <w:r>
          <w:instrText xml:space="preserve"> PAGEREF _Toc929 \h </w:instrText>
        </w:r>
        <w:r>
          <w:fldChar w:fldCharType="separate"/>
        </w:r>
        <w:r>
          <w:t>26</w:t>
        </w:r>
        <w:r>
          <w:fldChar w:fldCharType="end"/>
        </w:r>
      </w:hyperlink>
    </w:p>
    <w:p>
      <w:pPr>
        <w:pStyle w:val="TOC1"/>
        <w:tabs>
          <w:tab w:val="right" w:leader="dot" w:pos="8306"/>
        </w:tabs>
      </w:pPr>
      <w:hyperlink w:anchor="_Toc27424" w:history="1">
        <w:r>
          <w:rPr>
            <w:rFonts w:ascii="仿宋" w:eastAsia="仿宋" w:hAnsi="仿宋" w:cs="仿宋" w:hint="eastAsia"/>
            <w:lang w:eastAsia="zh-CN"/>
          </w:rPr>
          <w:t>十、商用衡器项目投资规划</w:t>
        </w:r>
        <w:r>
          <w:tab/>
        </w:r>
        <w:r>
          <w:fldChar w:fldCharType="begin"/>
        </w:r>
        <w:r>
          <w:instrText xml:space="preserve"> PAGEREF _Toc27424 \h </w:instrText>
        </w:r>
        <w:r>
          <w:fldChar w:fldCharType="separate"/>
        </w:r>
        <w:r>
          <w:t>27</w:t>
        </w:r>
        <w:r>
          <w:fldChar w:fldCharType="end"/>
        </w:r>
      </w:hyperlink>
    </w:p>
    <w:p>
      <w:pPr>
        <w:pStyle w:val="TOC2"/>
        <w:tabs>
          <w:tab w:val="right" w:leader="dot" w:pos="8306"/>
        </w:tabs>
      </w:pPr>
      <w:hyperlink w:anchor="_Toc16881" w:history="1">
        <w:r>
          <w:rPr>
            <w:rFonts w:ascii="仿宋" w:eastAsia="仿宋" w:hAnsi="仿宋" w:cs="仿宋" w:hint="eastAsia"/>
            <w:lang w:eastAsia="zh-CN"/>
          </w:rPr>
          <w:t>(一)、商用衡器项目总投资估算</w:t>
        </w:r>
        <w:r>
          <w:tab/>
        </w:r>
        <w:r>
          <w:fldChar w:fldCharType="begin"/>
        </w:r>
        <w:r>
          <w:instrText xml:space="preserve"> PAGEREF _Toc16881 \h </w:instrText>
        </w:r>
        <w:r>
          <w:fldChar w:fldCharType="separate"/>
        </w:r>
        <w:r>
          <w:t>27</w:t>
        </w:r>
        <w:r>
          <w:fldChar w:fldCharType="end"/>
        </w:r>
      </w:hyperlink>
    </w:p>
    <w:p>
      <w:pPr>
        <w:pStyle w:val="TOC2"/>
        <w:tabs>
          <w:tab w:val="right" w:leader="dot" w:pos="8306"/>
        </w:tabs>
      </w:pPr>
      <w:hyperlink w:anchor="_Toc9857" w:history="1">
        <w:r>
          <w:rPr>
            <w:rFonts w:ascii="仿宋" w:eastAsia="仿宋" w:hAnsi="仿宋" w:cs="仿宋" w:hint="eastAsia"/>
            <w:lang w:eastAsia="zh-CN"/>
          </w:rPr>
          <w:t>(二)、资金筹措</w:t>
        </w:r>
        <w:r>
          <w:tab/>
        </w:r>
        <w:r>
          <w:fldChar w:fldCharType="begin"/>
        </w:r>
        <w:r>
          <w:instrText xml:space="preserve"> PAGEREF _Toc9857 \h </w:instrText>
        </w:r>
        <w:r>
          <w:fldChar w:fldCharType="separate"/>
        </w:r>
        <w:r>
          <w:t>29</w:t>
        </w:r>
        <w:r>
          <w:fldChar w:fldCharType="end"/>
        </w:r>
      </w:hyperlink>
    </w:p>
    <w:p>
      <w:pPr>
        <w:pStyle w:val="TOC1"/>
        <w:tabs>
          <w:tab w:val="right" w:leader="dot" w:pos="8306"/>
        </w:tabs>
      </w:pPr>
      <w:hyperlink w:anchor="_Toc19195" w:history="1">
        <w:r>
          <w:rPr>
            <w:rFonts w:ascii="仿宋" w:eastAsia="仿宋" w:hAnsi="仿宋" w:cs="仿宋" w:hint="eastAsia"/>
            <w:lang w:eastAsia="zh-CN"/>
          </w:rPr>
          <w:t>十一、商用衡器项目人力资源管理</w:t>
        </w:r>
        <w:r>
          <w:tab/>
        </w:r>
        <w:r>
          <w:fldChar w:fldCharType="begin"/>
        </w:r>
        <w:r>
          <w:instrText xml:space="preserve"> PAGEREF _Toc19195 \h </w:instrText>
        </w:r>
        <w:r>
          <w:fldChar w:fldCharType="separate"/>
        </w:r>
        <w:r>
          <w:t>29</w:t>
        </w:r>
        <w:r>
          <w:fldChar w:fldCharType="end"/>
        </w:r>
      </w:hyperlink>
    </w:p>
    <w:p>
      <w:pPr>
        <w:pStyle w:val="TOC2"/>
        <w:tabs>
          <w:tab w:val="right" w:leader="dot" w:pos="8306"/>
        </w:tabs>
      </w:pPr>
      <w:hyperlink w:anchor="_Toc32635" w:history="1">
        <w:r>
          <w:rPr>
            <w:rFonts w:ascii="仿宋" w:eastAsia="仿宋" w:hAnsi="仿宋" w:cs="仿宋" w:hint="eastAsia"/>
            <w:lang w:eastAsia="zh-CN"/>
          </w:rPr>
          <w:t>(一)、建立健全的预算管理制度</w:t>
        </w:r>
        <w:r>
          <w:tab/>
        </w:r>
        <w:r>
          <w:fldChar w:fldCharType="begin"/>
        </w:r>
        <w:r>
          <w:instrText xml:space="preserve"> PAGEREF _Toc32635 \h </w:instrText>
        </w:r>
        <w:r>
          <w:fldChar w:fldCharType="separate"/>
        </w:r>
        <w:r>
          <w:t>29</w:t>
        </w:r>
        <w:r>
          <w:fldChar w:fldCharType="end"/>
        </w:r>
      </w:hyperlink>
    </w:p>
    <w:p>
      <w:pPr>
        <w:pStyle w:val="TOC2"/>
        <w:tabs>
          <w:tab w:val="right" w:leader="dot" w:pos="8306"/>
        </w:tabs>
      </w:pPr>
      <w:hyperlink w:anchor="_Toc29409" w:history="1">
        <w:r>
          <w:rPr>
            <w:rFonts w:ascii="仿宋" w:eastAsia="仿宋" w:hAnsi="仿宋" w:cs="仿宋" w:hint="eastAsia"/>
            <w:lang w:eastAsia="zh-CN"/>
          </w:rPr>
          <w:t>(二)、加强资金流动监控</w:t>
        </w:r>
        <w:r>
          <w:tab/>
        </w:r>
        <w:r>
          <w:fldChar w:fldCharType="begin"/>
        </w:r>
        <w:r>
          <w:instrText xml:space="preserve"> PAGEREF _Toc29409 \h </w:instrText>
        </w:r>
        <w:r>
          <w:fldChar w:fldCharType="separate"/>
        </w:r>
        <w:r>
          <w:t>31</w:t>
        </w:r>
        <w:r>
          <w:fldChar w:fldCharType="end"/>
        </w:r>
      </w:hyperlink>
    </w:p>
    <w:p>
      <w:pPr>
        <w:pStyle w:val="TOC2"/>
        <w:tabs>
          <w:tab w:val="right" w:leader="dot" w:pos="8306"/>
        </w:tabs>
      </w:pPr>
      <w:hyperlink w:anchor="_Toc16877" w:history="1">
        <w:r>
          <w:rPr>
            <w:rFonts w:ascii="仿宋" w:eastAsia="仿宋" w:hAnsi="仿宋" w:cs="仿宋" w:hint="eastAsia"/>
            <w:lang w:eastAsia="zh-CN"/>
          </w:rPr>
          <w:t>(三)、制定完善的风险控制机制</w:t>
        </w:r>
        <w:r>
          <w:tab/>
        </w:r>
        <w:r>
          <w:fldChar w:fldCharType="begin"/>
        </w:r>
        <w:r>
          <w:instrText xml:space="preserve"> PAGEREF _Toc16877 \h </w:instrText>
        </w:r>
        <w:r>
          <w:fldChar w:fldCharType="separate"/>
        </w:r>
        <w:r>
          <w:t>32</w:t>
        </w:r>
        <w:r>
          <w:fldChar w:fldCharType="end"/>
        </w:r>
      </w:hyperlink>
    </w:p>
    <w:p>
      <w:pPr>
        <w:pStyle w:val="TOC2"/>
        <w:tabs>
          <w:tab w:val="right" w:leader="dot" w:pos="8306"/>
        </w:tabs>
      </w:pPr>
      <w:hyperlink w:anchor="_Toc1345" w:history="1">
        <w:r>
          <w:rPr>
            <w:rFonts w:ascii="仿宋" w:eastAsia="仿宋" w:hAnsi="仿宋" w:cs="仿宋" w:hint="eastAsia"/>
            <w:lang w:eastAsia="zh-CN"/>
          </w:rPr>
          <w:t>(四)、优化成本管理</w:t>
        </w:r>
        <w:r>
          <w:tab/>
        </w:r>
        <w:r>
          <w:fldChar w:fldCharType="begin"/>
        </w:r>
        <w:r>
          <w:instrText xml:space="preserve"> PAGEREF _Toc1345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3" w:history="1">
        <w:r>
          <w:rPr>
            <w:rFonts w:ascii="仿宋" w:eastAsia="仿宋" w:hAnsi="仿宋" w:cs="仿宋" w:hint="eastAsia"/>
            <w:lang w:eastAsia="zh-CN"/>
          </w:rPr>
          <w:t>十二、商用衡器项目人力资源培养与发展</w:t>
        </w:r>
        <w:r>
          <w:tab/>
        </w:r>
        <w:r>
          <w:fldChar w:fldCharType="begin"/>
        </w:r>
        <w:r>
          <w:instrText xml:space="preserve"> PAGEREF _Toc25933 \h </w:instrText>
        </w:r>
        <w:r>
          <w:fldChar w:fldCharType="separate"/>
        </w:r>
        <w:r>
          <w:t>35</w:t>
        </w:r>
        <w:r>
          <w:fldChar w:fldCharType="end"/>
        </w:r>
      </w:hyperlink>
    </w:p>
    <w:p>
      <w:pPr>
        <w:pStyle w:val="TOC2"/>
        <w:tabs>
          <w:tab w:val="right" w:leader="dot" w:pos="8306"/>
        </w:tabs>
      </w:pPr>
      <w:hyperlink w:anchor="_Toc21696" w:history="1">
        <w:r>
          <w:rPr>
            <w:rFonts w:ascii="仿宋" w:eastAsia="仿宋" w:hAnsi="仿宋" w:cs="仿宋" w:hint="eastAsia"/>
            <w:lang w:eastAsia="zh-CN"/>
          </w:rPr>
          <w:t>(一)、人才需求与规划</w:t>
        </w:r>
        <w:r>
          <w:tab/>
        </w:r>
        <w:r>
          <w:fldChar w:fldCharType="begin"/>
        </w:r>
        <w:r>
          <w:instrText xml:space="preserve"> PAGEREF _Toc21696 \h </w:instrText>
        </w:r>
        <w:r>
          <w:fldChar w:fldCharType="separate"/>
        </w:r>
        <w:r>
          <w:t>35</w:t>
        </w:r>
        <w:r>
          <w:fldChar w:fldCharType="end"/>
        </w:r>
      </w:hyperlink>
    </w:p>
    <w:p>
      <w:pPr>
        <w:pStyle w:val="TOC2"/>
        <w:tabs>
          <w:tab w:val="right" w:leader="dot" w:pos="8306"/>
        </w:tabs>
      </w:pPr>
      <w:hyperlink w:anchor="_Toc28301" w:history="1">
        <w:r>
          <w:rPr>
            <w:rFonts w:ascii="仿宋" w:eastAsia="仿宋" w:hAnsi="仿宋" w:cs="仿宋" w:hint="eastAsia"/>
            <w:lang w:eastAsia="zh-CN"/>
          </w:rPr>
          <w:t>(二)、培训与发展计划</w:t>
        </w:r>
        <w:r>
          <w:tab/>
        </w:r>
        <w:r>
          <w:fldChar w:fldCharType="begin"/>
        </w:r>
        <w:r>
          <w:instrText xml:space="preserve"> PAGEREF _Toc28301 \h </w:instrText>
        </w:r>
        <w:r>
          <w:fldChar w:fldCharType="separate"/>
        </w:r>
        <w:r>
          <w:t>35</w:t>
        </w:r>
        <w:r>
          <w:fldChar w:fldCharType="end"/>
        </w:r>
      </w:hyperlink>
    </w:p>
    <w:p>
      <w:pPr>
        <w:pStyle w:val="TOC1"/>
        <w:tabs>
          <w:tab w:val="right" w:leader="dot" w:pos="8306"/>
        </w:tabs>
      </w:pPr>
      <w:hyperlink w:anchor="_Toc25576" w:history="1">
        <w:r>
          <w:rPr>
            <w:rFonts w:ascii="仿宋" w:eastAsia="仿宋" w:hAnsi="仿宋" w:cs="仿宋" w:hint="eastAsia"/>
            <w:lang w:eastAsia="zh-CN"/>
          </w:rPr>
          <w:t>十三、商用衡器项目治理与监督</w:t>
        </w:r>
        <w:r>
          <w:tab/>
        </w:r>
        <w:r>
          <w:fldChar w:fldCharType="begin"/>
        </w:r>
        <w:r>
          <w:instrText xml:space="preserve"> PAGEREF _Toc25576 \h </w:instrText>
        </w:r>
        <w:r>
          <w:fldChar w:fldCharType="separate"/>
        </w:r>
        <w:r>
          <w:t>36</w:t>
        </w:r>
        <w:r>
          <w:fldChar w:fldCharType="end"/>
        </w:r>
      </w:hyperlink>
    </w:p>
    <w:p>
      <w:pPr>
        <w:pStyle w:val="TOC2"/>
        <w:tabs>
          <w:tab w:val="right" w:leader="dot" w:pos="8306"/>
        </w:tabs>
      </w:pPr>
      <w:hyperlink w:anchor="_Toc2564" w:history="1">
        <w:r>
          <w:rPr>
            <w:rFonts w:ascii="仿宋" w:eastAsia="仿宋" w:hAnsi="仿宋" w:cs="仿宋" w:hint="eastAsia"/>
            <w:lang w:eastAsia="zh-CN"/>
          </w:rPr>
          <w:t>(一)、商用衡器项目治理结构</w:t>
        </w:r>
        <w:r>
          <w:tab/>
        </w:r>
        <w:r>
          <w:fldChar w:fldCharType="begin"/>
        </w:r>
        <w:r>
          <w:instrText xml:space="preserve"> PAGEREF _Toc2564 \h </w:instrText>
        </w:r>
        <w:r>
          <w:fldChar w:fldCharType="separate"/>
        </w:r>
        <w:r>
          <w:t>36</w:t>
        </w:r>
        <w:r>
          <w:fldChar w:fldCharType="end"/>
        </w:r>
      </w:hyperlink>
    </w:p>
    <w:p>
      <w:pPr>
        <w:pStyle w:val="TOC2"/>
        <w:tabs>
          <w:tab w:val="right" w:leader="dot" w:pos="8306"/>
        </w:tabs>
      </w:pPr>
      <w:hyperlink w:anchor="_Toc22998" w:history="1">
        <w:r>
          <w:rPr>
            <w:rFonts w:ascii="仿宋" w:eastAsia="仿宋" w:hAnsi="仿宋" w:cs="仿宋" w:hint="eastAsia"/>
            <w:lang w:eastAsia="zh-CN"/>
          </w:rPr>
          <w:t>(二)、监督与审计</w:t>
        </w:r>
        <w:r>
          <w:tab/>
        </w:r>
        <w:r>
          <w:fldChar w:fldCharType="begin"/>
        </w:r>
        <w:r>
          <w:instrText xml:space="preserve"> PAGEREF _Toc22998 \h </w:instrText>
        </w:r>
        <w:r>
          <w:fldChar w:fldCharType="separate"/>
        </w:r>
        <w:r>
          <w:t>37</w:t>
        </w:r>
        <w:r>
          <w:fldChar w:fldCharType="end"/>
        </w:r>
      </w:hyperlink>
    </w:p>
    <w:p>
      <w:pPr>
        <w:pStyle w:val="TOC1"/>
        <w:tabs>
          <w:tab w:val="right" w:leader="dot" w:pos="8306"/>
        </w:tabs>
      </w:pPr>
      <w:hyperlink w:anchor="_Toc26073" w:history="1">
        <w:r>
          <w:rPr>
            <w:rFonts w:ascii="仿宋" w:eastAsia="仿宋" w:hAnsi="仿宋" w:cs="仿宋" w:hint="eastAsia"/>
            <w:lang w:eastAsia="zh-CN"/>
          </w:rPr>
          <w:t>十四、营销与推广策略</w:t>
        </w:r>
        <w:r>
          <w:tab/>
        </w:r>
        <w:r>
          <w:fldChar w:fldCharType="begin"/>
        </w:r>
        <w:r>
          <w:instrText xml:space="preserve"> PAGEREF _Toc26073 \h </w:instrText>
        </w:r>
        <w:r>
          <w:fldChar w:fldCharType="separate"/>
        </w:r>
        <w:r>
          <w:t>39</w:t>
        </w:r>
        <w:r>
          <w:fldChar w:fldCharType="end"/>
        </w:r>
      </w:hyperlink>
    </w:p>
    <w:p>
      <w:pPr>
        <w:pStyle w:val="TOC2"/>
        <w:tabs>
          <w:tab w:val="right" w:leader="dot" w:pos="8306"/>
        </w:tabs>
      </w:pPr>
      <w:hyperlink w:anchor="_Toc18839" w:history="1">
        <w:r>
          <w:rPr>
            <w:rFonts w:ascii="仿宋" w:eastAsia="仿宋" w:hAnsi="仿宋" w:cs="仿宋" w:hint="eastAsia"/>
            <w:lang w:eastAsia="zh-CN"/>
          </w:rPr>
          <w:t>(一)、产品/服务定位与特点</w:t>
        </w:r>
        <w:r>
          <w:tab/>
        </w:r>
        <w:r>
          <w:fldChar w:fldCharType="begin"/>
        </w:r>
        <w:r>
          <w:instrText xml:space="preserve"> PAGEREF _Toc18839 \h </w:instrText>
        </w:r>
        <w:r>
          <w:fldChar w:fldCharType="separate"/>
        </w:r>
        <w:r>
          <w:t>39</w:t>
        </w:r>
        <w:r>
          <w:fldChar w:fldCharType="end"/>
        </w:r>
      </w:hyperlink>
    </w:p>
    <w:p>
      <w:pPr>
        <w:pStyle w:val="TOC2"/>
        <w:tabs>
          <w:tab w:val="right" w:leader="dot" w:pos="8306"/>
        </w:tabs>
      </w:pPr>
      <w:hyperlink w:anchor="_Toc22653" w:history="1">
        <w:r>
          <w:rPr>
            <w:rFonts w:ascii="仿宋" w:eastAsia="仿宋" w:hAnsi="仿宋" w:cs="仿宋" w:hint="eastAsia"/>
            <w:lang w:eastAsia="zh-CN"/>
          </w:rPr>
          <w:t>(二)、市场定位与竞争分析</w:t>
        </w:r>
        <w:r>
          <w:tab/>
        </w:r>
        <w:r>
          <w:fldChar w:fldCharType="begin"/>
        </w:r>
        <w:r>
          <w:instrText xml:space="preserve"> PAGEREF _Toc22653 \h </w:instrText>
        </w:r>
        <w:r>
          <w:fldChar w:fldCharType="separate"/>
        </w:r>
        <w:r>
          <w:t>40</w:t>
        </w:r>
        <w:r>
          <w:fldChar w:fldCharType="end"/>
        </w:r>
      </w:hyperlink>
    </w:p>
    <w:p>
      <w:pPr>
        <w:pStyle w:val="TOC2"/>
        <w:tabs>
          <w:tab w:val="right" w:leader="dot" w:pos="8306"/>
        </w:tabs>
      </w:pPr>
      <w:hyperlink w:anchor="_Toc18718" w:history="1">
        <w:r>
          <w:rPr>
            <w:rFonts w:ascii="仿宋" w:eastAsia="仿宋" w:hAnsi="仿宋" w:cs="仿宋" w:hint="eastAsia"/>
            <w:lang w:eastAsia="zh-CN"/>
          </w:rPr>
          <w:t>(三)、营销渠道与策略</w:t>
        </w:r>
        <w:r>
          <w:tab/>
        </w:r>
        <w:r>
          <w:fldChar w:fldCharType="begin"/>
        </w:r>
        <w:r>
          <w:instrText xml:space="preserve"> PAGEREF _Toc18718 \h </w:instrText>
        </w:r>
        <w:r>
          <w:fldChar w:fldCharType="separate"/>
        </w:r>
        <w:r>
          <w:t>41</w:t>
        </w:r>
        <w:r>
          <w:fldChar w:fldCharType="end"/>
        </w:r>
      </w:hyperlink>
    </w:p>
    <w:p>
      <w:pPr>
        <w:pStyle w:val="TOC2"/>
        <w:tabs>
          <w:tab w:val="right" w:leader="dot" w:pos="8306"/>
        </w:tabs>
      </w:pPr>
      <w:hyperlink w:anchor="_Toc31795" w:history="1">
        <w:r>
          <w:rPr>
            <w:rFonts w:ascii="仿宋" w:eastAsia="仿宋" w:hAnsi="仿宋" w:cs="仿宋" w:hint="eastAsia"/>
            <w:lang w:eastAsia="zh-CN"/>
          </w:rPr>
          <w:t>(四)、推广与宣传活动</w:t>
        </w:r>
        <w:r>
          <w:tab/>
        </w:r>
        <w:r>
          <w:fldChar w:fldCharType="begin"/>
        </w:r>
        <w:r>
          <w:instrText xml:space="preserve"> PAGEREF _Toc31795 \h </w:instrText>
        </w:r>
        <w:r>
          <w:fldChar w:fldCharType="separate"/>
        </w:r>
        <w:r>
          <w:t>42</w:t>
        </w:r>
        <w:r>
          <w:fldChar w:fldCharType="end"/>
        </w:r>
      </w:hyperlink>
    </w:p>
    <w:p>
      <w:pPr>
        <w:pStyle w:val="TOC1"/>
        <w:tabs>
          <w:tab w:val="right" w:leader="dot" w:pos="8306"/>
        </w:tabs>
      </w:pPr>
      <w:hyperlink w:anchor="_Toc32056" w:history="1">
        <w:r>
          <w:rPr>
            <w:rFonts w:ascii="仿宋" w:eastAsia="仿宋" w:hAnsi="仿宋" w:cs="仿宋" w:hint="eastAsia"/>
            <w:lang w:eastAsia="zh-CN"/>
          </w:rPr>
          <w:t>十五、风险识别与分类</w:t>
        </w:r>
        <w:r>
          <w:tab/>
        </w:r>
        <w:r>
          <w:fldChar w:fldCharType="begin"/>
        </w:r>
        <w:r>
          <w:instrText xml:space="preserve"> PAGEREF _Toc32056 \h </w:instrText>
        </w:r>
        <w:r>
          <w:fldChar w:fldCharType="separate"/>
        </w:r>
        <w:r>
          <w:t>48</w:t>
        </w:r>
        <w:r>
          <w:fldChar w:fldCharType="end"/>
        </w:r>
      </w:hyperlink>
    </w:p>
    <w:p>
      <w:pPr>
        <w:pStyle w:val="TOC2"/>
        <w:tabs>
          <w:tab w:val="right" w:leader="dot" w:pos="8306"/>
        </w:tabs>
      </w:pPr>
      <w:hyperlink w:anchor="_Toc28614" w:history="1">
        <w:r>
          <w:rPr>
            <w:rFonts w:ascii="仿宋" w:eastAsia="仿宋" w:hAnsi="仿宋" w:cs="仿宋" w:hint="eastAsia"/>
            <w:lang w:eastAsia="zh-CN"/>
          </w:rPr>
          <w:t>(一)、风险识别</w:t>
        </w:r>
        <w:r>
          <w:tab/>
        </w:r>
        <w:r>
          <w:fldChar w:fldCharType="begin"/>
        </w:r>
        <w:r>
          <w:instrText xml:space="preserve"> PAGEREF _Toc28614 \h </w:instrText>
        </w:r>
        <w:r>
          <w:fldChar w:fldCharType="separate"/>
        </w:r>
        <w:r>
          <w:t>48</w:t>
        </w:r>
        <w:r>
          <w:fldChar w:fldCharType="end"/>
        </w:r>
      </w:hyperlink>
    </w:p>
    <w:p>
      <w:pPr>
        <w:pStyle w:val="TOC2"/>
        <w:tabs>
          <w:tab w:val="right" w:leader="dot" w:pos="8306"/>
        </w:tabs>
      </w:pPr>
      <w:hyperlink w:anchor="_Toc10742" w:history="1">
        <w:r>
          <w:rPr>
            <w:rFonts w:ascii="仿宋" w:eastAsia="仿宋" w:hAnsi="仿宋" w:cs="仿宋" w:hint="eastAsia"/>
            <w:lang w:eastAsia="zh-CN"/>
          </w:rPr>
          <w:t>(二)、风险分类</w:t>
        </w:r>
        <w:r>
          <w:tab/>
        </w:r>
        <w:r>
          <w:fldChar w:fldCharType="begin"/>
        </w:r>
        <w:r>
          <w:instrText xml:space="preserve"> PAGEREF _Toc10742 \h </w:instrText>
        </w:r>
        <w:r>
          <w:fldChar w:fldCharType="separate"/>
        </w:r>
        <w:r>
          <w:t>49</w:t>
        </w:r>
        <w:r>
          <w:fldChar w:fldCharType="end"/>
        </w:r>
      </w:hyperlink>
    </w:p>
    <w:p>
      <w:pPr>
        <w:pStyle w:val="TOC1"/>
        <w:tabs>
          <w:tab w:val="right" w:leader="dot" w:pos="8306"/>
        </w:tabs>
      </w:pPr>
      <w:hyperlink w:anchor="_Toc11723" w:history="1">
        <w:r>
          <w:rPr>
            <w:rFonts w:ascii="仿宋" w:eastAsia="仿宋" w:hAnsi="仿宋" w:cs="仿宋" w:hint="eastAsia"/>
            <w:lang w:eastAsia="zh-CN"/>
          </w:rPr>
          <w:t>十六、商用衡器项目工程方案分析</w:t>
        </w:r>
        <w:r>
          <w:tab/>
        </w:r>
        <w:r>
          <w:fldChar w:fldCharType="begin"/>
        </w:r>
        <w:r>
          <w:instrText xml:space="preserve"> PAGEREF _Toc11723 \h </w:instrText>
        </w:r>
        <w:r>
          <w:fldChar w:fldCharType="separate"/>
        </w:r>
        <w:r>
          <w:t>51</w:t>
        </w:r>
        <w:r>
          <w:fldChar w:fldCharType="end"/>
        </w:r>
      </w:hyperlink>
    </w:p>
    <w:p>
      <w:pPr>
        <w:pStyle w:val="TOC2"/>
        <w:tabs>
          <w:tab w:val="right" w:leader="dot" w:pos="8306"/>
        </w:tabs>
      </w:pPr>
      <w:hyperlink w:anchor="_Toc4944" w:history="1">
        <w:r>
          <w:rPr>
            <w:rFonts w:ascii="仿宋" w:eastAsia="仿宋" w:hAnsi="仿宋" w:cs="仿宋" w:hint="eastAsia"/>
            <w:lang w:eastAsia="zh-CN"/>
          </w:rPr>
          <w:t>(一)、建筑工程设计原则</w:t>
        </w:r>
        <w:r>
          <w:tab/>
        </w:r>
        <w:r>
          <w:fldChar w:fldCharType="begin"/>
        </w:r>
        <w:r>
          <w:instrText xml:space="preserve"> PAGEREF _Toc4944 \h </w:instrText>
        </w:r>
        <w:r>
          <w:fldChar w:fldCharType="separate"/>
        </w:r>
        <w:r>
          <w:t>51</w:t>
        </w:r>
        <w:r>
          <w:fldChar w:fldCharType="end"/>
        </w:r>
      </w:hyperlink>
    </w:p>
    <w:p>
      <w:pPr>
        <w:pStyle w:val="TOC2"/>
        <w:tabs>
          <w:tab w:val="right" w:leader="dot" w:pos="8306"/>
        </w:tabs>
      </w:pPr>
      <w:hyperlink w:anchor="_Toc14120" w:history="1">
        <w:r>
          <w:rPr>
            <w:rFonts w:ascii="仿宋" w:eastAsia="仿宋" w:hAnsi="仿宋" w:cs="仿宋" w:hint="eastAsia"/>
            <w:lang w:eastAsia="zh-CN"/>
          </w:rPr>
          <w:t>(二)、土建工程建设指标</w:t>
        </w:r>
        <w:r>
          <w:tab/>
        </w:r>
        <w:r>
          <w:fldChar w:fldCharType="begin"/>
        </w:r>
        <w:r>
          <w:instrText xml:space="preserve"> PAGEREF _Toc14120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43"/>
      <w:r>
        <w:rPr>
          <w:rFonts w:ascii="仿宋" w:eastAsia="仿宋" w:hAnsi="仿宋" w:cs="仿宋" w:hint="eastAsia"/>
          <w:lang w:eastAsia="zh-CN"/>
        </w:rPr>
        <w:t>(一)、商用衡器行业分析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行业一直以来都是市场的关注焦点。行业内的发展趋势、竞争态势以及潜在机会都对商用衡器项目的推进产生深远的影响。通过深入研究行业的整体概貌，我们将更好地理解行业的核心特征，为商用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衡器行业，技术一直是推动创新和发展的关键因素。我们将对当前技术趋势进行详尽分析，包括但不限于人工智能、大数据应用、先进制造技术等。这有助于商用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用衡器项目成功的基础。我们将对主要竞争对手进行深入研究，包括其市场份额、产品特点、市场定位等。通过全面了解竞争对手的优势和劣势，商用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27"/>
      <w:r>
        <w:rPr>
          <w:rFonts w:ascii="仿宋" w:eastAsia="仿宋" w:hAnsi="仿宋" w:cs="仿宋" w:hint="eastAsia"/>
          <w:sz w:val="28"/>
          <w:lang w:eastAsia="zh-CN"/>
        </w:rPr>
        <w:t>(二)、商用衡器市场分析预测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通过对市场规模的深入调研，我们将预测商用衡器市场未来的增长趋势。这包括市场的整体规模、各细分领域的发展趋势等。商用衡器项目可以根据市场的扩张速度和潜在机会，制定更符合市场需求的发展策略。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用衡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商用衡器项目实施过程中需要充分考虑的因素。我们将对市场风险进行全面评估，包括但不限于政策法规风险、市场竞争风险、技术变革风险等。通过对潜在风险的深入分析，商用衡器项目可以制定相应的风险缓解策略，降低不确定性对商用衡器项目的影响。</w:t>
      </w:r>
    </w:p>
    <w:p>
      <w:pPr>
        <w:pStyle w:val="Heading1"/>
        <w:ind w:firstLine="560" w:firstLineChars="200"/>
        <w:rPr>
          <w:rFonts w:ascii="仿宋" w:eastAsia="仿宋" w:hAnsi="仿宋" w:cs="仿宋" w:hint="eastAsia"/>
          <w:sz w:val="28"/>
          <w:lang w:eastAsia="zh-CN"/>
        </w:rPr>
      </w:pPr>
      <w:bookmarkStart w:id="5" w:name="_Toc4501"/>
      <w:r>
        <w:rPr>
          <w:rFonts w:ascii="仿宋" w:eastAsia="仿宋" w:hAnsi="仿宋" w:cs="仿宋" w:hint="eastAsia"/>
          <w:sz w:val="28"/>
          <w:lang w:eastAsia="zh-CN"/>
        </w:rPr>
        <w:t>二、商用衡器项目文档管理</w:t>
      </w:r>
      <w:bookmarkEnd w:id="5"/>
    </w:p>
    <w:p>
      <w:pPr>
        <w:pStyle w:val="Heading2"/>
        <w:rPr>
          <w:rFonts w:ascii="仿宋" w:eastAsia="仿宋" w:hAnsi="仿宋" w:cs="仿宋" w:hint="eastAsia"/>
          <w:lang w:eastAsia="zh-CN"/>
        </w:rPr>
      </w:pPr>
      <w:bookmarkStart w:id="6" w:name="_Toc287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商用衡器项目高度重视文档的质量和准确性，以支持商用衡器项目的各项活动和决策。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文档的编制始于商用衡器项目计划的初期，我们制定了详细的文档编制计划，明确了每个文档的内容、格式和编写责任人。在商用衡器项目启动阶段，我们首先编制了商用衡器项目章程，明确定义了商用衡器项目的目标、范围、风险等关键要素。随后，商用衡器项目团队根据计划陆续编制了需求文档、设计文档、测试文档等各类文档，确保商用衡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商用衡器项目管理中的重要环节，旨在确保商用衡器项目文档符合质量标准和商用衡器项目需求。在商用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除了内部审查，我们还进行了外部审查，邀请商用衡器项目相关利益方和专业领域的专家对文档进行独立审查。这有助于获取更全面、客观的反馈，确保商用衡器项目文档不仅符合内部标准，也满足外部需求。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商用衡器项目在文档编制与审查方面建立了严格的管理机制，通过规范的流程和多维度的审查，确保商用衡器项目文档的质量、准确性和可靠性，为商用衡器项目的顺利推进提供了有力支持。</w:t>
      </w:r>
    </w:p>
    <w:p>
      <w:pPr>
        <w:pStyle w:val="Heading2"/>
        <w:ind w:firstLine="560" w:firstLineChars="200"/>
        <w:rPr>
          <w:rFonts w:ascii="仿宋" w:eastAsia="仿宋" w:hAnsi="仿宋" w:cs="仿宋" w:hint="eastAsia"/>
          <w:sz w:val="28"/>
          <w:lang w:eastAsia="zh-CN"/>
        </w:rPr>
      </w:pPr>
      <w:bookmarkStart w:id="7" w:name="_Toc226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我们通过多渠道发布文档，包括电子邮件、商用衡器项目管理平台、内部网站等，以满足不同团队成员的偏好和需求。多渠道发布确保了信息的全面覆盖。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我们采用了精细的权限控制，确保只有授权人员可以访问敏感信息。这种安全措施保护了商用衡器项目文档的机密性，防止了未经授权的信息泄露。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4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文档存档与归档是商用衡器项目生命周期中一个至关重要的环节，直接关系到商用衡器项目信息的长期保存和历史记录的完整性。在商用衡器项目中，我们实施了一系列有效的文档存档与归档管理策略：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370"/>
      <w:r>
        <w:rPr>
          <w:rFonts w:ascii="仿宋" w:eastAsia="仿宋" w:hAnsi="仿宋" w:cs="仿宋" w:hint="eastAsia"/>
          <w:sz w:val="28"/>
          <w:lang w:eastAsia="zh-CN"/>
        </w:rPr>
        <w:t>三、商用衡器项目可持续发展</w:t>
      </w:r>
      <w:bookmarkEnd w:id="9"/>
    </w:p>
    <w:p>
      <w:pPr>
        <w:pStyle w:val="Heading2"/>
        <w:rPr>
          <w:rFonts w:ascii="仿宋" w:eastAsia="仿宋" w:hAnsi="仿宋" w:cs="仿宋" w:hint="eastAsia"/>
          <w:lang w:eastAsia="zh-CN"/>
        </w:rPr>
      </w:pPr>
      <w:bookmarkStart w:id="10" w:name="_Toc1156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衡器项目中，商用衡器项目团队着眼于未来，明确了可持续发展的战略方向。制定的具体可持续发展目标包括降低资源使用、采用环保技术、最大化社会效益等。这一步骤不仅有助于商用衡器项目在环保和社会责任方面达到最高标准，也为未来提供了明确的指引，确保商用衡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可持续实践的融入商用衡器项目管理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用衡器项目管理周期。从商用衡器项目规划开始，商用衡器项目团队就考虑了环境和社会的因素。在执行阶段，商用衡器项目团队积极推动绿色技术的应用，优化资源利用。此外，关注员工的社会责任，通过培训和沟通活动提高员工对可持续发展的认知，使他们能够在日常工作中践行可持续实践。这些举措不仅为商用衡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03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扎根于商用衡器项目的可持续发展理念，我们深信环保与社会责任是商用衡器项目成功的关键支柱。在商用衡器项目的每一步，我们都致力于通过创新和实践，履行对环境和社会的坚定责任。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团队通过引入先进的环保技术、建立高效的废物处理系统以及推动能源节约措施，积极履行环保责任。定期的环保监测和评估确保商用衡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不仅致力于自身可持续发展，还注重对社会的回馈。通过支持社区商用衡器项目、参与慈善事业、提供培训机会等方式，商用衡器项目积极履行社会责任。与当地社区建立积极互动，关注员工的工作与生活平衡，以及员工的身心健康，是商用衡器项目在社会责任层面的关键举措。这样的实践不仅增强了商用衡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3739"/>
      <w:r>
        <w:rPr>
          <w:rFonts w:ascii="仿宋" w:eastAsia="仿宋" w:hAnsi="仿宋" w:cs="仿宋" w:hint="eastAsia"/>
          <w:sz w:val="28"/>
          <w:lang w:eastAsia="zh-CN"/>
        </w:rPr>
        <w:t>四、商用衡器项目建设背景及必要性分析</w:t>
      </w:r>
      <w:bookmarkEnd w:id="12"/>
    </w:p>
    <w:p>
      <w:pPr>
        <w:pStyle w:val="Heading2"/>
        <w:rPr>
          <w:rFonts w:ascii="仿宋" w:eastAsia="仿宋" w:hAnsi="仿宋" w:cs="仿宋" w:hint="eastAsia"/>
          <w:lang w:eastAsia="zh-CN"/>
        </w:rPr>
      </w:pPr>
      <w:bookmarkStart w:id="13" w:name="_Toc8021"/>
      <w:r>
        <w:rPr>
          <w:rFonts w:ascii="仿宋" w:eastAsia="仿宋" w:hAnsi="仿宋" w:cs="仿宋" w:hint="eastAsia"/>
          <w:lang w:eastAsia="zh-CN"/>
        </w:rPr>
        <w:t>(一)、商用衡器项目背景分析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衡器项目在这个潮流中的定位。同时，我们将关注行业内涌现的新兴机遇，以便商用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用衡器项目提供了强大的发展动力。我们将聚焦于行业内最新的技术发展趋势，包括但不限于人工智能、大数据分析、物联网等领域。通过深度的技术研究，我们将确保商用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衡器项目发展的源泉。我们将投入更多的精力对市场需求进行深入剖析，超越表面的需求，深入挖掘潜在的市场痛点和机遇。通过对市场需求的细致了解，商用衡器项目将更有针对性地设计解决方案，满足市场的多样化需求，从而更好地促进商用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用衡器项目战略至关重要。我们将对竞争态势进行更为深入的分析，包括但不限于市场份额、产品特点、客户满意度等多个维度。通过深度的竞争分析，商用衡器项目将能够更准确地把握市场脉搏，制定具有竞争力的商用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用衡器项目的发展具有直接的影响。我们将进行更为全面的法规和政策分析，了解行业发展中的潜在法律风险和合规挑战。通过充分了解和遵守相关法规，商用衡器项目将确保在法律框架内合法合规运营，为商用衡器项目的稳健发展提供有力支持。</w:t>
      </w:r>
    </w:p>
    <w:p>
      <w:pPr>
        <w:pStyle w:val="Heading2"/>
        <w:ind w:firstLine="560" w:firstLineChars="200"/>
        <w:rPr>
          <w:rFonts w:ascii="仿宋" w:eastAsia="仿宋" w:hAnsi="仿宋" w:cs="仿宋" w:hint="eastAsia"/>
          <w:sz w:val="28"/>
          <w:lang w:eastAsia="zh-CN"/>
        </w:rPr>
      </w:pPr>
      <w:bookmarkStart w:id="14" w:name="_Toc982"/>
      <w:r>
        <w:rPr>
          <w:rFonts w:ascii="仿宋" w:eastAsia="仿宋" w:hAnsi="仿宋" w:cs="仿宋" w:hint="eastAsia"/>
          <w:sz w:val="28"/>
          <w:lang w:eastAsia="zh-CN"/>
        </w:rPr>
        <w:t>(二)、商用衡器项目建设必要性分析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商用衡器项目建设的迫切性源于对行业发展趋势的深刻洞察。我们正处于一个行业变革的时代，科技创新、数字化转型成为企业发展的关键动力。商用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建设不仅仅是为了跟上潮流，更是为了通过技术创新推动企业的持续发展。通过引入先进的技术和解决方案，商用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衡器项目的建设成为必然选择，通过提高产品质量、拓展服务领域，从而在竞争中获得更多的机会。商用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用衡器项目建设的必要性体现在对客户需求更精准的满足。通过商用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商用衡器项目建设的背后是对企业持续创新的追求。只有通过不断创新，企业才能在竞争中立于不败之地。商用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796"/>
      <w:r>
        <w:rPr>
          <w:rFonts w:ascii="仿宋" w:eastAsia="仿宋" w:hAnsi="仿宋" w:cs="仿宋" w:hint="eastAsia"/>
          <w:sz w:val="28"/>
          <w:lang w:eastAsia="zh-CN"/>
        </w:rPr>
        <w:t>五、商用衡器项目绩效评估</w:t>
      </w:r>
      <w:bookmarkEnd w:id="15"/>
    </w:p>
    <w:p>
      <w:pPr>
        <w:pStyle w:val="Heading2"/>
        <w:rPr>
          <w:rFonts w:ascii="仿宋" w:eastAsia="仿宋" w:hAnsi="仿宋" w:cs="仿宋" w:hint="eastAsia"/>
          <w:lang w:eastAsia="zh-CN"/>
        </w:rPr>
      </w:pPr>
      <w:bookmarkStart w:id="16" w:name="_Toc2099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衡器项目中，我们设计了一套全面的绩效评估指标，以确保商用衡器项目的可控和成功交付。这些指标跨足商用衡器项目目标、成本、进度和质量等多个维度，为我们提供了全面洞察商用衡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目标达成率是我们关注的首要指标。我们设定了明确的目标，并通过定期监测和评估，迅速发现并应对潜在的目标偏差。这为商用衡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成本绩效是另一个核心关注点。通过实际成本与预算成本的对比分析，我们深入了解成本差异的原因，及时调整资源分配，保持商用衡器项目在经济效益方面的合理水平。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衡器项目进度作为关键的绩效指标之一，得到了精心的关注。我们制定了详细的商用衡器项目进度计划，并设立了进度符合度指标，确保实际进度与计划进度保持一致。这使我们能够快速发现和解决潜在的进度问题，保持商用衡器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用衡器项目绩效的不可或缺的一环。我们引入了一系列的质量标准和客户满意度指标，以确保商用衡器项目交付的成果在质量上达到或超越预期水平。通过持续监测这些指标，我们努力提升商用衡器项目整体质量水平，为商用衡器项目的成功交付提供有力保障。通过这些科学且全面的绩效评估，我们能够更好地引导商用衡器项目的持续改进，确保商用衡器项目目标的顺利达成。</w:t>
      </w:r>
    </w:p>
    <w:p>
      <w:pPr>
        <w:pStyle w:val="Heading2"/>
        <w:ind w:firstLine="560" w:firstLineChars="200"/>
        <w:rPr>
          <w:rFonts w:ascii="仿宋" w:eastAsia="仿宋" w:hAnsi="仿宋" w:cs="仿宋" w:hint="eastAsia"/>
          <w:sz w:val="28"/>
          <w:lang w:eastAsia="zh-CN"/>
        </w:rPr>
      </w:pPr>
      <w:bookmarkStart w:id="17" w:name="_Toc1648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绩效评估是商用衡器项目中的关键环节，为确保商用衡器项目达到预期目标，我们采用了多层次、多维度的绩效评估方法。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用衡器项目的战略目标对齐，确保每个决策和行动都与商用衡器项目整体目标保持一致。团队会定期召开战略对齐会议，审视当前工作与商用衡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用衡器项目进度、质量、成本和风险等方面。这些指标通过数据收集和分析，为商用衡器项目管理团队提供了客观的评估依据。例如，我们通过商用衡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绩效评估不仅仅停留在商用衡器项目内部，还考虑了商用衡器项目对外部环境的影响。我们定期进行干系人满意度调查，以了解各利益相关方对商用衡器项目的期望和满意度，并及时做出调整。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这种多层次、多角度的绩效评估方法，使得我们能够全面了解商用衡器项目的运行状态，及时做出调整，确保商用衡器项目在不断变化的环境中保持稳健前行。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461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为了确保商用衡器项目的有效管理和不断优化，我们采用了精心设计的绩效评估周期。这个周期旨在实现灵活、实时和全面的评估，以适应商用衡器项目执行中的各种挑战。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用衡器项目的不同需求，分为短期、中期和长期。短期评估关注每个迭代或工作周期，以及时发现和解决当前任务中的问题。中期评估涵盖几个迭代，深入了解整体商用衡器项目的趋势和性能。长期评估则着眼于整个商用衡器项目阶段，确保商用衡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用衡器项目管理工具和协作平台，团队成员能够随时更新和分享商用衡器项目数据。这种实时性的反馈机制使我们能够及时察觉潜在问题，快速调整，保持商用衡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用衡器项目的决策制定密不可分。每个周期的商用衡器项目回顾会议成为集体总结经验、识别问题深层次原因并找到创新解决方案的平台。这种定期的反思与调整机制使商用衡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5096"/>
      <w:r>
        <w:rPr>
          <w:rFonts w:ascii="仿宋" w:eastAsia="仿宋" w:hAnsi="仿宋" w:cs="仿宋" w:hint="eastAsia"/>
          <w:sz w:val="28"/>
          <w:lang w:eastAsia="zh-CN"/>
        </w:rPr>
        <w:t>六、商用衡器项目建设单位说明</w:t>
      </w:r>
      <w:bookmarkEnd w:id="19"/>
    </w:p>
    <w:p>
      <w:pPr>
        <w:pStyle w:val="Heading2"/>
        <w:rPr>
          <w:rFonts w:ascii="仿宋" w:eastAsia="仿宋" w:hAnsi="仿宋" w:cs="仿宋" w:hint="eastAsia"/>
          <w:lang w:eastAsia="zh-CN"/>
        </w:rPr>
      </w:pPr>
      <w:bookmarkStart w:id="20" w:name="_Toc1137"/>
      <w:r>
        <w:rPr>
          <w:rFonts w:ascii="仿宋" w:eastAsia="仿宋" w:hAnsi="仿宋" w:cs="仿宋" w:hint="eastAsia"/>
          <w:lang w:eastAsia="zh-CN"/>
        </w:rPr>
        <w:t>(一)、商用衡器项目承办单位基本情况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6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用衡器项目承办单位的XXXX，我们着眼于实现可持续的经济效益。通过技术创新和解决方案的提供，公司预计在商用衡器项目执行期间将获得可观的收入增长。这一收入来源主要包括商用衡器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https://d.book118.com/578007104033006030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商用衡器项目规划设计蓝图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90702"/>
    <w:rsid w:val="492907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0710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2024-01-21T15:06:00Z</dcterms:created>
  <dcterms:modified xsi:type="dcterms:W3CDTF">2024-01-21T15:07:02Z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940E22C214554EEAABEA1FF9EF6BCA8F_11</vt:lpwstr>
  </property>
  <property fmtid="{D5CDD505-2E9C-101B-9397-08002B2CF9AE}" pid="3" name="KSOProductBuildVer">
    <vt:lpwstr>2052-12.1.0.16120</vt:lpwstr>
  </property>
</Properties>
</file>