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2018-2023年内蒙古警察职业学院高职单招（数学／语文／英语）历年常考试题库含答案解析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提出“文章合为时而著，歌诗合为事而作”创作主张的诗人是（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《短歌行》（其一）的主旨是（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A.感叹人生几何，去日苦多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B.感伤亲朋离散，孤苦无依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C.感慨功业未成，忧从中来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D.渴望招纳贤才，建功立业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1921年7月，郭沫若和谁在日本创建了文学社团“创造社”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B.周作人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D.郁达夫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4.</w:t>
      </w:r>
      <w:r>
        <w:rPr>
          <w:rFonts w:ascii="黑体" w:eastAsia="黑体" w:hAnsi="黑体" w:cs="Times New Roman"/>
          <w:sz w:val="24"/>
          <w:lang w:val="en-US" w:eastAsia="ja-JP" w:bidi="ar-SA"/>
        </w:rPr>
        <w:t>《杜陵叟》中，为了突出急征暴敛的罪恶，作者先写灾情的严重，这运用的是（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A.铺垫手法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B.对比手法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C.侧写手法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D.象征手法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3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下列作品属于郭沫若所创作的一组是（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A.《女神》、《死水》、《屈原》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B.《女神》、《尝试集》、《猛虎集》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C.《北方》、《红烛》、《屈原》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D.《屈原》、《虎符》、《蔡文姬》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孟子《寡人之于国也》所言“王道”的意思是（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A.称王天下的方法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B.用仁政治理天下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C.夺取王位的方法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D.用武力统一天下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杜甫《蜀相》“长使英雄泪满襟”的前一句是（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A.三十从军今白发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B.三顾频烦天下计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D.出师未捷身先死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“忽如一夜春风来，千树万树梨花开”这两句诗所采用的修辞方法是（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C.借代、比喻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D.借代、夸张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下列作品中，同属于人物传记的是（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A.《张中丞传后叙》《陈情表》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B.《五代史伶官传序》《马伶传》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C.《李将军列传》《冯谖客孟尝君》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D.《李将军列传》《马伶传》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马致远的《天净沙·秋思》是一篇（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B.套曲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C.慢词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11.</w:t>
      </w:r>
      <w:r>
        <w:rPr>
          <w:rFonts w:ascii="黑体" w:eastAsia="黑体" w:hAnsi="黑体" w:cs="Times New Roman"/>
          <w:sz w:val="24"/>
          <w:lang w:val="en-US" w:eastAsia="ja-JP" w:bidi="ar-SA"/>
        </w:rPr>
        <w:t>我国第一部纪传体通史是（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B.《战国策》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C.《史记》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D.《汉书》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0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A.记事散文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D.议论性随笔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下列作品中，属于记事散文的是（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A.曹禺《日出》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B.郁达夫《故都的秋》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C.茅盾《香市》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D.鲁迅《灯下漫笔》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郁达夫和郭沫若曾一起组织过（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A.语丝社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https://d.book118.com/578022112132006040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578022112132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