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9fbfa">
    <v:background id="_x0000_s1025" filled="t" fillcolor="#f9fbfa">
      <v:fill color2="white"/>
    </v:background>
  </w:background>
  <w:body>
    <w:p>
      <w:pPr>
        <w:spacing w:line="360" w:lineRule="auto"/>
        <w:jc w:val="center"/>
        <w:rPr>
          <w:rFonts w:ascii="Times New Roman" w:hAnsi="Times New Roman" w:cs="Times New Roman" w:hint="default"/>
          <w:b/>
          <w:bCs/>
          <w:color w:val="auto"/>
          <w:sz w:val="72"/>
          <w:szCs w:val="72"/>
        </w:rPr>
      </w:pPr>
    </w:p>
    <w:p>
      <w:pPr>
        <w:pStyle w:val="PlainText"/>
        <w:spacing w:line="360" w:lineRule="auto"/>
        <w:rPr>
          <w:rFonts w:ascii="Times New Roman" w:hAnsi="Times New Roman" w:cs="Times New Roman" w:hint="default"/>
          <w:color w:val="auto"/>
        </w:rPr>
      </w:pPr>
    </w:p>
    <w:p>
      <w:pPr>
        <w:spacing w:line="360" w:lineRule="auto"/>
        <w:jc w:val="center"/>
        <w:rPr>
          <w:rFonts w:ascii="Times New Roman" w:hAnsi="Times New Roman" w:cs="Times New Roman" w:hint="default"/>
          <w:b/>
          <w:bCs/>
          <w:color w:val="auto"/>
          <w:sz w:val="72"/>
          <w:szCs w:val="72"/>
        </w:rPr>
      </w:pPr>
      <w:r>
        <w:rPr>
          <w:rFonts w:ascii="Times New Roman" w:hAnsi="Times New Roman" w:cs="Times New Roman" w:hint="default"/>
          <w:b/>
          <w:bCs/>
          <w:color w:val="auto"/>
          <w:sz w:val="72"/>
          <w:szCs w:val="72"/>
        </w:rPr>
        <w:t>建设项目环境影响报告表</w:t>
      </w:r>
    </w:p>
    <w:p>
      <w:pPr>
        <w:pStyle w:val="PlainText"/>
        <w:spacing w:line="360" w:lineRule="auto"/>
        <w:rPr>
          <w:rFonts w:ascii="Times New Roman" w:hAnsi="Times New Roman" w:cs="Times New Roman" w:hint="default"/>
          <w:color w:val="auto"/>
          <w:highlight w:val="yellow"/>
        </w:rPr>
      </w:pPr>
    </w:p>
    <w:p>
      <w:pPr>
        <w:pStyle w:val="PlainText"/>
        <w:spacing w:line="360" w:lineRule="auto"/>
        <w:rPr>
          <w:rFonts w:ascii="Times New Roman" w:hAnsi="Times New Roman" w:cs="Times New Roman" w:hint="default"/>
          <w:color w:val="auto"/>
          <w:highlight w:val="yellow"/>
        </w:rPr>
      </w:pPr>
    </w:p>
    <w:p>
      <w:pPr>
        <w:pStyle w:val="PlainText"/>
        <w:spacing w:line="360" w:lineRule="auto"/>
        <w:rPr>
          <w:rFonts w:ascii="Times New Roman" w:hAnsi="Times New Roman" w:cs="Times New Roman" w:hint="default"/>
          <w:color w:val="auto"/>
          <w:highlight w:val="yellow"/>
        </w:rPr>
      </w:pPr>
    </w:p>
    <w:p>
      <w:pPr>
        <w:spacing w:line="360" w:lineRule="auto"/>
        <w:rPr>
          <w:rFonts w:ascii="Times New Roman" w:hAnsi="Times New Roman" w:cs="Times New Roman" w:hint="default"/>
          <w:color w:val="auto"/>
          <w:highlight w:val="yellow"/>
        </w:rPr>
      </w:pPr>
    </w:p>
    <w:p>
      <w:pPr>
        <w:spacing w:line="360" w:lineRule="auto"/>
        <w:ind w:firstLine="425" w:firstLineChars="118"/>
        <w:rPr>
          <w:rFonts w:ascii="Times New Roman" w:hAnsi="Times New Roman" w:cs="Times New Roman" w:hint="default"/>
          <w:color w:val="auto"/>
          <w:sz w:val="36"/>
          <w:highlight w:val="yellow"/>
        </w:rPr>
      </w:pPr>
    </w:p>
    <w:p>
      <w:pPr>
        <w:pStyle w:val="PlainText"/>
        <w:spacing w:line="360" w:lineRule="auto"/>
        <w:rPr>
          <w:rFonts w:ascii="Times New Roman" w:hAnsi="Times New Roman" w:cs="Times New Roman" w:hint="default"/>
          <w:color w:val="auto"/>
          <w:sz w:val="36"/>
          <w:highlight w:val="yellow"/>
        </w:rPr>
      </w:pPr>
    </w:p>
    <w:p>
      <w:pPr>
        <w:pStyle w:val="PlainText"/>
        <w:spacing w:line="360" w:lineRule="auto"/>
        <w:rPr>
          <w:rFonts w:ascii="Times New Roman" w:hAnsi="Times New Roman" w:cs="Times New Roman" w:hint="default"/>
          <w:color w:val="auto"/>
          <w:sz w:val="36"/>
          <w:highlight w:val="yellow"/>
        </w:rPr>
      </w:pPr>
    </w:p>
    <w:p>
      <w:pPr>
        <w:pStyle w:val="PlainText"/>
        <w:spacing w:line="360" w:lineRule="auto"/>
        <w:rPr>
          <w:rFonts w:ascii="Times New Roman" w:hAnsi="Times New Roman" w:cs="Times New Roman" w:hint="default"/>
          <w:color w:val="auto"/>
          <w:sz w:val="36"/>
          <w:highlight w:val="yellow"/>
        </w:rPr>
      </w:pPr>
    </w:p>
    <w:p>
      <w:pPr>
        <w:pStyle w:val="PlainText"/>
        <w:spacing w:line="360" w:lineRule="auto"/>
        <w:rPr>
          <w:rFonts w:ascii="Times New Roman" w:hAnsi="Times New Roman" w:cs="Times New Roman" w:hint="default"/>
          <w:color w:val="auto"/>
          <w:sz w:val="36"/>
          <w:highlight w:val="yellow"/>
        </w:rPr>
      </w:pPr>
    </w:p>
    <w:p>
      <w:pPr>
        <w:pStyle w:val="PlainText"/>
        <w:spacing w:line="360" w:lineRule="auto"/>
        <w:rPr>
          <w:rFonts w:ascii="Times New Roman" w:hAnsi="Times New Roman" w:cs="Times New Roman" w:hint="default"/>
          <w:color w:val="auto"/>
          <w:sz w:val="36"/>
          <w:highlight w:val="yellow"/>
        </w:rPr>
      </w:pPr>
    </w:p>
    <w:p>
      <w:pPr>
        <w:spacing w:line="360" w:lineRule="auto"/>
        <w:jc w:val="center"/>
        <w:rPr>
          <w:rFonts w:ascii="Times New Roman" w:hAnsi="Times New Roman" w:cs="Times New Roman" w:hint="default"/>
          <w:b/>
          <w:bCs w:val="0"/>
          <w:color w:val="auto"/>
          <w:kern w:val="0"/>
          <w:sz w:val="32"/>
          <w:szCs w:val="32"/>
          <w:u w:val="single"/>
          <w:lang w:bidi="en-US"/>
        </w:rPr>
      </w:pPr>
      <w:r>
        <w:rPr>
          <w:rFonts w:ascii="Times New Roman" w:hAnsi="Times New Roman" w:cs="Times New Roman" w:hint="default"/>
          <w:b/>
          <w:bCs w:val="0"/>
          <w:color w:val="auto"/>
          <w:sz w:val="32"/>
          <w:szCs w:val="32"/>
        </w:rPr>
        <w:t>项目名称：</w:t>
      </w:r>
      <w:r>
        <w:rPr>
          <w:rFonts w:ascii="Times New Roman" w:hAnsi="Times New Roman" w:cs="Times New Roman" w:hint="default"/>
          <w:b/>
          <w:bCs w:val="0"/>
          <w:color w:val="auto"/>
          <w:kern w:val="0"/>
          <w:sz w:val="32"/>
          <w:szCs w:val="32"/>
          <w:u w:val="single"/>
          <w:lang w:bidi="en-US"/>
        </w:rPr>
        <w:t>阳春市石望镇石仔垌矿区冶金熔剂用白云质灰岩矿</w:t>
      </w:r>
    </w:p>
    <w:p>
      <w:pPr>
        <w:spacing w:line="360" w:lineRule="auto"/>
        <w:ind w:firstLine="1920" w:firstLineChars="600"/>
        <w:rPr>
          <w:rFonts w:ascii="Times New Roman" w:hAnsi="Times New Roman" w:cs="Times New Roman" w:hint="default"/>
          <w:b/>
          <w:bCs w:val="0"/>
          <w:color w:val="auto"/>
          <w:kern w:val="0"/>
          <w:sz w:val="32"/>
          <w:szCs w:val="32"/>
          <w:lang w:bidi="en-US"/>
        </w:rPr>
      </w:pPr>
      <w:r>
        <w:rPr>
          <w:rFonts w:ascii="Times New Roman" w:hAnsi="Times New Roman" w:cs="Times New Roman" w:hint="default"/>
          <w:b/>
          <w:bCs w:val="0"/>
          <w:color w:val="auto"/>
          <w:kern w:val="0"/>
          <w:sz w:val="32"/>
          <w:szCs w:val="32"/>
          <w:u w:val="single"/>
          <w:lang w:bidi="en-US"/>
        </w:rPr>
        <w:t>建设项目</w:t>
      </w:r>
    </w:p>
    <w:p>
      <w:pPr>
        <w:spacing w:line="360" w:lineRule="auto"/>
        <w:ind w:firstLine="320" w:firstLineChars="100"/>
        <w:jc w:val="both"/>
        <w:rPr>
          <w:rFonts w:ascii="Times New Roman" w:hAnsi="Times New Roman" w:cs="Times New Roman" w:hint="default"/>
          <w:b/>
          <w:bCs w:val="0"/>
          <w:color w:val="auto"/>
          <w:sz w:val="36"/>
          <w:u w:val="single"/>
        </w:rPr>
      </w:pPr>
      <w:r>
        <w:rPr>
          <w:rFonts w:ascii="Times New Roman" w:hAnsi="Times New Roman" w:cs="Times New Roman" w:hint="default"/>
          <w:b/>
          <w:bCs w:val="0"/>
          <w:color w:val="auto"/>
          <w:sz w:val="32"/>
          <w:szCs w:val="32"/>
        </w:rPr>
        <w:t>建设单位：</w:t>
      </w:r>
      <w:r>
        <w:rPr>
          <w:rFonts w:ascii="Times New Roman" w:hAnsi="Times New Roman" w:cs="Times New Roman" w:hint="default"/>
          <w:b/>
          <w:bCs w:val="0"/>
          <w:color w:val="auto"/>
          <w:sz w:val="32"/>
          <w:szCs w:val="32"/>
          <w:u w:val="single"/>
        </w:rPr>
        <w:t>广东新兴铸管有限公司(盖章)</w:t>
      </w:r>
    </w:p>
    <w:p>
      <w:pPr>
        <w:spacing w:line="360" w:lineRule="auto"/>
        <w:ind w:firstLine="425" w:firstLineChars="118"/>
        <w:jc w:val="center"/>
        <w:rPr>
          <w:rFonts w:ascii="Times New Roman" w:hAnsi="Times New Roman" w:cs="Times New Roman" w:hint="default"/>
          <w:color w:val="auto"/>
          <w:sz w:val="36"/>
          <w:highlight w:val="yellow"/>
        </w:rPr>
      </w:pPr>
    </w:p>
    <w:p>
      <w:pPr>
        <w:spacing w:line="360" w:lineRule="auto"/>
        <w:rPr>
          <w:rFonts w:ascii="Times New Roman" w:hAnsi="Times New Roman" w:cs="Times New Roman" w:hint="default"/>
          <w:color w:val="auto"/>
          <w:highlight w:val="yellow"/>
        </w:rPr>
      </w:pPr>
    </w:p>
    <w:p>
      <w:pPr>
        <w:spacing w:line="360" w:lineRule="auto"/>
        <w:rPr>
          <w:rFonts w:ascii="Times New Roman" w:hAnsi="Times New Roman" w:cs="Times New Roman" w:hint="default"/>
          <w:color w:val="auto"/>
          <w:highlight w:val="yellow"/>
        </w:rPr>
      </w:pPr>
    </w:p>
    <w:p>
      <w:pPr>
        <w:spacing w:line="360" w:lineRule="auto"/>
        <w:rPr>
          <w:rFonts w:ascii="Times New Roman" w:hAnsi="Times New Roman" w:cs="Times New Roman" w:hint="default"/>
          <w:color w:val="auto"/>
          <w:highlight w:val="yellow"/>
        </w:rPr>
      </w:pPr>
    </w:p>
    <w:p>
      <w:pPr>
        <w:spacing w:line="360" w:lineRule="auto"/>
        <w:rPr>
          <w:rFonts w:ascii="Times New Roman" w:hAnsi="Times New Roman" w:cs="Times New Roman" w:hint="default"/>
          <w:b/>
          <w:color w:val="auto"/>
          <w:sz w:val="32"/>
          <w:szCs w:val="32"/>
        </w:rPr>
      </w:pPr>
    </w:p>
    <w:p>
      <w:pPr>
        <w:spacing w:line="360" w:lineRule="auto"/>
        <w:jc w:val="center"/>
        <w:rPr>
          <w:rFonts w:ascii="Times New Roman" w:hAnsi="Times New Roman" w:cs="Times New Roman" w:hint="default"/>
          <w:b/>
          <w:color w:val="auto"/>
          <w:sz w:val="32"/>
          <w:szCs w:val="32"/>
        </w:rPr>
      </w:pPr>
      <w:r>
        <w:rPr>
          <w:rFonts w:ascii="Times New Roman" w:hAnsi="Times New Roman" w:cs="Times New Roman" w:hint="default"/>
          <w:b/>
          <w:color w:val="auto"/>
          <w:sz w:val="32"/>
          <w:szCs w:val="32"/>
        </w:rPr>
        <w:t>编制日期：2020年4月</w:t>
      </w:r>
    </w:p>
    <w:p>
      <w:pPr>
        <w:pStyle w:val="font6"/>
        <w:rPr>
          <w:rFonts w:ascii="Times New Roman" w:hAnsi="Times New Roman" w:cs="Times New Roman" w:hint="default"/>
          <w:color w:val="auto"/>
        </w:rPr>
        <w:sectPr>
          <w:footerReference w:type="even" r:id="rId4"/>
          <w:footerReference w:type="default" r:id="rId5"/>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type="lines" w:linePitch="312"/>
        </w:sectPr>
      </w:pPr>
      <w:r>
        <w:rPr>
          <w:rFonts w:ascii="Times New Roman" w:hAnsi="Times New Roman" w:cs="Times New Roman" w:hint="default"/>
          <w:b/>
          <w:color w:val="auto"/>
          <w:sz w:val="32"/>
          <w:szCs w:val="32"/>
        </w:rPr>
        <w:t>国家生态环境部制</w:t>
      </w:r>
    </w:p>
    <w:p>
      <w:pPr>
        <w:pStyle w:val="TOC2"/>
        <w:rPr>
          <w:rFonts w:ascii="Times New Roman" w:hAnsi="Times New Roman" w:cs="Times New Roman" w:hint="default"/>
          <w:color w:val="auto"/>
        </w:rPr>
      </w:pPr>
    </w:p>
    <w:p>
      <w:pPr>
        <w:spacing w:line="360" w:lineRule="auto"/>
        <w:jc w:val="center"/>
        <w:rPr>
          <w:rFonts w:ascii="Times New Roman" w:hAnsi="Times New Roman" w:cs="Times New Roman" w:hint="default"/>
          <w:b/>
          <w:bCs/>
          <w:color w:val="auto"/>
          <w:sz w:val="32"/>
        </w:rPr>
      </w:pPr>
      <w:r>
        <w:rPr>
          <w:rFonts w:ascii="Times New Roman" w:hAnsi="Times New Roman" w:cs="Times New Roman" w:hint="default"/>
          <w:b/>
          <w:bCs/>
          <w:color w:val="auto"/>
          <w:sz w:val="32"/>
        </w:rPr>
        <w:t>《建设项目环境影响报告表》编制说明</w:t>
      </w:r>
    </w:p>
    <w:p>
      <w:pPr>
        <w:spacing w:line="360" w:lineRule="auto"/>
        <w:jc w:val="center"/>
        <w:rPr>
          <w:rFonts w:ascii="Times New Roman" w:hAnsi="Times New Roman" w:cs="Times New Roman" w:hint="default"/>
          <w:color w:val="auto"/>
          <w:sz w:val="32"/>
        </w:rPr>
      </w:pPr>
    </w:p>
    <w:p>
      <w:pPr>
        <w:spacing w:line="360" w:lineRule="auto"/>
        <w:jc w:val="center"/>
        <w:rPr>
          <w:rFonts w:ascii="Times New Roman" w:hAnsi="Times New Roman" w:cs="Times New Roman" w:hint="default"/>
          <w:color w:val="auto"/>
          <w:sz w:val="32"/>
        </w:rPr>
      </w:pPr>
    </w:p>
    <w:p>
      <w:pPr>
        <w:pStyle w:val="114"/>
        <w:spacing w:line="360" w:lineRule="auto"/>
        <w:rPr>
          <w:rFonts w:ascii="Times New Roman" w:eastAsia="宋体" w:hAnsi="Times New Roman" w:cs="Times New Roman" w:hint="default"/>
          <w:color w:val="auto"/>
          <w:sz w:val="24"/>
          <w:szCs w:val="24"/>
        </w:rPr>
      </w:pPr>
      <w:r>
        <w:rPr>
          <w:rFonts w:ascii="Times New Roman" w:eastAsia="宋体" w:hAnsi="Times New Roman" w:cs="Times New Roman" w:hint="default"/>
          <w:color w:val="auto"/>
          <w:sz w:val="24"/>
          <w:szCs w:val="24"/>
        </w:rPr>
        <w:t>《建设项目环境影响报告表》由具有从事环境影响评价工作资质的单位编制。</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1、项目名称</w:t>
      </w:r>
      <w:r>
        <w:rPr>
          <w:rFonts w:ascii="Times New Roman" w:hAnsi="Times New Roman" w:cs="Times New Roman" w:hint="default"/>
          <w:color w:val="auto"/>
          <w:szCs w:val="24"/>
        </w:rPr>
        <w:t>——</w:t>
      </w:r>
      <w:r>
        <w:rPr>
          <w:rFonts w:ascii="Times New Roman" w:hAnsi="Times New Roman" w:cs="Times New Roman" w:hint="default"/>
          <w:color w:val="auto"/>
          <w:szCs w:val="24"/>
        </w:rPr>
        <w:t>指项目立项批复时的名称，应不超过30个字（两个英文字段作一个汉字）。</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2、建设地点</w:t>
      </w:r>
      <w:r>
        <w:rPr>
          <w:rFonts w:ascii="Times New Roman" w:hAnsi="Times New Roman" w:cs="Times New Roman" w:hint="default"/>
          <w:color w:val="auto"/>
          <w:szCs w:val="24"/>
        </w:rPr>
        <w:t>——</w:t>
      </w:r>
      <w:r>
        <w:rPr>
          <w:rFonts w:ascii="Times New Roman" w:hAnsi="Times New Roman" w:cs="Times New Roman" w:hint="default"/>
          <w:color w:val="auto"/>
          <w:szCs w:val="24"/>
        </w:rPr>
        <w:t>指项目所在地详细地址，公路、铁路应填写起止地点。</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3、行业类别</w:t>
      </w:r>
      <w:r>
        <w:rPr>
          <w:rFonts w:ascii="Times New Roman" w:hAnsi="Times New Roman" w:cs="Times New Roman" w:hint="default"/>
          <w:color w:val="auto"/>
          <w:szCs w:val="24"/>
        </w:rPr>
        <w:t>——</w:t>
      </w:r>
      <w:r>
        <w:rPr>
          <w:rFonts w:ascii="Times New Roman" w:hAnsi="Times New Roman" w:cs="Times New Roman" w:hint="default"/>
          <w:color w:val="auto"/>
          <w:szCs w:val="24"/>
        </w:rPr>
        <w:t>按国标填写。</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4、总投资</w:t>
      </w:r>
      <w:r>
        <w:rPr>
          <w:rFonts w:ascii="Times New Roman" w:hAnsi="Times New Roman" w:cs="Times New Roman" w:hint="default"/>
          <w:color w:val="auto"/>
          <w:szCs w:val="24"/>
        </w:rPr>
        <w:t>——</w:t>
      </w:r>
      <w:r>
        <w:rPr>
          <w:rFonts w:ascii="Times New Roman" w:hAnsi="Times New Roman" w:cs="Times New Roman" w:hint="default"/>
          <w:color w:val="auto"/>
          <w:szCs w:val="24"/>
        </w:rPr>
        <w:t>指项目投资总额。</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5、主要环境保护目标</w:t>
      </w:r>
      <w:r>
        <w:rPr>
          <w:rFonts w:ascii="Times New Roman" w:hAnsi="Times New Roman" w:cs="Times New Roman" w:hint="default"/>
          <w:color w:val="auto"/>
          <w:szCs w:val="24"/>
        </w:rPr>
        <w:t>——</w:t>
      </w:r>
      <w:r>
        <w:rPr>
          <w:rFonts w:ascii="Times New Roman" w:hAnsi="Times New Roman" w:cs="Times New Roman" w:hint="default"/>
          <w:color w:val="auto"/>
          <w:szCs w:val="24"/>
        </w:rPr>
        <w:t>指项目区周围一定范围内集中居民住宅区、学校、医院、保护文物、风景名胜区、水源地和生态敏感点等，应尽可能给出保护目标、性质、规模和距厂界距离等。</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6、结论与建议</w:t>
      </w:r>
      <w:r>
        <w:rPr>
          <w:rFonts w:ascii="Times New Roman" w:hAnsi="Times New Roman" w:cs="Times New Roman" w:hint="default"/>
          <w:color w:val="auto"/>
          <w:szCs w:val="24"/>
        </w:rPr>
        <w:t>——</w:t>
      </w:r>
      <w:r>
        <w:rPr>
          <w:rFonts w:ascii="Times New Roman" w:hAnsi="Times New Roman" w:cs="Times New Roman" w:hint="default"/>
          <w:color w:val="auto"/>
          <w:szCs w:val="24"/>
        </w:rPr>
        <w:t>给出本项目清洁生产、达标排放和总量控制的分析结论，确定污染防治措施的有效性，说明本项目对环境造成的影响，给出建设项目环境可行性的明确结论。同时提出减少环境影响的其他建议。</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7、预审意见</w:t>
      </w:r>
      <w:r>
        <w:rPr>
          <w:rFonts w:ascii="Times New Roman" w:hAnsi="Times New Roman" w:cs="Times New Roman" w:hint="default"/>
          <w:color w:val="auto"/>
          <w:szCs w:val="24"/>
        </w:rPr>
        <w:t>——</w:t>
      </w:r>
      <w:r>
        <w:rPr>
          <w:rFonts w:ascii="Times New Roman" w:hAnsi="Times New Roman" w:cs="Times New Roman" w:hint="default"/>
          <w:color w:val="auto"/>
          <w:szCs w:val="24"/>
        </w:rPr>
        <w:t>由行业主管部门填写答复意见，无主管部门项目，可不填。</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8、审批意见</w:t>
      </w:r>
      <w:r>
        <w:rPr>
          <w:rFonts w:ascii="Times New Roman" w:hAnsi="Times New Roman" w:cs="Times New Roman" w:hint="default"/>
          <w:color w:val="auto"/>
          <w:szCs w:val="24"/>
        </w:rPr>
        <w:t>——</w:t>
      </w:r>
      <w:r>
        <w:rPr>
          <w:rFonts w:ascii="Times New Roman" w:hAnsi="Times New Roman" w:cs="Times New Roman" w:hint="default"/>
          <w:color w:val="auto"/>
          <w:szCs w:val="24"/>
        </w:rPr>
        <w:t>由负责审批该项目的环境保护行政主管部门批复。</w:t>
      </w:r>
    </w:p>
    <w:p>
      <w:pPr>
        <w:pStyle w:val="Heading2"/>
        <w:spacing w:before="0" w:after="0" w:line="360" w:lineRule="auto"/>
        <w:rPr>
          <w:rFonts w:ascii="Times New Roman" w:eastAsia="宋体" w:hAnsi="Times New Roman" w:cs="Times New Roman" w:hint="default"/>
          <w:color w:val="auto"/>
          <w:sz w:val="28"/>
          <w:szCs w:val="28"/>
        </w:rPr>
        <w:sectPr>
          <w:footerReference w:type="even" r:id="rId6"/>
          <w:footerReference w:type="default" r:id="rId7"/>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type="lines" w:linePitch="312"/>
        </w:sectPr>
      </w:pPr>
    </w:p>
    <w:p>
      <w:pPr>
        <w:pStyle w:val="Heading2"/>
        <w:spacing w:before="0" w:after="0" w:line="360" w:lineRule="auto"/>
        <w:rPr>
          <w:rFonts w:ascii="Times New Roman" w:eastAsia="宋体" w:hAnsi="Times New Roman" w:cs="Times New Roman" w:hint="default"/>
          <w:color w:val="auto"/>
          <w:sz w:val="28"/>
          <w:szCs w:val="28"/>
        </w:rPr>
      </w:pPr>
      <w:r>
        <w:rPr>
          <w:rFonts w:ascii="Times New Roman" w:eastAsia="宋体" w:hAnsi="Times New Roman" w:cs="Times New Roman" w:hint="default"/>
          <w:color w:val="auto"/>
          <w:sz w:val="28"/>
          <w:szCs w:val="28"/>
        </w:rPr>
        <w:t>一、项目基本情况</w:t>
      </w: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61"/>
        <w:gridCol w:w="1571"/>
        <w:gridCol w:w="245"/>
        <w:gridCol w:w="1300"/>
        <w:gridCol w:w="1556"/>
        <w:gridCol w:w="1516"/>
        <w:gridCol w:w="1569"/>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项目名称</w:t>
            </w:r>
          </w:p>
        </w:tc>
        <w:tc>
          <w:tcPr>
            <w:tcW w:w="4117" w:type="pct"/>
            <w:gridSpan w:val="6"/>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阳春市石望镇石仔垌矿区冶金熔剂用白云质灰岩矿建设项目</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建设单位</w:t>
            </w:r>
          </w:p>
        </w:tc>
        <w:tc>
          <w:tcPr>
            <w:tcW w:w="4117" w:type="pct"/>
            <w:gridSpan w:val="6"/>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广东新兴铸管有限公司</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法人代表</w:t>
            </w:r>
          </w:p>
        </w:tc>
        <w:tc>
          <w:tcPr>
            <w:tcW w:w="1654" w:type="pct"/>
            <w:gridSpan w:val="3"/>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p>
        </w:tc>
        <w:tc>
          <w:tcPr>
            <w:tcW w:w="826"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p>
        </w:tc>
        <w:tc>
          <w:tcPr>
            <w:tcW w:w="1637"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通讯地址</w:t>
            </w:r>
          </w:p>
        </w:tc>
        <w:tc>
          <w:tcPr>
            <w:tcW w:w="4117" w:type="pct"/>
            <w:gridSpan w:val="6"/>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 xml:space="preserve">阳春市春城街道南新大道113号 </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联系电话</w:t>
            </w:r>
          </w:p>
        </w:tc>
        <w:tc>
          <w:tcPr>
            <w:tcW w:w="964"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1</w:t>
            </w:r>
          </w:p>
        </w:tc>
        <w:tc>
          <w:tcPr>
            <w:tcW w:w="689"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传真</w:t>
            </w:r>
          </w:p>
        </w:tc>
        <w:tc>
          <w:tcPr>
            <w:tcW w:w="826"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w:t>
            </w:r>
          </w:p>
        </w:tc>
        <w:tc>
          <w:tcPr>
            <w:tcW w:w="805"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邮政编码</w:t>
            </w:r>
          </w:p>
        </w:tc>
        <w:tc>
          <w:tcPr>
            <w:tcW w:w="83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529699</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建设地点</w:t>
            </w:r>
          </w:p>
        </w:tc>
        <w:tc>
          <w:tcPr>
            <w:tcW w:w="4117" w:type="pct"/>
            <w:gridSpan w:val="6"/>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eastAsia="宋体" w:hAnsi="Times New Roman" w:cs="Times New Roman" w:hint="eastAsia"/>
                <w:color w:val="auto"/>
                <w:szCs w:val="24"/>
              </w:rPr>
            </w:pPr>
            <w:r>
              <w:rPr>
                <w:rFonts w:ascii="Times New Roman" w:hAnsi="Times New Roman" w:cs="Times New Roman" w:hint="default"/>
                <w:color w:val="auto"/>
                <w:szCs w:val="24"/>
              </w:rPr>
              <w:t>广东省阳春市石望镇</w:t>
            </w:r>
            <w:r>
              <w:rPr>
                <w:rFonts w:ascii="Times New Roman" w:hAnsi="Times New Roman" w:cs="Times New Roman" w:hint="eastAsia"/>
                <w:color w:val="auto"/>
                <w:szCs w:val="24"/>
                <w:lang w:eastAsia="zh-CN"/>
              </w:rPr>
              <w:t>石仔垌矿区</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立项审批部门</w:t>
            </w:r>
          </w:p>
        </w:tc>
        <w:tc>
          <w:tcPr>
            <w:tcW w:w="1654" w:type="pct"/>
            <w:gridSpan w:val="3"/>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eastAsia="宋体" w:hAnsi="Times New Roman" w:cs="Times New Roman" w:hint="eastAsia"/>
                <w:color w:val="auto"/>
                <w:szCs w:val="24"/>
              </w:rPr>
            </w:pPr>
            <w:r>
              <w:rPr>
                <w:rFonts w:ascii="Times New Roman" w:hAnsi="Times New Roman" w:cs="Times New Roman" w:hint="eastAsia"/>
                <w:color w:val="auto"/>
                <w:szCs w:val="24"/>
                <w:lang w:eastAsia="zh-CN"/>
              </w:rPr>
              <w:t>阳春市发展和改革局</w:t>
            </w:r>
          </w:p>
        </w:tc>
        <w:tc>
          <w:tcPr>
            <w:tcW w:w="826"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批准文号</w:t>
            </w:r>
          </w:p>
        </w:tc>
        <w:tc>
          <w:tcPr>
            <w:tcW w:w="1637"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ind w:left="-120" w:right="-120" w:leftChars="-50" w:rightChars="-50"/>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2020-441781-10-03-040857</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建设性质</w:t>
            </w:r>
          </w:p>
        </w:tc>
        <w:tc>
          <w:tcPr>
            <w:tcW w:w="1654" w:type="pct"/>
            <w:gridSpan w:val="3"/>
            <w:tcBorders>
              <w:top w:val="nil"/>
              <w:left w:val="nil"/>
              <w:bottom w:val="nil"/>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新建</w:t>
            </w:r>
            <w:r>
              <w:rPr>
                <w:rFonts w:ascii="Times New Roman" w:hAnsi="Times New Roman" w:cs="Times New Roman" w:hint="default"/>
                <w:color w:val="auto"/>
                <w:szCs w:val="24"/>
              </w:rPr>
              <w:t>√</w:t>
            </w:r>
            <w:r>
              <w:rPr>
                <w:rFonts w:ascii="Times New Roman" w:hAnsi="Times New Roman" w:cs="Times New Roman" w:hint="default"/>
                <w:color w:val="auto"/>
                <w:szCs w:val="24"/>
              </w:rPr>
              <w:t xml:space="preserve"> 改扩建</w:t>
            </w:r>
            <w:r>
              <w:rPr>
                <w:rFonts w:ascii="Times New Roman" w:hAnsi="Times New Roman" w:cs="Times New Roman" w:hint="default"/>
                <w:color w:val="auto"/>
                <w:szCs w:val="24"/>
              </w:rPr>
              <w:t>□</w:t>
            </w:r>
            <w:r>
              <w:rPr>
                <w:rFonts w:ascii="Times New Roman" w:hAnsi="Times New Roman" w:cs="Times New Roman" w:hint="default"/>
                <w:color w:val="auto"/>
                <w:szCs w:val="24"/>
              </w:rPr>
              <w:t xml:space="preserve"> 技改</w:t>
            </w:r>
            <w:r>
              <w:rPr>
                <w:rFonts w:ascii="Times New Roman" w:hAnsi="Times New Roman" w:cs="Times New Roman" w:hint="default"/>
                <w:color w:val="auto"/>
                <w:szCs w:val="24"/>
              </w:rPr>
              <w:t>□</w:t>
            </w:r>
          </w:p>
        </w:tc>
        <w:tc>
          <w:tcPr>
            <w:tcW w:w="826" w:type="pct"/>
            <w:tcBorders>
              <w:left w:val="nil"/>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行业类别</w:t>
            </w: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及代码</w:t>
            </w:r>
          </w:p>
        </w:tc>
        <w:tc>
          <w:tcPr>
            <w:tcW w:w="1637"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B1019 粘土及其他土砂石开采</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占地面积</w:t>
            </w: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（平方米）</w:t>
            </w:r>
          </w:p>
        </w:tc>
        <w:tc>
          <w:tcPr>
            <w:tcW w:w="1654" w:type="pct"/>
            <w:gridSpan w:val="3"/>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eastAsia="宋体" w:hAnsi="Times New Roman" w:cs="Times New Roman" w:hint="default"/>
                <w:color w:val="auto"/>
                <w:szCs w:val="24"/>
              </w:rPr>
            </w:pPr>
            <w:r>
              <w:rPr>
                <w:rFonts w:ascii="Times New Roman" w:hAnsi="Times New Roman" w:cs="Times New Roman" w:hint="default"/>
                <w:color w:val="auto"/>
                <w:szCs w:val="24"/>
                <w:lang w:val="en-US" w:eastAsia="zh-CN"/>
              </w:rPr>
              <w:t>124500</w:t>
            </w:r>
          </w:p>
        </w:tc>
        <w:tc>
          <w:tcPr>
            <w:tcW w:w="826"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建筑面积</w:t>
            </w:r>
          </w:p>
          <w:p>
            <w:pPr>
              <w:keepNext w:val="0"/>
              <w:keepLines w:val="0"/>
              <w:pageBreakBefore w:val="0"/>
              <w:widowControl w:val="0"/>
              <w:kinsoku/>
              <w:wordWrap/>
              <w:overflowPunct/>
              <w:topLinePunct w:val="0"/>
              <w:autoSpaceDE/>
              <w:autoSpaceDN/>
              <w:bidi w:val="0"/>
              <w:adjustRightInd/>
              <w:snapToGrid/>
              <w:spacing w:line="288" w:lineRule="auto"/>
              <w:ind w:left="-113" w:right="-113"/>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（平方米）</w:t>
            </w:r>
          </w:p>
        </w:tc>
        <w:tc>
          <w:tcPr>
            <w:tcW w:w="1637"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 xml:space="preserve">2500 </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总投资</w:t>
            </w: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highlight w:val="yellow"/>
              </w:rPr>
            </w:pPr>
            <w:r>
              <w:rPr>
                <w:rFonts w:ascii="Times New Roman" w:hAnsi="Times New Roman" w:cs="Times New Roman" w:hint="default"/>
                <w:color w:val="auto"/>
                <w:szCs w:val="24"/>
              </w:rPr>
              <w:t>（万元）</w:t>
            </w:r>
          </w:p>
        </w:tc>
        <w:tc>
          <w:tcPr>
            <w:tcW w:w="834"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highlight w:val="yellow"/>
              </w:rPr>
            </w:pPr>
            <w:r>
              <w:rPr>
                <w:rFonts w:ascii="Times New Roman" w:hAnsi="Times New Roman" w:cs="Times New Roman" w:hint="default"/>
                <w:color w:val="auto"/>
                <w:szCs w:val="24"/>
              </w:rPr>
              <w:t>5920.16</w:t>
            </w:r>
          </w:p>
        </w:tc>
        <w:tc>
          <w:tcPr>
            <w:tcW w:w="819"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ind w:left="-113" w:right="-113"/>
              <w:jc w:val="center"/>
              <w:textAlignment w:val="auto"/>
              <w:rPr>
                <w:rFonts w:ascii="Times New Roman" w:hAnsi="Times New Roman" w:cs="Times New Roman" w:hint="default"/>
                <w:color w:val="auto"/>
                <w:szCs w:val="24"/>
                <w:highlight w:val="yellow"/>
              </w:rPr>
            </w:pPr>
            <w:r>
              <w:rPr>
                <w:rFonts w:ascii="Times New Roman" w:hAnsi="Times New Roman" w:cs="Times New Roman" w:hint="default"/>
                <w:color w:val="auto"/>
                <w:szCs w:val="24"/>
              </w:rPr>
              <w:t>其中：环保投资（万元）</w:t>
            </w:r>
          </w:p>
        </w:tc>
        <w:tc>
          <w:tcPr>
            <w:tcW w:w="826"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537.24</w:t>
            </w:r>
          </w:p>
        </w:tc>
        <w:tc>
          <w:tcPr>
            <w:tcW w:w="805" w:type="pct"/>
            <w:vAlign w:val="center"/>
          </w:tcPr>
          <w:p>
            <w:pPr>
              <w:keepNext w:val="0"/>
              <w:keepLines w:val="0"/>
              <w:pageBreakBefore w:val="0"/>
              <w:widowControl w:val="0"/>
              <w:kinsoku/>
              <w:wordWrap/>
              <w:overflowPunct/>
              <w:topLinePunct w:val="0"/>
              <w:autoSpaceDE/>
              <w:autoSpaceDN/>
              <w:bidi w:val="0"/>
              <w:adjustRightInd/>
              <w:snapToGrid/>
              <w:spacing w:line="288" w:lineRule="auto"/>
              <w:ind w:left="-113" w:right="-113"/>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环保投资占</w:t>
            </w:r>
          </w:p>
          <w:p>
            <w:pPr>
              <w:keepNext w:val="0"/>
              <w:keepLines w:val="0"/>
              <w:pageBreakBefore w:val="0"/>
              <w:widowControl w:val="0"/>
              <w:kinsoku/>
              <w:wordWrap/>
              <w:overflowPunct/>
              <w:topLinePunct w:val="0"/>
              <w:autoSpaceDE/>
              <w:autoSpaceDN/>
              <w:bidi w:val="0"/>
              <w:adjustRightInd/>
              <w:snapToGrid/>
              <w:spacing w:line="288" w:lineRule="auto"/>
              <w:ind w:left="-113" w:right="-113"/>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总投资比例</w:t>
            </w:r>
          </w:p>
        </w:tc>
        <w:tc>
          <w:tcPr>
            <w:tcW w:w="83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9.08%</w:t>
            </w:r>
          </w:p>
        </w:tc>
      </w:tr>
      <w:tr>
        <w:tblPrEx>
          <w:tblW w:w="5007" w:type="pct"/>
          <w:jc w:val="center"/>
          <w:tblInd w:w="-8" w:type="dxa"/>
          <w:tblCellMar>
            <w:top w:w="0" w:type="dxa"/>
            <w:left w:w="108" w:type="dxa"/>
            <w:bottom w:w="0" w:type="dxa"/>
            <w:right w:w="108" w:type="dxa"/>
          </w:tblCellMar>
          <w:tblLook w:val="0000"/>
        </w:tblPrEx>
        <w:trPr>
          <w:trHeight w:val="340"/>
          <w:jc w:val="center"/>
        </w:trPr>
        <w:tc>
          <w:tcPr>
            <w:tcW w:w="882"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评价经费</w:t>
            </w: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（万元）</w:t>
            </w:r>
          </w:p>
        </w:tc>
        <w:tc>
          <w:tcPr>
            <w:tcW w:w="834" w:type="pct"/>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lang w:val="en-US" w:eastAsia="zh-CN"/>
              </w:rPr>
              <w:t>2.3</w:t>
            </w:r>
          </w:p>
        </w:tc>
        <w:tc>
          <w:tcPr>
            <w:tcW w:w="819" w:type="pct"/>
            <w:gridSpan w:val="2"/>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预计投产</w:t>
            </w: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日期</w:t>
            </w:r>
          </w:p>
        </w:tc>
        <w:tc>
          <w:tcPr>
            <w:tcW w:w="2463" w:type="pct"/>
            <w:gridSpan w:val="3"/>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Times New Roman" w:hAnsi="Times New Roman" w:cs="Times New Roman" w:hint="default"/>
                <w:color w:val="auto"/>
                <w:szCs w:val="24"/>
              </w:rPr>
            </w:pPr>
            <w:r>
              <w:rPr>
                <w:rFonts w:ascii="Times New Roman" w:hAnsi="Times New Roman" w:cs="Times New Roman" w:hint="default"/>
                <w:color w:val="auto"/>
                <w:szCs w:val="24"/>
              </w:rPr>
              <w:t>2020年</w:t>
            </w:r>
            <w:r>
              <w:rPr>
                <w:rFonts w:ascii="Times New Roman" w:hAnsi="Times New Roman" w:cs="Times New Roman" w:hint="eastAsia"/>
                <w:color w:val="auto"/>
                <w:szCs w:val="24"/>
                <w:lang w:val="en-US" w:eastAsia="zh-CN"/>
              </w:rPr>
              <w:t>9</w:t>
            </w:r>
            <w:r>
              <w:rPr>
                <w:rFonts w:ascii="Times New Roman" w:hAnsi="Times New Roman" w:cs="Times New Roman" w:hint="default"/>
                <w:color w:val="auto"/>
                <w:szCs w:val="24"/>
              </w:rPr>
              <w:t>月</w:t>
            </w:r>
          </w:p>
        </w:tc>
      </w:tr>
      <w:tr>
        <w:tblPrEx>
          <w:tblW w:w="5007" w:type="pct"/>
          <w:jc w:val="center"/>
          <w:tblInd w:w="-8" w:type="dxa"/>
          <w:tblCellMar>
            <w:top w:w="0" w:type="dxa"/>
            <w:left w:w="108" w:type="dxa"/>
            <w:bottom w:w="0" w:type="dxa"/>
            <w:right w:w="108" w:type="dxa"/>
          </w:tblCellMar>
          <w:tblLook w:val="0000"/>
        </w:tblPrEx>
        <w:trPr>
          <w:jc w:val="center"/>
        </w:trPr>
        <w:tc>
          <w:tcPr>
            <w:tcW w:w="5000" w:type="pct"/>
            <w:gridSpan w:val="7"/>
          </w:tcPr>
          <w:p>
            <w:pPr>
              <w:pStyle w:val="120"/>
              <w:ind w:firstLine="482"/>
              <w:rPr>
                <w:rFonts w:cs="Times New Roman" w:hint="default"/>
                <w:b/>
                <w:color w:val="auto"/>
              </w:rPr>
            </w:pPr>
            <w:r>
              <w:rPr>
                <w:rFonts w:ascii="Times New Roman" w:hAnsi="Times New Roman" w:cs="Times New Roman" w:hint="default"/>
                <w:b/>
                <w:color w:val="auto"/>
              </w:rPr>
              <w:t>一、项目由来</w:t>
            </w:r>
          </w:p>
          <w:p>
            <w:pPr>
              <w:pStyle w:val="12"/>
              <w:rPr>
                <w:rFonts w:ascii="Times New Roman" w:hAnsi="Times New Roman" w:cs="Times New Roman" w:hint="default"/>
                <w:color w:val="auto"/>
              </w:rPr>
            </w:pPr>
            <w:r>
              <w:rPr>
                <w:rFonts w:ascii="Times New Roman" w:hAnsi="Times New Roman" w:cs="Times New Roman" w:hint="default"/>
                <w:color w:val="auto"/>
              </w:rPr>
              <w:t>随着国家经济的发展，市场对钢材的需求量，尤其是城镇供水、输气等管材的需求量正在不断增加，对于钢材生产过程中使用的熔剂用灰岩的需求也不断增大。广东新兴铸管有限公司主营业务为离心球墨铸铁管及配套管件、钢铁冶炼等，其对于熔剂用石灰岩需求量较大。鉴于广东地区冶金用高品质石灰石供给较为紧缺，同时广东省作为我国建筑用石料的消费大省，其对于建筑用石料的需求持续上升。为满足钢材生产过程对于冶金溶剂用灰岩的需求，兼顾考虑对矿层中夹石的综合利用，广东新兴铸管有限公司（以下简称</w:t>
            </w:r>
            <w:r>
              <w:rPr>
                <w:rFonts w:ascii="Times New Roman" w:hAnsi="Times New Roman" w:cs="Times New Roman" w:hint="default"/>
                <w:color w:val="auto"/>
              </w:rPr>
              <w:t>“</w:t>
            </w:r>
            <w:r>
              <w:rPr>
                <w:rFonts w:ascii="Times New Roman" w:hAnsi="Times New Roman" w:cs="Times New Roman" w:hint="default"/>
                <w:color w:val="auto"/>
              </w:rPr>
              <w:t>建设单位</w:t>
            </w:r>
            <w:r>
              <w:rPr>
                <w:rFonts w:ascii="Times New Roman" w:hAnsi="Times New Roman" w:cs="Times New Roman" w:hint="default"/>
                <w:color w:val="auto"/>
              </w:rPr>
              <w:t>”</w:t>
            </w:r>
            <w:r>
              <w:rPr>
                <w:rFonts w:ascii="Times New Roman" w:hAnsi="Times New Roman" w:cs="Times New Roman" w:hint="default"/>
                <w:color w:val="auto"/>
              </w:rPr>
              <w:t>，营业执照见附件1）拟选址于广东省阳春市石望镇（地理位置详见附图1，中心坐标为111.912137</w:t>
            </w:r>
            <w:r>
              <w:rPr>
                <w:rFonts w:ascii="Times New Roman" w:hAnsi="Times New Roman" w:cs="Times New Roman" w:hint="default"/>
                <w:color w:val="auto"/>
              </w:rPr>
              <w:t>°</w:t>
            </w:r>
            <w:r>
              <w:rPr>
                <w:rFonts w:ascii="Times New Roman" w:hAnsi="Times New Roman" w:cs="Times New Roman" w:hint="default"/>
                <w:color w:val="auto"/>
              </w:rPr>
              <w:t>E，22.552616</w:t>
            </w:r>
            <w:r>
              <w:rPr>
                <w:rFonts w:ascii="Times New Roman" w:hAnsi="Times New Roman" w:cs="Times New Roman" w:hint="default"/>
                <w:color w:val="auto"/>
              </w:rPr>
              <w:t>°</w:t>
            </w:r>
            <w:r>
              <w:rPr>
                <w:rFonts w:ascii="Times New Roman" w:hAnsi="Times New Roman" w:cs="Times New Roman" w:hint="default"/>
                <w:color w:val="auto"/>
              </w:rPr>
              <w:t>N）建设阳春市石望镇石仔垌矿区冶金熔剂用白云质灰岩矿建设项目。</w:t>
            </w:r>
          </w:p>
          <w:p>
            <w:pPr>
              <w:pStyle w:val="120"/>
              <w:spacing w:after="0"/>
              <w:rPr>
                <w:rFonts w:cs="Times New Roman" w:hint="default"/>
                <w:color w:val="auto"/>
              </w:rPr>
            </w:pPr>
            <w:r>
              <w:rPr>
                <w:rFonts w:ascii="Times New Roman" w:hAnsi="Times New Roman" w:cs="Times New Roman" w:hint="default"/>
                <w:color w:val="auto"/>
              </w:rPr>
              <w:t>根据《中华人民共和国环境影响评价法》和国务院令第253号《建设项目环境保护管理条例》的有关规定，建设单位委托我司承担项目的环境影响评价工作。对照《广东省水利厅关于划分省级水土流失重点预防区和重点治理区的公告》，本项目不在</w:t>
            </w:r>
            <w:r>
              <w:rPr>
                <w:rFonts w:ascii="Times New Roman" w:hAnsi="Times New Roman" w:cs="Times New Roman" w:hint="default"/>
                <w:color w:val="auto"/>
                <w:lang w:eastAsia="zh-CN"/>
              </w:rPr>
              <w:t>水土流失</w:t>
            </w:r>
            <w:r>
              <w:rPr>
                <w:rFonts w:ascii="Times New Roman" w:hAnsi="Times New Roman" w:cs="Times New Roman" w:hint="default"/>
                <w:color w:val="auto"/>
              </w:rPr>
              <w:t>重点预防区及其他环境敏感区范围内，根据《建设项目环境保护分类管理名录》（环境保护部第44号）、《关于修改&lt;建设项目环境保护分类管理名录&gt;部分内容的决定》（生态环境部令第1号）的有关规定，本项目属于</w:t>
            </w:r>
            <w:r>
              <w:rPr>
                <w:rFonts w:ascii="Times New Roman" w:hAnsi="Times New Roman" w:cs="Times New Roman" w:hint="default"/>
                <w:color w:val="auto"/>
              </w:rPr>
              <w:t>“</w:t>
            </w:r>
            <w:r>
              <w:rPr>
                <w:rFonts w:ascii="Times New Roman" w:hAnsi="Times New Roman" w:cs="Times New Roman" w:hint="default"/>
                <w:color w:val="auto"/>
              </w:rPr>
              <w:t>四十五、非金属矿采选业</w:t>
            </w:r>
            <w:r>
              <w:rPr>
                <w:rFonts w:ascii="Times New Roman" w:hAnsi="Times New Roman" w:cs="Times New Roman" w:hint="default"/>
                <w:color w:val="auto"/>
              </w:rPr>
              <w:t>—</w:t>
            </w:r>
            <w:r>
              <w:rPr>
                <w:rFonts w:ascii="Times New Roman" w:hAnsi="Times New Roman" w:cs="Times New Roman" w:hint="default"/>
                <w:color w:val="auto"/>
              </w:rPr>
              <w:t>137.土砂石、石材开采加工</w:t>
            </w:r>
            <w:r>
              <w:rPr>
                <w:rFonts w:ascii="Times New Roman" w:hAnsi="Times New Roman" w:cs="Times New Roman" w:hint="default"/>
                <w:color w:val="auto"/>
              </w:rPr>
              <w:t>—</w:t>
            </w:r>
            <w:r>
              <w:rPr>
                <w:rFonts w:ascii="Times New Roman" w:hAnsi="Times New Roman" w:cs="Times New Roman" w:hint="default"/>
                <w:color w:val="auto"/>
              </w:rPr>
              <w:t>其他</w:t>
            </w:r>
            <w:r>
              <w:rPr>
                <w:rFonts w:ascii="Times New Roman" w:hAnsi="Times New Roman" w:cs="Times New Roman" w:hint="default"/>
                <w:color w:val="auto"/>
              </w:rPr>
              <w:t>”</w:t>
            </w:r>
          </w:p>
        </w:tc>
      </w:tr>
    </w:tbl>
    <w:p>
      <w:pPr>
        <w:sectPr>
          <w:footerReference w:type="even" r:id="rId8"/>
          <w:footerReference w:type="default" r:id="rId9"/>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pStyle w:val="120"/>
              <w:spacing w:before="0"/>
              <w:rPr>
                <w:rFonts w:cs="Times New Roman" w:hint="default"/>
                <w:color w:val="auto"/>
              </w:rPr>
            </w:pPr>
            <w:r>
              <w:rPr>
                <w:rFonts w:ascii="Times New Roman" w:hAnsi="Times New Roman" w:cs="Times New Roman" w:hint="default"/>
                <w:color w:val="auto"/>
              </w:rPr>
              <w:t>，应编制环境影响报告表。佛山市科正飞工程技术咨询有限公司接受委托后，立即组织人员到项目建设场地及其周围进行了实地勘查与调研，收集了有关的工程资料，进行了该项目的工程分析、环境现状调查，依照《环境影响评价技术导则》，结合该项目的建设特点，编制了《</w:t>
            </w:r>
            <w:r>
              <w:rPr>
                <w:rFonts w:ascii="Times New Roman" w:hAnsi="Times New Roman" w:cs="Times New Roman" w:hint="default"/>
                <w:color w:val="auto"/>
                <w:szCs w:val="18"/>
              </w:rPr>
              <w:t>阳春市石望镇石仔垌矿区冶金熔剂用白云质灰岩矿建设项目</w:t>
            </w:r>
            <w:r>
              <w:rPr>
                <w:rFonts w:ascii="Times New Roman" w:hAnsi="Times New Roman" w:cs="Times New Roman" w:hint="default"/>
                <w:color w:val="auto"/>
              </w:rPr>
              <w:t>环境影响报告表》。</w:t>
            </w:r>
          </w:p>
          <w:p>
            <w:pPr>
              <w:pStyle w:val="120"/>
              <w:ind w:firstLine="482"/>
              <w:rPr>
                <w:rFonts w:cs="Times New Roman" w:hint="default"/>
                <w:b/>
                <w:color w:val="auto"/>
              </w:rPr>
            </w:pPr>
            <w:r>
              <w:rPr>
                <w:rFonts w:ascii="Times New Roman" w:hAnsi="Times New Roman" w:cs="Times New Roman" w:hint="default"/>
                <w:b/>
                <w:color w:val="auto"/>
              </w:rPr>
              <w:t>二、项目工程概况</w:t>
            </w:r>
          </w:p>
          <w:p>
            <w:pPr>
              <w:pStyle w:val="120"/>
              <w:numPr>
                <w:ilvl w:val="0"/>
                <w:numId w:val="2"/>
              </w:numPr>
              <w:ind w:firstLine="482"/>
              <w:rPr>
                <w:rFonts w:cs="Times New Roman" w:hint="default"/>
                <w:b/>
                <w:color w:val="auto"/>
              </w:rPr>
            </w:pPr>
            <w:r>
              <w:rPr>
                <w:rFonts w:ascii="Times New Roman" w:hAnsi="Times New Roman" w:cs="Times New Roman" w:hint="default"/>
                <w:b/>
                <w:color w:val="auto"/>
              </w:rPr>
              <w:t>项目情况</w:t>
            </w:r>
          </w:p>
          <w:p>
            <w:pPr>
              <w:pStyle w:val="120"/>
              <w:rPr>
                <w:rFonts w:cs="Times New Roman" w:hint="default"/>
                <w:bCs/>
                <w:color w:val="auto"/>
              </w:rPr>
            </w:pPr>
            <w:r>
              <w:rPr>
                <w:rFonts w:ascii="Times New Roman" w:hAnsi="Times New Roman" w:cs="Times New Roman" w:hint="default"/>
                <w:color w:val="auto"/>
              </w:rPr>
              <w:t>本项目矿区位于广东省阳春市石望镇，中心地理坐标为111.912137</w:t>
            </w:r>
            <w:r>
              <w:rPr>
                <w:rFonts w:ascii="Times New Roman" w:hAnsi="Times New Roman" w:cs="Times New Roman" w:hint="default"/>
                <w:color w:val="auto"/>
              </w:rPr>
              <w:t>°</w:t>
            </w:r>
            <w:r>
              <w:rPr>
                <w:rFonts w:ascii="Times New Roman" w:hAnsi="Times New Roman" w:cs="Times New Roman" w:hint="default"/>
                <w:color w:val="auto"/>
              </w:rPr>
              <w:t>E，22.552616</w:t>
            </w:r>
            <w:r>
              <w:rPr>
                <w:rFonts w:ascii="Times New Roman" w:hAnsi="Times New Roman" w:cs="Times New Roman" w:hint="default"/>
                <w:color w:val="auto"/>
              </w:rPr>
              <w:t>°</w:t>
            </w:r>
            <w:r>
              <w:rPr>
                <w:rFonts w:ascii="Times New Roman" w:hAnsi="Times New Roman" w:cs="Times New Roman" w:hint="default"/>
                <w:color w:val="auto"/>
              </w:rPr>
              <w:t>N。项目总占地面积</w:t>
            </w:r>
            <w:r>
              <w:rPr>
                <w:rFonts w:ascii="Times New Roman" w:hAnsi="Times New Roman" w:cs="Times New Roman" w:hint="default"/>
                <w:color w:val="auto"/>
                <w:lang w:eastAsia="zh-CN"/>
              </w:rPr>
              <w:t>124500</w:t>
            </w:r>
            <w:r>
              <w:rPr>
                <w:rFonts w:ascii="Times New Roman" w:hAnsi="Times New Roman" w:cs="Times New Roman" w:hint="default"/>
                <w:color w:val="auto"/>
              </w:rPr>
              <w:t>m</w:t>
            </w:r>
            <w:r>
              <w:rPr>
                <w:rFonts w:ascii="Times New Roman" w:hAnsi="Times New Roman" w:cs="Times New Roman" w:hint="default"/>
                <w:color w:val="auto"/>
                <w:vertAlign w:val="superscript"/>
              </w:rPr>
              <w:t>2</w:t>
            </w:r>
            <w:r>
              <w:rPr>
                <w:rFonts w:ascii="Times New Roman" w:hAnsi="Times New Roman" w:cs="Times New Roman" w:hint="default"/>
                <w:color w:val="auto"/>
              </w:rPr>
              <w:t>，其中矿区面积0.082km</w:t>
            </w:r>
            <w:r>
              <w:rPr>
                <w:rFonts w:ascii="Times New Roman" w:hAnsi="Times New Roman" w:cs="Times New Roman" w:hint="default"/>
                <w:color w:val="auto"/>
                <w:vertAlign w:val="superscript"/>
              </w:rPr>
              <w:t>2</w:t>
            </w:r>
            <w:r>
              <w:rPr>
                <w:rFonts w:ascii="Times New Roman" w:hAnsi="Times New Roman" w:cs="Times New Roman" w:hint="default"/>
                <w:color w:val="auto"/>
              </w:rPr>
              <w:t>。开采标高为+225m~+70m，矿区范围由7个拐点圈定，各拐点坐标见下表1-1</w:t>
            </w:r>
            <w:r>
              <w:rPr>
                <w:rFonts w:ascii="Times New Roman" w:hAnsi="Times New Roman" w:cs="Times New Roman" w:hint="default"/>
                <w:color w:val="auto"/>
                <w:lang w:eastAsia="zh-CN"/>
              </w:rPr>
              <w:t>和表</w:t>
            </w:r>
            <w:r>
              <w:rPr>
                <w:rFonts w:ascii="Times New Roman" w:hAnsi="Times New Roman" w:cs="Times New Roman" w:hint="default"/>
                <w:color w:val="auto"/>
                <w:lang w:val="en-US" w:eastAsia="zh-CN"/>
              </w:rPr>
              <w:t>1-2</w:t>
            </w:r>
            <w:r>
              <w:rPr>
                <w:rFonts w:ascii="Times New Roman" w:hAnsi="Times New Roman" w:cs="Times New Roman" w:hint="default"/>
                <w:color w:val="auto"/>
              </w:rPr>
              <w:t>。</w:t>
            </w:r>
            <w:r>
              <w:rPr>
                <w:rFonts w:ascii="Times New Roman" w:hAnsi="Times New Roman" w:cs="Times New Roman" w:hint="default"/>
                <w:bCs/>
                <w:color w:val="auto"/>
              </w:rPr>
              <w:t>矿山范围内无矿业权重叠，周边无其他矿业权设置。</w:t>
            </w:r>
          </w:p>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表1-1  矿区拐点坐标一览表</w:t>
            </w:r>
          </w:p>
          <w:tbl>
            <w:tblPr>
              <w:tblStyle w:val="TableNormal"/>
              <w:tblW w:w="9185" w:type="dxa"/>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428"/>
              <w:gridCol w:w="1471"/>
              <w:gridCol w:w="2059"/>
              <w:gridCol w:w="2059"/>
              <w:gridCol w:w="2168"/>
            </w:tblGrid>
            <w:tr>
              <w:tblPrEx>
                <w:tblW w:w="9185" w:type="dxa"/>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428" w:type="dxa"/>
                  <w:vMerge w:val="restart"/>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拐点编号</w:t>
                  </w:r>
                </w:p>
              </w:tc>
              <w:tc>
                <w:tcPr>
                  <w:tcW w:w="3530" w:type="dxa"/>
                  <w:gridSpan w:val="2"/>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1980西安坐标系</w:t>
                  </w:r>
                </w:p>
              </w:tc>
              <w:tc>
                <w:tcPr>
                  <w:tcW w:w="4227" w:type="dxa"/>
                  <w:gridSpan w:val="2"/>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2000国家大地坐标系</w:t>
                  </w:r>
                </w:p>
              </w:tc>
            </w:tr>
            <w:tr>
              <w:tblPrEx>
                <w:tblW w:w="9185" w:type="dxa"/>
                <w:tblInd w:w="116" w:type="dxa"/>
                <w:tblCellMar>
                  <w:top w:w="0" w:type="dxa"/>
                  <w:left w:w="108" w:type="dxa"/>
                  <w:bottom w:w="0" w:type="dxa"/>
                  <w:right w:w="108" w:type="dxa"/>
                </w:tblCellMar>
                <w:tblLook w:val="0000"/>
              </w:tblPrEx>
              <w:tc>
                <w:tcPr>
                  <w:tcW w:w="1428" w:type="dxa"/>
                  <w:vMerge/>
                  <w:vAlign w:val="center"/>
                </w:tcPr>
                <w:p>
                  <w:pPr>
                    <w:pStyle w:val="120"/>
                    <w:ind w:firstLine="0" w:firstLineChars="0"/>
                    <w:jc w:val="center"/>
                    <w:rPr>
                      <w:rFonts w:cs="Times New Roman" w:hint="default"/>
                      <w:bCs/>
                      <w:color w:val="auto"/>
                      <w:sz w:val="21"/>
                      <w:szCs w:val="21"/>
                    </w:rPr>
                  </w:pPr>
                </w:p>
              </w:tc>
              <w:tc>
                <w:tcPr>
                  <w:tcW w:w="1471" w:type="dxa"/>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X</w:t>
                  </w:r>
                </w:p>
              </w:tc>
              <w:tc>
                <w:tcPr>
                  <w:tcW w:w="2059" w:type="dxa"/>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Y</w:t>
                  </w:r>
                </w:p>
              </w:tc>
              <w:tc>
                <w:tcPr>
                  <w:tcW w:w="2059" w:type="dxa"/>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X</w:t>
                  </w:r>
                </w:p>
              </w:tc>
              <w:tc>
                <w:tcPr>
                  <w:tcW w:w="2168" w:type="dxa"/>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Y</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1</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2495449</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37593720</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2495448.818</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37593836.796</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2</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2495511</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37593963</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2495510.819</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37594079.797</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3</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2495300</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37593939</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2495299.818</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37594055.797</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4</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2495100</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37593875</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2495099.817</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37593991.797</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5</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2495039</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37593886</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2495038.817</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37594002.797</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6</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2495039</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37593837</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2495038.817</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37593953.797</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7</w:t>
                  </w:r>
                </w:p>
              </w:tc>
              <w:tc>
                <w:tcPr>
                  <w:tcW w:w="1471"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2495219</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37593700</w:t>
                  </w:r>
                </w:p>
              </w:tc>
              <w:tc>
                <w:tcPr>
                  <w:tcW w:w="2059"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2495218.818</w:t>
                  </w:r>
                </w:p>
              </w:tc>
              <w:tc>
                <w:tcPr>
                  <w:tcW w:w="2168" w:type="dxa"/>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37593816.796</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开采标高</w:t>
                  </w:r>
                </w:p>
              </w:tc>
              <w:tc>
                <w:tcPr>
                  <w:tcW w:w="7757" w:type="dxa"/>
                  <w:gridSpan w:val="4"/>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+225m至+70m</w:t>
                  </w:r>
                </w:p>
              </w:tc>
            </w:tr>
            <w:tr>
              <w:tblPrEx>
                <w:tblW w:w="9185" w:type="dxa"/>
                <w:tblInd w:w="116" w:type="dxa"/>
                <w:tblCellMar>
                  <w:top w:w="0" w:type="dxa"/>
                  <w:left w:w="108" w:type="dxa"/>
                  <w:bottom w:w="0" w:type="dxa"/>
                  <w:right w:w="108" w:type="dxa"/>
                </w:tblCellMar>
                <w:tblLook w:val="0000"/>
              </w:tblPrEx>
              <w:tc>
                <w:tcPr>
                  <w:tcW w:w="1428" w:type="dxa"/>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矿区面积</w:t>
                  </w:r>
                </w:p>
              </w:tc>
              <w:tc>
                <w:tcPr>
                  <w:tcW w:w="7757" w:type="dxa"/>
                  <w:gridSpan w:val="4"/>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0.082km</w:t>
                  </w:r>
                  <w:r>
                    <w:rPr>
                      <w:rFonts w:ascii="Times New Roman" w:hAnsi="Times New Roman" w:cs="Times New Roman" w:hint="default"/>
                      <w:bCs/>
                      <w:color w:val="auto"/>
                      <w:sz w:val="21"/>
                      <w:szCs w:val="21"/>
                      <w:vertAlign w:val="superscript"/>
                    </w:rPr>
                    <w:t>2</w:t>
                  </w:r>
                </w:p>
              </w:tc>
            </w:tr>
          </w:tbl>
          <w:p>
            <w:pPr>
              <w:pStyle w:val="120"/>
              <w:rPr>
                <w:rFonts w:cs="Times New Roman" w:hint="default"/>
                <w:color w:val="auto"/>
              </w:rPr>
            </w:pPr>
          </w:p>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表1-</w:t>
            </w:r>
            <w:r>
              <w:rPr>
                <w:rFonts w:ascii="Times New Roman" w:hAnsi="Times New Roman" w:cs="Times New Roman" w:hint="default"/>
                <w:b/>
                <w:color w:val="auto"/>
                <w:sz w:val="21"/>
                <w:szCs w:val="21"/>
                <w:lang w:val="en-US" w:eastAsia="zh-CN"/>
              </w:rPr>
              <w:t>2</w:t>
            </w:r>
            <w:r>
              <w:rPr>
                <w:rFonts w:ascii="Times New Roman" w:hAnsi="Times New Roman" w:cs="Times New Roman" w:hint="default"/>
                <w:b/>
                <w:color w:val="auto"/>
                <w:sz w:val="21"/>
                <w:szCs w:val="21"/>
              </w:rPr>
              <w:t xml:space="preserve">  矿区拐点</w:t>
            </w:r>
            <w:r>
              <w:rPr>
                <w:rFonts w:ascii="Times New Roman" w:hAnsi="Times New Roman" w:cs="Times New Roman" w:hint="default"/>
                <w:b/>
                <w:color w:val="auto"/>
                <w:sz w:val="21"/>
                <w:szCs w:val="21"/>
                <w:lang w:eastAsia="zh-CN"/>
              </w:rPr>
              <w:t>经纬度</w:t>
            </w:r>
            <w:r>
              <w:rPr>
                <w:rFonts w:ascii="Times New Roman" w:hAnsi="Times New Roman" w:cs="Times New Roman" w:hint="default"/>
                <w:b/>
                <w:color w:val="auto"/>
                <w:sz w:val="21"/>
                <w:szCs w:val="21"/>
              </w:rPr>
              <w:t>坐标一览表</w:t>
            </w:r>
          </w:p>
          <w:tbl>
            <w:tblPr>
              <w:tblStyle w:val="TableNormal"/>
              <w:tblW w:w="4996" w:type="pct"/>
              <w:tblInd w:w="115"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2644"/>
              <w:gridCol w:w="3268"/>
              <w:gridCol w:w="3268"/>
            </w:tblGrid>
            <w:tr>
              <w:tblPrEx>
                <w:tblW w:w="4996" w:type="pct"/>
                <w:tblInd w:w="115"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拐点编号</w:t>
                  </w:r>
                </w:p>
              </w:tc>
              <w:tc>
                <w:tcPr>
                  <w:tcW w:w="1779" w:type="pct"/>
                  <w:vAlign w:val="center"/>
                </w:tcPr>
                <w:p>
                  <w:pPr>
                    <w:pStyle w:val="120"/>
                    <w:ind w:firstLine="0" w:firstLineChars="0"/>
                    <w:jc w:val="center"/>
                    <w:rPr>
                      <w:rFonts w:eastAsia="宋体" w:cs="Times New Roman" w:hint="default"/>
                      <w:b/>
                      <w:color w:val="auto"/>
                      <w:sz w:val="21"/>
                      <w:szCs w:val="21"/>
                      <w:lang w:eastAsia="zh-CN"/>
                    </w:rPr>
                  </w:pPr>
                  <w:r>
                    <w:rPr>
                      <w:rFonts w:ascii="Times New Roman" w:hAnsi="Times New Roman" w:cs="Times New Roman" w:hint="default"/>
                      <w:b/>
                      <w:color w:val="auto"/>
                      <w:sz w:val="21"/>
                      <w:szCs w:val="21"/>
                      <w:lang w:eastAsia="zh-CN"/>
                    </w:rPr>
                    <w:t>东经</w:t>
                  </w:r>
                  <w:r>
                    <w:rPr>
                      <w:rFonts w:ascii="Times New Roman" w:hAnsi="Times New Roman" w:cs="Times New Roman" w:hint="default"/>
                      <w:b/>
                      <w:color w:val="auto"/>
                      <w:sz w:val="21"/>
                      <w:szCs w:val="21"/>
                      <w:lang w:val="en-US" w:eastAsia="zh-CN"/>
                    </w:rPr>
                    <w:t>/</w:t>
                  </w:r>
                  <w:r>
                    <w:rPr>
                      <w:rFonts w:ascii="Times New Roman" w:hAnsi="Times New Roman" w:cs="Times New Roman" w:hint="default"/>
                      <w:b/>
                      <w:color w:val="auto"/>
                      <w:sz w:val="21"/>
                      <w:szCs w:val="21"/>
                      <w:lang w:val="en-US" w:eastAsia="zh-CN"/>
                    </w:rPr>
                    <w:t>°</w:t>
                  </w:r>
                </w:p>
              </w:tc>
              <w:tc>
                <w:tcPr>
                  <w:tcW w:w="1779" w:type="pct"/>
                  <w:vAlign w:val="center"/>
                </w:tcPr>
                <w:p>
                  <w:pPr>
                    <w:pStyle w:val="120"/>
                    <w:ind w:firstLine="0" w:firstLineChars="0"/>
                    <w:jc w:val="center"/>
                    <w:rPr>
                      <w:rFonts w:eastAsia="宋体" w:cs="Times New Roman" w:hint="default"/>
                      <w:b/>
                      <w:color w:val="auto"/>
                      <w:sz w:val="21"/>
                      <w:szCs w:val="21"/>
                      <w:lang w:eastAsia="zh-CN"/>
                    </w:rPr>
                  </w:pPr>
                  <w:r>
                    <w:rPr>
                      <w:rFonts w:ascii="Times New Roman" w:hAnsi="Times New Roman" w:cs="Times New Roman" w:hint="default"/>
                      <w:b/>
                      <w:color w:val="auto"/>
                      <w:sz w:val="21"/>
                      <w:szCs w:val="21"/>
                      <w:lang w:eastAsia="zh-CN"/>
                    </w:rPr>
                    <w:t>北纬</w:t>
                  </w:r>
                  <w:r>
                    <w:rPr>
                      <w:rFonts w:ascii="Times New Roman" w:hAnsi="Times New Roman" w:cs="Times New Roman" w:hint="default"/>
                      <w:b/>
                      <w:color w:val="auto"/>
                      <w:sz w:val="21"/>
                      <w:szCs w:val="21"/>
                      <w:lang w:val="en-US" w:eastAsia="zh-CN"/>
                    </w:rPr>
                    <w:t>/</w:t>
                  </w:r>
                  <w:r>
                    <w:rPr>
                      <w:rFonts w:ascii="Times New Roman" w:hAnsi="Times New Roman" w:cs="Times New Roman" w:hint="default"/>
                      <w:b/>
                      <w:color w:val="auto"/>
                      <w:sz w:val="21"/>
                      <w:szCs w:val="21"/>
                      <w:lang w:val="en-US" w:eastAsia="zh-CN"/>
                    </w:rPr>
                    <w:t>°</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1</w:t>
                  </w:r>
                </w:p>
              </w:tc>
              <w:tc>
                <w:tcPr>
                  <w:tcW w:w="1779" w:type="pct"/>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111.911148</w:t>
                  </w:r>
                </w:p>
              </w:tc>
              <w:tc>
                <w:tcPr>
                  <w:tcW w:w="1779" w:type="pct"/>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22.554163</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2</w:t>
                  </w:r>
                </w:p>
              </w:tc>
              <w:tc>
                <w:tcPr>
                  <w:tcW w:w="1779" w:type="pct"/>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111.913508</w:t>
                  </w:r>
                </w:p>
              </w:tc>
              <w:tc>
                <w:tcPr>
                  <w:tcW w:w="1779" w:type="pct"/>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22.554688</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3</w:t>
                  </w:r>
                </w:p>
              </w:tc>
              <w:tc>
                <w:tcPr>
                  <w:tcW w:w="1779" w:type="pct"/>
                  <w:vAlign w:val="center"/>
                </w:tcPr>
                <w:p>
                  <w:pPr>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111.913256</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rPr>
                    <w:t>22.55277</w:t>
                  </w:r>
                  <w:r>
                    <w:rPr>
                      <w:rFonts w:ascii="Times New Roman" w:hAnsi="Times New Roman" w:cs="Times New Roman" w:hint="default"/>
                      <w:bCs/>
                      <w:color w:val="auto"/>
                      <w:sz w:val="21"/>
                      <w:szCs w:val="21"/>
                      <w:lang w:val="en-US" w:eastAsia="zh-CN"/>
                    </w:rPr>
                    <w:t>1</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4</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rPr>
                    <w:t>111.91263</w:t>
                  </w:r>
                  <w:r>
                    <w:rPr>
                      <w:rFonts w:ascii="Times New Roman" w:hAnsi="Times New Roman" w:cs="Times New Roman" w:hint="default"/>
                      <w:bCs/>
                      <w:color w:val="auto"/>
                      <w:sz w:val="21"/>
                      <w:szCs w:val="21"/>
                      <w:lang w:val="en-US" w:eastAsia="zh-CN"/>
                    </w:rPr>
                    <w:t>4</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rPr>
                    <w:t>22.55098</w:t>
                  </w:r>
                  <w:r>
                    <w:rPr>
                      <w:rFonts w:ascii="Times New Roman" w:hAnsi="Times New Roman" w:cs="Times New Roman" w:hint="default"/>
                      <w:bCs/>
                      <w:color w:val="auto"/>
                      <w:sz w:val="21"/>
                      <w:szCs w:val="21"/>
                      <w:lang w:val="en-US" w:eastAsia="zh-CN"/>
                    </w:rPr>
                    <w:t>3</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5</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lang w:val="en-US" w:eastAsia="zh-CN"/>
                    </w:rPr>
                    <w:t>111.912630</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lang w:val="en-US" w:eastAsia="zh-CN"/>
                    </w:rPr>
                    <w:t>22.550424</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6</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lang w:val="en-US" w:eastAsia="zh-CN"/>
                    </w:rPr>
                    <w:t>111.912261</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lang w:val="en-US" w:eastAsia="zh-CN"/>
                    </w:rPr>
                    <w:t>22.550424</w:t>
                  </w:r>
                </w:p>
              </w:tc>
            </w:tr>
            <w:tr>
              <w:tblPrEx>
                <w:tblW w:w="4996" w:type="pct"/>
                <w:tblInd w:w="115" w:type="dxa"/>
                <w:tblCellMar>
                  <w:top w:w="0" w:type="dxa"/>
                  <w:left w:w="108" w:type="dxa"/>
                  <w:bottom w:w="0" w:type="dxa"/>
                  <w:right w:w="108" w:type="dxa"/>
                </w:tblCellMar>
                <w:tblLook w:val="0000"/>
              </w:tblPrEx>
              <w:tc>
                <w:tcPr>
                  <w:tcW w:w="1440" w:type="pct"/>
                  <w:vAlign w:val="center"/>
                </w:tcPr>
                <w:p>
                  <w:pPr>
                    <w:pStyle w:val="120"/>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7</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lang w:val="en-US" w:eastAsia="zh-CN"/>
                    </w:rPr>
                    <w:t>111.910940</w:t>
                  </w:r>
                </w:p>
              </w:tc>
              <w:tc>
                <w:tcPr>
                  <w:tcW w:w="1779" w:type="pct"/>
                  <w:vAlign w:val="center"/>
                </w:tcPr>
                <w:p>
                  <w:pPr>
                    <w:jc w:val="center"/>
                    <w:rPr>
                      <w:rFonts w:ascii="Times New Roman" w:eastAsia="宋体" w:hAnsi="Times New Roman" w:cs="Times New Roman" w:hint="default"/>
                      <w:bCs/>
                      <w:color w:val="auto"/>
                      <w:sz w:val="21"/>
                      <w:szCs w:val="21"/>
                    </w:rPr>
                  </w:pPr>
                  <w:r>
                    <w:rPr>
                      <w:rFonts w:ascii="Times New Roman" w:hAnsi="Times New Roman" w:cs="Times New Roman" w:hint="default"/>
                      <w:bCs/>
                      <w:color w:val="auto"/>
                      <w:sz w:val="21"/>
                      <w:szCs w:val="21"/>
                      <w:lang w:val="en-US" w:eastAsia="zh-CN"/>
                    </w:rPr>
                    <w:t>22.552059</w:t>
                  </w:r>
                </w:p>
              </w:tc>
            </w:tr>
          </w:tbl>
          <w:p>
            <w:pPr>
              <w:pStyle w:val="120"/>
              <w:rPr>
                <w:rFonts w:cs="Times New Roman" w:hint="default"/>
                <w:color w:val="auto"/>
              </w:rPr>
            </w:pPr>
          </w:p>
          <w:p>
            <w:pPr>
              <w:pStyle w:val="120"/>
              <w:spacing w:after="0"/>
              <w:rPr>
                <w:rFonts w:cs="Times New Roman" w:hint="default"/>
                <w:color w:val="auto"/>
              </w:rPr>
            </w:pPr>
            <w:r>
              <w:rPr>
                <w:rFonts w:ascii="Times New Roman" w:hAnsi="Times New Roman" w:cs="Times New Roman" w:hint="default"/>
                <w:color w:val="auto"/>
              </w:rPr>
              <w:t>根据《阳春市石望镇石仔垌矿区冶金熔剂用白云质灰岩开发利用方案》，</w:t>
            </w:r>
            <w:r>
              <w:rPr>
                <w:rFonts w:ascii="Times New Roman" w:eastAsia="宋体" w:hAnsi="Times New Roman" w:cs="Times New Roman" w:hint="default"/>
                <w:bCs/>
                <w:color w:val="auto"/>
                <w:sz w:val="24"/>
                <w:szCs w:val="18"/>
                <w:highlight w:val="none"/>
              </w:rPr>
              <w:t>出让</w:t>
            </w:r>
          </w:p>
        </w:tc>
      </w:tr>
    </w:tbl>
    <w:p>
      <w:pPr>
        <w:sectPr>
          <w:footerReference w:type="even" r:id="rId10"/>
          <w:footerReference w:type="default" r:id="rId11"/>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pStyle w:val="120"/>
              <w:spacing w:before="0"/>
              <w:rPr>
                <w:rFonts w:cs="Times New Roman" w:hint="default"/>
                <w:color w:val="auto"/>
              </w:rPr>
            </w:pPr>
            <w:r>
              <w:rPr>
                <w:rFonts w:ascii="Times New Roman" w:eastAsia="宋体" w:hAnsi="Times New Roman" w:cs="Times New Roman" w:hint="default"/>
                <w:color w:val="auto"/>
                <w:sz w:val="24"/>
                <w:szCs w:val="24"/>
                <w:highlight w:val="none"/>
              </w:rPr>
              <w:t>矿区范围内累计查明熔剂用白云质灰岩矿</w:t>
            </w:r>
            <w:r>
              <w:rPr>
                <w:rFonts w:ascii="Times New Roman" w:eastAsia="宋体" w:hAnsi="Times New Roman" w:cs="Times New Roman" w:hint="default"/>
                <w:bCs/>
                <w:color w:val="auto"/>
                <w:sz w:val="24"/>
                <w:szCs w:val="24"/>
                <w:highlight w:val="none"/>
              </w:rPr>
              <w:t>资源量（332+333）601.65万t，其中控制的内蕴经济资源量（332）353.27万t ，推断的内蕴经济资源量（333）248.38万t。可</w:t>
            </w:r>
            <w:r>
              <w:rPr>
                <w:rFonts w:ascii="Times New Roman" w:eastAsia="宋体" w:hAnsi="Times New Roman" w:cs="Times New Roman" w:hint="default"/>
                <w:color w:val="auto"/>
                <w:sz w:val="24"/>
                <w:szCs w:val="24"/>
                <w:highlight w:val="none"/>
              </w:rPr>
              <w:t>综合利用的</w:t>
            </w:r>
            <w:r>
              <w:rPr>
                <w:rFonts w:ascii="Times New Roman" w:eastAsia="宋体" w:hAnsi="Times New Roman" w:cs="Times New Roman" w:hint="default"/>
                <w:bCs/>
                <w:color w:val="auto"/>
                <w:sz w:val="24"/>
                <w:szCs w:val="24"/>
                <w:highlight w:val="none"/>
              </w:rPr>
              <w:t>建筑用灰岩矿为推断的内蕴经济资源量（333）141.46万m</w:t>
            </w:r>
            <w:r>
              <w:rPr>
                <w:rFonts w:ascii="Times New Roman" w:eastAsia="宋体" w:hAnsi="Times New Roman" w:cs="Times New Roman" w:hint="default"/>
                <w:bCs/>
                <w:color w:val="auto"/>
                <w:sz w:val="24"/>
                <w:szCs w:val="24"/>
                <w:highlight w:val="none"/>
              </w:rPr>
              <w:t>³</w:t>
            </w:r>
            <w:r>
              <w:rPr>
                <w:rFonts w:ascii="Times New Roman" w:eastAsia="宋体" w:hAnsi="Times New Roman" w:cs="Times New Roman" w:hint="default"/>
                <w:bCs/>
                <w:color w:val="auto"/>
                <w:sz w:val="24"/>
                <w:szCs w:val="24"/>
                <w:highlight w:val="none"/>
              </w:rPr>
              <w:t>。</w:t>
            </w:r>
          </w:p>
          <w:p>
            <w:pPr>
              <w:pStyle w:val="120"/>
              <w:rPr>
                <w:rFonts w:cs="Times New Roman" w:hint="default"/>
                <w:color w:val="auto"/>
              </w:rPr>
            </w:pPr>
            <w:r>
              <w:rPr>
                <w:rFonts w:ascii="Times New Roman" w:hAnsi="Times New Roman" w:cs="Times New Roman" w:hint="default"/>
                <w:color w:val="auto"/>
              </w:rPr>
              <w:t>根据详查报告及其专家评审意见，本区内矿层中的夹石达到建筑用石料要求，因此，建设单位拟对矿层中的夹石进行综合利用，两种矿石资源均衡生产。故本项目开采矿种为冶金熔剂用白云质灰岩矿和建筑用灰岩矿，设计熔剂用灰岩矿原矿开采规模为50万t/a，建筑用灰岩矿原矿开采规模为55万t/a，全矿合计开采规模105万t/a。</w:t>
            </w:r>
          </w:p>
          <w:p>
            <w:pPr>
              <w:pStyle w:val="120"/>
              <w:rPr>
                <w:rFonts w:cs="Times New Roman" w:hint="default"/>
                <w:color w:val="auto"/>
              </w:rPr>
            </w:pPr>
            <w:r>
              <w:rPr>
                <w:rFonts w:ascii="Times New Roman" w:hAnsi="Times New Roman" w:cs="Times New Roman" w:hint="default"/>
                <w:color w:val="auto"/>
              </w:rPr>
              <w:t>本矿山采用露天开采方式，自上而下开采顺序，公路开拓-汽车运输方案，深孔台阶爆破，挖掘机装矿，载重自卸式汽车运输。对熔剂用灰岩矿和建筑用灰岩矿实行分采分运的采矿方法，最大限度地合理开发利用矿产资源。矿区总服务年限11年，其中矿山基建期1.0年，生产服务年限约9.5年，闭坑治理期0.5年。</w:t>
            </w:r>
          </w:p>
          <w:p>
            <w:pPr>
              <w:pStyle w:val="120"/>
              <w:numPr>
                <w:ilvl w:val="0"/>
                <w:numId w:val="16"/>
              </w:numPr>
              <w:ind w:firstLine="482"/>
              <w:rPr>
                <w:rFonts w:cs="Times New Roman" w:hint="default"/>
                <w:b/>
                <w:bCs/>
                <w:color w:val="auto"/>
              </w:rPr>
            </w:pPr>
            <w:r>
              <w:rPr>
                <w:rFonts w:ascii="Times New Roman" w:hAnsi="Times New Roman" w:cs="Times New Roman" w:hint="default"/>
                <w:b/>
                <w:bCs/>
                <w:color w:val="auto"/>
              </w:rPr>
              <w:t>项目组成、规模</w:t>
            </w:r>
          </w:p>
          <w:p>
            <w:pPr>
              <w:pStyle w:val="120"/>
              <w:ind w:firstLineChars="0"/>
              <w:rPr>
                <w:rFonts w:cs="Times New Roman" w:hint="default"/>
                <w:color w:val="auto"/>
              </w:rPr>
            </w:pPr>
            <w:r>
              <w:rPr>
                <w:rFonts w:ascii="Times New Roman" w:hAnsi="Times New Roman" w:cs="Times New Roman" w:hint="default"/>
                <w:color w:val="auto"/>
              </w:rPr>
              <w:t>本项目组成情况详见表1-</w:t>
            </w:r>
            <w:r>
              <w:rPr>
                <w:rFonts w:ascii="Times New Roman" w:hAnsi="Times New Roman" w:cs="Times New Roman" w:hint="default"/>
                <w:color w:val="auto"/>
                <w:lang w:val="en-US" w:eastAsia="zh-CN"/>
              </w:rPr>
              <w:t>3</w:t>
            </w:r>
            <w:r>
              <w:rPr>
                <w:rFonts w:ascii="Times New Roman" w:hAnsi="Times New Roman" w:cs="Times New Roman" w:hint="default"/>
                <w:color w:val="auto"/>
              </w:rPr>
              <w:t>。</w:t>
            </w:r>
          </w:p>
          <w:p>
            <w:pPr>
              <w:pStyle w:val="120"/>
              <w:ind w:left="480" w:firstLine="0" w:leftChars="200" w:firstLineChars="0"/>
              <w:jc w:val="center"/>
              <w:rPr>
                <w:rFonts w:cs="Times New Roman" w:hint="default"/>
                <w:b/>
                <w:bCs/>
                <w:color w:val="auto"/>
                <w:sz w:val="21"/>
                <w:szCs w:val="16"/>
              </w:rPr>
            </w:pPr>
            <w:r>
              <w:rPr>
                <w:rFonts w:ascii="Times New Roman" w:hAnsi="Times New Roman" w:cs="Times New Roman" w:hint="default"/>
                <w:b/>
                <w:bCs/>
                <w:color w:val="auto"/>
                <w:sz w:val="21"/>
                <w:szCs w:val="16"/>
              </w:rPr>
              <w:t>表1-</w:t>
            </w:r>
            <w:r>
              <w:rPr>
                <w:rFonts w:ascii="Times New Roman" w:hAnsi="Times New Roman" w:cs="Times New Roman" w:hint="default"/>
                <w:b/>
                <w:bCs/>
                <w:color w:val="auto"/>
                <w:sz w:val="21"/>
                <w:szCs w:val="16"/>
                <w:lang w:val="en-US" w:eastAsia="zh-CN"/>
              </w:rPr>
              <w:t>3</w:t>
            </w:r>
            <w:r>
              <w:rPr>
                <w:rFonts w:ascii="Times New Roman" w:hAnsi="Times New Roman" w:cs="Times New Roman" w:hint="default"/>
                <w:b/>
                <w:bCs/>
                <w:color w:val="auto"/>
                <w:sz w:val="21"/>
                <w:szCs w:val="16"/>
              </w:rPr>
              <w:t xml:space="preserve">  本项目组成情况一览表</w:t>
            </w:r>
          </w:p>
          <w:tbl>
            <w:tblPr>
              <w:tblStyle w:val="TableNormal"/>
              <w:tblW w:w="4994"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810"/>
              <w:gridCol w:w="474"/>
              <w:gridCol w:w="2019"/>
              <w:gridCol w:w="5873"/>
            </w:tblGrid>
            <w:tr>
              <w:tblPrEx>
                <w:tblW w:w="4994"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441"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工程类别</w:t>
                  </w:r>
                </w:p>
              </w:tc>
              <w:tc>
                <w:tcPr>
                  <w:tcW w:w="1358" w:type="pct"/>
                  <w:gridSpan w:val="2"/>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工程内容</w:t>
                  </w:r>
                </w:p>
              </w:tc>
              <w:tc>
                <w:tcPr>
                  <w:tcW w:w="3199"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工程规模</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主体</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工程</w:t>
                  </w: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开采区</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矿区面积0.082km</w:t>
                  </w:r>
                  <w:r>
                    <w:rPr>
                      <w:rFonts w:ascii="Times New Roman" w:hAnsi="Times New Roman" w:cs="Times New Roman" w:hint="default"/>
                      <w:color w:val="auto"/>
                      <w:sz w:val="21"/>
                      <w:szCs w:val="21"/>
                      <w:vertAlign w:val="superscript"/>
                    </w:rPr>
                    <w:t>2</w:t>
                  </w:r>
                  <w:r>
                    <w:rPr>
                      <w:rFonts w:ascii="Times New Roman" w:hAnsi="Times New Roman" w:cs="Times New Roman" w:hint="default"/>
                      <w:color w:val="auto"/>
                      <w:sz w:val="21"/>
                      <w:szCs w:val="21"/>
                    </w:rPr>
                    <w:t>，由7个拐点圈定，开采标高为+225m~+70m</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破碎加工场</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位于矿区东南侧，占地面积约2.5万m</w:t>
                  </w:r>
                  <w:r>
                    <w:rPr>
                      <w:rFonts w:ascii="Times New Roman" w:hAnsi="Times New Roman" w:cs="Times New Roman" w:hint="default"/>
                      <w:color w:val="auto"/>
                      <w:sz w:val="21"/>
                      <w:szCs w:val="21"/>
                      <w:vertAlign w:val="superscript"/>
                    </w:rPr>
                    <w:t>2</w:t>
                  </w:r>
                  <w:r>
                    <w:rPr>
                      <w:rFonts w:ascii="Times New Roman" w:hAnsi="Times New Roman" w:cs="Times New Roman" w:hint="default"/>
                      <w:color w:val="auto"/>
                      <w:sz w:val="21"/>
                      <w:szCs w:val="21"/>
                    </w:rPr>
                    <w:t>。由卸矿平台、矿仓、破碎筛分、中间料场及碎石堆场组成，矿仓卸矿平台标高为+70m，碎石堆场标高为+60m。</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辅助</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工程</w:t>
                  </w: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机修场地</w:t>
                  </w:r>
                </w:p>
              </w:tc>
              <w:tc>
                <w:tcPr>
                  <w:tcW w:w="3199" w:type="pct"/>
                  <w:vAlign w:val="center"/>
                </w:tcPr>
                <w:p>
                  <w:pPr>
                    <w:pStyle w:val="120"/>
                    <w:spacing w:line="240" w:lineRule="auto"/>
                    <w:ind w:firstLine="0" w:firstLineChars="0"/>
                    <w:jc w:val="center"/>
                    <w:rPr>
                      <w:rFonts w:cs="Times New Roman" w:hint="default"/>
                      <w:color w:val="auto"/>
                      <w:sz w:val="21"/>
                      <w:szCs w:val="21"/>
                      <w:vertAlign w:val="superscript"/>
                    </w:rPr>
                  </w:pPr>
                  <w:r>
                    <w:rPr>
                      <w:rFonts w:ascii="Times New Roman" w:hAnsi="Times New Roman" w:cs="Times New Roman" w:hint="default"/>
                      <w:color w:val="auto"/>
                      <w:sz w:val="21"/>
                      <w:szCs w:val="21"/>
                    </w:rPr>
                    <w:t>位于矿区东南面，进矿道路西侧，地面标高+50m。包括机修房、材料库、停车场等，占地面积约0.35万m</w:t>
                  </w:r>
                  <w:r>
                    <w:rPr>
                      <w:rFonts w:ascii="Times New Roman" w:hAnsi="Times New Roman" w:cs="Times New Roman" w:hint="default"/>
                      <w:color w:val="auto"/>
                      <w:sz w:val="21"/>
                      <w:szCs w:val="21"/>
                      <w:vertAlign w:val="superscript"/>
                    </w:rPr>
                    <w:t>2</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综合服务区</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位于矿区北面，机修场地南侧，地面标高约+50m。占地面积约0.5万m</w:t>
                  </w:r>
                  <w:r>
                    <w:rPr>
                      <w:rFonts w:ascii="Times New Roman" w:hAnsi="Times New Roman" w:cs="Times New Roman" w:hint="default"/>
                      <w:color w:val="auto"/>
                      <w:sz w:val="21"/>
                      <w:szCs w:val="21"/>
                      <w:vertAlign w:val="superscript"/>
                    </w:rPr>
                    <w:t>2</w:t>
                  </w:r>
                  <w:r>
                    <w:rPr>
                      <w:rFonts w:ascii="Times New Roman" w:hAnsi="Times New Roman" w:cs="Times New Roman" w:hint="default"/>
                      <w:color w:val="auto"/>
                      <w:sz w:val="21"/>
                      <w:szCs w:val="21"/>
                    </w:rPr>
                    <w:t>，设办公室、休息室、食堂、浴室、更衣室等</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储运</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工程</w:t>
                  </w: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原矿堆场</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位于矿区东南侧、破碎加工场的北侧，总占地面积约0.5万m</w:t>
                  </w:r>
                  <w:r>
                    <w:rPr>
                      <w:rFonts w:ascii="Times New Roman" w:hAnsi="Times New Roman" w:cs="Times New Roman" w:hint="default"/>
                      <w:color w:val="auto"/>
                      <w:sz w:val="21"/>
                      <w:szCs w:val="21"/>
                      <w:vertAlign w:val="superscript"/>
                    </w:rPr>
                    <w:t>2</w:t>
                  </w:r>
                  <w:r>
                    <w:rPr>
                      <w:rFonts w:ascii="Times New Roman" w:hAnsi="Times New Roman" w:cs="Times New Roman" w:hint="default"/>
                      <w:color w:val="auto"/>
                      <w:sz w:val="21"/>
                      <w:szCs w:val="21"/>
                    </w:rPr>
                    <w:t>。主要用于矿山采出的矿石（夹石）临时堆放和周转，分时段进行破碎加工处理成碎石和石粉产品。</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临时排土场</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位于紧邻矿区东侧边界山坳处，占地面积约0.4万m</w:t>
                  </w:r>
                  <w:r>
                    <w:rPr>
                      <w:rFonts w:ascii="Times New Roman" w:hAnsi="Times New Roman" w:cs="Times New Roman" w:hint="default"/>
                      <w:color w:val="auto"/>
                      <w:sz w:val="21"/>
                      <w:szCs w:val="21"/>
                      <w:vertAlign w:val="superscript"/>
                    </w:rPr>
                    <w:t>2</w:t>
                  </w:r>
                  <w:r>
                    <w:rPr>
                      <w:rFonts w:ascii="Times New Roman" w:hAnsi="Times New Roman" w:cs="Times New Roman" w:hint="default"/>
                      <w:color w:val="auto"/>
                      <w:sz w:val="21"/>
                      <w:szCs w:val="21"/>
                    </w:rPr>
                    <w:t>，排土段高小于5m，排土容量约2.0万m</w:t>
                  </w:r>
                  <w:r>
                    <w:rPr>
                      <w:rFonts w:ascii="Times New Roman" w:hAnsi="Times New Roman" w:cs="Times New Roman" w:hint="default"/>
                      <w:color w:val="auto"/>
                      <w:sz w:val="21"/>
                      <w:szCs w:val="21"/>
                      <w:vertAlign w:val="superscript"/>
                    </w:rPr>
                    <w:t>3</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运输工程</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矿区道路采用泥结碎石路面，路面宽6m，路基宽8m，最小平曲线半径15m</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公用</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工程</w:t>
                  </w: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给水系统</w:t>
                  </w:r>
                </w:p>
              </w:tc>
              <w:tc>
                <w:tcPr>
                  <w:tcW w:w="3199" w:type="pct"/>
                  <w:vAlign w:val="center"/>
                </w:tcPr>
                <w:p>
                  <w:pPr>
                    <w:pStyle w:val="120"/>
                    <w:spacing w:line="240" w:lineRule="auto"/>
                    <w:ind w:firstLine="0" w:firstLineChars="0"/>
                    <w:jc w:val="center"/>
                    <w:rPr>
                      <w:rFonts w:cs="Times New Roman" w:hint="default"/>
                      <w:color w:val="auto"/>
                      <w:sz w:val="21"/>
                      <w:szCs w:val="21"/>
                      <w:highlight w:val="yellow"/>
                    </w:rPr>
                  </w:pPr>
                  <w:r>
                    <w:rPr>
                      <w:rFonts w:ascii="Times New Roman" w:hAnsi="Times New Roman" w:cs="Times New Roman" w:hint="default"/>
                      <w:color w:val="auto"/>
                      <w:sz w:val="21"/>
                      <w:szCs w:val="21"/>
                    </w:rPr>
                    <w:t>生活用水通过水井取用地下水，喷淋降尘用水使用初期雨水和地下水</w:t>
                  </w:r>
                </w:p>
              </w:tc>
            </w:tr>
            <w:tr>
              <w:tblPrEx>
                <w:tblW w:w="4994" w:type="pct"/>
                <w:tblInd w:w="116" w:type="dxa"/>
                <w:tblCellMar>
                  <w:top w:w="0" w:type="dxa"/>
                  <w:left w:w="108" w:type="dxa"/>
                  <w:bottom w:w="0" w:type="dxa"/>
                  <w:right w:w="108" w:type="dxa"/>
                </w:tblCellMar>
                <w:tblLook w:val="0000"/>
              </w:tblPrEx>
              <w:trPr>
                <w:trHeight w:val="1067"/>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排水系统</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lang w:eastAsia="zh-CN"/>
                    </w:rPr>
                    <w:t>初期</w:t>
                  </w:r>
                  <w:r>
                    <w:rPr>
                      <w:rFonts w:ascii="Times New Roman" w:hAnsi="Times New Roman" w:cs="Times New Roman" w:hint="default"/>
                      <w:color w:val="auto"/>
                      <w:sz w:val="21"/>
                      <w:szCs w:val="21"/>
                    </w:rPr>
                    <w:t>雨水经沉砂池处理后</w:t>
                  </w:r>
                  <w:r>
                    <w:rPr>
                      <w:rFonts w:ascii="Times New Roman" w:hAnsi="Times New Roman" w:cs="Times New Roman" w:hint="default"/>
                      <w:color w:val="auto"/>
                      <w:sz w:val="21"/>
                      <w:szCs w:val="21"/>
                      <w:lang w:eastAsia="zh-CN"/>
                    </w:rPr>
                    <w:t>全部回用，不外排</w:t>
                  </w:r>
                  <w:r>
                    <w:rPr>
                      <w:rFonts w:ascii="Times New Roman" w:hAnsi="Times New Roman" w:cs="Times New Roman" w:hint="default"/>
                      <w:color w:val="auto"/>
                      <w:sz w:val="21"/>
                      <w:szCs w:val="21"/>
                    </w:rPr>
                    <w:t>；生活污水经三级化粪池</w:t>
                  </w:r>
                  <w:r>
                    <w:rPr>
                      <w:rFonts w:ascii="Times New Roman" w:hAnsi="Times New Roman" w:cs="Times New Roman" w:hint="default"/>
                      <w:color w:val="auto"/>
                      <w:sz w:val="21"/>
                      <w:szCs w:val="21"/>
                      <w:lang w:eastAsia="zh-CN"/>
                    </w:rPr>
                    <w:t>、隔油隔渣池</w:t>
                  </w:r>
                  <w:r>
                    <w:rPr>
                      <w:rFonts w:ascii="Times New Roman" w:hAnsi="Times New Roman" w:cs="Times New Roman" w:hint="default"/>
                      <w:color w:val="auto"/>
                      <w:sz w:val="21"/>
                      <w:szCs w:val="21"/>
                    </w:rPr>
                    <w:t>和一体化污水处理设施处理后用于周边绿化灌溉，不外排；喷淋废水经三级沉淀池处理后全部回用，不外排</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供电系统</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由阳春</w:t>
                  </w:r>
                  <w:r>
                    <w:rPr>
                      <w:rFonts w:ascii="Times New Roman" w:hAnsi="Times New Roman" w:cs="Times New Roman" w:hint="default"/>
                      <w:color w:val="auto"/>
                      <w:sz w:val="21"/>
                      <w:szCs w:val="21"/>
                      <w:lang w:eastAsia="zh-CN"/>
                    </w:rPr>
                    <w:t>市供电局</w:t>
                  </w:r>
                  <w:r>
                    <w:rPr>
                      <w:rFonts w:ascii="Times New Roman" w:hAnsi="Times New Roman" w:cs="Times New Roman" w:hint="default"/>
                      <w:color w:val="auto"/>
                      <w:sz w:val="21"/>
                      <w:szCs w:val="21"/>
                    </w:rPr>
                    <w:t>供给</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炸药</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项目内不设炸药库，不储存爆破器材，委托专业单位进行爆破作业</w:t>
                  </w:r>
                </w:p>
              </w:tc>
            </w:tr>
            <w:tr>
              <w:tblPrEx>
                <w:tblW w:w="4994" w:type="pct"/>
                <w:tblInd w:w="116" w:type="dxa"/>
                <w:tblCellMar>
                  <w:top w:w="0" w:type="dxa"/>
                  <w:left w:w="108" w:type="dxa"/>
                  <w:bottom w:w="0" w:type="dxa"/>
                  <w:right w:w="108" w:type="dxa"/>
                </w:tblCellMar>
                <w:tblLook w:val="0000"/>
              </w:tblPrEx>
              <w:trPr>
                <w:trHeight w:val="340"/>
              </w:trPr>
              <w:tc>
                <w:tcPr>
                  <w:tcW w:w="441"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环保</w:t>
                  </w:r>
                </w:p>
              </w:tc>
              <w:tc>
                <w:tcPr>
                  <w:tcW w:w="258" w:type="pct"/>
                  <w:vAlign w:val="center"/>
                </w:tcPr>
                <w:p>
                  <w:pPr>
                    <w:pStyle w:val="120"/>
                    <w:spacing w:after="0" w:line="240" w:lineRule="auto"/>
                    <w:ind w:firstLine="0" w:firstLineChars="0"/>
                    <w:jc w:val="center"/>
                    <w:rPr>
                      <w:rFonts w:cs="Times New Roman" w:hint="default"/>
                      <w:color w:val="auto"/>
                      <w:sz w:val="21"/>
                      <w:szCs w:val="21"/>
                    </w:rPr>
                  </w:pPr>
                </w:p>
              </w:tc>
              <w:tc>
                <w:tcPr>
                  <w:tcW w:w="1100"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生活污水</w:t>
                  </w:r>
                </w:p>
              </w:tc>
              <w:tc>
                <w:tcPr>
                  <w:tcW w:w="3199" w:type="pct"/>
                  <w:vAlign w:val="center"/>
                </w:tcPr>
                <w:p>
                  <w:pPr>
                    <w:pStyle w:val="120"/>
                    <w:spacing w:after="0"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经三级化粪池</w:t>
                  </w:r>
                  <w:r>
                    <w:rPr>
                      <w:rFonts w:ascii="Times New Roman" w:hAnsi="Times New Roman" w:cs="Times New Roman" w:hint="default"/>
                      <w:color w:val="auto"/>
                      <w:sz w:val="21"/>
                      <w:szCs w:val="21"/>
                      <w:lang w:eastAsia="zh-CN"/>
                    </w:rPr>
                    <w:t>、隔油隔渣池</w:t>
                  </w:r>
                </w:p>
              </w:tc>
            </w:tr>
          </w:tbl>
          <w:p/>
        </w:tc>
      </w:tr>
    </w:tbl>
    <w:p>
      <w:pPr>
        <w:sectPr>
          <w:footerReference w:type="even" r:id="rId12"/>
          <w:footerReference w:type="default" r:id="rId13"/>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tbl>
            <w:tblPr>
              <w:tblStyle w:val="TableNormal"/>
              <w:tblW w:w="4994"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810"/>
              <w:gridCol w:w="474"/>
              <w:gridCol w:w="635"/>
              <w:gridCol w:w="1384"/>
              <w:gridCol w:w="5873"/>
            </w:tblGrid>
            <w:tr>
              <w:tblPrEx>
                <w:tblW w:w="4994"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441"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工程</w:t>
                  </w:r>
                </w:p>
              </w:tc>
              <w:tc>
                <w:tcPr>
                  <w:tcW w:w="258" w:type="pct"/>
                  <w:vMerge w:val="restart"/>
                  <w:vAlign w:val="center"/>
                </w:tcPr>
                <w:p>
                  <w:pPr>
                    <w:pStyle w:val="120"/>
                    <w:spacing w:before="0"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水污染</w:t>
                  </w:r>
                </w:p>
              </w:tc>
              <w:tc>
                <w:tcPr>
                  <w:tcW w:w="1100" w:type="pct"/>
                  <w:gridSpan w:val="2"/>
                  <w:vAlign w:val="center"/>
                </w:tcPr>
                <w:p/>
              </w:tc>
              <w:tc>
                <w:tcPr>
                  <w:tcW w:w="3199" w:type="pct"/>
                  <w:vAlign w:val="center"/>
                </w:tcPr>
                <w:p>
                  <w:pPr>
                    <w:pStyle w:val="120"/>
                    <w:spacing w:before="0"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和一体化污水处理设施处理后用于周边绿化灌溉，不外排</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喷淋废水</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经三级沉淀池处理后全部回用，不外排</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初期雨水</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kern w:val="0"/>
                      <w:sz w:val="21"/>
                      <w:szCs w:val="21"/>
                    </w:rPr>
                    <w:t>修建矿区及采场截排水沟；修筑临时堆土场拦渣坝、排水沟；矿区下游设置总排洪沟和沉砂池，沉砂池尺寸为20m</w:t>
                  </w:r>
                  <w:r>
                    <w:rPr>
                      <w:rFonts w:ascii="Times New Roman" w:hAnsi="Times New Roman" w:cs="Times New Roman" w:hint="default"/>
                      <w:color w:val="auto"/>
                      <w:kern w:val="0"/>
                      <w:sz w:val="21"/>
                      <w:szCs w:val="21"/>
                    </w:rPr>
                    <w:t>×</w:t>
                  </w:r>
                  <w:r>
                    <w:rPr>
                      <w:rFonts w:ascii="Times New Roman" w:hAnsi="Times New Roman" w:cs="Times New Roman" w:hint="default"/>
                      <w:color w:val="auto"/>
                      <w:kern w:val="0"/>
                      <w:sz w:val="21"/>
                      <w:szCs w:val="21"/>
                    </w:rPr>
                    <w:t>10m</w:t>
                  </w:r>
                  <w:r>
                    <w:rPr>
                      <w:rFonts w:ascii="Times New Roman" w:hAnsi="Times New Roman" w:cs="Times New Roman" w:hint="default"/>
                      <w:color w:val="auto"/>
                      <w:kern w:val="0"/>
                      <w:sz w:val="21"/>
                      <w:szCs w:val="21"/>
                    </w:rPr>
                    <w:t>×</w:t>
                  </w:r>
                  <w:r>
                    <w:rPr>
                      <w:rFonts w:ascii="Times New Roman" w:hAnsi="Times New Roman" w:cs="Times New Roman" w:hint="default"/>
                      <w:color w:val="auto"/>
                      <w:kern w:val="0"/>
                      <w:sz w:val="21"/>
                      <w:szCs w:val="21"/>
                    </w:rPr>
                    <w:t>1.5m，容积为300m</w:t>
                  </w:r>
                  <w:r>
                    <w:rPr>
                      <w:rFonts w:ascii="Times New Roman" w:hAnsi="Times New Roman" w:cs="Times New Roman" w:hint="default"/>
                      <w:color w:val="auto"/>
                      <w:kern w:val="0"/>
                      <w:sz w:val="21"/>
                      <w:szCs w:val="21"/>
                      <w:vertAlign w:val="superscript"/>
                    </w:rPr>
                    <w:t>3</w:t>
                  </w:r>
                  <w:r>
                    <w:rPr>
                      <w:rFonts w:ascii="Times New Roman" w:hAnsi="Times New Roman" w:cs="Times New Roman" w:hint="default"/>
                      <w:color w:val="auto"/>
                      <w:kern w:val="0"/>
                      <w:sz w:val="21"/>
                      <w:szCs w:val="21"/>
                    </w:rPr>
                    <w:t>，初期雨水经沉砂池处理后回用于项目内喷淋降尘用水，不外排</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大气污染</w:t>
                  </w:r>
                </w:p>
              </w:tc>
              <w:tc>
                <w:tcPr>
                  <w:tcW w:w="346"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扬</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尘</w:t>
                  </w:r>
                </w:p>
              </w:tc>
              <w:tc>
                <w:tcPr>
                  <w:tcW w:w="754"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爆破、挖掘</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采用深孔台阶微差爆破，从源头减少粉尘产生量；爆破前后采用喷雾洒水措施抑制粉尘产生</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346" w:type="pct"/>
                  <w:vMerge/>
                  <w:vAlign w:val="center"/>
                </w:tcPr>
                <w:p>
                  <w:pPr>
                    <w:pStyle w:val="120"/>
                    <w:spacing w:line="240" w:lineRule="auto"/>
                    <w:ind w:firstLine="0" w:firstLineChars="0"/>
                    <w:jc w:val="center"/>
                    <w:rPr>
                      <w:rFonts w:cs="Times New Roman" w:hint="default"/>
                      <w:color w:val="auto"/>
                      <w:sz w:val="21"/>
                      <w:szCs w:val="21"/>
                    </w:rPr>
                  </w:pPr>
                </w:p>
              </w:tc>
              <w:tc>
                <w:tcPr>
                  <w:tcW w:w="754"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汽车运输</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采用洒水车对场区道路进行洒水降尘</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346" w:type="pct"/>
                  <w:vMerge/>
                  <w:vAlign w:val="center"/>
                </w:tcPr>
                <w:p>
                  <w:pPr>
                    <w:pStyle w:val="120"/>
                    <w:spacing w:line="240" w:lineRule="auto"/>
                    <w:ind w:firstLine="0" w:firstLineChars="0"/>
                    <w:jc w:val="center"/>
                    <w:rPr>
                      <w:rFonts w:cs="Times New Roman" w:hint="default"/>
                      <w:color w:val="auto"/>
                      <w:sz w:val="21"/>
                      <w:szCs w:val="21"/>
                    </w:rPr>
                  </w:pPr>
                </w:p>
              </w:tc>
              <w:tc>
                <w:tcPr>
                  <w:tcW w:w="754"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破碎、筛分</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采用喷雾洒水措施抑制粉尘产生；运输皮带机上部加装封闭罩，装皮带输送机全部封闭，减少粉尘产生</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eastAsia="宋体" w:cs="Times New Roman" w:hint="default"/>
                      <w:color w:val="auto"/>
                      <w:sz w:val="21"/>
                      <w:szCs w:val="21"/>
                      <w:lang w:eastAsia="zh-CN"/>
                    </w:rPr>
                  </w:pPr>
                  <w:r>
                    <w:rPr>
                      <w:rFonts w:ascii="Times New Roman" w:hAnsi="Times New Roman" w:cs="Times New Roman" w:hint="default"/>
                      <w:color w:val="auto"/>
                      <w:sz w:val="21"/>
                      <w:szCs w:val="21"/>
                      <w:lang w:eastAsia="zh-CN"/>
                    </w:rPr>
                    <w:t>燃油废气</w:t>
                  </w:r>
                </w:p>
              </w:tc>
              <w:tc>
                <w:tcPr>
                  <w:tcW w:w="3199" w:type="pct"/>
                  <w:vAlign w:val="center"/>
                </w:tcPr>
                <w:p>
                  <w:pPr>
                    <w:pStyle w:val="120"/>
                    <w:spacing w:line="240" w:lineRule="auto"/>
                    <w:ind w:firstLine="0" w:firstLineChars="0"/>
                    <w:jc w:val="center"/>
                    <w:rPr>
                      <w:rFonts w:eastAsia="宋体" w:cs="Times New Roman" w:hint="default"/>
                      <w:color w:val="auto"/>
                      <w:sz w:val="21"/>
                      <w:szCs w:val="21"/>
                      <w:lang w:val="en-US" w:eastAsia="zh-CN"/>
                    </w:rPr>
                  </w:pPr>
                  <w:r>
                    <w:rPr>
                      <w:rFonts w:ascii="Times New Roman" w:hAnsi="Times New Roman" w:cs="Times New Roman" w:hint="default"/>
                      <w:color w:val="auto"/>
                      <w:sz w:val="21"/>
                      <w:szCs w:val="21"/>
                      <w:lang w:val="en-US" w:eastAsia="zh-CN"/>
                    </w:rPr>
                    <w:t>/</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厨房油烟</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厨房油烟经静电除油烟设备处理后引至天面排放</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固体废物</w:t>
                  </w: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剥离表土</w:t>
                  </w:r>
                </w:p>
              </w:tc>
              <w:tc>
                <w:tcPr>
                  <w:tcW w:w="3199" w:type="pct"/>
                  <w:vAlign w:val="center"/>
                </w:tcPr>
                <w:p>
                  <w:pPr>
                    <w:adjustRightInd w:val="0"/>
                    <w:jc w:val="center"/>
                    <w:rPr>
                      <w:rFonts w:ascii="Times New Roman" w:hAnsi="Times New Roman" w:cs="Times New Roman" w:hint="default"/>
                      <w:color w:val="auto"/>
                      <w:sz w:val="21"/>
                      <w:szCs w:val="21"/>
                    </w:rPr>
                  </w:pPr>
                  <w:r>
                    <w:rPr>
                      <w:rFonts w:ascii="Times New Roman" w:hAnsi="Times New Roman" w:cs="Times New Roman" w:hint="default"/>
                      <w:color w:val="auto"/>
                      <w:kern w:val="0"/>
                      <w:sz w:val="21"/>
                      <w:szCs w:val="21"/>
                    </w:rPr>
                    <w:t>建设单位在</w:t>
                  </w:r>
                  <w:r>
                    <w:rPr>
                      <w:rFonts w:ascii="Times New Roman" w:hAnsi="Times New Roman" w:cs="Times New Roman" w:hint="default"/>
                      <w:color w:val="auto"/>
                      <w:sz w:val="21"/>
                      <w:szCs w:val="21"/>
                    </w:rPr>
                    <w:t>紧邻矿区东侧边界的山坳处</w:t>
                  </w:r>
                  <w:r>
                    <w:rPr>
                      <w:rFonts w:ascii="Times New Roman" w:hAnsi="Times New Roman" w:cs="Times New Roman" w:hint="default"/>
                      <w:color w:val="auto"/>
                      <w:kern w:val="0"/>
                      <w:sz w:val="21"/>
                      <w:szCs w:val="21"/>
                    </w:rPr>
                    <w:t>设置临时排土场，剥离表土堆放于临时堆土场，在边开采边恢复过程中用于复垦绿化</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生活垃圾</w:t>
                  </w:r>
                </w:p>
              </w:tc>
              <w:tc>
                <w:tcPr>
                  <w:tcW w:w="3199" w:type="pct"/>
                  <w:vMerge w:val="restart"/>
                  <w:vAlign w:val="center"/>
                </w:tcPr>
                <w:p>
                  <w:pPr>
                    <w:adjustRightInd w:val="0"/>
                    <w:jc w:val="center"/>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委托环卫部门清运处理</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污水处理设施污泥</w:t>
                  </w:r>
                </w:p>
              </w:tc>
              <w:tc>
                <w:tcPr>
                  <w:tcW w:w="3199" w:type="pct"/>
                  <w:vMerge/>
                  <w:vAlign w:val="center"/>
                </w:tcPr>
                <w:p>
                  <w:pPr>
                    <w:adjustRightInd w:val="0"/>
                    <w:jc w:val="center"/>
                    <w:rPr>
                      <w:rFonts w:ascii="Times New Roman" w:hAnsi="Times New Roman" w:cs="Times New Roman" w:hint="default"/>
                      <w:color w:val="auto"/>
                      <w:kern w:val="0"/>
                      <w:sz w:val="21"/>
                      <w:szCs w:val="21"/>
                    </w:rPr>
                  </w:pP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危险废物</w:t>
                  </w: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废机油</w:t>
                  </w:r>
                </w:p>
              </w:tc>
              <w:tc>
                <w:tcPr>
                  <w:tcW w:w="3199" w:type="pct"/>
                  <w:vMerge w:val="restart"/>
                  <w:vAlign w:val="center"/>
                </w:tcPr>
                <w:p>
                  <w:pPr>
                    <w:adjustRightInd w:val="0"/>
                    <w:jc w:val="center"/>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委托有资质的单位回收处理</w:t>
                  </w: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258" w:type="pct"/>
                  <w:vMerge/>
                  <w:vAlign w:val="center"/>
                </w:tcPr>
                <w:p>
                  <w:pPr>
                    <w:pStyle w:val="120"/>
                    <w:spacing w:line="240" w:lineRule="auto"/>
                    <w:ind w:firstLine="0" w:firstLineChars="0"/>
                    <w:jc w:val="center"/>
                    <w:rPr>
                      <w:rFonts w:cs="Times New Roman" w:hint="default"/>
                      <w:color w:val="auto"/>
                      <w:sz w:val="21"/>
                      <w:szCs w:val="21"/>
                    </w:rPr>
                  </w:pPr>
                </w:p>
              </w:tc>
              <w:tc>
                <w:tcPr>
                  <w:tcW w:w="1100" w:type="pct"/>
                  <w:gridSpan w:val="2"/>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含油废抹布、手套</w:t>
                  </w:r>
                </w:p>
              </w:tc>
              <w:tc>
                <w:tcPr>
                  <w:tcW w:w="3199" w:type="pct"/>
                  <w:vMerge/>
                  <w:vAlign w:val="center"/>
                </w:tcPr>
                <w:p>
                  <w:pPr>
                    <w:adjustRightInd w:val="0"/>
                    <w:jc w:val="center"/>
                    <w:rPr>
                      <w:rFonts w:ascii="Times New Roman" w:hAnsi="Times New Roman" w:cs="Times New Roman" w:hint="default"/>
                      <w:color w:val="auto"/>
                      <w:kern w:val="0"/>
                      <w:sz w:val="21"/>
                      <w:szCs w:val="21"/>
                    </w:rPr>
                  </w:pPr>
                </w:p>
              </w:tc>
            </w:tr>
            <w:tr>
              <w:tblPrEx>
                <w:tblW w:w="4994" w:type="pct"/>
                <w:tblInd w:w="116" w:type="dxa"/>
                <w:tblCellMar>
                  <w:top w:w="0" w:type="dxa"/>
                  <w:left w:w="108" w:type="dxa"/>
                  <w:bottom w:w="0" w:type="dxa"/>
                  <w:right w:w="108" w:type="dxa"/>
                </w:tblCellMar>
                <w:tblLook w:val="0000"/>
              </w:tblPrEx>
              <w:trPr>
                <w:trHeight w:val="340"/>
              </w:trPr>
              <w:tc>
                <w:tcPr>
                  <w:tcW w:w="441" w:type="pct"/>
                  <w:vMerge/>
                  <w:vAlign w:val="center"/>
                </w:tcPr>
                <w:p>
                  <w:pPr>
                    <w:pStyle w:val="120"/>
                    <w:spacing w:line="240" w:lineRule="auto"/>
                    <w:ind w:firstLine="0" w:firstLineChars="0"/>
                    <w:jc w:val="center"/>
                    <w:rPr>
                      <w:rFonts w:cs="Times New Roman" w:hint="default"/>
                      <w:color w:val="auto"/>
                      <w:sz w:val="21"/>
                      <w:szCs w:val="21"/>
                    </w:rPr>
                  </w:pPr>
                </w:p>
              </w:tc>
              <w:tc>
                <w:tcPr>
                  <w:tcW w:w="1358" w:type="pct"/>
                  <w:gridSpan w:val="3"/>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生态修复</w:t>
                  </w:r>
                </w:p>
              </w:tc>
              <w:tc>
                <w:tcPr>
                  <w:tcW w:w="3199"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采用边开采、边恢复的生态恢复措施</w:t>
                  </w:r>
                </w:p>
              </w:tc>
            </w:tr>
          </w:tbl>
          <w:p>
            <w:pPr>
              <w:pStyle w:val="120"/>
              <w:ind w:firstLineChars="0"/>
              <w:rPr>
                <w:rFonts w:cs="Times New Roman" w:hint="default"/>
                <w:color w:val="auto"/>
              </w:rPr>
            </w:pPr>
            <w:r>
              <w:rPr>
                <w:rFonts w:ascii="Times New Roman" w:hAnsi="Times New Roman" w:cs="Times New Roman" w:hint="default"/>
                <w:color w:val="auto"/>
              </w:rPr>
              <w:t>本项目矿山主要开采经济技术指标见下表1-</w:t>
            </w:r>
            <w:r>
              <w:rPr>
                <w:rFonts w:ascii="Times New Roman" w:hAnsi="Times New Roman" w:cs="Times New Roman" w:hint="default"/>
                <w:color w:val="auto"/>
                <w:lang w:val="en-US" w:eastAsia="zh-CN"/>
              </w:rPr>
              <w:t>4</w:t>
            </w:r>
            <w:r>
              <w:rPr>
                <w:rFonts w:ascii="Times New Roman" w:hAnsi="Times New Roman" w:cs="Times New Roman" w:hint="default"/>
                <w:color w:val="auto"/>
              </w:rPr>
              <w:t>。</w:t>
            </w:r>
          </w:p>
          <w:p>
            <w:pPr>
              <w:pStyle w:val="120"/>
              <w:ind w:left="482" w:firstLine="0" w:firstLineChars="0"/>
              <w:jc w:val="center"/>
              <w:rPr>
                <w:rFonts w:cs="Times New Roman" w:hint="default"/>
                <w:b/>
                <w:bCs/>
                <w:color w:val="auto"/>
                <w:sz w:val="21"/>
                <w:szCs w:val="16"/>
              </w:rPr>
            </w:pPr>
            <w:r>
              <w:rPr>
                <w:rFonts w:ascii="Times New Roman" w:hAnsi="Times New Roman" w:cs="Times New Roman" w:hint="default"/>
                <w:b/>
                <w:bCs/>
                <w:color w:val="auto"/>
                <w:sz w:val="21"/>
                <w:szCs w:val="16"/>
              </w:rPr>
              <w:t>表1-</w:t>
            </w:r>
            <w:r>
              <w:rPr>
                <w:rFonts w:ascii="Times New Roman" w:hAnsi="Times New Roman" w:cs="Times New Roman" w:hint="default"/>
                <w:b/>
                <w:bCs/>
                <w:color w:val="auto"/>
                <w:sz w:val="21"/>
                <w:szCs w:val="16"/>
                <w:lang w:val="en-US" w:eastAsia="zh-CN"/>
              </w:rPr>
              <w:t>4</w:t>
            </w:r>
            <w:r>
              <w:rPr>
                <w:rFonts w:ascii="Times New Roman" w:hAnsi="Times New Roman" w:cs="Times New Roman" w:hint="default"/>
                <w:b/>
                <w:bCs/>
                <w:color w:val="auto"/>
                <w:sz w:val="21"/>
                <w:szCs w:val="16"/>
              </w:rPr>
              <w:t xml:space="preserve">  矿山主要开采经济技术指标一览表</w:t>
            </w:r>
          </w:p>
          <w:tbl>
            <w:tblPr>
              <w:tblStyle w:val="TableNormal"/>
              <w:tblW w:w="4996" w:type="pct"/>
              <w:jc w:val="center"/>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01"/>
              <w:gridCol w:w="2532"/>
              <w:gridCol w:w="932"/>
              <w:gridCol w:w="2446"/>
              <w:gridCol w:w="2374"/>
            </w:tblGrid>
            <w:tr>
              <w:tblPrEx>
                <w:tblW w:w="4996" w:type="pct"/>
                <w:jc w:val="center"/>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序 号</w:t>
                  </w:r>
                </w:p>
              </w:tc>
              <w:tc>
                <w:tcPr>
                  <w:tcW w:w="1378"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指标名称</w:t>
                  </w:r>
                </w:p>
              </w:tc>
              <w:tc>
                <w:tcPr>
                  <w:tcW w:w="507"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单 位</w:t>
                  </w:r>
                </w:p>
              </w:tc>
              <w:tc>
                <w:tcPr>
                  <w:tcW w:w="1331"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数  量</w:t>
                  </w:r>
                </w:p>
              </w:tc>
              <w:tc>
                <w:tcPr>
                  <w:tcW w:w="1291"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备  注</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eastAsia="宋体" w:hAnsi="Times New Roman" w:cs="Times New Roman" w:hint="default"/>
                      <w:b/>
                      <w:color w:val="auto"/>
                      <w:sz w:val="21"/>
                      <w:szCs w:val="21"/>
                    </w:rPr>
                  </w:pPr>
                  <w:r>
                    <w:rPr>
                      <w:rFonts w:ascii="Times New Roman" w:hAnsi="Times New Roman" w:cs="Times New Roman" w:hint="default"/>
                      <w:b/>
                      <w:color w:val="auto"/>
                      <w:sz w:val="21"/>
                      <w:szCs w:val="21"/>
                      <w:lang w:val="en-US" w:eastAsia="zh-CN"/>
                    </w:rPr>
                    <w:t>1</w:t>
                  </w:r>
                </w:p>
              </w:tc>
              <w:tc>
                <w:tcPr>
                  <w:tcW w:w="4508" w:type="pct"/>
                  <w:gridSpan w:val="4"/>
                  <w:vAlign w:val="center"/>
                </w:tcPr>
                <w:p>
                  <w:pPr>
                    <w:rPr>
                      <w:rFonts w:ascii="Times New Roman" w:hAnsi="Times New Roman" w:cs="Times New Roman" w:hint="default"/>
                      <w:color w:val="auto"/>
                      <w:sz w:val="21"/>
                      <w:szCs w:val="21"/>
                    </w:rPr>
                  </w:pPr>
                  <w:r>
                    <w:rPr>
                      <w:rFonts w:ascii="Times New Roman" w:hAnsi="Times New Roman" w:cs="Times New Roman" w:hint="default"/>
                      <w:b/>
                      <w:color w:val="auto"/>
                      <w:sz w:val="21"/>
                      <w:szCs w:val="21"/>
                    </w:rPr>
                    <w:t>采 矿</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.1</w:t>
                  </w:r>
                </w:p>
              </w:tc>
              <w:tc>
                <w:tcPr>
                  <w:tcW w:w="1378"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采出矿石量</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万t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467.5</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熔剂用灰岩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ign w:val="center"/>
                </w:tcPr>
                <w:p>
                  <w:pPr>
                    <w:jc w:val="center"/>
                    <w:rPr>
                      <w:rFonts w:ascii="Times New Roman" w:hAnsi="Times New Roman" w:cs="Times New Roman" w:hint="default"/>
                      <w:color w:val="auto"/>
                      <w:sz w:val="21"/>
                      <w:szCs w:val="21"/>
                    </w:rPr>
                  </w:pPr>
                </w:p>
              </w:tc>
              <w:tc>
                <w:tcPr>
                  <w:tcW w:w="1378" w:type="pct"/>
                  <w:vMerge/>
                  <w:vAlign w:val="center"/>
                </w:tcPr>
                <w:p>
                  <w:pPr>
                    <w:jc w:val="center"/>
                    <w:rPr>
                      <w:rFonts w:ascii="Times New Roman" w:hAnsi="Times New Roman" w:cs="Times New Roman" w:hint="default"/>
                      <w:color w:val="auto"/>
                      <w:sz w:val="21"/>
                      <w:szCs w:val="21"/>
                    </w:rPr>
                  </w:pP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万t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533.78</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建筑用灰岩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.2</w:t>
                  </w:r>
                </w:p>
              </w:tc>
              <w:tc>
                <w:tcPr>
                  <w:tcW w:w="1378"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建设规模</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万t/a</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50</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熔剂用灰岩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ign w:val="center"/>
                </w:tcPr>
                <w:p>
                  <w:pPr>
                    <w:jc w:val="center"/>
                    <w:rPr>
                      <w:rFonts w:ascii="Times New Roman" w:hAnsi="Times New Roman" w:cs="Times New Roman" w:hint="default"/>
                      <w:color w:val="auto"/>
                      <w:sz w:val="21"/>
                      <w:szCs w:val="21"/>
                    </w:rPr>
                  </w:pPr>
                </w:p>
              </w:tc>
              <w:tc>
                <w:tcPr>
                  <w:tcW w:w="1378" w:type="pct"/>
                  <w:vMerge/>
                  <w:vAlign w:val="center"/>
                </w:tcPr>
                <w:p>
                  <w:pPr>
                    <w:jc w:val="center"/>
                    <w:rPr>
                      <w:rFonts w:ascii="Times New Roman" w:hAnsi="Times New Roman" w:cs="Times New Roman" w:hint="default"/>
                      <w:color w:val="auto"/>
                      <w:sz w:val="21"/>
                      <w:szCs w:val="21"/>
                    </w:rPr>
                  </w:pP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万t/a</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建筑用灰岩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.3</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开采方式</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露天开采</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.4</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开拓运输方案</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公路开拓</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汽车运输</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.5</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采矿方法</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 自上而下分台阶式</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.6</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采矿损失率</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.7</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废石混入率</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1</w:t>
                  </w:r>
                  <w:r>
                    <w:rPr>
                      <w:rFonts w:ascii="Times New Roman" w:hAnsi="Times New Roman" w:cs="Times New Roman" w:hint="default"/>
                      <w:color w:val="auto"/>
                      <w:sz w:val="21"/>
                      <w:szCs w:val="21"/>
                    </w:rPr>
                    <w:t>.8</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采剥比</w:t>
                  </w:r>
                </w:p>
              </w:tc>
              <w:tc>
                <w:tcPr>
                  <w:tcW w:w="507" w:type="pct"/>
                  <w:vAlign w:val="center"/>
                </w:tcPr>
                <w:p>
                  <w:pPr>
                    <w:jc w:val="center"/>
                    <w:rPr>
                      <w:rFonts w:ascii="Times New Roman" w:hAnsi="Times New Roman" w:cs="Times New Roman" w:hint="default"/>
                      <w:color w:val="auto"/>
                      <w:sz w:val="21"/>
                      <w:szCs w:val="21"/>
                      <w:vertAlign w:val="superscript"/>
                    </w:rPr>
                  </w:pPr>
                  <w:r>
                    <w:rPr>
                      <w:rFonts w:ascii="Times New Roman" w:hAnsi="Times New Roman" w:cs="Times New Roman" w:hint="default"/>
                      <w:color w:val="auto"/>
                      <w:sz w:val="21"/>
                      <w:szCs w:val="21"/>
                    </w:rPr>
                    <w:t>m</w:t>
                  </w:r>
                  <w:r>
                    <w:rPr>
                      <w:rFonts w:ascii="Times New Roman" w:hAnsi="Times New Roman" w:cs="Times New Roman" w:hint="default"/>
                      <w:color w:val="auto"/>
                      <w:sz w:val="21"/>
                      <w:szCs w:val="21"/>
                      <w:vertAlign w:val="superscript"/>
                    </w:rPr>
                    <w:t>3</w:t>
                  </w:r>
                  <w:r>
                    <w:rPr>
                      <w:rFonts w:ascii="Times New Roman" w:hAnsi="Times New Roman" w:cs="Times New Roman" w:hint="default"/>
                      <w:color w:val="auto"/>
                      <w:sz w:val="21"/>
                      <w:szCs w:val="21"/>
                    </w:rPr>
                    <w:t>/m</w:t>
                  </w:r>
                  <w:r>
                    <w:rPr>
                      <w:rFonts w:ascii="Times New Roman" w:hAnsi="Times New Roman" w:cs="Times New Roman" w:hint="default"/>
                      <w:color w:val="auto"/>
                      <w:sz w:val="21"/>
                      <w:szCs w:val="21"/>
                      <w:vertAlign w:val="superscript"/>
                    </w:rPr>
                    <w:t>3</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0.5:1</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eastAsia="宋体" w:hAnsi="Times New Roman" w:cs="Times New Roman" w:hint="default"/>
                      <w:b/>
                      <w:color w:val="auto"/>
                      <w:sz w:val="21"/>
                      <w:szCs w:val="21"/>
                    </w:rPr>
                  </w:pPr>
                  <w:r>
                    <w:rPr>
                      <w:rFonts w:ascii="Times New Roman" w:hAnsi="Times New Roman" w:cs="Times New Roman" w:hint="default"/>
                      <w:b/>
                      <w:color w:val="auto"/>
                      <w:sz w:val="21"/>
                      <w:szCs w:val="21"/>
                      <w:lang w:val="en-US" w:eastAsia="zh-CN"/>
                    </w:rPr>
                    <w:t>2</w:t>
                  </w:r>
                </w:p>
              </w:tc>
              <w:tc>
                <w:tcPr>
                  <w:tcW w:w="4508" w:type="pct"/>
                  <w:gridSpan w:val="4"/>
                  <w:vAlign w:val="center"/>
                </w:tcPr>
                <w:p>
                  <w:pPr>
                    <w:rPr>
                      <w:rFonts w:ascii="Times New Roman" w:hAnsi="Times New Roman" w:cs="Times New Roman" w:hint="default"/>
                      <w:color w:val="auto"/>
                      <w:sz w:val="21"/>
                      <w:szCs w:val="21"/>
                    </w:rPr>
                  </w:pPr>
                  <w:r>
                    <w:rPr>
                      <w:rFonts w:ascii="Times New Roman" w:hAnsi="Times New Roman" w:cs="Times New Roman" w:hint="default"/>
                      <w:b/>
                      <w:color w:val="auto"/>
                      <w:sz w:val="21"/>
                      <w:szCs w:val="21"/>
                    </w:rPr>
                    <w:t>边坡参数</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2</w:t>
                  </w:r>
                  <w:r>
                    <w:rPr>
                      <w:rFonts w:ascii="Times New Roman" w:hAnsi="Times New Roman" w:cs="Times New Roman" w:hint="default"/>
                      <w:color w:val="auto"/>
                      <w:sz w:val="21"/>
                      <w:szCs w:val="21"/>
                    </w:rPr>
                    <w:t>.1</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阶段高度</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2</w:t>
                  </w:r>
                  <w:r>
                    <w:rPr>
                      <w:rFonts w:ascii="Times New Roman" w:hAnsi="Times New Roman" w:cs="Times New Roman" w:hint="default"/>
                      <w:color w:val="auto"/>
                      <w:sz w:val="21"/>
                      <w:szCs w:val="21"/>
                    </w:rPr>
                    <w:t>.2</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终了台阶边坡角</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65</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2</w:t>
                  </w:r>
                  <w:r>
                    <w:rPr>
                      <w:rFonts w:ascii="Times New Roman" w:hAnsi="Times New Roman" w:cs="Times New Roman" w:hint="default"/>
                      <w:color w:val="auto"/>
                      <w:sz w:val="21"/>
                      <w:szCs w:val="21"/>
                    </w:rPr>
                    <w:t>.3</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最终边帮角</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52</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最大采高处</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2</w:t>
                  </w:r>
                  <w:r>
                    <w:rPr>
                      <w:rFonts w:ascii="Times New Roman" w:hAnsi="Times New Roman" w:cs="Times New Roman" w:hint="default"/>
                      <w:color w:val="auto"/>
                      <w:sz w:val="21"/>
                      <w:szCs w:val="21"/>
                    </w:rPr>
                    <w:t>.4</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安全平台宽度</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2</w:t>
                  </w:r>
                  <w:r>
                    <w:rPr>
                      <w:rFonts w:ascii="Times New Roman" w:hAnsi="Times New Roman" w:cs="Times New Roman" w:hint="default"/>
                      <w:color w:val="auto"/>
                      <w:sz w:val="21"/>
                      <w:szCs w:val="21"/>
                    </w:rPr>
                    <w:t>.5</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清扫平台宽度</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w:t>
                  </w:r>
                </w:p>
              </w:tc>
              <w:tc>
                <w:tcPr>
                  <w:tcW w:w="1291" w:type="pct"/>
                  <w:vAlign w:val="center"/>
                </w:tcPr>
                <w:p>
                  <w:pPr>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eastAsia="宋体" w:hAnsi="Times New Roman" w:cs="Times New Roman" w:hint="default"/>
                      <w:b/>
                      <w:color w:val="auto"/>
                      <w:sz w:val="21"/>
                      <w:szCs w:val="21"/>
                    </w:rPr>
                  </w:pPr>
                  <w:r>
                    <w:rPr>
                      <w:rFonts w:ascii="Times New Roman" w:hAnsi="Times New Roman" w:cs="Times New Roman" w:hint="default"/>
                      <w:b/>
                      <w:color w:val="auto"/>
                      <w:sz w:val="21"/>
                      <w:szCs w:val="21"/>
                      <w:lang w:val="en-US" w:eastAsia="zh-CN"/>
                    </w:rPr>
                    <w:t>3</w:t>
                  </w:r>
                </w:p>
              </w:tc>
              <w:tc>
                <w:tcPr>
                  <w:tcW w:w="4508" w:type="pct"/>
                  <w:gridSpan w:val="4"/>
                  <w:vAlign w:val="center"/>
                </w:tcPr>
                <w:p>
                  <w:pPr>
                    <w:rPr>
                      <w:rFonts w:ascii="Times New Roman" w:hAnsi="Times New Roman" w:cs="Times New Roman" w:hint="default"/>
                      <w:color w:val="auto"/>
                      <w:sz w:val="21"/>
                      <w:szCs w:val="21"/>
                    </w:rPr>
                  </w:pPr>
                  <w:r>
                    <w:rPr>
                      <w:rFonts w:ascii="Times New Roman" w:hAnsi="Times New Roman" w:cs="Times New Roman" w:hint="default"/>
                      <w:b/>
                      <w:color w:val="auto"/>
                      <w:sz w:val="21"/>
                      <w:szCs w:val="21"/>
                    </w:rPr>
                    <w:t>破碎加工</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3</w:t>
                  </w:r>
                  <w:r>
                    <w:rPr>
                      <w:rFonts w:ascii="Times New Roman" w:hAnsi="Times New Roman" w:cs="Times New Roman" w:hint="default"/>
                      <w:color w:val="auto"/>
                      <w:sz w:val="21"/>
                      <w:szCs w:val="21"/>
                    </w:rPr>
                    <w:t>.1</w:t>
                  </w:r>
                </w:p>
              </w:tc>
              <w:tc>
                <w:tcPr>
                  <w:tcW w:w="1378"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破碎加工工艺</w:t>
                  </w:r>
                </w:p>
              </w:tc>
              <w:tc>
                <w:tcPr>
                  <w:tcW w:w="507" w:type="pct"/>
                  <w:vAlign w:val="center"/>
                </w:tcPr>
                <w:p>
                  <w:pPr>
                    <w:jc w:val="center"/>
                    <w:rPr>
                      <w:rFonts w:ascii="Times New Roman" w:hAnsi="Times New Roman" w:cs="Times New Roman" w:hint="default"/>
                      <w:color w:val="auto"/>
                      <w:sz w:val="21"/>
                      <w:szCs w:val="21"/>
                    </w:rPr>
                  </w:pP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四段二闭路</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熔剂用灰岩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ign w:val="center"/>
                </w:tcPr>
                <w:p>
                  <w:pPr>
                    <w:jc w:val="center"/>
                    <w:rPr>
                      <w:rFonts w:ascii="Times New Roman" w:hAnsi="Times New Roman" w:cs="Times New Roman" w:hint="default"/>
                      <w:color w:val="auto"/>
                      <w:sz w:val="21"/>
                      <w:szCs w:val="21"/>
                    </w:rPr>
                  </w:pPr>
                </w:p>
              </w:tc>
              <w:tc>
                <w:tcPr>
                  <w:tcW w:w="1378" w:type="pct"/>
                  <w:vMerge/>
                  <w:vAlign w:val="center"/>
                </w:tcPr>
                <w:p>
                  <w:pPr>
                    <w:jc w:val="center"/>
                    <w:rPr>
                      <w:rFonts w:ascii="Times New Roman" w:hAnsi="Times New Roman" w:cs="Times New Roman" w:hint="default"/>
                      <w:color w:val="auto"/>
                      <w:sz w:val="21"/>
                      <w:szCs w:val="21"/>
                    </w:rPr>
                  </w:pPr>
                </w:p>
              </w:tc>
              <w:tc>
                <w:tcPr>
                  <w:tcW w:w="507" w:type="pct"/>
                  <w:vAlign w:val="center"/>
                </w:tcPr>
                <w:p>
                  <w:pPr>
                    <w:jc w:val="center"/>
                    <w:rPr>
                      <w:rFonts w:ascii="Times New Roman" w:hAnsi="Times New Roman" w:cs="Times New Roman" w:hint="default"/>
                      <w:color w:val="auto"/>
                      <w:sz w:val="21"/>
                      <w:szCs w:val="21"/>
                    </w:rPr>
                  </w:pP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三段一闭路</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建筑用灰岩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3</w:t>
                  </w:r>
                  <w:r>
                    <w:rPr>
                      <w:rFonts w:ascii="Times New Roman" w:hAnsi="Times New Roman" w:cs="Times New Roman" w:hint="default"/>
                      <w:color w:val="auto"/>
                      <w:sz w:val="21"/>
                      <w:szCs w:val="21"/>
                    </w:rPr>
                    <w:t>.2</w:t>
                  </w:r>
                </w:p>
              </w:tc>
              <w:tc>
                <w:tcPr>
                  <w:tcW w:w="1378"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产品规格（碎石）</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mm</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10～40</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熔剂用灰岩</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ign w:val="center"/>
                </w:tcPr>
                <w:p>
                  <w:pPr>
                    <w:jc w:val="center"/>
                    <w:rPr>
                      <w:rFonts w:ascii="Times New Roman" w:hAnsi="Times New Roman" w:cs="Times New Roman" w:hint="default"/>
                      <w:color w:val="auto"/>
                      <w:sz w:val="21"/>
                      <w:szCs w:val="21"/>
                    </w:rPr>
                  </w:pPr>
                </w:p>
              </w:tc>
              <w:tc>
                <w:tcPr>
                  <w:tcW w:w="1378" w:type="pct"/>
                  <w:vMerge/>
                  <w:vAlign w:val="center"/>
                </w:tcPr>
                <w:p>
                  <w:pPr>
                    <w:jc w:val="center"/>
                    <w:rPr>
                      <w:rFonts w:ascii="Times New Roman" w:hAnsi="Times New Roman" w:cs="Times New Roman" w:hint="default"/>
                      <w:color w:val="auto"/>
                      <w:sz w:val="21"/>
                      <w:szCs w:val="21"/>
                    </w:rPr>
                  </w:pP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mm</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10～30</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建筑用灰岩</w:t>
                  </w:r>
                </w:p>
              </w:tc>
            </w:tr>
          </w:tbl>
          <w:p/>
        </w:tc>
      </w:tr>
    </w:tbl>
    <w:p>
      <w:pPr>
        <w:sectPr>
          <w:footerReference w:type="even" r:id="rId14"/>
          <w:footerReference w:type="default" r:id="rId15"/>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tbl>
            <w:tblPr>
              <w:tblStyle w:val="TableNormal"/>
              <w:tblW w:w="4996" w:type="pct"/>
              <w:jc w:val="center"/>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01"/>
              <w:gridCol w:w="2532"/>
              <w:gridCol w:w="932"/>
              <w:gridCol w:w="2446"/>
              <w:gridCol w:w="2374"/>
            </w:tblGrid>
            <w:tr>
              <w:tblPrEx>
                <w:tblW w:w="4996" w:type="pct"/>
                <w:jc w:val="center"/>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eastAsia="宋体" w:hAnsi="Times New Roman" w:cs="Times New Roman" w:hint="default"/>
                      <w:b/>
                      <w:color w:val="auto"/>
                      <w:sz w:val="21"/>
                      <w:szCs w:val="21"/>
                    </w:rPr>
                  </w:pPr>
                  <w:r>
                    <w:rPr>
                      <w:rFonts w:ascii="Times New Roman" w:hAnsi="Times New Roman" w:cs="Times New Roman" w:hint="default"/>
                      <w:b/>
                      <w:color w:val="auto"/>
                      <w:sz w:val="21"/>
                      <w:szCs w:val="21"/>
                      <w:lang w:val="en-US" w:eastAsia="zh-CN"/>
                    </w:rPr>
                    <w:t>4</w:t>
                  </w:r>
                </w:p>
              </w:tc>
              <w:tc>
                <w:tcPr>
                  <w:tcW w:w="4508" w:type="pct"/>
                  <w:gridSpan w:val="4"/>
                  <w:vAlign w:val="center"/>
                </w:tcPr>
                <w:p>
                  <w:pPr>
                    <w:ind w:firstLine="400"/>
                    <w:rPr>
                      <w:rFonts w:ascii="Times New Roman" w:hAnsi="Times New Roman" w:cs="Times New Roman" w:hint="default"/>
                      <w:color w:val="auto"/>
                      <w:sz w:val="21"/>
                      <w:szCs w:val="21"/>
                    </w:rPr>
                  </w:pPr>
                  <w:r>
                    <w:rPr>
                      <w:rFonts w:ascii="Times New Roman" w:hAnsi="Times New Roman" w:cs="Times New Roman" w:hint="default"/>
                      <w:b/>
                      <w:color w:val="auto"/>
                      <w:sz w:val="21"/>
                      <w:szCs w:val="21"/>
                    </w:rPr>
                    <w:t>其 它</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4</w:t>
                  </w:r>
                  <w:r>
                    <w:rPr>
                      <w:rFonts w:ascii="Times New Roman" w:hAnsi="Times New Roman" w:cs="Times New Roman" w:hint="default"/>
                      <w:color w:val="auto"/>
                      <w:sz w:val="21"/>
                      <w:szCs w:val="21"/>
                    </w:rPr>
                    <w:t>.1</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生产服务年限</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年</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9.5</w:t>
                  </w:r>
                </w:p>
              </w:tc>
              <w:tc>
                <w:tcPr>
                  <w:tcW w:w="1291" w:type="pct"/>
                  <w:vAlign w:val="center"/>
                </w:tcPr>
                <w:p>
                  <w:pPr>
                    <w:ind w:firstLine="400"/>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4</w:t>
                  </w:r>
                  <w:r>
                    <w:rPr>
                      <w:rFonts w:ascii="Times New Roman" w:hAnsi="Times New Roman" w:cs="Times New Roman" w:hint="default"/>
                      <w:color w:val="auto"/>
                      <w:sz w:val="21"/>
                      <w:szCs w:val="21"/>
                    </w:rPr>
                    <w:t>.2</w:t>
                  </w:r>
                </w:p>
              </w:tc>
              <w:tc>
                <w:tcPr>
                  <w:tcW w:w="1378"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矿山工作制度</w:t>
                  </w:r>
                </w:p>
              </w:tc>
              <w:tc>
                <w:tcPr>
                  <w:tcW w:w="507" w:type="pct"/>
                  <w:vAlign w:val="center"/>
                </w:tcPr>
                <w:p>
                  <w:pPr>
                    <w:jc w:val="center"/>
                    <w:rPr>
                      <w:rFonts w:ascii="Times New Roman" w:hAnsi="Times New Roman" w:cs="Times New Roman" w:hint="default"/>
                      <w:color w:val="auto"/>
                      <w:sz w:val="21"/>
                      <w:szCs w:val="21"/>
                    </w:rPr>
                  </w:pP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间断工作制</w:t>
                  </w:r>
                </w:p>
              </w:tc>
              <w:tc>
                <w:tcPr>
                  <w:tcW w:w="1291" w:type="pct"/>
                  <w:vAlign w:val="center"/>
                </w:tcPr>
                <w:p>
                  <w:pPr>
                    <w:ind w:firstLine="400"/>
                    <w:jc w:val="center"/>
                    <w:rPr>
                      <w:rFonts w:ascii="Times New Roman" w:hAnsi="Times New Roman" w:cs="Times New Roman" w:hint="default"/>
                      <w:color w:val="auto"/>
                      <w:sz w:val="21"/>
                      <w:szCs w:val="21"/>
                    </w:rPr>
                  </w:pP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4</w:t>
                  </w:r>
                  <w:r>
                    <w:rPr>
                      <w:rFonts w:ascii="Times New Roman" w:hAnsi="Times New Roman" w:cs="Times New Roman" w:hint="default"/>
                      <w:color w:val="auto"/>
                      <w:sz w:val="21"/>
                      <w:szCs w:val="21"/>
                    </w:rPr>
                    <w:t>.3</w:t>
                  </w:r>
                </w:p>
              </w:tc>
              <w:tc>
                <w:tcPr>
                  <w:tcW w:w="1378"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年工作天数</w:t>
                  </w: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天</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280</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采矿场</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ign w:val="center"/>
                </w:tcPr>
                <w:p>
                  <w:pPr>
                    <w:jc w:val="center"/>
                    <w:rPr>
                      <w:rFonts w:ascii="Times New Roman" w:hAnsi="Times New Roman" w:cs="Times New Roman" w:hint="default"/>
                      <w:color w:val="auto"/>
                      <w:sz w:val="21"/>
                      <w:szCs w:val="21"/>
                    </w:rPr>
                  </w:pPr>
                </w:p>
              </w:tc>
              <w:tc>
                <w:tcPr>
                  <w:tcW w:w="1378" w:type="pct"/>
                  <w:vMerge/>
                  <w:vAlign w:val="center"/>
                </w:tcPr>
                <w:p>
                  <w:pPr>
                    <w:jc w:val="center"/>
                    <w:rPr>
                      <w:rFonts w:ascii="Times New Roman" w:hAnsi="Times New Roman" w:cs="Times New Roman" w:hint="default"/>
                      <w:color w:val="auto"/>
                      <w:sz w:val="21"/>
                      <w:szCs w:val="21"/>
                    </w:rPr>
                  </w:pPr>
                </w:p>
              </w:tc>
              <w:tc>
                <w:tcPr>
                  <w:tcW w:w="507"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天</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280</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破碎站</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4</w:t>
                  </w:r>
                  <w:r>
                    <w:rPr>
                      <w:rFonts w:ascii="Times New Roman" w:hAnsi="Times New Roman" w:cs="Times New Roman" w:hint="default"/>
                      <w:color w:val="auto"/>
                      <w:sz w:val="21"/>
                      <w:szCs w:val="21"/>
                    </w:rPr>
                    <w:t>.4</w:t>
                  </w:r>
                </w:p>
              </w:tc>
              <w:tc>
                <w:tcPr>
                  <w:tcW w:w="1378" w:type="pct"/>
                  <w:vMerge w:val="restar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每天工作班数</w:t>
                  </w:r>
                </w:p>
              </w:tc>
              <w:tc>
                <w:tcPr>
                  <w:tcW w:w="507" w:type="pct"/>
                  <w:vMerge w:val="restart"/>
                  <w:vAlign w:val="center"/>
                </w:tcPr>
                <w:p>
                  <w:pPr>
                    <w:ind w:firstLine="210" w:firstLineChars="100"/>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班</w:t>
                  </w: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采矿场</w:t>
                  </w:r>
                </w:p>
              </w:tc>
            </w:tr>
            <w:tr>
              <w:tblPrEx>
                <w:tblW w:w="4996" w:type="pct"/>
                <w:jc w:val="center"/>
                <w:tblInd w:w="116" w:type="dxa"/>
                <w:tblCellMar>
                  <w:top w:w="0" w:type="dxa"/>
                  <w:left w:w="108" w:type="dxa"/>
                  <w:bottom w:w="0" w:type="dxa"/>
                  <w:right w:w="108" w:type="dxa"/>
                </w:tblCellMar>
                <w:tblLook w:val="0000"/>
              </w:tblPrEx>
              <w:trPr>
                <w:cantSplit/>
                <w:trHeight w:val="34"/>
                <w:jc w:val="center"/>
              </w:trPr>
              <w:tc>
                <w:tcPr>
                  <w:tcW w:w="491" w:type="pct"/>
                  <w:vMerge/>
                  <w:vAlign w:val="center"/>
                </w:tcPr>
                <w:p>
                  <w:pPr>
                    <w:jc w:val="center"/>
                    <w:rPr>
                      <w:rFonts w:ascii="Times New Roman" w:hAnsi="Times New Roman" w:cs="Times New Roman" w:hint="default"/>
                      <w:color w:val="auto"/>
                      <w:sz w:val="21"/>
                      <w:szCs w:val="21"/>
                    </w:rPr>
                  </w:pPr>
                </w:p>
              </w:tc>
              <w:tc>
                <w:tcPr>
                  <w:tcW w:w="1378" w:type="pct"/>
                  <w:vMerge/>
                  <w:vAlign w:val="center"/>
                </w:tcPr>
                <w:p>
                  <w:pPr>
                    <w:jc w:val="center"/>
                    <w:rPr>
                      <w:rFonts w:ascii="Times New Roman" w:hAnsi="Times New Roman" w:cs="Times New Roman" w:hint="default"/>
                      <w:color w:val="auto"/>
                      <w:sz w:val="21"/>
                      <w:szCs w:val="21"/>
                    </w:rPr>
                  </w:pPr>
                </w:p>
              </w:tc>
              <w:tc>
                <w:tcPr>
                  <w:tcW w:w="507" w:type="pct"/>
                  <w:vMerge/>
                  <w:vAlign w:val="center"/>
                </w:tcPr>
                <w:p>
                  <w:pPr>
                    <w:ind w:firstLine="210" w:firstLineChars="100"/>
                    <w:rPr>
                      <w:rFonts w:ascii="Times New Roman" w:hAnsi="Times New Roman" w:cs="Times New Roman" w:hint="default"/>
                      <w:color w:val="auto"/>
                      <w:sz w:val="21"/>
                      <w:szCs w:val="21"/>
                    </w:rPr>
                  </w:pPr>
                </w:p>
              </w:tc>
              <w:tc>
                <w:tcPr>
                  <w:tcW w:w="133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w:t>
                  </w:r>
                </w:p>
              </w:tc>
              <w:tc>
                <w:tcPr>
                  <w:tcW w:w="1291"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破碎站</w:t>
                  </w:r>
                </w:p>
              </w:tc>
            </w:tr>
          </w:tbl>
          <w:p>
            <w:pPr>
              <w:pStyle w:val="120"/>
              <w:numPr>
                <w:ilvl w:val="0"/>
                <w:numId w:val="2"/>
              </w:numPr>
              <w:ind w:firstLine="482"/>
              <w:rPr>
                <w:rFonts w:cs="Times New Roman" w:hint="default"/>
                <w:b/>
                <w:color w:val="auto"/>
              </w:rPr>
            </w:pPr>
            <w:r>
              <w:rPr>
                <w:rFonts w:ascii="Times New Roman" w:hAnsi="Times New Roman" w:cs="Times New Roman" w:hint="default"/>
                <w:b/>
                <w:color w:val="auto"/>
              </w:rPr>
              <w:t>开采、运输方式</w:t>
            </w:r>
          </w:p>
          <w:p>
            <w:pPr>
              <w:pStyle w:val="120"/>
              <w:numPr>
                <w:ilvl w:val="0"/>
                <w:numId w:val="3"/>
              </w:numPr>
              <w:ind w:firstLine="482"/>
              <w:rPr>
                <w:rFonts w:cs="Times New Roman" w:hint="default"/>
                <w:b/>
                <w:color w:val="auto"/>
              </w:rPr>
            </w:pPr>
            <w:r>
              <w:rPr>
                <w:rFonts w:ascii="Times New Roman" w:hAnsi="Times New Roman" w:cs="Times New Roman" w:hint="default"/>
                <w:b/>
                <w:color w:val="auto"/>
              </w:rPr>
              <w:t>开采方式</w:t>
            </w:r>
          </w:p>
          <w:p>
            <w:pPr>
              <w:pStyle w:val="120"/>
              <w:rPr>
                <w:rFonts w:cs="Times New Roman" w:hint="default"/>
                <w:bCs/>
                <w:color w:val="auto"/>
              </w:rPr>
            </w:pPr>
            <w:r>
              <w:rPr>
                <w:rFonts w:ascii="Times New Roman" w:hAnsi="Times New Roman" w:cs="Times New Roman" w:hint="default"/>
                <w:bCs/>
                <w:color w:val="auto"/>
              </w:rPr>
              <w:t>根据矿体的形态、产状及赋存标高和矿区的地形地貌条件，结合该矿山的开采技术条件，设计采用台阶式开采工艺，由上而下分水平台阶依次延深。</w:t>
            </w:r>
          </w:p>
          <w:p>
            <w:pPr>
              <w:pStyle w:val="120"/>
              <w:rPr>
                <w:rFonts w:cs="Times New Roman" w:hint="default"/>
                <w:bCs/>
                <w:color w:val="auto"/>
              </w:rPr>
            </w:pPr>
            <w:r>
              <w:rPr>
                <w:rFonts w:ascii="Times New Roman" w:hAnsi="Times New Roman" w:cs="Times New Roman" w:hint="default"/>
                <w:bCs/>
                <w:color w:val="auto"/>
              </w:rPr>
              <w:t>上部第四系覆盖层不需爆破直接采用挖掘机装车，矿岩段采用潜孔钻机钻凿深孔爆破，挖掘机装载，自卸汽车运输。采剥工作主要包括穿孔、爆破、装载及辅助作业（二次破碎、平场、清道、洒水、集堆）等作业。</w:t>
            </w:r>
          </w:p>
          <w:p>
            <w:pPr>
              <w:pStyle w:val="120"/>
              <w:numPr>
                <w:ilvl w:val="0"/>
                <w:numId w:val="3"/>
              </w:numPr>
              <w:ind w:firstLine="482"/>
              <w:rPr>
                <w:rFonts w:cs="Times New Roman" w:hint="default"/>
                <w:b/>
                <w:color w:val="auto"/>
              </w:rPr>
            </w:pPr>
            <w:r>
              <w:rPr>
                <w:rFonts w:ascii="Times New Roman" w:hAnsi="Times New Roman" w:cs="Times New Roman" w:hint="default"/>
                <w:b/>
                <w:color w:val="auto"/>
              </w:rPr>
              <w:t>运输方式</w:t>
            </w:r>
          </w:p>
          <w:p>
            <w:pPr>
              <w:pStyle w:val="120"/>
              <w:rPr>
                <w:rFonts w:cs="Times New Roman" w:hint="default"/>
                <w:bCs/>
                <w:color w:val="auto"/>
              </w:rPr>
            </w:pPr>
            <w:r>
              <w:rPr>
                <w:rFonts w:ascii="Times New Roman" w:hAnsi="Times New Roman" w:cs="Times New Roman" w:hint="default"/>
                <w:bCs/>
                <w:color w:val="auto"/>
              </w:rPr>
              <w:t>根据矿体赋存条件及地形条件，设计采用公路－汽车开拓运输方案。矿山开拓运输道路总体上由南东往北西沿地形展布，由拟设置的破碎筛分生产线东南面的山坡脚约+70m标高处，自南往北沿地形开拓道路至矿区中偏东部+115m处，折返向北开拓至矿区外北面山体鞍部+140m，再次折返往南开拓至矿区中偏西部约+170m山脊平缓处，再由此向北西延伸开拓至矿区北西鞍部+190m标高，再次向南和向北折返开拓至矿区北面+205m，对+215m以上平台进行削顶，形成+215m、+205m终了基建采矿平台。</w:t>
            </w:r>
          </w:p>
          <w:p>
            <w:pPr>
              <w:pStyle w:val="120"/>
              <w:rPr>
                <w:rFonts w:cs="Times New Roman" w:hint="default"/>
                <w:b/>
                <w:color w:val="auto"/>
              </w:rPr>
            </w:pPr>
            <w:r>
              <w:rPr>
                <w:rFonts w:ascii="Times New Roman" w:hAnsi="Times New Roman" w:cs="Times New Roman" w:hint="default"/>
                <w:bCs/>
                <w:color w:val="auto"/>
              </w:rPr>
              <w:t>当矿山开采台阶下降至+115m水平后，开拓运输道路主要为移动坑线布置，在破碎站卸矿处自南东往北西修筑分支道路至矿区东面+70m标高处，与矿区内移动坑线运输道路连接，作为矿山后期开采主要的开拓运输道路。</w:t>
            </w:r>
          </w:p>
          <w:p>
            <w:pPr>
              <w:pStyle w:val="120"/>
              <w:numPr>
                <w:ilvl w:val="0"/>
                <w:numId w:val="2"/>
              </w:numPr>
              <w:ind w:firstLine="482"/>
              <w:rPr>
                <w:rFonts w:cs="Times New Roman" w:hint="default"/>
                <w:b/>
                <w:color w:val="auto"/>
              </w:rPr>
            </w:pPr>
            <w:r>
              <w:rPr>
                <w:rFonts w:ascii="Times New Roman" w:hAnsi="Times New Roman" w:cs="Times New Roman" w:hint="default"/>
                <w:b/>
                <w:color w:val="auto"/>
              </w:rPr>
              <w:t>炸药用量</w:t>
            </w:r>
          </w:p>
          <w:p>
            <w:pPr>
              <w:pStyle w:val="120"/>
              <w:rPr>
                <w:rFonts w:cs="Times New Roman" w:hint="default"/>
                <w:bCs/>
                <w:color w:val="auto"/>
              </w:rPr>
            </w:pPr>
            <w:r>
              <w:rPr>
                <w:rFonts w:ascii="Times New Roman" w:hAnsi="Times New Roman" w:cs="Times New Roman" w:hint="default"/>
                <w:bCs/>
                <w:color w:val="auto"/>
              </w:rPr>
              <w:t>本项目爆破频率主要依据天气和生产状况而定，均在昼间实施爆破。根据本矿山开发利用方案，项目炸药单耗量为0.5kg/m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，项目年开采冶金熔剂用白云质灰岩矿18.6万m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、建筑用灰岩矿20.4万m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，则本矿山年使用炸药量约为195t。爆破采用乳化炸药，由导爆管网络起爆。本项目不设置炸药库，需要爆破时委托专业爆破公司到现场进行操作。</w:t>
            </w:r>
          </w:p>
          <w:p>
            <w:pPr>
              <w:pStyle w:val="120"/>
              <w:numPr>
                <w:ilvl w:val="0"/>
                <w:numId w:val="2"/>
              </w:numPr>
              <w:ind w:firstLine="482"/>
              <w:rPr>
                <w:rFonts w:cs="Times New Roman" w:hint="default"/>
                <w:b/>
                <w:color w:val="auto"/>
              </w:rPr>
            </w:pPr>
            <w:r>
              <w:rPr>
                <w:rFonts w:ascii="Times New Roman" w:hAnsi="Times New Roman" w:cs="Times New Roman" w:hint="default"/>
                <w:b/>
                <w:color w:val="auto"/>
              </w:rPr>
              <w:t>生产设备</w:t>
            </w:r>
          </w:p>
          <w:p>
            <w:pPr>
              <w:pStyle w:val="120"/>
              <w:rPr>
                <w:rFonts w:cs="Times New Roman" w:hint="default"/>
                <w:bCs/>
                <w:color w:val="auto"/>
              </w:rPr>
            </w:pPr>
            <w:r>
              <w:rPr>
                <w:rFonts w:ascii="Times New Roman" w:hAnsi="Times New Roman" w:cs="Times New Roman" w:hint="default"/>
                <w:bCs/>
                <w:color w:val="auto"/>
              </w:rPr>
              <w:t>本项目生产设备使用情况见表1-</w:t>
            </w:r>
            <w:r>
              <w:rPr>
                <w:rFonts w:ascii="Times New Roman" w:hAnsi="Times New Roman" w:cs="Times New Roman" w:hint="default"/>
                <w:bCs/>
                <w:color w:val="auto"/>
                <w:lang w:val="en-US" w:eastAsia="zh-CN"/>
              </w:rPr>
              <w:t>5</w:t>
            </w:r>
            <w:r>
              <w:rPr>
                <w:rFonts w:ascii="Times New Roman" w:hAnsi="Times New Roman" w:cs="Times New Roman" w:hint="default"/>
                <w:bCs/>
                <w:color w:val="auto"/>
              </w:rPr>
              <w:t>。</w:t>
            </w:r>
          </w:p>
          <w:p>
            <w:pPr>
              <w:pStyle w:val="120"/>
              <w:ind w:firstLine="0" w:firstLineChars="0"/>
              <w:jc w:val="center"/>
              <w:rPr>
                <w:rFonts w:cs="Times New Roman" w:hint="default"/>
                <w:b/>
                <w:color w:val="auto"/>
                <w:sz w:val="21"/>
                <w:szCs w:val="21"/>
              </w:rPr>
            </w:pPr>
          </w:p>
          <w:p>
            <w:pPr>
              <w:pStyle w:val="120"/>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表1-</w:t>
            </w:r>
            <w:r>
              <w:rPr>
                <w:rFonts w:ascii="Times New Roman" w:hAnsi="Times New Roman" w:cs="Times New Roman" w:hint="default"/>
                <w:b/>
                <w:color w:val="auto"/>
                <w:sz w:val="21"/>
                <w:szCs w:val="21"/>
                <w:lang w:val="en-US" w:eastAsia="zh-CN"/>
              </w:rPr>
              <w:t>5</w:t>
            </w:r>
            <w:r>
              <w:rPr>
                <w:rFonts w:ascii="Times New Roman" w:hAnsi="Times New Roman" w:cs="Times New Roman" w:hint="default"/>
                <w:b/>
                <w:color w:val="auto"/>
                <w:sz w:val="21"/>
                <w:szCs w:val="21"/>
              </w:rPr>
              <w:t xml:space="preserve">  工程生产设备一览表</w:t>
            </w:r>
          </w:p>
          <w:tbl>
            <w:tblPr>
              <w:tblStyle w:val="TableNormal"/>
              <w:tblW w:w="4997"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973"/>
              <w:gridCol w:w="8208"/>
            </w:tblGrid>
            <w:tr>
              <w:tblPrEx>
                <w:tblW w:w="4997"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一</w:t>
                  </w:r>
                </w:p>
              </w:tc>
              <w:tc>
                <w:tcPr>
                  <w:tcW w:w="4469" w:type="pct"/>
                  <w:vAlign w:val="center"/>
                </w:tcPr>
                <w:p>
                  <w:pPr>
                    <w:pStyle w:val="120"/>
                    <w:spacing w:line="240" w:lineRule="auto"/>
                    <w:ind w:firstLine="0" w:firstLineChars="0"/>
                    <w:rPr>
                      <w:rFonts w:cs="Times New Roman" w:hint="default"/>
                      <w:b/>
                      <w:color w:val="auto"/>
                      <w:sz w:val="21"/>
                      <w:szCs w:val="21"/>
                    </w:rPr>
                  </w:pPr>
                  <w:r>
                    <w:rPr>
                      <w:rFonts w:ascii="Times New Roman" w:hAnsi="Times New Roman" w:cs="Times New Roman" w:hint="default"/>
                      <w:b/>
                      <w:color w:val="auto"/>
                      <w:sz w:val="21"/>
                      <w:szCs w:val="21"/>
                    </w:rPr>
                    <w:t>采矿设备</w:t>
                  </w:r>
                </w:p>
              </w:tc>
            </w:tr>
          </w:tbl>
          <w:p/>
        </w:tc>
      </w:tr>
    </w:tbl>
    <w:p>
      <w:pPr>
        <w:sectPr>
          <w:footerReference w:type="even" r:id="rId16"/>
          <w:footerReference w:type="default" r:id="rId17"/>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tbl>
            <w:tblPr>
              <w:tblStyle w:val="TableNormal"/>
              <w:tblW w:w="4997"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973"/>
              <w:gridCol w:w="2586"/>
              <w:gridCol w:w="2606"/>
              <w:gridCol w:w="973"/>
              <w:gridCol w:w="2043"/>
            </w:tblGrid>
            <w:tr>
              <w:tblPrEx>
                <w:tblW w:w="4997"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序号</w:t>
                  </w:r>
                </w:p>
              </w:tc>
              <w:tc>
                <w:tcPr>
                  <w:tcW w:w="1408" w:type="pct"/>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设备名称</w:t>
                  </w:r>
                </w:p>
              </w:tc>
              <w:tc>
                <w:tcPr>
                  <w:tcW w:w="1419" w:type="pct"/>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型号</w:t>
                  </w:r>
                </w:p>
              </w:tc>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
                      <w:color w:val="auto"/>
                      <w:sz w:val="21"/>
                      <w:szCs w:val="21"/>
                    </w:rPr>
                    <w:t>台数</w:t>
                  </w:r>
                </w:p>
              </w:tc>
              <w:tc>
                <w:tcPr>
                  <w:tcW w:w="111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
                      <w:color w:val="auto"/>
                      <w:sz w:val="21"/>
                      <w:szCs w:val="21"/>
                    </w:rPr>
                    <w:t>备注</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1</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潜孔钻机</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阿特拉斯</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w:t>
                  </w:r>
                </w:p>
              </w:tc>
              <w:tc>
                <w:tcPr>
                  <w:tcW w:w="1110" w:type="pct"/>
                  <w:vAlign w:val="center"/>
                </w:tcPr>
                <w:p>
                  <w:pPr>
                    <w:snapToGrid w:val="0"/>
                    <w:jc w:val="center"/>
                    <w:rPr>
                      <w:rFonts w:ascii="Times New Roman" w:hAnsi="Times New Roman" w:cs="Times New Roman" w:hint="default"/>
                      <w:bCs/>
                      <w:color w:val="auto"/>
                      <w:sz w:val="21"/>
                      <w:szCs w:val="21"/>
                      <w:vertAlign w:val="superscript"/>
                    </w:rPr>
                  </w:pPr>
                  <w:r>
                    <w:rPr>
                      <w:rFonts w:ascii="Times New Roman" w:hAnsi="Times New Roman" w:cs="Times New Roman" w:hint="default"/>
                      <w:color w:val="auto"/>
                      <w:sz w:val="21"/>
                      <w:szCs w:val="21"/>
                    </w:rPr>
                    <w:t>孔径115mm</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2</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lang w:val="zh-CN"/>
                    </w:rPr>
                    <w:t>浅孔</w:t>
                  </w:r>
                  <w:r>
                    <w:rPr>
                      <w:rFonts w:ascii="Times New Roman" w:hAnsi="Times New Roman" w:cs="Times New Roman" w:hint="default"/>
                      <w:color w:val="auto"/>
                      <w:sz w:val="21"/>
                      <w:szCs w:val="21"/>
                    </w:rPr>
                    <w:t>钻机</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YT-28</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w:t>
                  </w:r>
                </w:p>
              </w:tc>
              <w:tc>
                <w:tcPr>
                  <w:tcW w:w="111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孔径40mm</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3</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空压机</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LW-10/4-a</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w:t>
                  </w:r>
                </w:p>
              </w:tc>
              <w:tc>
                <w:tcPr>
                  <w:tcW w:w="111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10m</w:t>
                  </w:r>
                  <w:r>
                    <w:rPr>
                      <w:rFonts w:ascii="Times New Roman" w:hAnsi="Times New Roman" w:cs="Times New Roman" w:hint="default"/>
                      <w:color w:val="auto"/>
                      <w:sz w:val="21"/>
                      <w:szCs w:val="21"/>
                      <w:vertAlign w:val="superscript"/>
                    </w:rPr>
                    <w:t>3</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4</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挖掘机</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小松PC360-7型</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4</w:t>
                  </w:r>
                </w:p>
              </w:tc>
              <w:tc>
                <w:tcPr>
                  <w:tcW w:w="111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斗容1.6m</w:t>
                  </w:r>
                  <w:r>
                    <w:rPr>
                      <w:rFonts w:ascii="Times New Roman" w:hAnsi="Times New Roman" w:cs="Times New Roman" w:hint="default"/>
                      <w:color w:val="auto"/>
                      <w:sz w:val="21"/>
                      <w:szCs w:val="21"/>
                      <w:vertAlign w:val="superscript"/>
                    </w:rPr>
                    <w:t>3</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5</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带液压锤挖掘机</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小松PC220-8型</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w:t>
                  </w:r>
                </w:p>
              </w:tc>
              <w:tc>
                <w:tcPr>
                  <w:tcW w:w="111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斗容1m</w:t>
                  </w:r>
                  <w:r>
                    <w:rPr>
                      <w:rFonts w:ascii="Times New Roman" w:hAnsi="Times New Roman" w:cs="Times New Roman" w:hint="default"/>
                      <w:color w:val="auto"/>
                      <w:sz w:val="21"/>
                      <w:szCs w:val="21"/>
                      <w:vertAlign w:val="superscript"/>
                    </w:rPr>
                    <w:t>3</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6</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自卸汽车</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龙岩</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12</w:t>
                  </w:r>
                </w:p>
              </w:tc>
              <w:tc>
                <w:tcPr>
                  <w:tcW w:w="111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30t</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7</w:t>
                  </w:r>
                </w:p>
              </w:tc>
              <w:tc>
                <w:tcPr>
                  <w:tcW w:w="1408"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lang w:val="zh-CN"/>
                    </w:rPr>
                    <w:t>装载机（铲车）</w:t>
                  </w:r>
                </w:p>
              </w:tc>
              <w:tc>
                <w:tcPr>
                  <w:tcW w:w="1419"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lang w:val="zh-CN"/>
                    </w:rPr>
                    <w:t>厦工</w:t>
                  </w:r>
                  <w:r>
                    <w:rPr>
                      <w:rFonts w:ascii="Times New Roman" w:hAnsi="Times New Roman" w:cs="Times New Roman" w:hint="default"/>
                      <w:color w:val="auto"/>
                      <w:sz w:val="21"/>
                      <w:szCs w:val="21"/>
                    </w:rPr>
                    <w:t>XG958</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w:t>
                  </w:r>
                </w:p>
              </w:tc>
              <w:tc>
                <w:tcPr>
                  <w:tcW w:w="111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铲斗3m</w:t>
                  </w:r>
                  <w:r>
                    <w:rPr>
                      <w:rFonts w:ascii="Times New Roman" w:hAnsi="Times New Roman" w:cs="Times New Roman" w:hint="default"/>
                      <w:color w:val="auto"/>
                      <w:sz w:val="21"/>
                      <w:szCs w:val="21"/>
                      <w:vertAlign w:val="superscript"/>
                    </w:rPr>
                    <w:t>3</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二</w:t>
                  </w:r>
                </w:p>
              </w:tc>
              <w:tc>
                <w:tcPr>
                  <w:tcW w:w="4469" w:type="pct"/>
                  <w:gridSpan w:val="4"/>
                  <w:vAlign w:val="center"/>
                </w:tcPr>
                <w:p>
                  <w:pPr>
                    <w:snapToGrid w:val="0"/>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破碎、筛分设备</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1</w:t>
                  </w:r>
                </w:p>
              </w:tc>
              <w:tc>
                <w:tcPr>
                  <w:tcW w:w="1408" w:type="pct"/>
                  <w:vAlign w:val="center"/>
                </w:tcPr>
                <w:p>
                  <w:pPr>
                    <w:topLinePunct/>
                    <w:jc w:val="center"/>
                    <w:outlineLvl w:val="2"/>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0"/>
                      <w:sz w:val="21"/>
                      <w:szCs w:val="21"/>
                    </w:rPr>
                    <w:t>重型板式给料机</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kern w:val="0"/>
                      <w:sz w:val="21"/>
                      <w:szCs w:val="21"/>
                    </w:rPr>
                    <w:t>BWZ1400</w:t>
                  </w:r>
                  <w:r>
                    <w:rPr>
                      <w:rFonts w:ascii="Times New Roman" w:hAnsi="Times New Roman" w:cs="Times New Roman" w:hint="default"/>
                      <w:color w:val="auto"/>
                      <w:kern w:val="0"/>
                      <w:sz w:val="21"/>
                      <w:szCs w:val="21"/>
                    </w:rPr>
                    <w:t>×</w:t>
                  </w:r>
                  <w:r>
                    <w:rPr>
                      <w:rFonts w:ascii="Times New Roman" w:hAnsi="Times New Roman" w:cs="Times New Roman" w:hint="default"/>
                      <w:color w:val="auto"/>
                      <w:kern w:val="0"/>
                      <w:sz w:val="21"/>
                      <w:szCs w:val="21"/>
                    </w:rPr>
                    <w:t>8</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1</w:t>
                  </w:r>
                </w:p>
              </w:tc>
              <w:tc>
                <w:tcPr>
                  <w:tcW w:w="1110" w:type="pct"/>
                  <w:vAlign w:val="center"/>
                </w:tcPr>
                <w:p>
                  <w:pPr>
                    <w:snapToGrid w:val="0"/>
                    <w:jc w:val="center"/>
                    <w:rPr>
                      <w:rFonts w:ascii="Times New Roman" w:hAnsi="Times New Roman" w:cs="Times New Roman" w:hint="default"/>
                      <w:color w:val="auto"/>
                      <w:sz w:val="21"/>
                      <w:szCs w:val="21"/>
                    </w:rPr>
                  </w:pP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2</w:t>
                  </w:r>
                </w:p>
              </w:tc>
              <w:tc>
                <w:tcPr>
                  <w:tcW w:w="1408" w:type="pct"/>
                  <w:vAlign w:val="center"/>
                </w:tcPr>
                <w:p>
                  <w:pPr>
                    <w:topLinePunct/>
                    <w:jc w:val="center"/>
                    <w:outlineLvl w:val="2"/>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0"/>
                      <w:sz w:val="21"/>
                      <w:szCs w:val="21"/>
                    </w:rPr>
                    <w:t>颚式破碎机</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kern w:val="0"/>
                      <w:sz w:val="21"/>
                      <w:szCs w:val="21"/>
                    </w:rPr>
                    <w:t>PE1200</w:t>
                  </w:r>
                  <w:r>
                    <w:rPr>
                      <w:rFonts w:ascii="Times New Roman" w:hAnsi="Times New Roman" w:cs="Times New Roman" w:hint="default"/>
                      <w:color w:val="auto"/>
                      <w:kern w:val="0"/>
                      <w:sz w:val="21"/>
                      <w:szCs w:val="21"/>
                    </w:rPr>
                    <w:t>×</w:t>
                  </w:r>
                  <w:r>
                    <w:rPr>
                      <w:rFonts w:ascii="Times New Roman" w:hAnsi="Times New Roman" w:cs="Times New Roman" w:hint="default"/>
                      <w:color w:val="auto"/>
                      <w:kern w:val="0"/>
                      <w:sz w:val="21"/>
                      <w:szCs w:val="21"/>
                    </w:rPr>
                    <w:t>1500</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1</w:t>
                  </w:r>
                </w:p>
              </w:tc>
              <w:tc>
                <w:tcPr>
                  <w:tcW w:w="1110" w:type="pct"/>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粗碎</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3</w:t>
                  </w:r>
                </w:p>
              </w:tc>
              <w:tc>
                <w:tcPr>
                  <w:tcW w:w="1408"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sz w:val="21"/>
                      <w:szCs w:val="21"/>
                    </w:rPr>
                    <w:t>振动给料机</w:t>
                  </w:r>
                </w:p>
              </w:tc>
              <w:tc>
                <w:tcPr>
                  <w:tcW w:w="1419" w:type="pct"/>
                  <w:vAlign w:val="center"/>
                </w:tcPr>
                <w:p>
                  <w:pPr>
                    <w:jc w:val="center"/>
                    <w:rPr>
                      <w:rFonts w:ascii="Times New Roman" w:hAnsi="Times New Roman" w:cs="Times New Roman" w:hint="default"/>
                      <w:color w:val="auto"/>
                      <w:kern w:val="0"/>
                      <w:sz w:val="21"/>
                      <w:szCs w:val="21"/>
                    </w:rPr>
                  </w:pPr>
                  <w:r>
                    <w:rPr>
                      <w:rFonts w:ascii="Times New Roman" w:hAnsi="Times New Roman" w:cs="Times New Roman" w:hint="default"/>
                      <w:color w:val="auto"/>
                      <w:sz w:val="21"/>
                      <w:szCs w:val="21"/>
                    </w:rPr>
                    <w:t>ZSW-590</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110</w:t>
                  </w:r>
                </w:p>
              </w:tc>
              <w:tc>
                <w:tcPr>
                  <w:tcW w:w="530" w:type="pct"/>
                  <w:vAlign w:val="center"/>
                </w:tcPr>
                <w:p>
                  <w:pPr>
                    <w:jc w:val="center"/>
                    <w:rPr>
                      <w:rFonts w:ascii="Times New Roman" w:hAnsi="Times New Roman" w:cs="Times New Roman" w:hint="default"/>
                      <w:color w:val="auto"/>
                      <w:kern w:val="0"/>
                      <w:sz w:val="21"/>
                      <w:szCs w:val="21"/>
                    </w:rPr>
                  </w:pPr>
                  <w:r>
                    <w:rPr>
                      <w:rFonts w:ascii="Times New Roman" w:hAnsi="Times New Roman" w:cs="Times New Roman" w:hint="default"/>
                      <w:color w:val="auto"/>
                      <w:sz w:val="21"/>
                      <w:szCs w:val="21"/>
                    </w:rPr>
                    <w:t>2</w:t>
                  </w:r>
                </w:p>
              </w:tc>
              <w:tc>
                <w:tcPr>
                  <w:tcW w:w="1110" w:type="pct"/>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22 kW /台</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4</w:t>
                  </w:r>
                </w:p>
              </w:tc>
              <w:tc>
                <w:tcPr>
                  <w:tcW w:w="1408" w:type="pct"/>
                  <w:vAlign w:val="center"/>
                </w:tcPr>
                <w:p>
                  <w:pPr>
                    <w:topLinePunct/>
                    <w:jc w:val="center"/>
                    <w:outlineLvl w:val="2"/>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0"/>
                      <w:sz w:val="21"/>
                      <w:szCs w:val="21"/>
                    </w:rPr>
                    <w:t>标准圆锥破碎机</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PYB2200</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1</w:t>
                  </w:r>
                </w:p>
              </w:tc>
              <w:tc>
                <w:tcPr>
                  <w:tcW w:w="1110" w:type="pct"/>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中碎</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5</w:t>
                  </w:r>
                </w:p>
              </w:tc>
              <w:tc>
                <w:tcPr>
                  <w:tcW w:w="1408" w:type="pct"/>
                  <w:vAlign w:val="center"/>
                </w:tcPr>
                <w:p>
                  <w:pPr>
                    <w:topLinePunct/>
                    <w:jc w:val="center"/>
                    <w:outlineLvl w:val="2"/>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0"/>
                      <w:sz w:val="21"/>
                      <w:szCs w:val="21"/>
                    </w:rPr>
                    <w:t>中型圆锥破碎机</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kern w:val="0"/>
                      <w:sz w:val="21"/>
                      <w:szCs w:val="21"/>
                    </w:rPr>
                    <w:t>PYZ2200</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1</w:t>
                  </w:r>
                </w:p>
              </w:tc>
              <w:tc>
                <w:tcPr>
                  <w:tcW w:w="1110" w:type="pct"/>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细碎</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6</w:t>
                  </w:r>
                </w:p>
              </w:tc>
              <w:tc>
                <w:tcPr>
                  <w:tcW w:w="1408" w:type="pct"/>
                  <w:vAlign w:val="center"/>
                </w:tcPr>
                <w:p>
                  <w:pPr>
                    <w:topLinePunct/>
                    <w:jc w:val="center"/>
                    <w:outlineLvl w:val="2"/>
                    <w:rPr>
                      <w:rFonts w:ascii="Times New Roman" w:hAnsi="Times New Roman" w:cs="Times New Roman" w:hint="default"/>
                      <w:color w:val="auto"/>
                      <w:kern w:val="0"/>
                      <w:sz w:val="21"/>
                      <w:szCs w:val="21"/>
                      <w:lang w:val="zh-CN"/>
                    </w:rPr>
                  </w:pPr>
                  <w:r>
                    <w:rPr>
                      <w:rFonts w:ascii="Times New Roman" w:hAnsi="Times New Roman" w:cs="Times New Roman" w:hint="default"/>
                      <w:color w:val="auto"/>
                      <w:sz w:val="21"/>
                      <w:szCs w:val="21"/>
                    </w:rPr>
                    <w:t>短头圆锥破碎机</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PYZ1200</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1</w:t>
                  </w:r>
                </w:p>
              </w:tc>
              <w:tc>
                <w:tcPr>
                  <w:tcW w:w="1110" w:type="pct"/>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复碎</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7</w:t>
                  </w:r>
                </w:p>
              </w:tc>
              <w:tc>
                <w:tcPr>
                  <w:tcW w:w="1408" w:type="pct"/>
                  <w:vAlign w:val="center"/>
                </w:tcPr>
                <w:p>
                  <w:pPr>
                    <w:topLinePunct/>
                    <w:jc w:val="center"/>
                    <w:outlineLvl w:val="2"/>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0"/>
                      <w:sz w:val="21"/>
                      <w:szCs w:val="21"/>
                    </w:rPr>
                    <w:t>圆振筛</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YA1848</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1</w:t>
                  </w:r>
                </w:p>
              </w:tc>
              <w:tc>
                <w:tcPr>
                  <w:tcW w:w="1110" w:type="pct"/>
                  <w:vAlign w:val="center"/>
                </w:tcPr>
                <w:p>
                  <w:pPr>
                    <w:snapToGrid w:val="0"/>
                    <w:jc w:val="center"/>
                    <w:rPr>
                      <w:rFonts w:ascii="Times New Roman" w:hAnsi="Times New Roman" w:cs="Times New Roman" w:hint="default"/>
                      <w:color w:val="auto"/>
                      <w:sz w:val="21"/>
                      <w:szCs w:val="21"/>
                    </w:rPr>
                  </w:pP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8</w:t>
                  </w:r>
                </w:p>
              </w:tc>
              <w:tc>
                <w:tcPr>
                  <w:tcW w:w="1408" w:type="pct"/>
                  <w:vAlign w:val="center"/>
                </w:tcPr>
                <w:p>
                  <w:pPr>
                    <w:snapToGrid w:val="0"/>
                    <w:jc w:val="center"/>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0"/>
                      <w:sz w:val="21"/>
                      <w:szCs w:val="21"/>
                    </w:rPr>
                    <w:t>圆振筛</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kern w:val="0"/>
                      <w:sz w:val="21"/>
                      <w:szCs w:val="21"/>
                    </w:rPr>
                    <w:t>2</w:t>
                  </w:r>
                  <w:r>
                    <w:rPr>
                      <w:rFonts w:ascii="Times New Roman" w:hAnsi="Times New Roman" w:cs="Times New Roman" w:hint="default"/>
                      <w:color w:val="auto"/>
                      <w:sz w:val="21"/>
                      <w:szCs w:val="21"/>
                    </w:rPr>
                    <w:t>YA2148</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2</w:t>
                  </w:r>
                </w:p>
              </w:tc>
              <w:tc>
                <w:tcPr>
                  <w:tcW w:w="1110" w:type="pct"/>
                  <w:vAlign w:val="center"/>
                </w:tcPr>
                <w:p>
                  <w:pPr>
                    <w:snapToGrid w:val="0"/>
                    <w:jc w:val="center"/>
                    <w:rPr>
                      <w:rFonts w:ascii="Times New Roman" w:hAnsi="Times New Roman" w:cs="Times New Roman" w:hint="default"/>
                      <w:color w:val="auto"/>
                      <w:sz w:val="21"/>
                      <w:szCs w:val="21"/>
                    </w:rPr>
                  </w:pP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9</w:t>
                  </w:r>
                </w:p>
              </w:tc>
              <w:tc>
                <w:tcPr>
                  <w:tcW w:w="1408" w:type="pct"/>
                  <w:vAlign w:val="center"/>
                </w:tcPr>
                <w:p>
                  <w:pPr>
                    <w:jc w:val="center"/>
                    <w:rPr>
                      <w:rFonts w:ascii="Times New Roman" w:hAnsi="Times New Roman" w:cs="Times New Roman" w:hint="default"/>
                      <w:color w:val="auto"/>
                      <w:kern w:val="0"/>
                      <w:sz w:val="21"/>
                      <w:szCs w:val="21"/>
                      <w:lang w:val="zh-CN"/>
                    </w:rPr>
                  </w:pPr>
                  <w:r>
                    <w:rPr>
                      <w:rFonts w:ascii="Times New Roman" w:hAnsi="Times New Roman" w:cs="Times New Roman" w:hint="default"/>
                      <w:color w:val="auto"/>
                      <w:kern w:val="10"/>
                      <w:sz w:val="21"/>
                      <w:szCs w:val="21"/>
                    </w:rPr>
                    <w:t>运输皮带</w:t>
                  </w:r>
                </w:p>
              </w:tc>
              <w:tc>
                <w:tcPr>
                  <w:tcW w:w="1419"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B800(600)</w:t>
                  </w:r>
                </w:p>
              </w:tc>
              <w:tc>
                <w:tcPr>
                  <w:tcW w:w="530" w:type="pct"/>
                  <w:vAlign w:val="center"/>
                </w:tcPr>
                <w:p>
                  <w:pPr>
                    <w:jc w:val="center"/>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20</w:t>
                  </w:r>
                </w:p>
              </w:tc>
              <w:tc>
                <w:tcPr>
                  <w:tcW w:w="1110" w:type="pct"/>
                  <w:vAlign w:val="center"/>
                </w:tcPr>
                <w:p>
                  <w:pPr>
                    <w:snapToGrid w:val="0"/>
                    <w:jc w:val="center"/>
                    <w:rPr>
                      <w:rFonts w:ascii="Times New Roman" w:hAnsi="Times New Roman" w:cs="Times New Roman" w:hint="default"/>
                      <w:color w:val="auto"/>
                      <w:sz w:val="21"/>
                      <w:szCs w:val="21"/>
                    </w:rPr>
                  </w:pP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10</w:t>
                  </w:r>
                </w:p>
              </w:tc>
              <w:tc>
                <w:tcPr>
                  <w:tcW w:w="1408"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装载机</w:t>
                  </w:r>
                </w:p>
              </w:tc>
              <w:tc>
                <w:tcPr>
                  <w:tcW w:w="1419" w:type="pct"/>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530" w:type="pct"/>
                  <w:vAlign w:val="center"/>
                </w:tcPr>
                <w:p>
                  <w:pPr>
                    <w:topLinePunct/>
                    <w:jc w:val="center"/>
                    <w:outlineLvl w:val="2"/>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3</w:t>
                  </w:r>
                </w:p>
              </w:tc>
              <w:tc>
                <w:tcPr>
                  <w:tcW w:w="1110" w:type="pct"/>
                  <w:vAlign w:val="center"/>
                </w:tcPr>
                <w:p>
                  <w:pPr>
                    <w:snapToGrid w:val="0"/>
                    <w:jc w:val="center"/>
                    <w:rPr>
                      <w:rFonts w:ascii="Times New Roman" w:hAnsi="Times New Roman" w:cs="Times New Roman" w:hint="default"/>
                      <w:color w:val="auto"/>
                      <w:sz w:val="21"/>
                      <w:szCs w:val="21"/>
                    </w:rPr>
                  </w:pP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三</w:t>
                  </w:r>
                </w:p>
              </w:tc>
              <w:tc>
                <w:tcPr>
                  <w:tcW w:w="4469" w:type="pct"/>
                  <w:gridSpan w:val="4"/>
                  <w:vAlign w:val="center"/>
                </w:tcPr>
                <w:p>
                  <w:pPr>
                    <w:snapToGrid w:val="0"/>
                    <w:rPr>
                      <w:rFonts w:ascii="Times New Roman" w:hAnsi="Times New Roman" w:cs="Times New Roman" w:hint="default"/>
                      <w:color w:val="auto"/>
                      <w:sz w:val="21"/>
                      <w:szCs w:val="21"/>
                    </w:rPr>
                  </w:pPr>
                  <w:r>
                    <w:rPr>
                      <w:rFonts w:ascii="Times New Roman" w:hAnsi="Times New Roman" w:cs="Times New Roman" w:hint="default"/>
                      <w:b/>
                      <w:color w:val="auto"/>
                      <w:sz w:val="21"/>
                      <w:szCs w:val="21"/>
                      <w:lang w:val="zh-CN"/>
                    </w:rPr>
                    <w:t>其他设备</w:t>
                  </w:r>
                </w:p>
              </w:tc>
            </w:tr>
            <w:tr>
              <w:tblPrEx>
                <w:tblW w:w="4997" w:type="pct"/>
                <w:tblInd w:w="116" w:type="dxa"/>
                <w:tblCellMar>
                  <w:top w:w="0" w:type="dxa"/>
                  <w:left w:w="108" w:type="dxa"/>
                  <w:bottom w:w="0" w:type="dxa"/>
                  <w:right w:w="108" w:type="dxa"/>
                </w:tblCellMar>
                <w:tblLook w:val="0000"/>
              </w:tblPrEx>
              <w:tc>
                <w:tcPr>
                  <w:tcW w:w="530" w:type="pct"/>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1</w:t>
                  </w:r>
                </w:p>
              </w:tc>
              <w:tc>
                <w:tcPr>
                  <w:tcW w:w="1408" w:type="pct"/>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洒水车</w:t>
                  </w:r>
                </w:p>
              </w:tc>
              <w:tc>
                <w:tcPr>
                  <w:tcW w:w="2606" w:type="dxa"/>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东风D9</w:t>
                  </w:r>
                </w:p>
              </w:tc>
              <w:tc>
                <w:tcPr>
                  <w:tcW w:w="530" w:type="pct"/>
                  <w:vAlign w:val="center"/>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w:t>
                  </w:r>
                </w:p>
              </w:tc>
              <w:tc>
                <w:tcPr>
                  <w:tcW w:w="2042" w:type="dxa"/>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装载吨位10t</w:t>
                  </w:r>
                </w:p>
              </w:tc>
            </w:tr>
            <w:tr>
              <w:tblPrEx>
                <w:tblW w:w="4997" w:type="pct"/>
                <w:tblInd w:w="116" w:type="dxa"/>
                <w:tblCellMar>
                  <w:top w:w="0" w:type="dxa"/>
                  <w:left w:w="108" w:type="dxa"/>
                  <w:bottom w:w="0" w:type="dxa"/>
                  <w:right w:w="108" w:type="dxa"/>
                </w:tblCellMar>
                <w:tblLook w:val="0000"/>
              </w:tblPrEx>
              <w:tc>
                <w:tcPr>
                  <w:tcW w:w="977" w:type="auto"/>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2</w:t>
                  </w:r>
                </w:p>
              </w:tc>
              <w:tc>
                <w:tcPr>
                  <w:tcW w:w="2586" w:type="auto"/>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rPr>
                    <w:t>材料车</w:t>
                  </w:r>
                </w:p>
              </w:tc>
              <w:tc>
                <w:tcPr>
                  <w:tcW w:w="2606" w:type="dxa"/>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lang w:val="zh-CN"/>
                    </w:rPr>
                    <w:t>东风</w:t>
                  </w:r>
                </w:p>
              </w:tc>
              <w:tc>
                <w:tcPr>
                  <w:tcW w:w="977" w:type="auto"/>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3</w:t>
                  </w:r>
                </w:p>
              </w:tc>
              <w:tc>
                <w:tcPr>
                  <w:tcW w:w="2042" w:type="dxa"/>
                  <w:vAlign w:val="center"/>
                </w:tcPr>
                <w:p>
                  <w:pPr>
                    <w:snapToGri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10t</w:t>
                  </w:r>
                </w:p>
              </w:tc>
            </w:tr>
            <w:tr>
              <w:tblPrEx>
                <w:tblW w:w="4997" w:type="pct"/>
                <w:tblInd w:w="116" w:type="dxa"/>
                <w:tblCellMar>
                  <w:top w:w="0" w:type="dxa"/>
                  <w:left w:w="108" w:type="dxa"/>
                  <w:bottom w:w="0" w:type="dxa"/>
                  <w:right w:w="108" w:type="dxa"/>
                </w:tblCellMar>
                <w:tblLook w:val="0000"/>
              </w:tblPrEx>
              <w:tc>
                <w:tcPr>
                  <w:tcW w:w="977" w:type="auto"/>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3</w:t>
                  </w:r>
                </w:p>
              </w:tc>
              <w:tc>
                <w:tcPr>
                  <w:tcW w:w="2586" w:type="auto"/>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lang w:val="zh-CN"/>
                    </w:rPr>
                    <w:t>生产调度用车</w:t>
                  </w:r>
                </w:p>
              </w:tc>
              <w:tc>
                <w:tcPr>
                  <w:tcW w:w="2606" w:type="dxa"/>
                  <w:vAlign w:val="center"/>
                </w:tcPr>
                <w:p>
                  <w:pPr>
                    <w:snapToGrid w:val="0"/>
                    <w:jc w:val="center"/>
                    <w:rPr>
                      <w:rFonts w:ascii="Times New Roman" w:hAnsi="Times New Roman" w:cs="Times New Roman" w:hint="default"/>
                      <w:color w:val="auto"/>
                      <w:sz w:val="21"/>
                      <w:szCs w:val="21"/>
                      <w:lang w:val="zh-CN"/>
                    </w:rPr>
                  </w:pPr>
                  <w:r>
                    <w:rPr>
                      <w:rFonts w:ascii="Times New Roman" w:hAnsi="Times New Roman" w:cs="Times New Roman" w:hint="default"/>
                      <w:color w:val="auto"/>
                      <w:sz w:val="21"/>
                      <w:szCs w:val="21"/>
                      <w:lang w:val="zh-CN"/>
                    </w:rPr>
                    <w:t>北京现代</w:t>
                  </w:r>
                </w:p>
              </w:tc>
              <w:tc>
                <w:tcPr>
                  <w:tcW w:w="977" w:type="auto"/>
                </w:tcPr>
                <w:p>
                  <w:pPr>
                    <w:snapToGrid w:val="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w:t>
                  </w:r>
                </w:p>
              </w:tc>
              <w:tc>
                <w:tcPr>
                  <w:tcW w:w="2036" w:type="auto"/>
                </w:tcPr>
                <w:p>
                  <w:pPr>
                    <w:snapToGrid w:val="0"/>
                    <w:jc w:val="center"/>
                    <w:rPr>
                      <w:rFonts w:ascii="Times New Roman" w:hAnsi="Times New Roman" w:cs="Times New Roman" w:hint="default"/>
                      <w:color w:val="auto"/>
                      <w:sz w:val="21"/>
                      <w:szCs w:val="21"/>
                    </w:rPr>
                  </w:pPr>
                </w:p>
              </w:tc>
            </w:tr>
          </w:tbl>
          <w:p>
            <w:pPr>
              <w:pStyle w:val="120"/>
              <w:numPr>
                <w:ilvl w:val="0"/>
                <w:numId w:val="2"/>
              </w:numPr>
              <w:ind w:firstLine="482"/>
              <w:rPr>
                <w:rFonts w:cs="Times New Roman" w:hint="default"/>
                <w:b/>
                <w:color w:val="auto"/>
              </w:rPr>
            </w:pPr>
            <w:r>
              <w:rPr>
                <w:rFonts w:ascii="Times New Roman" w:hAnsi="Times New Roman" w:cs="Times New Roman" w:hint="default"/>
                <w:b/>
                <w:color w:val="auto"/>
              </w:rPr>
              <w:t>项目产量</w:t>
            </w:r>
          </w:p>
          <w:p>
            <w:pPr>
              <w:pStyle w:val="120"/>
              <w:rPr>
                <w:rFonts w:cs="Times New Roman" w:hint="default"/>
                <w:color w:val="auto"/>
              </w:rPr>
            </w:pPr>
            <w:r>
              <w:rPr>
                <w:rFonts w:ascii="Times New Roman" w:hAnsi="Times New Roman" w:cs="Times New Roman" w:hint="default"/>
                <w:color w:val="auto"/>
              </w:rPr>
              <w:t>项目设计熔剂用灰岩矿原矿生产规模为50万t/a，建筑用灰岩矿原矿生产规模为55万t/a，全矿合计生产规模105万t/a。具体开采情况见下表1-</w:t>
            </w:r>
            <w:r>
              <w:rPr>
                <w:rFonts w:ascii="Times New Roman" w:hAnsi="Times New Roman" w:cs="Times New Roman" w:hint="default"/>
                <w:color w:val="auto"/>
                <w:lang w:val="en-US" w:eastAsia="zh-CN"/>
              </w:rPr>
              <w:t>6</w:t>
            </w:r>
            <w:r>
              <w:rPr>
                <w:rFonts w:ascii="Times New Roman" w:hAnsi="Times New Roman" w:cs="Times New Roman" w:hint="default"/>
                <w:color w:val="auto"/>
              </w:rPr>
              <w:t>。</w:t>
            </w:r>
          </w:p>
          <w:p>
            <w:pPr>
              <w:pStyle w:val="12"/>
              <w:ind w:firstLine="0" w:firstLineChars="0"/>
              <w:jc w:val="center"/>
              <w:rPr>
                <w:rFonts w:ascii="Times New Roman" w:hAnsi="Times New Roman" w:cs="Times New Roman" w:hint="default"/>
                <w:color w:val="auto"/>
              </w:rPr>
            </w:pPr>
            <w:r>
              <w:rPr>
                <w:rFonts w:ascii="Times New Roman" w:hAnsi="Times New Roman" w:cs="Times New Roman" w:hint="default"/>
                <w:b/>
                <w:color w:val="auto"/>
                <w:sz w:val="21"/>
                <w:szCs w:val="21"/>
              </w:rPr>
              <w:t>表1-</w:t>
            </w:r>
            <w:r>
              <w:rPr>
                <w:rFonts w:ascii="Times New Roman" w:hAnsi="Times New Roman" w:cs="Times New Roman" w:hint="default"/>
                <w:b/>
                <w:color w:val="auto"/>
                <w:sz w:val="21"/>
                <w:szCs w:val="21"/>
                <w:lang w:val="en-US" w:eastAsia="zh-CN"/>
              </w:rPr>
              <w:t>6</w:t>
            </w:r>
            <w:r>
              <w:rPr>
                <w:rFonts w:ascii="Times New Roman" w:hAnsi="Times New Roman" w:cs="Times New Roman" w:hint="default"/>
                <w:b/>
                <w:color w:val="auto"/>
                <w:sz w:val="21"/>
                <w:szCs w:val="21"/>
              </w:rPr>
              <w:t xml:space="preserve">  工程开采量及产品产量一览表</w:t>
            </w:r>
          </w:p>
          <w:tbl>
            <w:tblPr>
              <w:tblStyle w:val="TableNormal"/>
              <w:tblW w:w="4995"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728"/>
              <w:gridCol w:w="584"/>
              <w:gridCol w:w="1983"/>
              <w:gridCol w:w="1972"/>
              <w:gridCol w:w="2545"/>
              <w:gridCol w:w="1366"/>
            </w:tblGrid>
            <w:tr>
              <w:tblPrEx>
                <w:tblW w:w="4995"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序号</w:t>
                  </w:r>
                </w:p>
              </w:tc>
              <w:tc>
                <w:tcPr>
                  <w:tcW w:w="1398" w:type="pct"/>
                  <w:gridSpan w:val="2"/>
                  <w:vAlign w:val="center"/>
                </w:tcPr>
                <w:p>
                  <w:pPr>
                    <w:pStyle w:val="12"/>
                    <w:spacing w:line="240" w:lineRule="auto"/>
                    <w:ind w:firstLine="0" w:firstLineChars="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项目</w:t>
                  </w:r>
                </w:p>
              </w:tc>
              <w:tc>
                <w:tcPr>
                  <w:tcW w:w="1074" w:type="pct"/>
                  <w:vAlign w:val="center"/>
                </w:tcPr>
                <w:p>
                  <w:pPr>
                    <w:pStyle w:val="12"/>
                    <w:spacing w:line="240" w:lineRule="auto"/>
                    <w:ind w:firstLine="0" w:firstLineChars="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产能</w:t>
                  </w:r>
                </w:p>
              </w:tc>
              <w:tc>
                <w:tcPr>
                  <w:tcW w:w="1386" w:type="pct"/>
                  <w:vAlign w:val="center"/>
                </w:tcPr>
                <w:p>
                  <w:pPr>
                    <w:pStyle w:val="12"/>
                    <w:spacing w:line="240" w:lineRule="auto"/>
                    <w:ind w:firstLine="0" w:firstLineChars="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规格</w:t>
                  </w:r>
                </w:p>
              </w:tc>
              <w:tc>
                <w:tcPr>
                  <w:tcW w:w="744" w:type="pct"/>
                  <w:vAlign w:val="center"/>
                </w:tcPr>
                <w:p>
                  <w:pPr>
                    <w:pStyle w:val="12"/>
                    <w:spacing w:line="240" w:lineRule="auto"/>
                    <w:ind w:firstLine="0" w:firstLineChars="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备注</w:t>
                  </w:r>
                </w:p>
              </w:tc>
            </w:tr>
            <w:tr>
              <w:tblPrEx>
                <w:tblW w:w="4995" w:type="pct"/>
                <w:tblInd w:w="116" w:type="dxa"/>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w:t>
                  </w:r>
                </w:p>
              </w:tc>
              <w:tc>
                <w:tcPr>
                  <w:tcW w:w="318" w:type="pct"/>
                  <w:vMerge w:val="restar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开采量</w:t>
                  </w:r>
                </w:p>
              </w:tc>
              <w:tc>
                <w:tcPr>
                  <w:tcW w:w="1080"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熔剂用灰岩矿原矿</w:t>
                  </w:r>
                </w:p>
              </w:tc>
              <w:tc>
                <w:tcPr>
                  <w:tcW w:w="107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50万t/a</w:t>
                  </w:r>
                </w:p>
              </w:tc>
              <w:tc>
                <w:tcPr>
                  <w:tcW w:w="1386"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4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体积为实方</w:t>
                  </w:r>
                </w:p>
              </w:tc>
            </w:tr>
            <w:tr>
              <w:tblPrEx>
                <w:tblW w:w="4995" w:type="pct"/>
                <w:tblInd w:w="116" w:type="dxa"/>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w:t>
                  </w:r>
                </w:p>
              </w:tc>
              <w:tc>
                <w:tcPr>
                  <w:tcW w:w="318" w:type="pct"/>
                  <w:vMerge/>
                  <w:vAlign w:val="center"/>
                </w:tcPr>
                <w:p>
                  <w:pPr>
                    <w:pStyle w:val="12"/>
                    <w:spacing w:line="240" w:lineRule="auto"/>
                    <w:ind w:firstLine="0" w:firstLineChars="0"/>
                    <w:jc w:val="center"/>
                    <w:rPr>
                      <w:rFonts w:ascii="Times New Roman" w:hAnsi="Times New Roman" w:cs="Times New Roman" w:hint="default"/>
                      <w:color w:val="auto"/>
                      <w:sz w:val="21"/>
                      <w:szCs w:val="21"/>
                    </w:rPr>
                  </w:pPr>
                </w:p>
              </w:tc>
              <w:tc>
                <w:tcPr>
                  <w:tcW w:w="1080"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建筑用灰岩矿原矿</w:t>
                  </w:r>
                </w:p>
              </w:tc>
              <w:tc>
                <w:tcPr>
                  <w:tcW w:w="107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55万t/a</w:t>
                  </w:r>
                </w:p>
              </w:tc>
              <w:tc>
                <w:tcPr>
                  <w:tcW w:w="1386"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4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体积为实方</w:t>
                  </w:r>
                </w:p>
              </w:tc>
            </w:tr>
            <w:tr>
              <w:tblPrEx>
                <w:tblW w:w="4995" w:type="pct"/>
                <w:tblInd w:w="116" w:type="dxa"/>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w:t>
                  </w:r>
                </w:p>
              </w:tc>
              <w:tc>
                <w:tcPr>
                  <w:tcW w:w="318" w:type="pct"/>
                  <w:vMerge w:val="restar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产品产量</w:t>
                  </w:r>
                </w:p>
              </w:tc>
              <w:tc>
                <w:tcPr>
                  <w:tcW w:w="1080" w:type="pct"/>
                  <w:vMerge w:val="restar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熔剂用灰岩矿产品</w:t>
                  </w:r>
                </w:p>
              </w:tc>
              <w:tc>
                <w:tcPr>
                  <w:tcW w:w="107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38.5万t/a</w:t>
                  </w:r>
                </w:p>
              </w:tc>
              <w:tc>
                <w:tcPr>
                  <w:tcW w:w="1386"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10~20mm、20~40mm碎石</w:t>
                  </w:r>
                </w:p>
              </w:tc>
              <w:tc>
                <w:tcPr>
                  <w:tcW w:w="74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体积为松方</w:t>
                  </w:r>
                </w:p>
              </w:tc>
            </w:tr>
            <w:tr>
              <w:tblPrEx>
                <w:tblW w:w="4995" w:type="pct"/>
                <w:tblInd w:w="116" w:type="dxa"/>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w:t>
                  </w:r>
                </w:p>
              </w:tc>
              <w:tc>
                <w:tcPr>
                  <w:tcW w:w="318" w:type="pct"/>
                  <w:vMerge/>
                  <w:vAlign w:val="center"/>
                </w:tcPr>
                <w:p>
                  <w:pPr>
                    <w:pStyle w:val="12"/>
                    <w:spacing w:line="240" w:lineRule="auto"/>
                    <w:ind w:firstLine="0" w:firstLineChars="0"/>
                    <w:jc w:val="center"/>
                    <w:rPr>
                      <w:rFonts w:ascii="Times New Roman" w:hAnsi="Times New Roman" w:cs="Times New Roman" w:hint="default"/>
                      <w:color w:val="auto"/>
                      <w:sz w:val="21"/>
                      <w:szCs w:val="21"/>
                    </w:rPr>
                  </w:pPr>
                </w:p>
              </w:tc>
              <w:tc>
                <w:tcPr>
                  <w:tcW w:w="1080" w:type="pct"/>
                  <w:vMerge/>
                  <w:vAlign w:val="center"/>
                </w:tcPr>
                <w:p>
                  <w:pPr>
                    <w:pStyle w:val="12"/>
                    <w:spacing w:line="240" w:lineRule="auto"/>
                    <w:ind w:firstLine="0" w:firstLineChars="0"/>
                    <w:jc w:val="center"/>
                    <w:rPr>
                      <w:rFonts w:ascii="Times New Roman" w:hAnsi="Times New Roman" w:cs="Times New Roman" w:hint="default"/>
                      <w:color w:val="auto"/>
                      <w:sz w:val="21"/>
                      <w:szCs w:val="21"/>
                    </w:rPr>
                  </w:pPr>
                </w:p>
              </w:tc>
              <w:tc>
                <w:tcPr>
                  <w:tcW w:w="107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11.5万t/a</w:t>
                  </w:r>
                </w:p>
              </w:tc>
              <w:tc>
                <w:tcPr>
                  <w:tcW w:w="1386"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0~3mm生粉</w:t>
                  </w:r>
                </w:p>
              </w:tc>
              <w:tc>
                <w:tcPr>
                  <w:tcW w:w="74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4995" w:type="pct"/>
                <w:tblInd w:w="116" w:type="dxa"/>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w:t>
                  </w:r>
                </w:p>
              </w:tc>
              <w:tc>
                <w:tcPr>
                  <w:tcW w:w="318" w:type="pct"/>
                  <w:vMerge/>
                  <w:vAlign w:val="center"/>
                </w:tcPr>
                <w:p>
                  <w:pPr>
                    <w:pStyle w:val="12"/>
                    <w:spacing w:line="240" w:lineRule="auto"/>
                    <w:ind w:firstLine="0" w:firstLineChars="0"/>
                    <w:jc w:val="center"/>
                    <w:rPr>
                      <w:rFonts w:ascii="Times New Roman" w:hAnsi="Times New Roman" w:cs="Times New Roman" w:hint="default"/>
                      <w:color w:val="auto"/>
                      <w:sz w:val="21"/>
                      <w:szCs w:val="21"/>
                    </w:rPr>
                  </w:pPr>
                </w:p>
              </w:tc>
              <w:tc>
                <w:tcPr>
                  <w:tcW w:w="1080" w:type="pct"/>
                  <w:vMerge w:val="restar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建筑用灰岩矿产品</w:t>
                  </w:r>
                </w:p>
              </w:tc>
              <w:tc>
                <w:tcPr>
                  <w:tcW w:w="107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42.3万t/a</w:t>
                  </w:r>
                </w:p>
              </w:tc>
              <w:tc>
                <w:tcPr>
                  <w:tcW w:w="1386"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10~20mm、20~30mm碎石</w:t>
                  </w:r>
                </w:p>
              </w:tc>
              <w:tc>
                <w:tcPr>
                  <w:tcW w:w="74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体积为松方</w:t>
                  </w:r>
                </w:p>
              </w:tc>
            </w:tr>
            <w:tr>
              <w:tblPrEx>
                <w:tblW w:w="4995" w:type="pct"/>
                <w:tblInd w:w="116" w:type="dxa"/>
                <w:tblCellMar>
                  <w:top w:w="0" w:type="dxa"/>
                  <w:left w:w="108" w:type="dxa"/>
                  <w:bottom w:w="0" w:type="dxa"/>
                  <w:right w:w="108" w:type="dxa"/>
                </w:tblCellMar>
                <w:tblLook w:val="0000"/>
              </w:tblPrEx>
              <w:tc>
                <w:tcPr>
                  <w:tcW w:w="397" w:type="pct"/>
                  <w:vAlign w:val="center"/>
                </w:tcPr>
                <w:p>
                  <w:pPr>
                    <w:pStyle w:val="12"/>
                    <w:spacing w:line="240" w:lineRule="auto"/>
                    <w:ind w:firstLine="0" w:firstLineChars="0"/>
                    <w:jc w:val="center"/>
                    <w:rPr>
                      <w:rFonts w:ascii="Times New Roman" w:eastAsia="宋体" w:hAnsi="Times New Roman" w:cs="Times New Roman" w:hint="eastAsia"/>
                      <w:color w:val="auto"/>
                      <w:sz w:val="21"/>
                      <w:szCs w:val="21"/>
                      <w:lang w:eastAsia="zh-CN"/>
                    </w:rPr>
                  </w:pPr>
                  <w:r>
                    <w:rPr>
                      <w:rFonts w:ascii="Times New Roman" w:hAnsi="Times New Roman" w:cs="Times New Roman" w:hint="eastAsia"/>
                      <w:color w:val="auto"/>
                      <w:sz w:val="21"/>
                      <w:szCs w:val="21"/>
                      <w:lang w:val="en-US" w:eastAsia="zh-CN"/>
                    </w:rPr>
                    <w:t>7</w:t>
                  </w:r>
                </w:p>
              </w:tc>
              <w:tc>
                <w:tcPr>
                  <w:tcW w:w="318" w:type="pct"/>
                  <w:vMerge/>
                  <w:vAlign w:val="center"/>
                </w:tcPr>
                <w:p>
                  <w:pPr>
                    <w:pStyle w:val="12"/>
                    <w:spacing w:line="240" w:lineRule="auto"/>
                    <w:ind w:firstLine="0" w:firstLineChars="0"/>
                    <w:jc w:val="center"/>
                    <w:rPr>
                      <w:rFonts w:ascii="Times New Roman" w:hAnsi="Times New Roman" w:cs="Times New Roman" w:hint="default"/>
                      <w:color w:val="auto"/>
                      <w:sz w:val="21"/>
                      <w:szCs w:val="21"/>
                    </w:rPr>
                  </w:pPr>
                </w:p>
              </w:tc>
              <w:tc>
                <w:tcPr>
                  <w:tcW w:w="1080" w:type="pct"/>
                  <w:vMerge/>
                  <w:vAlign w:val="center"/>
                </w:tcPr>
                <w:p>
                  <w:pPr>
                    <w:pStyle w:val="12"/>
                    <w:spacing w:line="240" w:lineRule="auto"/>
                    <w:ind w:firstLine="0" w:firstLineChars="0"/>
                    <w:jc w:val="center"/>
                    <w:rPr>
                      <w:rFonts w:ascii="Times New Roman" w:hAnsi="Times New Roman" w:cs="Times New Roman" w:hint="default"/>
                      <w:color w:val="auto"/>
                      <w:sz w:val="21"/>
                      <w:szCs w:val="21"/>
                    </w:rPr>
                  </w:pPr>
                </w:p>
              </w:tc>
              <w:tc>
                <w:tcPr>
                  <w:tcW w:w="107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12.7万t/a</w:t>
                  </w:r>
                </w:p>
              </w:tc>
              <w:tc>
                <w:tcPr>
                  <w:tcW w:w="1386"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0~10mm石粉</w:t>
                  </w:r>
                </w:p>
              </w:tc>
              <w:tc>
                <w:tcPr>
                  <w:tcW w:w="744" w:type="pct"/>
                  <w:vAlign w:val="center"/>
                </w:tcPr>
                <w:p>
                  <w:pPr>
                    <w:pStyle w:val="12"/>
                    <w:spacing w:line="240" w:lineRule="auto"/>
                    <w:ind w:firstLine="0" w:firstLineChars="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bl>
          <w:p>
            <w:pPr>
              <w:pStyle w:val="120"/>
              <w:numPr>
                <w:ilvl w:val="0"/>
                <w:numId w:val="2"/>
              </w:numPr>
              <w:ind w:firstLine="482"/>
              <w:rPr>
                <w:rFonts w:cs="Times New Roman" w:hint="default"/>
                <w:b/>
                <w:color w:val="auto"/>
              </w:rPr>
            </w:pPr>
            <w:r>
              <w:rPr>
                <w:rFonts w:ascii="Times New Roman" w:hAnsi="Times New Roman" w:cs="Times New Roman" w:hint="default"/>
                <w:b/>
                <w:color w:val="auto"/>
              </w:rPr>
              <w:t>临时排土场</w:t>
            </w:r>
          </w:p>
          <w:p>
            <w:pPr>
              <w:pStyle w:val="120"/>
              <w:rPr>
                <w:rFonts w:cs="Times New Roman" w:hint="default"/>
                <w:bCs/>
                <w:color w:val="auto"/>
              </w:rPr>
            </w:pPr>
            <w:r>
              <w:rPr>
                <w:rFonts w:ascii="Times New Roman" w:hAnsi="Times New Roman" w:cs="Times New Roman" w:hint="default"/>
                <w:bCs/>
                <w:color w:val="auto"/>
              </w:rPr>
              <w:t>根据项目开发利用方案可知，开采区内矿体基本裸露，覆盖土主要为第四系残坡积层，仅少量分布于坡麓溶蚀凹陷地带，为原岩风化残积产物。经估算，矿区第四系残坡积覆盖层约0.4万m</w:t>
            </w:r>
            <w:r>
              <w:rPr>
                <w:rFonts w:ascii="Times New Roman" w:hAnsi="Times New Roman" w:cs="Times New Roman" w:hint="default"/>
                <w:bCs/>
                <w:color w:val="auto"/>
              </w:rPr>
              <w:t>³</w:t>
            </w:r>
            <w:r>
              <w:rPr>
                <w:rFonts w:ascii="Times New Roman" w:hAnsi="Times New Roman" w:cs="Times New Roman" w:hint="default"/>
                <w:bCs/>
                <w:color w:val="auto"/>
              </w:rPr>
              <w:t>，破碎站等工业场地建设需要剥离表土约0.8万m</w:t>
            </w:r>
            <w:r>
              <w:rPr>
                <w:rFonts w:ascii="Times New Roman" w:hAnsi="Times New Roman" w:cs="Times New Roman" w:hint="default"/>
                <w:bCs/>
                <w:color w:val="auto"/>
              </w:rPr>
              <w:t>³</w:t>
            </w:r>
            <w:r>
              <w:rPr>
                <w:rFonts w:ascii="Times New Roman" w:hAnsi="Times New Roman" w:cs="Times New Roman" w:hint="default"/>
                <w:bCs/>
                <w:color w:val="auto"/>
              </w:rPr>
              <w:t>，故基建期需要临时堆存表土量约1.2万m</w:t>
            </w:r>
            <w:r>
              <w:rPr>
                <w:rFonts w:ascii="Times New Roman" w:hAnsi="Times New Roman" w:cs="Times New Roman" w:hint="default"/>
                <w:bCs/>
                <w:color w:val="auto"/>
              </w:rPr>
              <w:t>³</w:t>
            </w:r>
            <w:r>
              <w:rPr>
                <w:rFonts w:ascii="Times New Roman" w:hAnsi="Times New Roman" w:cs="Times New Roman" w:hint="default"/>
                <w:bCs/>
                <w:color w:val="auto"/>
              </w:rPr>
              <w:t>。</w:t>
            </w:r>
          </w:p>
          <w:p>
            <w:pPr>
              <w:pStyle w:val="120"/>
              <w:rPr>
                <w:rFonts w:cs="Times New Roman" w:hint="default"/>
                <w:bCs/>
                <w:color w:val="auto"/>
              </w:rPr>
            </w:pPr>
            <w:r>
              <w:rPr>
                <w:rFonts w:ascii="Times New Roman" w:hAnsi="Times New Roman" w:cs="Times New Roman" w:hint="default"/>
                <w:bCs/>
                <w:color w:val="auto"/>
              </w:rPr>
              <w:t>根据开发利用方案，由于矿区夹石达到建筑用石料要求，因此拟对其进行综合利用，考虑两种矿石资源均衡生产，故开采过程基本无废土石产生，剥离表土主要由基建期清理矿区表面覆盖土过程及工业场地建设过程产生。</w:t>
            </w:r>
          </w:p>
        </w:tc>
      </w:tr>
    </w:tbl>
    <w:p>
      <w:pPr>
        <w:sectPr>
          <w:footerReference w:type="even" r:id="rId18"/>
          <w:footerReference w:type="default" r:id="rId19"/>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pStyle w:val="120"/>
              <w:rPr>
                <w:rFonts w:cs="Times New Roman" w:hint="default"/>
                <w:bCs/>
                <w:color w:val="auto"/>
              </w:rPr>
            </w:pPr>
            <w:r>
              <w:rPr>
                <w:rFonts w:ascii="Times New Roman" w:hAnsi="Times New Roman" w:cs="Times New Roman" w:hint="default"/>
                <w:bCs/>
                <w:color w:val="auto"/>
              </w:rPr>
              <w:t>临时排土场位于紧邻矿区东侧边界的山坳处，占地面积约0.4万m</w:t>
            </w:r>
            <w:r>
              <w:rPr>
                <w:rFonts w:ascii="Times New Roman" w:hAnsi="Times New Roman" w:cs="Times New Roman" w:hint="default"/>
                <w:bCs/>
                <w:color w:val="auto"/>
                <w:vertAlign w:val="superscript"/>
              </w:rPr>
              <w:t>2</w:t>
            </w:r>
            <w:r>
              <w:rPr>
                <w:rFonts w:ascii="Times New Roman" w:hAnsi="Times New Roman" w:cs="Times New Roman" w:hint="default"/>
                <w:bCs/>
                <w:color w:val="auto"/>
              </w:rPr>
              <w:t>，</w:t>
            </w:r>
            <w:r>
              <w:rPr>
                <w:rFonts w:ascii="Times New Roman" w:hAnsi="Times New Roman" w:cs="Times New Roman" w:hint="default"/>
                <w:color w:val="auto"/>
              </w:rPr>
              <w:t>最低堆积标高为+66m，最高堆积标高为+70m，最终边坡角为35</w:t>
            </w:r>
            <w:r>
              <w:rPr>
                <w:rFonts w:ascii="Times New Roman" w:hAnsi="Times New Roman" w:cs="Times New Roman" w:hint="default"/>
                <w:color w:val="auto"/>
              </w:rPr>
              <w:t>°</w:t>
            </w:r>
            <w:r>
              <w:rPr>
                <w:rFonts w:ascii="Times New Roman" w:hAnsi="Times New Roman" w:cs="Times New Roman" w:hint="default"/>
                <w:color w:val="auto"/>
              </w:rPr>
              <w:t>，总容积约1.6万m</w:t>
            </w:r>
            <w:r>
              <w:rPr>
                <w:rFonts w:ascii="Times New Roman" w:hAnsi="Times New Roman" w:cs="Times New Roman" w:hint="default"/>
                <w:color w:val="auto"/>
                <w:vertAlign w:val="superscript"/>
              </w:rPr>
              <w:t>3</w:t>
            </w:r>
            <w:r>
              <w:rPr>
                <w:rFonts w:ascii="Times New Roman" w:hAnsi="Times New Roman" w:cs="Times New Roman" w:hint="default"/>
                <w:color w:val="auto"/>
              </w:rPr>
              <w:t>。</w:t>
            </w:r>
            <w:r>
              <w:rPr>
                <w:rFonts w:ascii="Times New Roman" w:hAnsi="Times New Roman" w:cs="Times New Roman" w:hint="default"/>
                <w:bCs/>
                <w:color w:val="auto"/>
              </w:rPr>
              <w:t>本项目临时排土场有足够的容积容纳项目建设及生产过程产生的剥离表土。建设单位应在临时排土场四周山坡设置主截水明沟，拦截山坡汇水，避免山坡汇水对临时排土场的冲刷。</w:t>
            </w:r>
          </w:p>
          <w:p>
            <w:pPr>
              <w:spacing w:line="360" w:lineRule="auto"/>
              <w:ind w:firstLine="480" w:firstLineChars="200"/>
              <w:jc w:val="left"/>
              <w:rPr>
                <w:rFonts w:ascii="Times New Roman" w:hAnsi="Times New Roman" w:cs="Times New Roman" w:hint="default"/>
                <w:b/>
                <w:color w:val="auto"/>
              </w:rPr>
            </w:pPr>
            <w:r>
              <w:rPr>
                <w:rFonts w:ascii="Times New Roman" w:hAnsi="Times New Roman" w:cs="Times New Roman" w:hint="default"/>
                <w:b/>
                <w:color w:val="auto"/>
              </w:rPr>
              <w:t>三、劳动定员及工作制度</w:t>
            </w:r>
          </w:p>
          <w:p>
            <w:pPr>
              <w:pStyle w:val="12"/>
              <w:rPr>
                <w:rFonts w:ascii="Times New Roman" w:hAnsi="Times New Roman" w:cs="Times New Roman" w:hint="default"/>
                <w:color w:val="auto"/>
              </w:rPr>
            </w:pPr>
            <w:r>
              <w:rPr>
                <w:rFonts w:ascii="Times New Roman" w:hAnsi="Times New Roman" w:cs="Times New Roman" w:hint="default"/>
                <w:color w:val="auto"/>
              </w:rPr>
              <w:t>项目全矿定员70人，其中管理及后勤人员23人，生产工人及技术人员47人，均在场内用餐，不在场内住宿。年工作280天，实行1班制，每班工作8小时。</w:t>
            </w:r>
          </w:p>
          <w:p>
            <w:pPr>
              <w:pStyle w:val="120"/>
              <w:ind w:firstLine="482"/>
              <w:rPr>
                <w:rFonts w:cs="Times New Roman" w:hint="default"/>
                <w:b/>
                <w:color w:val="auto"/>
              </w:rPr>
            </w:pPr>
            <w:r>
              <w:rPr>
                <w:rFonts w:ascii="Times New Roman" w:hAnsi="Times New Roman" w:cs="Times New Roman" w:hint="default"/>
                <w:b/>
                <w:color w:val="auto"/>
              </w:rPr>
              <w:t>四、公用工程</w:t>
            </w:r>
          </w:p>
          <w:p>
            <w:pPr>
              <w:pStyle w:val="12"/>
              <w:ind w:firstLine="482"/>
              <w:rPr>
                <w:rFonts w:ascii="Times New Roman" w:hAnsi="Times New Roman" w:cs="Times New Roman" w:hint="default"/>
                <w:b/>
                <w:bCs/>
                <w:color w:val="auto"/>
              </w:rPr>
            </w:pPr>
            <w:r>
              <w:rPr>
                <w:rFonts w:ascii="Times New Roman" w:hAnsi="Times New Roman" w:cs="Times New Roman" w:hint="default"/>
                <w:b/>
                <w:bCs/>
                <w:color w:val="auto"/>
              </w:rPr>
              <w:t>（1）用水</w:t>
            </w:r>
          </w:p>
          <w:p>
            <w:pPr>
              <w:pStyle w:val="12"/>
              <w:rPr>
                <w:rFonts w:ascii="Times New Roman" w:hAnsi="Times New Roman" w:cs="Times New Roman" w:hint="default"/>
                <w:color w:val="auto"/>
                <w:szCs w:val="24"/>
              </w:rPr>
            </w:pPr>
            <w:r>
              <w:rPr>
                <w:rFonts w:ascii="Times New Roman" w:hAnsi="Times New Roman" w:cs="Times New Roman" w:hint="default"/>
                <w:color w:val="auto"/>
              </w:rPr>
              <w:t>项目</w:t>
            </w:r>
            <w:r>
              <w:rPr>
                <w:rFonts w:ascii="Times New Roman" w:hAnsi="Times New Roman" w:cs="Times New Roman" w:hint="default"/>
                <w:color w:val="auto"/>
                <w:szCs w:val="24"/>
              </w:rPr>
              <w:t>生活用水通过水井取用地下水，降尘用水使用处理后初期雨水，生活用水量为784m</w:t>
            </w:r>
            <w:r>
              <w:rPr>
                <w:rFonts w:ascii="Times New Roman" w:hAnsi="Times New Roman" w:cs="Times New Roman" w:hint="default"/>
                <w:color w:val="auto"/>
                <w:szCs w:val="24"/>
                <w:vertAlign w:val="superscript"/>
              </w:rPr>
              <w:t>3</w:t>
            </w:r>
            <w:r>
              <w:rPr>
                <w:rFonts w:ascii="Times New Roman" w:hAnsi="Times New Roman" w:cs="Times New Roman" w:hint="default"/>
                <w:color w:val="auto"/>
                <w:szCs w:val="24"/>
              </w:rPr>
              <w:t>/a。</w:t>
            </w:r>
          </w:p>
          <w:p>
            <w:pPr>
              <w:pStyle w:val="12"/>
              <w:ind w:firstLine="482"/>
              <w:rPr>
                <w:rFonts w:ascii="Times New Roman" w:hAnsi="Times New Roman" w:cs="Times New Roman" w:hint="default"/>
                <w:b/>
                <w:bCs/>
                <w:color w:val="auto"/>
              </w:rPr>
            </w:pPr>
            <w:r>
              <w:rPr>
                <w:rFonts w:ascii="Times New Roman" w:hAnsi="Times New Roman" w:cs="Times New Roman" w:hint="default"/>
                <w:b/>
                <w:bCs/>
                <w:color w:val="auto"/>
              </w:rPr>
              <w:t>（2）排水</w:t>
            </w:r>
          </w:p>
          <w:p>
            <w:pPr>
              <w:pStyle w:val="12"/>
              <w:rPr>
                <w:rFonts w:ascii="Times New Roman" w:hAnsi="Times New Roman" w:cs="Times New Roman" w:hint="default"/>
                <w:color w:val="auto"/>
              </w:rPr>
            </w:pPr>
            <w:r>
              <w:rPr>
                <w:rFonts w:ascii="Times New Roman" w:hAnsi="Times New Roman" w:cs="Times New Roman" w:hint="default"/>
                <w:color w:val="auto"/>
              </w:rPr>
              <w:t>项目产生的废水主要为员工生活污水、喷淋废水和初期雨水。喷淋废水经三级沉淀池处理后回用作喷淋用水，初期雨水经沉砂池处理后回用作喷淋和降尘用水，不外排。</w:t>
            </w:r>
          </w:p>
          <w:p>
            <w:pPr>
              <w:pStyle w:val="12"/>
              <w:rPr>
                <w:rFonts w:ascii="Times New Roman" w:hAnsi="Times New Roman" w:cs="Times New Roman" w:hint="default"/>
                <w:color w:val="auto"/>
              </w:rPr>
            </w:pPr>
            <w:r>
              <w:rPr>
                <w:rFonts w:ascii="Times New Roman" w:hAnsi="Times New Roman" w:cs="Times New Roman" w:hint="default"/>
                <w:color w:val="auto"/>
              </w:rPr>
              <w:t>员工生活污水产生量为706</w:t>
            </w:r>
            <w:r>
              <w:rPr>
                <w:rFonts w:ascii="Times New Roman" w:hAnsi="Times New Roman" w:cs="Times New Roman" w:hint="default"/>
                <w:color w:val="auto"/>
                <w:shd w:val="clear" w:color="auto" w:fill="auto"/>
              </w:rPr>
              <w:t>m</w:t>
            </w:r>
            <w:r>
              <w:rPr>
                <w:rFonts w:ascii="Times New Roman" w:hAnsi="Times New Roman" w:cs="Times New Roman" w:hint="default"/>
                <w:color w:val="auto"/>
                <w:shd w:val="clear" w:color="auto" w:fill="auto"/>
                <w:vertAlign w:val="superscript"/>
              </w:rPr>
              <w:t>3</w:t>
            </w:r>
            <w:r>
              <w:rPr>
                <w:rFonts w:ascii="Times New Roman" w:hAnsi="Times New Roman" w:cs="Times New Roman" w:hint="default"/>
                <w:color w:val="auto"/>
                <w:shd w:val="clear" w:color="auto" w:fill="auto"/>
              </w:rPr>
              <w:t>/</w:t>
            </w:r>
            <w:r>
              <w:rPr>
                <w:rFonts w:ascii="Times New Roman" w:hAnsi="Times New Roman" w:cs="Times New Roman" w:hint="default"/>
                <w:color w:val="auto"/>
                <w:shd w:val="clear" w:color="auto" w:fill="auto"/>
                <w:lang w:val="en-US" w:eastAsia="zh-CN"/>
              </w:rPr>
              <w:t>a</w:t>
            </w:r>
            <w:r>
              <w:rPr>
                <w:rFonts w:ascii="Times New Roman" w:hAnsi="Times New Roman" w:cs="Times New Roman" w:hint="default"/>
                <w:color w:val="auto"/>
              </w:rPr>
              <w:t>，生活污水经三级化粪池和</w:t>
            </w:r>
            <w:r>
              <w:rPr>
                <w:rFonts w:ascii="Times New Roman" w:hAnsi="Times New Roman" w:cs="Times New Roman" w:hint="default"/>
                <w:color w:val="auto"/>
                <w:szCs w:val="24"/>
              </w:rPr>
              <w:t>一体式生化处理设施</w:t>
            </w:r>
            <w:r>
              <w:rPr>
                <w:rFonts w:ascii="Times New Roman" w:hAnsi="Times New Roman" w:cs="Times New Roman" w:hint="default"/>
                <w:color w:val="auto"/>
              </w:rPr>
              <w:t>处理后用于项目内绿化浇灌用水，不外排。项目水平衡图见下图1-1。</w:t>
            </w:r>
          </w:p>
          <w:p>
            <w:pPr>
              <w:pStyle w:val="12"/>
              <w:rPr>
                <w:rFonts w:ascii="Times New Roman" w:hAnsi="Times New Roman" w:cs="Times New Roman" w:hint="default"/>
                <w:color w:val="auto"/>
              </w:rPr>
            </w:pPr>
          </w:p>
          <w:p>
            <w:pPr>
              <w:pStyle w:val="120"/>
              <w:ind w:firstLine="0" w:firstLineChars="0"/>
              <w:jc w:val="center"/>
              <w:rPr>
                <w:rFonts w:cs="Times New Roman" w:hint="default"/>
                <w:b/>
                <w:bCs/>
                <w:color w:val="auto"/>
              </w:rPr>
            </w:pPr>
            <w:r>
              <w:rPr>
                <w:rFonts w:ascii="Times New Roman" w:hAnsi="Times New Roman" w:cs="Times New Roman" w:hint="default"/>
                <w:color w:val="auto"/>
                <w:sz w:val="24"/>
              </w:rPr>
              <w:pict>
                <v:shapetype id="_x0000_t32" coordsize="21600,21600" o:spt="32" o:oned="t" path="m,l21600,21600e" filled="f">
                  <v:path arrowok="t" fillok="f" o:connecttype="none"/>
                  <o:lock v:ext="edit" shapetype="t"/>
                </v:shapetype>
                <v:shape id="自选图形 2078" o:spid="_x0000_s1026" type="#_x0000_t32" style="width:89.6pt;height:0;margin-top:169.05pt;margin-left:181.25pt;mso-wrap-style:square;position:absolute;z-index:251658240" filled="t" stroked="t" strokeweight="1.5pt">
                  <v:stroke linestyle="single" endarrow="open" endarrowwidth="narrow"/>
                  <v:path arrowok="t" fillok="f"/>
                  <o:lock v:ext="edit" aspectratio="f"/>
                </v:shape>
              </w:pict>
            </w:r>
            <w:r>
              <w:rPr>
                <w:rFonts w:ascii="Times New Roman" w:hAnsi="Times New Roman" w:cs="Times New Roman" w:hint="default"/>
                <w:b/>
                <w:bCs/>
                <w:color w:val="auto"/>
              </w:rPr>
              <w:pict>
                <v:group id="画布 1977" o:spid="_x0000_i1027" editas="canvas" style="width:460.1pt;height:294.05pt;mso-position-horizontal-relative:char;mso-position-vertical-relative:line" coordorigin="1465,954" coordsize="9202,5881">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editas="canvas" style="width:9202;height:5881;left:1465;mso-position-horizontal-relative:char;mso-position-vertical-relative:line;mso-wrap-style:square;position:absolute;top:954;v-text-anchor:top" filled="f" stroked="f">
                    <v:fill o:detectmouseclick="t"/>
                    <v:stroke linestyle="single"/>
                    <v:shadow color="gray"/>
                    <o:lock v:ext="edit" aspectratio="t" text="t"/>
                    <o:diagram v:ext="edit" dgmstyle="0" dgmscalex="0" dgmscaley="0" reverse="f"/>
                  </v:shape>
                  <v:shapetype id="_x0000_t202" coordsize="21600,21600" o:spt="202" path="m,l,21600r21600,l21600,xe">
                    <v:stroke joinstyle="miter"/>
                    <v:path gradientshapeok="t" o:connecttype="rect"/>
                  </v:shapetype>
                  <v:shape id="文本框 1978" o:spid="_x0000_s1029" type="#_x0000_t202" style="width:1044;height:460;left:2148;mso-wrap-style:square;position:absolute;top:2331;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地下水</w:t>
                          </w:r>
                        </w:p>
                      </w:txbxContent>
                    </v:textbox>
                  </v:shape>
                  <v:shape id="文本框 1979" o:spid="_x0000_s1030" type="#_x0000_t202" style="width:1269;height:458;left:3882;mso-wrap-style:square;position:absolute;top:2302;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生活用水</w:t>
                          </w:r>
                        </w:p>
                      </w:txbxContent>
                    </v:textbox>
                  </v:shape>
                  <v:shape id="文本框 1980" o:spid="_x0000_s1031" type="#_x0000_t202" style="width:1514;height:1135;left:5611;mso-wrap-style:square;position:absolute;top:1809;v-text-anchor:top" filled="t" fillcolor="white" stroked="t" strokeweight="1pt">
                    <v:fill color2="white"/>
                    <v:stroke joinstyle="miter" linestyle="single" endarrowwidth="narrow"/>
                    <v:shadow color="gray"/>
                    <o:lock v:ext="edit" aspectratio="f"/>
                    <v:textbox style="layout-flow:horizontal">
                      <w:txbxContent>
                        <w:p>
                          <w:pPr>
                            <w:jc w:val="center"/>
                            <w:rPr>
                              <w:rFonts w:eastAsia="宋体" w:hint="eastAsia"/>
                            </w:rPr>
                          </w:pPr>
                          <w:r>
                            <w:rPr>
                              <w:rFonts w:hint="eastAsia"/>
                            </w:rPr>
                            <w:t>三级化粪池</w:t>
                          </w:r>
                          <w:r>
                            <w:rPr>
                              <w:rFonts w:hint="eastAsia"/>
                              <w:lang w:eastAsia="zh-CN"/>
                            </w:rPr>
                            <w:t>、隔油隔渣池</w:t>
                          </w:r>
                        </w:p>
                      </w:txbxContent>
                    </v:textbox>
                  </v:shape>
                  <v:shape id="文本框 1981" o:spid="_x0000_s1032" type="#_x0000_t202" style="width:2609;height:460;left:7636;mso-wrap-style:square;position:absolute;top:2302;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一体化污水处理设施</w:t>
                          </w:r>
                        </w:p>
                      </w:txbxContent>
                    </v:textbox>
                  </v:shape>
                  <v:shape id="文本框 1982" o:spid="_x0000_s1033" type="#_x0000_t202" style="width:2084;height:460;left:7909;mso-wrap-style:square;position:absolute;top:1275;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项目内绿化浇灌</w:t>
                          </w:r>
                        </w:p>
                      </w:txbxContent>
                    </v:textbox>
                  </v:shape>
                  <v:shape id="自选图形 1984" o:spid="_x0000_s1034" type="#_x0000_t32" style="width:460;height:7;left:5151;mso-wrap-style:square;position:absolute;top:2531" filled="f" stroked="t" strokeweight="1.5pt">
                    <v:fill o:detectmouseclick="t"/>
                    <v:stroke linestyle="single" endarrow="block" endarrowwidth="narrow"/>
                    <v:shadow color="gray"/>
                    <v:path arrowok="t" fillok="f"/>
                    <o:lock v:ext="edit" aspectratio="f"/>
                  </v:shape>
                  <v:shape id="自选图形 1985" o:spid="_x0000_s1035" type="#_x0000_t32" style="width:511;height:6;flip:y;left:7125;mso-wrap-style:square;position:absolute;top:2532" filled="f" stroked="t" strokeweight="1.5pt">
                    <v:fill o:detectmouseclick="t"/>
                    <v:stroke linestyle="single" endarrow="block" endarrowwidth="narrow"/>
                    <v:shadow color="gray"/>
                    <v:path arrowok="t" fillok="f"/>
                    <o:lock v:ext="edit" aspectratio="f"/>
                  </v:shape>
                  <v:shape id="自选图形 1986" o:spid="_x0000_s1036" type="#_x0000_t32" style="width:10;height:567;flip:y;left:8941;mso-wrap-style:square;position:absolute;top:1735" filled="f" stroked="t" strokeweight="1.5pt">
                    <v:fill o:detectmouseclick="t"/>
                    <v:stroke linestyle="single" endarrow="block" endarrowwidth="narrow"/>
                    <v:shadow color="gray"/>
                    <v:path arrowok="t" fillok="f"/>
                    <o:lock v:ext="edit" aspectratio="f"/>
                  </v:shape>
                  <v:shape id="文本框 1987" o:spid="_x0000_s1037" type="#_x0000_t202" style="width:1044;height:460;left:3038;mso-wrap-style:square;position:absolute;top:2126;v-text-anchor:top" filled="f" stroked="f" strokeweight="1pt">
                    <v:fill o:detectmouseclick="t"/>
                    <v:stroke linestyle="single"/>
                    <v:shadow color="gray"/>
                    <o:lock v:ext="edit" aspectratio="f"/>
                    <v:textbox style="layout-flow:horizontal">
                      <w:txbxContent>
                        <w:p>
                          <w:pPr>
                            <w:jc w:val="center"/>
                          </w:pPr>
                          <w:r>
                            <w:rPr>
                              <w:rFonts w:hint="eastAsia"/>
                            </w:rPr>
                            <w:t>7</w:t>
                          </w:r>
                          <w:r>
                            <w:t>84</w:t>
                          </w:r>
                        </w:p>
                      </w:txbxContent>
                    </v:textbox>
                  </v:shape>
                  <v:shape id="文本框 1988" o:spid="_x0000_s1038" type="#_x0000_t202" style="width:1044;height:460;left:4863;mso-wrap-style:square;position:absolute;top:2139;v-text-anchor:top" filled="f" stroked="f" strokeweight="1pt">
                    <v:fill o:detectmouseclick="t"/>
                    <v:stroke linestyle="single"/>
                    <v:shadow color="gray"/>
                    <o:lock v:ext="edit" aspectratio="f"/>
                    <v:textbox style="layout-flow:horizontal">
                      <w:txbxContent>
                        <w:p>
                          <w:pPr>
                            <w:jc w:val="center"/>
                          </w:pPr>
                          <w:r>
                            <w:rPr>
                              <w:rFonts w:hint="eastAsia"/>
                            </w:rPr>
                            <w:t>7</w:t>
                          </w:r>
                          <w:r>
                            <w:t>06</w:t>
                          </w:r>
                        </w:p>
                      </w:txbxContent>
                    </v:textbox>
                  </v:shape>
                  <v:shape id="文本框 1989" o:spid="_x0000_s1039" type="#_x0000_t202" style="width:1044;height:460;left:6824;mso-wrap-style:square;position:absolute;top:2148;v-text-anchor:top" filled="f" stroked="f" strokeweight="1pt">
                    <v:fill o:detectmouseclick="t"/>
                    <v:stroke linestyle="single"/>
                    <v:shadow color="gray"/>
                    <o:lock v:ext="edit" aspectratio="f"/>
                    <v:textbox style="layout-flow:horizontal">
                      <w:txbxContent>
                        <w:p>
                          <w:pPr>
                            <w:jc w:val="center"/>
                          </w:pPr>
                          <w:r>
                            <w:rPr>
                              <w:rFonts w:hint="eastAsia"/>
                            </w:rPr>
                            <w:t>7</w:t>
                          </w:r>
                          <w:r>
                            <w:t>06</w:t>
                          </w:r>
                        </w:p>
                      </w:txbxContent>
                    </v:textbox>
                  </v:shape>
                  <v:shape id="文本框 1990" o:spid="_x0000_s1040" type="#_x0000_t202" style="width:1044;height:460;left:8773;mso-wrap-style:square;position:absolute;top:1820;v-text-anchor:top" filled="f" stroked="f" strokeweight="1pt">
                    <v:fill o:detectmouseclick="t"/>
                    <v:stroke linestyle="single"/>
                    <v:shadow color="gray"/>
                    <o:lock v:ext="edit" aspectratio="f"/>
                    <v:textbox style="layout-flow:horizontal">
                      <w:txbxContent>
                        <w:p>
                          <w:pPr>
                            <w:jc w:val="center"/>
                          </w:pPr>
                          <w:r>
                            <w:rPr>
                              <w:rFonts w:hint="eastAsia"/>
                            </w:rPr>
                            <w:t>7</w:t>
                          </w:r>
                          <w:r>
                            <w:t>06</w:t>
                          </w:r>
                        </w:p>
                      </w:txbxContent>
                    </v:textbox>
                  </v:shape>
                  <v:shape id="文本框 1991" o:spid="_x0000_s1041" type="#_x0000_t202" style="width:752;height:460;left:4477;mso-wrap-style:square;position:absolute;top:1887;v-text-anchor:top" filled="f" stroked="f" strokeweight="1pt">
                    <v:fill o:detectmouseclick="t"/>
                    <v:stroke linestyle="single"/>
                    <v:shadow color="gray"/>
                    <o:lock v:ext="edit" aspectratio="f"/>
                    <v:textbox style="layout-flow:horizontal">
                      <w:txbxContent>
                        <w:p>
                          <w:pPr>
                            <w:jc w:val="center"/>
                          </w:pPr>
                          <w:r>
                            <w:rPr>
                              <w:rFonts w:hint="eastAsia"/>
                            </w:rPr>
                            <w:t>7</w:t>
                          </w:r>
                          <w:r>
                            <w:t>8</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自选图形 1749" o:spid="_x0000_s1042" type="#_x0000_t38" style="width:422;height:314;left:4266;mso-wrap-style:square;position:absolute;rotation:-90;top:1934;v-text-anchor:top" adj="10762" filled="f" stroked="t" strokeweight="1.5pt">
                    <v:fill o:detectmouseclick="t"/>
                    <v:stroke linestyle="single" endarrow="open" endarrowwidth="narrow"/>
                    <v:shadow color="gray"/>
                    <v:path arrowok="t" fillok="f"/>
                    <o:lock v:ext="edit" aspectratio="f"/>
                  </v:shape>
                  <v:shape id="文本框 1993" o:spid="_x0000_s1043" type="#_x0000_t202" style="width:1269;height:458;left:2117;mso-wrap-style:square;position:absolute;top:4096;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初期雨水</w:t>
                          </w:r>
                        </w:p>
                      </w:txbxContent>
                    </v:textbox>
                  </v:shape>
                  <v:shape id="文本框 1995" o:spid="_x0000_s1044" type="#_x0000_t202" style="width:1044;height:460;left:4075;mso-wrap-style:square;position:absolute;top:4104;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沉砂池</w:t>
                          </w:r>
                        </w:p>
                      </w:txbxContent>
                    </v:textbox>
                  </v:shape>
                  <v:shape id="自选图形 1996" o:spid="_x0000_s1045" type="#_x0000_t32" style="width:689;height:9;left:3386;mso-wrap-style:square;position:absolute;top:4325" filled="f" stroked="t" strokeweight="1.5pt">
                    <v:fill o:detectmouseclick="t"/>
                    <v:stroke linestyle="single" endarrow="block" endarrowwidth="narrow"/>
                    <v:shadow color="gray"/>
                    <v:path arrowok="t" fillok="f"/>
                    <o:lock v:ext="edit" aspectratio="f"/>
                  </v:shape>
                  <v:shape id="文本框 1997" o:spid="_x0000_s1046" type="#_x0000_t202" style="width:1044;height:460;left:3205;mso-wrap-style:square;position:absolute;top:3864;v-text-anchor:top" filled="f" stroked="f" strokeweight="1pt">
                    <v:fill o:detectmouseclick="t"/>
                    <v:stroke linestyle="single"/>
                    <v:shadow color="gray"/>
                    <o:lock v:ext="edit" aspectratio="f"/>
                    <v:textbox style="layout-flow:horizontal">
                      <w:txbxContent>
                        <w:p>
                          <w:pPr>
                            <w:jc w:val="center"/>
                            <w:rPr>
                              <w:rFonts w:eastAsia="宋体" w:hint="default"/>
                            </w:rPr>
                          </w:pPr>
                          <w:r>
                            <w:rPr>
                              <w:rFonts w:hint="eastAsia"/>
                              <w:lang w:val="en-US" w:eastAsia="zh-CN"/>
                            </w:rPr>
                            <w:t>12775</w:t>
                          </w:r>
                        </w:p>
                      </w:txbxContent>
                    </v:textbox>
                  </v:shape>
                  <v:shape id="文本框 1998" o:spid="_x0000_s1047" type="#_x0000_t202" style="width:1269;height:458;left:2137;mso-wrap-style:square;position:absolute;top:5564;v-text-anchor:top" filled="t" fillcolor="white" stroked="t" strokeweight="1pt">
                    <v:fill color2="white"/>
                    <v:stroke joinstyle="miter" linestyle="single" endarrowwidth="narrow"/>
                    <v:shadow color="gray"/>
                    <o:lock v:ext="edit" aspectratio="f"/>
                    <v:textbox style="layout-flow:horizontal">
                      <w:txbxContent>
                        <w:p>
                          <w:pPr>
                            <w:jc w:val="center"/>
                            <w:rPr>
                              <w:rFonts w:hint="eastAsia"/>
                            </w:rPr>
                          </w:pPr>
                          <w:r>
                            <w:rPr>
                              <w:rFonts w:hint="eastAsia"/>
                            </w:rPr>
                            <w:t>喷淋用水</w:t>
                          </w:r>
                        </w:p>
                      </w:txbxContent>
                    </v:textbox>
                  </v:shape>
                  <v:shape id="文本框 1999" o:spid="_x0000_s1048" type="#_x0000_t202" style="width:1269;height:458;left:3984;mso-wrap-style:square;position:absolute;top:5555;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喷淋抑尘</w:t>
                          </w:r>
                        </w:p>
                      </w:txbxContent>
                    </v:textbox>
                  </v:shape>
                  <v:shape id="文本框 2000" o:spid="_x0000_s1049" type="#_x0000_t202" style="width:1269;height:458;left:5916;mso-wrap-style:square;position:absolute;top:5553;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喷淋废水</w:t>
                          </w:r>
                        </w:p>
                      </w:txbxContent>
                    </v:textbox>
                  </v:shape>
                  <v:shape id="文本框 2001" o:spid="_x0000_s1050" type="#_x0000_t202" style="width:1514;height:460;left:7899;mso-wrap-style:square;position:absolute;top:5549;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三级沉淀池</w:t>
                          </w:r>
                        </w:p>
                      </w:txbxContent>
                    </v:textbox>
                  </v:shape>
                  <v:shape id="自选图形 2002" o:spid="_x0000_s1051" type="#_x0000_t32" style="width:578;height:9;flip:y;left:3406;mso-wrap-style:square;position:absolute;top:5784" filled="f" stroked="t" strokeweight="1.5pt">
                    <v:fill o:detectmouseclick="t"/>
                    <v:stroke linestyle="single" endarrow="block" endarrowwidth="narrow"/>
                    <v:shadow color="gray"/>
                    <v:path arrowok="t" fillok="f"/>
                    <o:lock v:ext="edit" aspectratio="f"/>
                  </v:shape>
                  <v:shape id="自选图形 2003" o:spid="_x0000_s1052" type="#_x0000_t32" style="width:663;height:2;flip:y;left:5253;mso-wrap-style:square;position:absolute;top:5782" filled="f" stroked="t" strokeweight="1.5pt">
                    <v:fill o:detectmouseclick="t"/>
                    <v:stroke linestyle="single" endarrow="block" endarrowwidth="narrow"/>
                    <v:shadow color="gray"/>
                    <v:path arrowok="t" fillok="f"/>
                    <o:lock v:ext="edit" aspectratio="f"/>
                  </v:shape>
                  <v:shape id="自选图形 2004" o:spid="_x0000_s1053" type="#_x0000_t32" style="width:714;height:3;flip:y;left:7185;mso-wrap-style:square;position:absolute;top:5779" filled="f" stroked="t" strokeweight="1.5pt">
                    <v:fill o:detectmouseclick="t"/>
                    <v:stroke linestyle="single" endarrow="block" endarrowwidth="narrow"/>
                    <v:shadow color="gray"/>
                    <v:path arrowok="t" fillok="f"/>
                    <o:lock v:ext="edit" aspectratio="f"/>
                  </v:shape>
                  <v:shape id="文本框 2005" o:spid="_x0000_s1054" type="#_x0000_t202" style="width:1044;height:460;left:3171;mso-wrap-style:square;position:absolute;top:5363;v-text-anchor:top" filled="f" stroked="f" strokeweight="1pt">
                    <v:fill o:detectmouseclick="t"/>
                    <v:stroke linestyle="single"/>
                    <v:shadow color="gray"/>
                    <o:lock v:ext="edit" aspectratio="f"/>
                    <v:textbox style="layout-flow:horizontal">
                      <w:txbxContent>
                        <w:p>
                          <w:pPr>
                            <w:jc w:val="center"/>
                          </w:pPr>
                          <w:r>
                            <w:rPr>
                              <w:rFonts w:hint="eastAsia"/>
                              <w:lang w:val="en-US" w:eastAsia="zh-CN"/>
                            </w:rPr>
                            <w:t>700</w:t>
                          </w:r>
                          <w:r>
                            <w:t>0</w:t>
                          </w:r>
                        </w:p>
                      </w:txbxContent>
                    </v:textbox>
                  </v:shape>
                  <v:shape id="文本框 2006" o:spid="_x0000_s1055" type="#_x0000_t202" style="width:872;height:460;left:4626;mso-wrap-style:square;position:absolute;top:5174;v-text-anchor:top" filled="f" stroked="f" strokeweight="1pt">
                    <v:fill o:detectmouseclick="t"/>
                    <v:stroke linestyle="single"/>
                    <v:shadow color="gray"/>
                    <o:lock v:ext="edit" aspectratio="f"/>
                    <v:textbox style="layout-flow:horizontal">
                      <w:txbxContent>
                        <w:p>
                          <w:pPr>
                            <w:jc w:val="center"/>
                            <w:rPr>
                              <w:rFonts w:eastAsia="宋体" w:hint="default"/>
                            </w:rPr>
                          </w:pPr>
                          <w:r>
                            <w:t>1</w:t>
                          </w:r>
                          <w:r>
                            <w:rPr>
                              <w:rFonts w:hint="eastAsia"/>
                              <w:lang w:val="en-US" w:eastAsia="zh-CN"/>
                            </w:rPr>
                            <w:t>400</w:t>
                          </w:r>
                        </w:p>
                      </w:txbxContent>
                    </v:textbox>
                  </v:shape>
                  <v:shape id="文本框 2007" o:spid="_x0000_s1056" type="#_x0000_t202" style="width:1044;height:460;left:5072;mso-wrap-style:square;position:absolute;top:5322;v-text-anchor:top" filled="f" stroked="f" strokeweight="1pt">
                    <v:fill o:detectmouseclick="t"/>
                    <v:stroke linestyle="single"/>
                    <v:shadow color="gray"/>
                    <o:lock v:ext="edit" aspectratio="f"/>
                    <v:textbox style="layout-flow:horizontal">
                      <w:txbxContent>
                        <w:p>
                          <w:pPr>
                            <w:jc w:val="center"/>
                            <w:rPr>
                              <w:rFonts w:eastAsia="宋体" w:hint="default"/>
                            </w:rPr>
                          </w:pPr>
                          <w:r>
                            <w:rPr>
                              <w:rFonts w:hint="eastAsia"/>
                              <w:lang w:val="en-US" w:eastAsia="zh-CN"/>
                            </w:rPr>
                            <w:t>5600</w:t>
                          </w:r>
                        </w:p>
                      </w:txbxContent>
                    </v:textbox>
                  </v:shape>
                  <v:shape id="文本框 2008" o:spid="_x0000_s1057" type="#_x0000_t202" style="width:1044;height:460;left:6981;mso-wrap-style:square;position:absolute;top:5393;v-text-anchor:top" filled="f" stroked="f" strokeweight="1pt">
                    <v:fill o:detectmouseclick="t"/>
                    <v:stroke linestyle="single"/>
                    <v:shadow color="gray"/>
                    <o:lock v:ext="edit" aspectratio="f"/>
                    <v:textbox style="layout-flow:horizontal">
                      <w:txbxContent>
                        <w:p>
                          <w:pPr>
                            <w:jc w:val="center"/>
                            <w:rPr>
                              <w:rFonts w:eastAsia="宋体" w:hint="default"/>
                            </w:rPr>
                          </w:pPr>
                          <w:r>
                            <w:rPr>
                              <w:rFonts w:hint="eastAsia"/>
                              <w:lang w:val="en-US" w:eastAsia="zh-CN"/>
                            </w:rPr>
                            <w:t>5600</w:t>
                          </w:r>
                        </w:p>
                      </w:txbxContent>
                    </v:textbox>
                  </v:shape>
                  <v:shape id="自选图形 1749" o:spid="_x0000_s1058" type="#_x0000_t38" style="width:403;height:272;left:4370;mso-wrap-style:square;position:absolute;rotation:-90;top:5196;v-text-anchor:top" adj="10762" filled="f" stroked="t" strokeweight="1.5pt">
                    <v:fill o:detectmouseclick="t"/>
                    <v:stroke linestyle="single" endarrow="open" endarrowwidth="narrow"/>
                    <v:shadow color="gray"/>
                    <v:path arrowok="t" fillok="f"/>
                    <o:lock v:ext="edit" aspectratio="f"/>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自选图形 2010" o:spid="_x0000_s1059" type="#_x0000_t35" style="width:6641;height:243;flip:x;left:2772;mso-wrap-style:square;position:absolute;top:5779" adj="-1171,53600" filled="f" stroked="t" strokeweight="1.5pt">
                    <v:fill o:detectmouseclick="t"/>
                    <v:stroke joinstyle="miter" linestyle="single" endarrow="block" endarrowwidth="narrow"/>
                    <v:shadow color="gray"/>
                    <v:path arrowok="t" fillok="f"/>
                    <o:lock v:ext="edit" aspectratio="f"/>
                  </v:shape>
                  <v:shape id="文本框 2011" o:spid="_x0000_s1060" type="#_x0000_t202" style="width:1526;height:460;left:5482;mso-wrap-style:square;position:absolute;top:6325;v-text-anchor:top" filled="f" stroked="f" strokeweight="1pt">
                    <v:fill o:detectmouseclick="t"/>
                    <v:stroke linestyle="single"/>
                    <v:shadow color="gray"/>
                    <o:lock v:ext="edit" aspectratio="f"/>
                    <v:textbox style="layout-flow:horizontal">
                      <w:txbxContent>
                        <w:p>
                          <w:pPr>
                            <w:jc w:val="center"/>
                          </w:pPr>
                          <w:r>
                            <w:rPr>
                              <w:rFonts w:hint="eastAsia"/>
                            </w:rPr>
                            <w:t>回用</w:t>
                          </w:r>
                          <w:r>
                            <w:t>5600</w:t>
                          </w:r>
                        </w:p>
                      </w:txbxContent>
                    </v:textbox>
                  </v:shape>
                  <v:shape id="文本框 2012" o:spid="_x0000_s1061" type="#_x0000_t202" style="width:1269;height:458;left:6866;mso-wrap-style:square;position:absolute;top:4100;v-text-anchor:top" filled="t" fillcolor="white" stroked="t" strokeweight="1pt">
                    <v:fill color2="white"/>
                    <v:stroke joinstyle="miter" linestyle="single" endarrowwidth="narrow"/>
                    <v:shadow color="gray"/>
                    <o:lock v:ext="edit" aspectratio="f"/>
                    <v:textbox style="layout-flow:horizontal">
                      <w:txbxContent>
                        <w:p>
                          <w:pPr>
                            <w:jc w:val="center"/>
                          </w:pPr>
                          <w:r>
                            <w:rPr>
                              <w:rFonts w:hint="eastAsia"/>
                            </w:rPr>
                            <w:t>降尘用水</w:t>
                          </w:r>
                        </w:p>
                      </w:txbxContent>
                    </v:textbox>
                  </v:shape>
                  <v:shapetype id="_x0000_t36" coordsize="21600,21600" o:spt="36" o:oned="t" adj="10800,10800,10800" path="m,l@0,0@0@1@2@1@2,21600,21600,21600e" filled="f">
                    <v:stroke joinstyle="miter"/>
                    <v:formulas>
                      <v:f eqn="val #0"/>
                      <v:f eqn="val #1"/>
                      <v:f eqn="val #2"/>
                      <v:f eqn="prod #1 1 2"/>
                      <v:f eqn="mid #0 #2"/>
                      <v:f eqn="mid #1 height"/>
                    </v:formulas>
                    <v:path arrowok="t" fillok="f" o:connecttype="none"/>
                    <v:handles>
                      <v:h position="#0,@3"/>
                      <v:h position="@4,#1"/>
                      <v:h position="#2,@5"/>
                    </v:handles>
                    <o:lock v:ext="edit" shapetype="t"/>
                  </v:shapetype>
                  <v:shape id="自选图形 2015" o:spid="_x0000_s1062" type="#_x0000_t36" style="width:2982;height:1459;flip:x;left:2137;mso-wrap-style:square;position:absolute;top:4334" adj="-2608,10807,24208" filled="f" stroked="t" strokeweight="1.5pt">
                    <v:fill o:detectmouseclick="t"/>
                    <v:stroke joinstyle="miter" linestyle="single" endarrow="block" endarrowwidth="narrow"/>
                    <v:shadow color="gray"/>
                    <v:path arrowok="t" fillok="f"/>
                    <o:lock v:ext="edit" aspectratio="f"/>
                  </v:shape>
                  <v:shape id="文本框 2016" o:spid="_x0000_s1063" type="#_x0000_t202" style="width:1284;height:460;left:2301;mso-wrap-style:square;position:absolute;top:4664;v-text-anchor:top" filled="f" stroked="f" strokeweight="1pt">
                    <v:fill o:detectmouseclick="t"/>
                    <v:stroke linestyle="single"/>
                    <v:shadow color="gray"/>
                    <o:lock v:ext="edit" aspectratio="f"/>
                    <v:textbox style="layout-flow:horizontal">
                      <w:txbxContent>
                        <w:p>
                          <w:pPr>
                            <w:jc w:val="center"/>
                          </w:pPr>
                          <w:r>
                            <w:rPr>
                              <w:rFonts w:hint="eastAsia"/>
                            </w:rPr>
                            <w:t>回用</w:t>
                          </w:r>
                          <w:r>
                            <w:rPr>
                              <w:rFonts w:hint="eastAsia"/>
                              <w:lang w:val="en-US" w:eastAsia="zh-CN"/>
                            </w:rPr>
                            <w:t>140</w:t>
                          </w:r>
                          <w:r>
                            <w:t>0</w:t>
                          </w:r>
                        </w:p>
                      </w:txbxContent>
                    </v:textbox>
                  </v:shape>
                  <v:shape id="文本框 2017" o:spid="_x0000_s1064" type="#_x0000_t202" style="width:1044;height:460;left:7399;mso-wrap-style:square;position:absolute;top:3711;v-text-anchor:top" filled="f" stroked="f" strokeweight="1pt">
                    <v:fill o:detectmouseclick="t"/>
                    <v:stroke linestyle="single"/>
                    <v:shadow color="gray"/>
                    <o:lock v:ext="edit" aspectratio="f"/>
                    <v:textbox style="layout-flow:horizontal">
                      <w:txbxContent>
                        <w:p>
                          <w:pPr>
                            <w:jc w:val="center"/>
                            <w:rPr>
                              <w:rFonts w:eastAsia="宋体" w:hint="default"/>
                            </w:rPr>
                          </w:pPr>
                          <w:r>
                            <w:rPr>
                              <w:rFonts w:hint="eastAsia"/>
                              <w:lang w:val="en-US" w:eastAsia="zh-CN"/>
                            </w:rPr>
                            <w:t>11375</w:t>
                          </w:r>
                        </w:p>
                      </w:txbxContent>
                    </v:textbox>
                  </v:shape>
                  <v:shape id="自选图形 1749" o:spid="_x0000_s1065" type="#_x0000_t38" style="width:422;height:314;left:7165;mso-wrap-style:square;position:absolute;rotation:-90;top:3747;v-text-anchor:top" adj="10762" filled="f" stroked="t" strokeweight="1.5pt">
                    <v:fill o:detectmouseclick="t"/>
                    <v:stroke linestyle="single" endarrow="open" endarrowwidth="narrow"/>
                    <v:shadow color="gray"/>
                    <v:path arrowok="t" fillok="f"/>
                    <o:lock v:ext="edit" aspectratio="f"/>
                  </v:shape>
                  <v:shape id="文本框 2021" o:spid="_x0000_s1066" type="#_x0000_t202" style="width:1633;height:460;left:5320;mso-wrap-style:square;position:absolute;top:3927;v-text-anchor:top" filled="f" stroked="f" strokeweight="1pt">
                    <v:fill o:detectmouseclick="t"/>
                    <v:stroke linestyle="single"/>
                    <v:shadow color="gray"/>
                    <o:lock v:ext="edit" aspectratio="f"/>
                    <v:textbox style="layout-flow:horizontal">
                      <w:txbxContent>
                        <w:p>
                          <w:pPr>
                            <w:jc w:val="center"/>
                            <w:rPr>
                              <w:rFonts w:eastAsia="宋体" w:hint="default"/>
                            </w:rPr>
                          </w:pPr>
                          <w:r>
                            <w:rPr>
                              <w:rFonts w:hint="eastAsia"/>
                            </w:rPr>
                            <w:t>回用</w:t>
                          </w:r>
                          <w:r>
                            <w:rPr>
                              <w:rFonts w:hint="eastAsia"/>
                              <w:lang w:val="en-US" w:eastAsia="zh-CN"/>
                            </w:rPr>
                            <w:t>11375</w:t>
                          </w:r>
                        </w:p>
                      </w:txbxContent>
                    </v:textbox>
                  </v:shape>
                  <v:shape id="自选图形 2079" o:spid="_x0000_s1067" type="#_x0000_t32" style="width:680;height:0;left:3218;mso-wrap-style:square;position:absolute;top:2576" filled="f" stroked="t" strokeweight="1.5pt">
                    <v:fill o:detectmouseclick="t"/>
                    <v:stroke linestyle="single" endarrow="block" endarrowwidth="narrow"/>
                    <v:shadow color="gray"/>
                    <v:path arrowok="t" fillok="f"/>
                    <o:lock v:ext="edit" aspectratio="f"/>
                  </v:shape>
                  <w10:wrap type="none"/>
                  <w10:anchorlock/>
                </v:group>
              </w:pict>
            </w:r>
          </w:p>
          <w:p>
            <w:pPr>
              <w:pStyle w:val="120"/>
              <w:ind w:firstLine="482"/>
              <w:jc w:val="center"/>
              <w:rPr>
                <w:rFonts w:cs="Times New Roman" w:hint="default"/>
                <w:b/>
                <w:bCs/>
                <w:color w:val="auto"/>
              </w:rPr>
            </w:pPr>
            <w:r>
              <w:rPr>
                <w:rFonts w:ascii="Times New Roman" w:hAnsi="Times New Roman" w:cs="Times New Roman" w:hint="default"/>
                <w:b/>
                <w:bCs/>
                <w:color w:val="auto"/>
              </w:rPr>
              <w:t>图1-1 项目水平衡图（单位：t/a）</w:t>
            </w:r>
          </w:p>
        </w:tc>
      </w:tr>
    </w:tbl>
    <w:p>
      <w:pPr>
        <w:sectPr>
          <w:footerReference w:type="even" r:id="rId20"/>
          <w:footerReference w:type="default" r:id="rId21"/>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7"/>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pStyle w:val="120"/>
              <w:ind w:firstLine="482"/>
              <w:rPr>
                <w:rFonts w:cs="Times New Roman" w:hint="default"/>
                <w:b/>
                <w:bCs/>
                <w:color w:val="auto"/>
              </w:rPr>
            </w:pPr>
            <w:r>
              <w:rPr>
                <w:rFonts w:ascii="Times New Roman" w:hAnsi="Times New Roman" w:cs="Times New Roman" w:hint="default"/>
                <w:b/>
                <w:bCs/>
                <w:color w:val="auto"/>
              </w:rPr>
              <w:t>（3）供电</w:t>
            </w:r>
          </w:p>
          <w:p>
            <w:pPr>
              <w:pStyle w:val="120"/>
              <w:rPr>
                <w:rFonts w:cs="Times New Roman" w:hint="default"/>
                <w:color w:val="auto"/>
              </w:rPr>
            </w:pPr>
            <w:r>
              <w:rPr>
                <w:rFonts w:ascii="Times New Roman" w:hAnsi="Times New Roman" w:cs="Times New Roman" w:hint="default"/>
                <w:color w:val="auto"/>
              </w:rPr>
              <w:t>由</w:t>
            </w:r>
            <w:r>
              <w:rPr>
                <w:rFonts w:ascii="Times New Roman" w:hAnsi="Times New Roman" w:cs="Times New Roman" w:hint="default"/>
                <w:color w:val="auto"/>
                <w:lang w:eastAsia="zh-CN"/>
              </w:rPr>
              <w:t>阳春市供电局</w:t>
            </w:r>
            <w:r>
              <w:rPr>
                <w:rFonts w:ascii="Times New Roman" w:hAnsi="Times New Roman" w:cs="Times New Roman" w:hint="default"/>
                <w:color w:val="auto"/>
              </w:rPr>
              <w:t>统一供电，年用电量约1.01万kw</w:t>
            </w:r>
            <w:r>
              <w:rPr>
                <w:rFonts w:ascii="Times New Roman" w:hAnsi="Times New Roman" w:cs="Times New Roman" w:hint="default"/>
                <w:color w:val="auto"/>
              </w:rPr>
              <w:t>·</w:t>
            </w:r>
            <w:r>
              <w:rPr>
                <w:rFonts w:ascii="Times New Roman" w:hAnsi="Times New Roman" w:cs="Times New Roman" w:hint="default"/>
                <w:color w:val="auto"/>
              </w:rPr>
              <w:t>h。</w:t>
            </w:r>
          </w:p>
          <w:p>
            <w:pPr>
              <w:pStyle w:val="120"/>
              <w:ind w:firstLine="482"/>
              <w:rPr>
                <w:rFonts w:cs="Times New Roman" w:hint="default"/>
                <w:b/>
                <w:bCs/>
                <w:color w:val="auto"/>
              </w:rPr>
            </w:pPr>
            <w:r>
              <w:rPr>
                <w:rFonts w:ascii="Times New Roman" w:hAnsi="Times New Roman" w:cs="Times New Roman" w:hint="default"/>
                <w:b/>
                <w:bCs/>
                <w:color w:val="auto"/>
              </w:rPr>
              <w:t>（4）供油</w:t>
            </w:r>
          </w:p>
          <w:p>
            <w:pPr>
              <w:pStyle w:val="120"/>
              <w:rPr>
                <w:rFonts w:cs="Times New Roman" w:hint="default"/>
                <w:color w:val="auto"/>
              </w:rPr>
            </w:pPr>
            <w:r>
              <w:rPr>
                <w:rFonts w:ascii="Times New Roman" w:hAnsi="Times New Roman" w:cs="Times New Roman" w:hint="default"/>
                <w:color w:val="auto"/>
              </w:rPr>
              <w:t>项目内各生产机械使用燃料为柴油，年用量约为400m</w:t>
            </w:r>
            <w:r>
              <w:rPr>
                <w:rFonts w:ascii="Times New Roman" w:hAnsi="Times New Roman" w:cs="Times New Roman" w:hint="default"/>
                <w:color w:val="auto"/>
                <w:vertAlign w:val="superscript"/>
              </w:rPr>
              <w:t>3</w:t>
            </w:r>
            <w:r>
              <w:rPr>
                <w:rFonts w:ascii="Times New Roman" w:hAnsi="Times New Roman" w:cs="Times New Roman" w:hint="default"/>
                <w:color w:val="auto"/>
              </w:rPr>
              <w:t>。项目内不设置柴油储罐。</w:t>
            </w:r>
          </w:p>
          <w:p>
            <w:pPr>
              <w:spacing w:line="360" w:lineRule="auto"/>
              <w:ind w:firstLine="480" w:firstLineChars="200"/>
              <w:jc w:val="left"/>
              <w:rPr>
                <w:rFonts w:ascii="Times New Roman" w:hAnsi="Times New Roman" w:cs="Times New Roman" w:hint="default"/>
                <w:b/>
                <w:color w:val="auto"/>
              </w:rPr>
            </w:pPr>
            <w:r>
              <w:rPr>
                <w:rFonts w:ascii="Times New Roman" w:hAnsi="Times New Roman" w:cs="Times New Roman" w:hint="default"/>
                <w:b/>
                <w:color w:val="auto"/>
              </w:rPr>
              <w:t>五、土石方平衡</w:t>
            </w:r>
          </w:p>
          <w:p>
            <w:pPr>
              <w:widowControl/>
              <w:spacing w:line="360" w:lineRule="auto"/>
              <w:ind w:firstLine="480" w:firstLineChars="200"/>
              <w:jc w:val="left"/>
              <w:rPr>
                <w:rFonts w:ascii="Times New Roman" w:hAnsi="Times New Roman" w:cs="Times New Roman" w:hint="default"/>
                <w:b/>
                <w:color w:val="auto"/>
              </w:rPr>
            </w:pPr>
            <w:r>
              <w:rPr>
                <w:rFonts w:ascii="Times New Roman" w:hAnsi="Times New Roman" w:cs="Times New Roman" w:hint="default"/>
                <w:b/>
                <w:color w:val="auto"/>
              </w:rPr>
              <w:t>1、基建期土石方量</w:t>
            </w:r>
          </w:p>
          <w:p>
            <w:pPr>
              <w:widowControl/>
              <w:spacing w:line="360" w:lineRule="auto"/>
              <w:ind w:firstLine="480" w:firstLineChars="200"/>
              <w:jc w:val="left"/>
              <w:rPr>
                <w:rFonts w:ascii="Times New Roman" w:hAnsi="Times New Roman" w:cs="Times New Roman" w:hint="default"/>
                <w:b/>
                <w:bCs/>
                <w:color w:val="auto"/>
                <w:kern w:val="0"/>
                <w:szCs w:val="24"/>
                <w:lang w:bidi="ar"/>
              </w:rPr>
            </w:pPr>
            <w:r>
              <w:rPr>
                <w:rFonts w:ascii="Times New Roman" w:hAnsi="Times New Roman" w:cs="Times New Roman" w:hint="default"/>
                <w:b/>
                <w:bCs/>
                <w:color w:val="auto"/>
                <w:kern w:val="0"/>
                <w:szCs w:val="24"/>
                <w:lang w:bidi="ar"/>
              </w:rPr>
              <w:t>（1）开采区</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根据</w:t>
            </w:r>
            <w:r>
              <w:rPr>
                <w:rFonts w:ascii="Times New Roman" w:hAnsi="Times New Roman" w:cs="Times New Roman" w:hint="default"/>
                <w:color w:val="auto"/>
                <w:kern w:val="0"/>
                <w:szCs w:val="24"/>
                <w:lang w:bidi="ar"/>
              </w:rPr>
              <w:t>“</w:t>
            </w:r>
            <w:r>
              <w:rPr>
                <w:rFonts w:ascii="Times New Roman" w:hAnsi="Times New Roman" w:cs="Times New Roman" w:hint="default"/>
                <w:color w:val="auto"/>
                <w:kern w:val="0"/>
                <w:szCs w:val="24"/>
                <w:lang w:bidi="ar"/>
              </w:rPr>
              <w:t>先拦后弃</w:t>
            </w:r>
            <w:r>
              <w:rPr>
                <w:rFonts w:ascii="Times New Roman" w:hAnsi="Times New Roman" w:cs="Times New Roman" w:hint="default"/>
                <w:color w:val="auto"/>
                <w:kern w:val="0"/>
                <w:szCs w:val="24"/>
                <w:lang w:bidi="ar"/>
              </w:rPr>
              <w:t>”</w:t>
            </w:r>
            <w:r>
              <w:rPr>
                <w:rFonts w:ascii="Times New Roman" w:hAnsi="Times New Roman" w:cs="Times New Roman" w:hint="default"/>
                <w:color w:val="auto"/>
                <w:kern w:val="0"/>
                <w:szCs w:val="24"/>
                <w:lang w:bidi="ar"/>
              </w:rPr>
              <w:t>的原则，为减轻水土流失，露天采矿区边生产边剥离。区内大多地区为基岩直接出露地表，根据相关资料，上层剥离共产生土石方3.20万m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。其中，剥离矿体上部第四系残坡积层覆盖土0.4万m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，剥离的覆盖土堆放在临时表土堆放场，并做防护；剥离石方2.8万m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，0.72万m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石方调用于道路的路面回填，2.08万m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石方调用于生产区场地填筑。</w:t>
            </w:r>
          </w:p>
          <w:p>
            <w:pPr>
              <w:widowControl/>
              <w:spacing w:line="360" w:lineRule="auto"/>
              <w:ind w:firstLine="480" w:firstLineChars="200"/>
              <w:jc w:val="left"/>
              <w:rPr>
                <w:rFonts w:ascii="Times New Roman" w:hAnsi="Times New Roman" w:cs="Times New Roman" w:hint="default"/>
                <w:b/>
                <w:bCs/>
                <w:color w:val="auto"/>
                <w:kern w:val="0"/>
                <w:szCs w:val="24"/>
                <w:lang w:bidi="ar"/>
              </w:rPr>
            </w:pPr>
            <w:r>
              <w:rPr>
                <w:rFonts w:ascii="Times New Roman" w:hAnsi="Times New Roman" w:cs="Times New Roman" w:hint="default"/>
                <w:b/>
                <w:bCs/>
                <w:color w:val="auto"/>
                <w:kern w:val="0"/>
                <w:szCs w:val="24"/>
                <w:lang w:bidi="ar"/>
              </w:rPr>
              <w:t>（2）道路区</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开拓进矿道路的路面宽6m，路基一般为半挖半填式，道路区挖方总量约为1.39万m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，路面为泥结碎石结构，需回填石方0.72万m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，则道路区填方总量约为2.11万m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，不足土石方量由开采区剥离土石方调入。</w:t>
            </w:r>
          </w:p>
          <w:p>
            <w:pPr>
              <w:widowControl/>
              <w:spacing w:line="360" w:lineRule="auto"/>
              <w:ind w:firstLine="480" w:firstLineChars="200"/>
              <w:jc w:val="left"/>
              <w:rPr>
                <w:rFonts w:ascii="Times New Roman" w:hAnsi="Times New Roman" w:cs="Times New Roman" w:hint="default"/>
                <w:b/>
                <w:bCs/>
                <w:color w:val="auto"/>
                <w:kern w:val="0"/>
                <w:szCs w:val="24"/>
                <w:lang w:bidi="ar"/>
              </w:rPr>
            </w:pPr>
            <w:r>
              <w:rPr>
                <w:rFonts w:ascii="Times New Roman" w:hAnsi="Times New Roman" w:cs="Times New Roman" w:hint="default"/>
                <w:b/>
                <w:bCs/>
                <w:color w:val="auto"/>
                <w:kern w:val="0"/>
                <w:szCs w:val="24"/>
                <w:lang w:bidi="ar"/>
              </w:rPr>
              <w:t>（3）生产区</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生产区占用耕地、园地，建设前先剥离表土，剥离厚度按0.2m计算，共需剥离表土0.63万m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，剥离表土堆放在临时表土堆放场内。</w:t>
            </w:r>
          </w:p>
          <w:p>
            <w:pPr>
              <w:widowControl/>
              <w:spacing w:line="360" w:lineRule="auto"/>
              <w:ind w:firstLine="480" w:firstLineChars="200"/>
              <w:jc w:val="left"/>
              <w:rPr>
                <w:rFonts w:ascii="Times New Roman" w:hAnsi="Times New Roman" w:cs="Times New Roman" w:hint="default"/>
                <w:b/>
                <w:bCs/>
                <w:color w:val="auto"/>
                <w:kern w:val="0"/>
                <w:szCs w:val="24"/>
                <w:lang w:bidi="ar"/>
              </w:rPr>
            </w:pPr>
            <w:r>
              <w:rPr>
                <w:rFonts w:ascii="Times New Roman" w:hAnsi="Times New Roman" w:cs="Times New Roman" w:hint="default"/>
                <w:b/>
                <w:bCs/>
                <w:color w:val="auto"/>
                <w:kern w:val="0"/>
                <w:szCs w:val="24"/>
                <w:lang w:bidi="ar"/>
              </w:rPr>
              <w:t>（4）综合服务区</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综合服务区占用耕地、园地，建设前先剥离表土，剥离厚度按0.2m计算，共需剥离表土0.17万m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，剥离表土堆放在临时表土堆放场内。</w:t>
            </w:r>
          </w:p>
          <w:p>
            <w:pPr>
              <w:widowControl/>
              <w:spacing w:line="360" w:lineRule="auto"/>
              <w:ind w:firstLine="480" w:firstLineChars="200"/>
              <w:jc w:val="left"/>
              <w:rPr>
                <w:rFonts w:ascii="Times New Roman" w:hAnsi="Times New Roman" w:cs="Times New Roman" w:hint="default"/>
                <w:b/>
                <w:color w:val="auto"/>
              </w:rPr>
            </w:pPr>
            <w:r>
              <w:rPr>
                <w:rFonts w:ascii="Times New Roman" w:hAnsi="Times New Roman" w:cs="Times New Roman" w:hint="default"/>
                <w:b/>
                <w:color w:val="auto"/>
              </w:rPr>
              <w:t>2、生产期土石方量</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生产期后期，矿山复垦需回覆绿化土，覆土厚度按平均0.5m计算，共需4.01万m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土方，回填利用临时表土堆放场的1.2万m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外，还需外借2.81万m</w:t>
            </w:r>
            <w:r>
              <w:rPr>
                <w:rFonts w:ascii="Times New Roman" w:hAnsi="Times New Roman" w:cs="Times New Roman" w:hint="default"/>
                <w:color w:val="auto"/>
                <w:kern w:val="0"/>
                <w:szCs w:val="24"/>
                <w:vertAlign w:val="superscript"/>
                <w:lang w:bidi="ar"/>
              </w:rPr>
              <w:t>3</w:t>
            </w:r>
            <w:r>
              <w:rPr>
                <w:rFonts w:ascii="Times New Roman" w:hAnsi="Times New Roman" w:cs="Times New Roman" w:hint="default"/>
                <w:color w:val="auto"/>
                <w:kern w:val="0"/>
                <w:szCs w:val="24"/>
                <w:lang w:bidi="ar"/>
              </w:rPr>
              <w:t>，外借土方通过外购合法土场解决。</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根据建设规模，生产期共采出2种矿石</w:t>
            </w:r>
            <w:r>
              <w:rPr>
                <w:rFonts w:ascii="Times New Roman" w:hAnsi="Times New Roman" w:cs="Times New Roman" w:hint="default"/>
                <w:color w:val="auto"/>
                <w:kern w:val="0"/>
                <w:szCs w:val="24"/>
                <w:lang w:val="en-US" w:eastAsia="zh-CN" w:bidi="ar"/>
              </w:rPr>
              <w:t>1001.28</w:t>
            </w:r>
            <w:r>
              <w:rPr>
                <w:rFonts w:ascii="Times New Roman" w:hAnsi="Times New Roman" w:cs="Times New Roman" w:hint="default"/>
                <w:color w:val="auto"/>
                <w:kern w:val="0"/>
                <w:szCs w:val="24"/>
                <w:lang w:bidi="ar"/>
              </w:rPr>
              <w:t>万</w:t>
            </w:r>
            <w:r>
              <w:rPr>
                <w:rFonts w:ascii="Times New Roman" w:hAnsi="Times New Roman" w:cs="Times New Roman" w:hint="default"/>
                <w:color w:val="auto"/>
                <w:kern w:val="0"/>
                <w:szCs w:val="24"/>
                <w:lang w:val="en-US" w:eastAsia="zh-CN" w:bidi="ar"/>
              </w:rPr>
              <w:t>t</w:t>
            </w:r>
            <w:r>
              <w:rPr>
                <w:rFonts w:ascii="Times New Roman" w:hAnsi="Times New Roman" w:cs="Times New Roman" w:hint="default"/>
                <w:color w:val="auto"/>
                <w:kern w:val="0"/>
                <w:szCs w:val="24"/>
                <w:lang w:bidi="ar"/>
              </w:rPr>
              <w:t>（不计入土石方平衡），采出的矿石经破碎生产出熔剂用灰岩碎石和粉料、建筑用灰岩矿碎石和石粉。</w:t>
            </w:r>
          </w:p>
          <w:p>
            <w:pPr>
              <w:widowControl/>
              <w:spacing w:after="0" w:line="360" w:lineRule="auto"/>
              <w:ind w:firstLine="480" w:firstLineChars="200"/>
              <w:jc w:val="left"/>
              <w:rPr>
                <w:rFonts w:ascii="Times New Roman" w:hAnsi="Times New Roman" w:cs="Times New Roman" w:hint="default"/>
                <w:b/>
                <w:bCs/>
                <w:color w:val="auto"/>
              </w:rPr>
            </w:pPr>
          </w:p>
        </w:tc>
      </w:tr>
    </w:tbl>
    <w:p>
      <w:pPr>
        <w:sectPr>
          <w:footerReference w:type="even" r:id="rId22"/>
          <w:footerReference w:type="default" r:id="rId23"/>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8"/>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widowControl/>
              <w:spacing w:before="0" w:line="360" w:lineRule="auto"/>
              <w:ind w:firstLine="480" w:firstLineChars="200"/>
              <w:jc w:val="left"/>
              <w:rPr>
                <w:rFonts w:ascii="Times New Roman" w:hAnsi="Times New Roman" w:cs="Times New Roman" w:hint="default"/>
                <w:b/>
                <w:bCs/>
                <w:color w:val="auto"/>
              </w:rPr>
            </w:pPr>
            <w:r>
              <w:rPr>
                <w:rFonts w:ascii="Times New Roman" w:hAnsi="Times New Roman" w:cs="Times New Roman" w:hint="default"/>
                <w:color w:val="auto"/>
                <w:kern w:val="0"/>
                <w:szCs w:val="24"/>
                <w:lang w:bidi="ar"/>
              </w:rPr>
              <w:t>根据该矿资源开发利用方案，本矿矿石（熔剂用灰岩）与夹石（建筑用灰岩）呈互层产出。矿体中夹石绝大部分为白云质灰岩，主要为高MgO、高SiO2两种类型，矿石具有CaO含量高、MgO含量低的特点，可将部分矿石中的夹石与质量较好的高CaO、低MgO矿石搭配成可利用的矿石，没有产生废石。</w:t>
            </w:r>
          </w:p>
          <w:p>
            <w:pPr>
              <w:widowControl/>
              <w:spacing w:line="360" w:lineRule="auto"/>
              <w:ind w:firstLine="480" w:firstLineChars="200"/>
              <w:jc w:val="left"/>
              <w:rPr>
                <w:rFonts w:ascii="Times New Roman" w:hAnsi="Times New Roman" w:cs="Times New Roman" w:hint="default"/>
                <w:b/>
                <w:bCs/>
                <w:color w:val="auto"/>
              </w:rPr>
            </w:pPr>
            <w:r>
              <w:rPr>
                <w:rFonts w:ascii="Times New Roman" w:hAnsi="Times New Roman" w:cs="Times New Roman" w:hint="default"/>
                <w:b/>
                <w:bCs/>
                <w:color w:val="auto"/>
              </w:rPr>
              <w:t>3、土石方平衡</w:t>
            </w:r>
          </w:p>
          <w:p>
            <w:pPr>
              <w:widowControl/>
              <w:spacing w:line="360" w:lineRule="auto"/>
              <w:ind w:firstLine="480" w:firstLineChars="200"/>
              <w:jc w:val="left"/>
              <w:rPr>
                <w:rFonts w:ascii="Times New Roman" w:hAnsi="Times New Roman" w:cs="Times New Roman" w:hint="default"/>
                <w:bCs/>
                <w:color w:val="auto"/>
              </w:rPr>
            </w:pPr>
            <w:r>
              <w:rPr>
                <w:rFonts w:ascii="Times New Roman" w:hAnsi="Times New Roman" w:cs="Times New Roman" w:hint="default"/>
                <w:bCs/>
                <w:color w:val="auto"/>
              </w:rPr>
              <w:t>本项目挖方总量为5.39万m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，填方总量为7万m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，借方总量为2.81万m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，弃方总量为1.2万m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。借方为矿山闭坑期的绿化回填土方，通过外购解决；弃方全部为表土，矿区开采结束后，回填到矿区底板，以利于植被恢复。项目土石方基本达到平衡。</w:t>
            </w:r>
          </w:p>
          <w:p>
            <w:pPr>
              <w:widowControl/>
              <w:spacing w:line="360" w:lineRule="auto"/>
              <w:ind w:firstLine="480" w:firstLineChars="200"/>
              <w:jc w:val="left"/>
              <w:rPr>
                <w:rFonts w:ascii="Times New Roman" w:hAnsi="Times New Roman" w:cs="Times New Roman" w:hint="default"/>
                <w:color w:val="auto"/>
                <w:kern w:val="0"/>
                <w:szCs w:val="24"/>
                <w:lang w:bidi="ar"/>
              </w:rPr>
            </w:pPr>
            <w:r>
              <w:rPr>
                <w:rFonts w:ascii="Times New Roman" w:hAnsi="Times New Roman" w:cs="Times New Roman" w:hint="default"/>
                <w:color w:val="auto"/>
                <w:kern w:val="0"/>
                <w:szCs w:val="24"/>
                <w:lang w:bidi="ar"/>
              </w:rPr>
              <w:t>土石方平衡及调配利用详见下表1-7，土石方流向框图见图1-</w:t>
            </w:r>
            <w:r>
              <w:rPr>
                <w:rFonts w:ascii="Times New Roman" w:hAnsi="Times New Roman" w:cs="Times New Roman" w:hint="default"/>
                <w:color w:val="auto"/>
                <w:kern w:val="0"/>
                <w:szCs w:val="24"/>
                <w:lang w:val="en-US" w:eastAsia="zh-CN" w:bidi="ar"/>
              </w:rPr>
              <w:t>2</w:t>
            </w:r>
            <w:r>
              <w:rPr>
                <w:rFonts w:ascii="Times New Roman" w:hAnsi="Times New Roman" w:cs="Times New Roman" w:hint="default"/>
                <w:color w:val="auto"/>
                <w:kern w:val="0"/>
                <w:szCs w:val="24"/>
                <w:lang w:bidi="ar"/>
              </w:rPr>
              <w:t>。</w:t>
            </w:r>
          </w:p>
          <w:p>
            <w:pPr>
              <w:pStyle w:val="22"/>
              <w:ind w:firstLine="0"/>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表1-7   土石方平衡表 单位：m</w:t>
            </w:r>
            <w:r>
              <w:rPr>
                <w:rFonts w:ascii="Times New Roman" w:hAnsi="Times New Roman" w:cs="Times New Roman" w:hint="default"/>
                <w:color w:val="auto"/>
                <w:sz w:val="21"/>
                <w:szCs w:val="21"/>
                <w:vertAlign w:val="superscript"/>
              </w:rPr>
              <w:t>3</w:t>
            </w:r>
            <w:r>
              <w:rPr>
                <w:rFonts w:ascii="Times New Roman" w:hAnsi="Times New Roman" w:cs="Times New Roman" w:hint="default"/>
                <w:color w:val="auto"/>
                <w:sz w:val="21"/>
                <w:szCs w:val="21"/>
              </w:rPr>
              <w:t>（自然方）</w:t>
            </w:r>
          </w:p>
          <w:tbl>
            <w:tblPr>
              <w:tblStyle w:val="TableNormal"/>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
            <w:tblGrid>
              <w:gridCol w:w="463"/>
              <w:gridCol w:w="1266"/>
              <w:gridCol w:w="584"/>
              <w:gridCol w:w="584"/>
              <w:gridCol w:w="584"/>
              <w:gridCol w:w="584"/>
              <w:gridCol w:w="584"/>
              <w:gridCol w:w="427"/>
              <w:gridCol w:w="584"/>
              <w:gridCol w:w="1214"/>
              <w:gridCol w:w="585"/>
              <w:gridCol w:w="428"/>
              <w:gridCol w:w="585"/>
              <w:gridCol w:w="720"/>
            </w:tblGrid>
            <w:tr>
              <w:tblPrEx>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Ex>
              <w:trPr>
                <w:trHeight w:val="300"/>
              </w:trPr>
              <w:tc>
                <w:tcPr>
                  <w:tcW w:w="350" w:type="pct"/>
                  <w:vMerge w:val="restar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服务期</w:t>
                  </w:r>
                </w:p>
              </w:tc>
              <w:tc>
                <w:tcPr>
                  <w:tcW w:w="655" w:type="pct"/>
                  <w:vMerge w:val="restar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项目</w:t>
                  </w:r>
                </w:p>
              </w:tc>
              <w:tc>
                <w:tcPr>
                  <w:tcW w:w="863" w:type="pct"/>
                  <w:gridSpan w:val="3"/>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挖方</w:t>
                  </w:r>
                </w:p>
              </w:tc>
              <w:tc>
                <w:tcPr>
                  <w:tcW w:w="294"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填方</w:t>
                  </w:r>
                </w:p>
              </w:tc>
              <w:tc>
                <w:tcPr>
                  <w:tcW w:w="509" w:type="pct"/>
                  <w:gridSpan w:val="2"/>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调入</w:t>
                  </w:r>
                </w:p>
              </w:tc>
              <w:tc>
                <w:tcPr>
                  <w:tcW w:w="1001" w:type="pct"/>
                  <w:gridSpan w:val="2"/>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调出</w:t>
                  </w:r>
                </w:p>
              </w:tc>
              <w:tc>
                <w:tcPr>
                  <w:tcW w:w="503" w:type="pct"/>
                  <w:gridSpan w:val="2"/>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借方</w:t>
                  </w:r>
                </w:p>
              </w:tc>
              <w:tc>
                <w:tcPr>
                  <w:tcW w:w="824" w:type="pct"/>
                  <w:gridSpan w:val="2"/>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弃方</w:t>
                  </w:r>
                </w:p>
              </w:tc>
            </w:tr>
            <w:tr>
              <w:tblPrEx>
                <w:tblW w:w="5000" w:type="pct"/>
                <w:tblInd w:w="113" w:type="dxa"/>
                <w:tblCellMar>
                  <w:top w:w="0" w:type="dxa"/>
                  <w:left w:w="108" w:type="dxa"/>
                  <w:bottom w:w="0" w:type="dxa"/>
                  <w:right w:w="108" w:type="dxa"/>
                </w:tblCellMar>
                <w:tblLook w:val="0000"/>
              </w:tblPrEx>
              <w:trPr>
                <w:trHeight w:val="300"/>
              </w:trPr>
              <w:tc>
                <w:tcPr>
                  <w:tcW w:w="350" w:type="pct"/>
                  <w:vMerge/>
                  <w:vAlign w:val="center"/>
                </w:tcPr>
                <w:p>
                  <w:pPr>
                    <w:widowControl/>
                    <w:rPr>
                      <w:rFonts w:ascii="Times New Roman" w:hAnsi="Times New Roman" w:cs="Times New Roman" w:hint="default"/>
                      <w:b/>
                      <w:bCs/>
                      <w:color w:val="auto"/>
                      <w:sz w:val="21"/>
                      <w:szCs w:val="21"/>
                    </w:rPr>
                  </w:pPr>
                </w:p>
              </w:tc>
              <w:tc>
                <w:tcPr>
                  <w:tcW w:w="655" w:type="pct"/>
                  <w:vMerge/>
                  <w:vAlign w:val="center"/>
                </w:tcPr>
                <w:p>
                  <w:pPr>
                    <w:widowControl/>
                    <w:rPr>
                      <w:rFonts w:ascii="Times New Roman" w:hAnsi="Times New Roman" w:cs="Times New Roman" w:hint="default"/>
                      <w:b/>
                      <w:bCs/>
                      <w:color w:val="auto"/>
                      <w:sz w:val="21"/>
                      <w:szCs w:val="21"/>
                    </w:rPr>
                  </w:pP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小计</w:t>
                  </w: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土方</w:t>
                  </w: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石方</w:t>
                  </w:r>
                </w:p>
              </w:tc>
              <w:tc>
                <w:tcPr>
                  <w:tcW w:w="294"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土石方</w:t>
                  </w: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数量</w:t>
                  </w:r>
                </w:p>
              </w:tc>
              <w:tc>
                <w:tcPr>
                  <w:tcW w:w="222"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来源</w:t>
                  </w: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数量</w:t>
                  </w:r>
                </w:p>
              </w:tc>
              <w:tc>
                <w:tcPr>
                  <w:tcW w:w="713"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去向</w:t>
                  </w: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数量</w:t>
                  </w:r>
                </w:p>
              </w:tc>
              <w:tc>
                <w:tcPr>
                  <w:tcW w:w="216"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来源</w:t>
                  </w:r>
                </w:p>
              </w:tc>
              <w:tc>
                <w:tcPr>
                  <w:tcW w:w="288"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数量</w:t>
                  </w:r>
                </w:p>
              </w:tc>
              <w:tc>
                <w:tcPr>
                  <w:tcW w:w="536" w:type="pct"/>
                  <w:vAlign w:val="center"/>
                </w:tcPr>
                <w:p>
                  <w:pPr>
                    <w:widowControl/>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去向</w:t>
                  </w:r>
                </w:p>
              </w:tc>
            </w:tr>
            <w:tr>
              <w:tblPrEx>
                <w:tblW w:w="5000" w:type="pct"/>
                <w:tblInd w:w="113" w:type="dxa"/>
                <w:tblCellMar>
                  <w:top w:w="0" w:type="dxa"/>
                  <w:left w:w="108" w:type="dxa"/>
                  <w:bottom w:w="0" w:type="dxa"/>
                  <w:right w:w="108" w:type="dxa"/>
                </w:tblCellMar>
                <w:tblLook w:val="0000"/>
              </w:tblPrEx>
              <w:trPr>
                <w:trHeight w:val="1305"/>
              </w:trPr>
              <w:tc>
                <w:tcPr>
                  <w:tcW w:w="350" w:type="pct"/>
                  <w:vMerge w:val="restar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基建期</w:t>
                  </w:r>
                </w:p>
              </w:tc>
              <w:tc>
                <w:tcPr>
                  <w:tcW w:w="655" w:type="pct"/>
                  <w:noWrap/>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3.20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0.40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道路区填筑（0.72）、生产区填筑（2.08）</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0.40 </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临时表土堆场</w:t>
                  </w:r>
                </w:p>
              </w:tc>
            </w:tr>
            <w:tr>
              <w:tblPrEx>
                <w:tblW w:w="5000" w:type="pct"/>
                <w:tblInd w:w="113" w:type="dxa"/>
                <w:tblCellMar>
                  <w:top w:w="0" w:type="dxa"/>
                  <w:left w:w="108" w:type="dxa"/>
                  <w:bottom w:w="0" w:type="dxa"/>
                  <w:right w:w="108" w:type="dxa"/>
                </w:tblCellMar>
                <w:tblLook w:val="0000"/>
              </w:tblPrEx>
              <w:trPr>
                <w:trHeight w:val="270"/>
              </w:trPr>
              <w:tc>
                <w:tcPr>
                  <w:tcW w:w="350" w:type="pct"/>
                  <w:vMerge/>
                  <w:vAlign w:val="center"/>
                </w:tcPr>
                <w:p>
                  <w:pPr>
                    <w:widowControl/>
                    <w:rPr>
                      <w:rFonts w:ascii="Times New Roman" w:hAnsi="Times New Roman" w:cs="Times New Roman" w:hint="default"/>
                      <w:color w:val="auto"/>
                      <w:sz w:val="21"/>
                      <w:szCs w:val="21"/>
                    </w:rPr>
                  </w:pPr>
                </w:p>
              </w:tc>
              <w:tc>
                <w:tcPr>
                  <w:tcW w:w="655" w:type="pct"/>
                  <w:noWrap/>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道路区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1.39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1.39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2.11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0.72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3" w:type="dxa"/>
                <w:tblCellMar>
                  <w:top w:w="0" w:type="dxa"/>
                  <w:left w:w="108" w:type="dxa"/>
                  <w:bottom w:w="0" w:type="dxa"/>
                  <w:right w:w="108" w:type="dxa"/>
                </w:tblCellMar>
                <w:tblLook w:val="0000"/>
              </w:tblPrEx>
              <w:trPr>
                <w:trHeight w:val="510"/>
              </w:trPr>
              <w:tc>
                <w:tcPr>
                  <w:tcW w:w="350" w:type="pct"/>
                  <w:vMerge/>
                  <w:vAlign w:val="center"/>
                </w:tcPr>
                <w:p>
                  <w:pPr>
                    <w:widowControl/>
                    <w:rPr>
                      <w:rFonts w:ascii="Times New Roman" w:hAnsi="Times New Roman" w:cs="Times New Roman" w:hint="default"/>
                      <w:color w:val="auto"/>
                      <w:sz w:val="21"/>
                      <w:szCs w:val="21"/>
                    </w:rPr>
                  </w:pPr>
                </w:p>
              </w:tc>
              <w:tc>
                <w:tcPr>
                  <w:tcW w:w="655" w:type="pct"/>
                  <w:noWrap/>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生产区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0.63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0.63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2.08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2.08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0.63 </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临时表土堆场</w:t>
                  </w:r>
                </w:p>
              </w:tc>
            </w:tr>
            <w:tr>
              <w:tblPrEx>
                <w:tblW w:w="5000" w:type="pct"/>
                <w:tblInd w:w="113" w:type="dxa"/>
                <w:tblCellMar>
                  <w:top w:w="0" w:type="dxa"/>
                  <w:left w:w="108" w:type="dxa"/>
                  <w:bottom w:w="0" w:type="dxa"/>
                  <w:right w:w="108" w:type="dxa"/>
                </w:tblCellMar>
                <w:tblLook w:val="0000"/>
              </w:tblPrEx>
              <w:trPr>
                <w:trHeight w:val="510"/>
              </w:trPr>
              <w:tc>
                <w:tcPr>
                  <w:tcW w:w="350" w:type="pct"/>
                  <w:vMerge/>
                  <w:vAlign w:val="center"/>
                </w:tcPr>
                <w:p>
                  <w:pPr>
                    <w:widowControl/>
                    <w:rPr>
                      <w:rFonts w:ascii="Times New Roman" w:hAnsi="Times New Roman" w:cs="Times New Roman" w:hint="default"/>
                      <w:color w:val="auto"/>
                      <w:sz w:val="21"/>
                      <w:szCs w:val="21"/>
                    </w:rPr>
                  </w:pPr>
                </w:p>
              </w:tc>
              <w:tc>
                <w:tcPr>
                  <w:tcW w:w="655" w:type="pct"/>
                  <w:noWrap/>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综合服务区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0.17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0.17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0.17 </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临时表土堆场</w:t>
                  </w:r>
                </w:p>
              </w:tc>
            </w:tr>
            <w:tr>
              <w:tblPrEx>
                <w:tblW w:w="5000" w:type="pct"/>
                <w:tblInd w:w="113" w:type="dxa"/>
                <w:tblCellMar>
                  <w:top w:w="0" w:type="dxa"/>
                  <w:left w:w="108" w:type="dxa"/>
                  <w:bottom w:w="0" w:type="dxa"/>
                  <w:right w:w="108" w:type="dxa"/>
                </w:tblCellMar>
                <w:tblLook w:val="0000"/>
              </w:tblPrEx>
              <w:trPr>
                <w:trHeight w:val="270"/>
              </w:trPr>
              <w:tc>
                <w:tcPr>
                  <w:tcW w:w="350" w:type="pct"/>
                  <w:vMerge/>
                  <w:vAlign w:val="center"/>
                </w:tcPr>
                <w:p>
                  <w:pPr>
                    <w:widowControl/>
                    <w:rPr>
                      <w:rFonts w:ascii="Times New Roman" w:hAnsi="Times New Roman" w:cs="Times New Roman" w:hint="default"/>
                      <w:color w:val="auto"/>
                      <w:sz w:val="21"/>
                      <w:szCs w:val="21"/>
                    </w:rPr>
                  </w:pPr>
                </w:p>
              </w:tc>
              <w:tc>
                <w:tcPr>
                  <w:tcW w:w="655"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小计</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5.39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2.59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4.19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1.20 </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3" w:type="dxa"/>
                <w:tblCellMar>
                  <w:top w:w="0" w:type="dxa"/>
                  <w:left w:w="108" w:type="dxa"/>
                  <w:bottom w:w="0" w:type="dxa"/>
                  <w:right w:w="108" w:type="dxa"/>
                </w:tblCellMar>
                <w:tblLook w:val="0000"/>
              </w:tblPrEx>
              <w:trPr>
                <w:trHeight w:val="270"/>
              </w:trPr>
              <w:tc>
                <w:tcPr>
                  <w:tcW w:w="350" w:type="pct"/>
                  <w:vMerge w:val="restar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生产期</w:t>
                  </w:r>
                </w:p>
              </w:tc>
              <w:tc>
                <w:tcPr>
                  <w:tcW w:w="655"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开采区</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2.81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sz w:val="21"/>
                      <w:szCs w:val="21"/>
                    </w:rPr>
                    <w:t>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2.81 </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外购</w:t>
                  </w:r>
                </w:p>
              </w:tc>
              <w:tc>
                <w:tcPr>
                  <w:tcW w:w="288" w:type="pct"/>
                  <w:vAlign w:val="center"/>
                </w:tcPr>
                <w:p>
                  <w:pPr>
                    <w:widowControl/>
                    <w:jc w:val="center"/>
                    <w:rPr>
                      <w:rFonts w:ascii="Times New Roman" w:eastAsia="宋体" w:hAnsi="Times New Roman" w:cs="Times New Roman" w:hint="default"/>
                      <w:color w:val="auto"/>
                      <w:sz w:val="21"/>
                      <w:szCs w:val="21"/>
                    </w:rPr>
                  </w:pPr>
                  <w:r>
                    <w:rPr>
                      <w:rFonts w:ascii="Times New Roman" w:hAnsi="Times New Roman" w:cs="Times New Roman" w:hint="default"/>
                      <w:color w:val="auto"/>
                      <w:sz w:val="21"/>
                      <w:szCs w:val="21"/>
                      <w:lang w:val="en-US" w:eastAsia="zh-CN"/>
                    </w:rPr>
                    <w:t>/</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3" w:type="dxa"/>
                <w:tblCellMar>
                  <w:top w:w="0" w:type="dxa"/>
                  <w:left w:w="108" w:type="dxa"/>
                  <w:bottom w:w="0" w:type="dxa"/>
                  <w:right w:w="108" w:type="dxa"/>
                </w:tblCellMar>
                <w:tblLook w:val="0000"/>
              </w:tblPrEx>
              <w:trPr>
                <w:trHeight w:val="270"/>
              </w:trPr>
              <w:tc>
                <w:tcPr>
                  <w:tcW w:w="350" w:type="pct"/>
                  <w:vMerge/>
                  <w:vAlign w:val="center"/>
                </w:tcPr>
                <w:p>
                  <w:pPr>
                    <w:widowControl/>
                    <w:rPr>
                      <w:rFonts w:ascii="Times New Roman" w:hAnsi="Times New Roman" w:cs="Times New Roman" w:hint="default"/>
                      <w:color w:val="auto"/>
                      <w:sz w:val="21"/>
                      <w:szCs w:val="21"/>
                    </w:rPr>
                  </w:pPr>
                </w:p>
              </w:tc>
              <w:tc>
                <w:tcPr>
                  <w:tcW w:w="655"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小计</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2.81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2.81 </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 </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3" w:type="dxa"/>
                <w:tblCellMar>
                  <w:top w:w="0" w:type="dxa"/>
                  <w:left w:w="108" w:type="dxa"/>
                  <w:bottom w:w="0" w:type="dxa"/>
                  <w:right w:w="108" w:type="dxa"/>
                </w:tblCellMar>
                <w:tblLook w:val="0000"/>
              </w:tblPrEx>
              <w:trPr>
                <w:trHeight w:val="270"/>
              </w:trPr>
              <w:tc>
                <w:tcPr>
                  <w:tcW w:w="1005" w:type="pct"/>
                  <w:gridSpan w:val="2"/>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合计</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5.39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2.59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294"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7.00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222"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2.80 </w:t>
                  </w:r>
                </w:p>
              </w:tc>
              <w:tc>
                <w:tcPr>
                  <w:tcW w:w="713"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2.81 </w:t>
                  </w:r>
                </w:p>
              </w:tc>
              <w:tc>
                <w:tcPr>
                  <w:tcW w:w="21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28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1.20 </w:t>
                  </w:r>
                </w:p>
              </w:tc>
              <w:tc>
                <w:tcPr>
                  <w:tcW w:w="536"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bl>
          <w:p>
            <w:pPr>
              <w:pStyle w:val="PlainText"/>
              <w:spacing w:line="360" w:lineRule="auto"/>
              <w:rPr>
                <w:rFonts w:ascii="Times New Roman" w:hAnsi="Times New Roman" w:cs="Times New Roman" w:hint="default"/>
                <w:color w:val="auto"/>
              </w:rPr>
            </w:pPr>
          </w:p>
        </w:tc>
      </w:tr>
    </w:tbl>
    <w:p>
      <w:pPr>
        <w:sectPr>
          <w:footerReference w:type="even" r:id="rId24"/>
          <w:footerReference w:type="default" r:id="rId25"/>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9"/>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spacing w:line="360" w:lineRule="auto"/>
              <w:jc w:val="center"/>
              <w:rPr>
                <w:rFonts w:ascii="Times New Roman" w:hAnsi="Times New Roman" w:cs="Times New Roman" w:hint="default"/>
                <w:b/>
                <w:bCs/>
                <w:color w:val="auto"/>
              </w:rPr>
            </w:pPr>
            <w:r>
              <w:rPr>
                <w:rFonts w:ascii="Times New Roman" w:hAnsi="Times New Roman" w:cs="Times New Roman" w:hint="default"/>
                <w:color w:val="auto"/>
              </w:rPr>
              <w:pict>
                <v:shape id="图片 18" o:spid="_x0000_i1068" type="#_x0000_t75" style="width:342.09pt;height:224.82pt;mso-position-horizontal-relative:page;mso-position-vertical-relative:page;mso-wrap-style:square" filled="f" stroked="f">
                  <v:stroke linestyle="single"/>
                  <v:imagedata r:id="rId26" o:title=""/>
                  <v:path o:extrusionok="f"/>
                  <o:lock v:ext="edit" aspectratio="t"/>
                </v:shape>
              </w:pict>
            </w:r>
          </w:p>
          <w:p>
            <w:pPr>
              <w:spacing w:line="360" w:lineRule="auto"/>
              <w:ind w:firstLine="480" w:firstLineChars="200"/>
              <w:jc w:val="center"/>
              <w:rPr>
                <w:rFonts w:ascii="Times New Roman" w:hAnsi="Times New Roman" w:cs="Times New Roman" w:hint="default"/>
                <w:b/>
                <w:color w:val="auto"/>
              </w:rPr>
            </w:pPr>
            <w:r>
              <w:rPr>
                <w:rFonts w:ascii="Times New Roman" w:hAnsi="Times New Roman" w:cs="Times New Roman" w:hint="default"/>
                <w:b/>
                <w:bCs/>
                <w:color w:val="auto"/>
              </w:rPr>
              <w:t>图1-2 土石方流向框图（单位：m</w:t>
            </w:r>
            <w:r>
              <w:rPr>
                <w:rFonts w:ascii="Times New Roman" w:hAnsi="Times New Roman" w:cs="Times New Roman" w:hint="default"/>
                <w:b/>
                <w:bCs/>
                <w:color w:val="auto"/>
                <w:vertAlign w:val="superscript"/>
              </w:rPr>
              <w:t>3</w:t>
            </w:r>
            <w:r>
              <w:rPr>
                <w:rFonts w:ascii="Times New Roman" w:hAnsi="Times New Roman" w:cs="Times New Roman" w:hint="default"/>
                <w:b/>
                <w:bCs/>
                <w:color w:val="auto"/>
              </w:rPr>
              <w:t>）</w:t>
            </w:r>
          </w:p>
          <w:p>
            <w:pPr>
              <w:pStyle w:val="120"/>
              <w:ind w:firstLine="482"/>
              <w:rPr>
                <w:rFonts w:cs="Times New Roman" w:hint="default"/>
                <w:b/>
                <w:color w:val="auto"/>
              </w:rPr>
            </w:pPr>
            <w:r>
              <w:rPr>
                <w:rFonts w:ascii="Times New Roman" w:hAnsi="Times New Roman" w:cs="Times New Roman" w:hint="default"/>
                <w:b/>
                <w:color w:val="auto"/>
              </w:rPr>
              <w:t>六、产业政策及规划符合性分析</w:t>
            </w:r>
          </w:p>
          <w:p>
            <w:pPr>
              <w:pStyle w:val="120"/>
              <w:ind w:firstLine="482"/>
              <w:rPr>
                <w:rFonts w:cs="Times New Roman" w:hint="default"/>
                <w:b/>
                <w:color w:val="auto"/>
              </w:rPr>
            </w:pPr>
            <w:r>
              <w:rPr>
                <w:rFonts w:ascii="Times New Roman" w:hAnsi="Times New Roman" w:cs="Times New Roman" w:hint="default"/>
                <w:b/>
                <w:color w:val="auto"/>
              </w:rPr>
              <w:t>（1）与产业政策相符性分析</w:t>
            </w:r>
          </w:p>
          <w:p>
            <w:pPr>
              <w:pStyle w:val="120"/>
              <w:ind w:firstLine="482"/>
              <w:rPr>
                <w:rFonts w:cs="Times New Roman" w:hint="default"/>
                <w:b/>
                <w:color w:val="auto"/>
              </w:rPr>
            </w:pPr>
            <w:r>
              <w:rPr>
                <w:rFonts w:ascii="Times New Roman" w:hAnsi="Times New Roman" w:cs="Times New Roman" w:hint="default"/>
                <w:b/>
                <w:color w:val="auto"/>
              </w:rPr>
              <w:t>①</w:t>
            </w:r>
            <w:r>
              <w:rPr>
                <w:rFonts w:ascii="Times New Roman" w:hAnsi="Times New Roman" w:cs="Times New Roman" w:hint="default"/>
                <w:b/>
                <w:color w:val="auto"/>
              </w:rPr>
              <w:t>与《产业结构调整指导目录（2019年本）》相符性分析</w:t>
            </w:r>
          </w:p>
          <w:p>
            <w:pPr>
              <w:pStyle w:val="120"/>
              <w:rPr>
                <w:rFonts w:cs="Times New Roman" w:hint="default"/>
                <w:color w:val="auto"/>
              </w:rPr>
            </w:pPr>
            <w:r>
              <w:rPr>
                <w:rFonts w:ascii="Times New Roman" w:hAnsi="Times New Roman" w:cs="Times New Roman" w:hint="default"/>
                <w:color w:val="auto"/>
              </w:rPr>
              <w:t>本项目为土砂石开采项目，不属于《产业结构调整指导目录（2019年本）》中限制类或淘汰类项目，属于允许类项目，符合《产业结构调整指导目录（2019年本）》的相关要求。</w:t>
            </w:r>
          </w:p>
          <w:p>
            <w:pPr>
              <w:pStyle w:val="120"/>
              <w:ind w:firstLine="482"/>
              <w:rPr>
                <w:rFonts w:cs="Times New Roman" w:hint="default"/>
                <w:b/>
                <w:bCs/>
                <w:color w:val="auto"/>
              </w:rPr>
            </w:pPr>
            <w:r>
              <w:rPr>
                <w:rFonts w:ascii="Times New Roman" w:hAnsi="Times New Roman" w:cs="Times New Roman" w:hint="default"/>
                <w:b/>
                <w:bCs/>
                <w:color w:val="auto"/>
              </w:rPr>
              <w:t>②</w:t>
            </w:r>
            <w:r>
              <w:rPr>
                <w:rFonts w:ascii="Times New Roman" w:hAnsi="Times New Roman" w:cs="Times New Roman" w:hint="default"/>
                <w:b/>
                <w:bCs/>
                <w:color w:val="auto"/>
              </w:rPr>
              <w:t>与《市场准入负面清单（2019年版）》相符性分析</w:t>
            </w:r>
          </w:p>
          <w:p>
            <w:pPr>
              <w:pStyle w:val="120"/>
              <w:rPr>
                <w:rFonts w:cs="Times New Roman" w:hint="default"/>
                <w:color w:val="auto"/>
              </w:rPr>
            </w:pPr>
            <w:r>
              <w:rPr>
                <w:rFonts w:ascii="Times New Roman" w:hAnsi="Times New Roman" w:cs="Times New Roman" w:hint="default"/>
                <w:color w:val="auto"/>
              </w:rPr>
              <w:t>对照《市场准入负面清单（2019年版）》，项目不属于负面清单内提到禁止准入类项目，符合《市场准入负面清单（2019年版）》的相关要求。</w:t>
            </w:r>
          </w:p>
          <w:p>
            <w:pPr>
              <w:pStyle w:val="120"/>
              <w:ind w:firstLine="482"/>
              <w:rPr>
                <w:rFonts w:cs="Times New Roman" w:hint="default"/>
                <w:b/>
                <w:bCs/>
                <w:color w:val="auto"/>
              </w:rPr>
            </w:pPr>
            <w:r>
              <w:rPr>
                <w:rFonts w:ascii="Times New Roman" w:hAnsi="Times New Roman" w:cs="Times New Roman" w:hint="default"/>
                <w:b/>
                <w:bCs/>
                <w:color w:val="auto"/>
              </w:rPr>
              <w:t>（2）与规划政策相符性分析</w:t>
            </w:r>
          </w:p>
          <w:p>
            <w:pPr>
              <w:pStyle w:val="120"/>
              <w:ind w:firstLine="482"/>
              <w:rPr>
                <w:rFonts w:cs="Times New Roman" w:hint="default"/>
                <w:b/>
                <w:bCs/>
                <w:snapToGrid w:val="0"/>
                <w:color w:val="auto"/>
                <w:kern w:val="0"/>
              </w:rPr>
            </w:pPr>
            <w:r>
              <w:rPr>
                <w:rFonts w:ascii="Times New Roman" w:hAnsi="Times New Roman" w:cs="Times New Roman" w:hint="default"/>
                <w:b/>
                <w:bCs/>
                <w:snapToGrid w:val="0"/>
                <w:color w:val="auto"/>
                <w:kern w:val="0"/>
              </w:rPr>
              <w:t>①</w:t>
            </w:r>
            <w:r>
              <w:rPr>
                <w:rFonts w:ascii="Times New Roman" w:hAnsi="Times New Roman" w:cs="Times New Roman" w:hint="default"/>
                <w:b/>
                <w:bCs/>
                <w:snapToGrid w:val="0"/>
                <w:color w:val="auto"/>
                <w:kern w:val="0"/>
              </w:rPr>
              <w:t>与《全国矿产资源总体规划（2016-2020）》相符性</w:t>
            </w:r>
          </w:p>
          <w:p>
            <w:pPr>
              <w:snapToGrid w:val="0"/>
              <w:spacing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《全国矿产资源总体规划（2016-2020）》，</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三、推进非金属矿产合理开发利用：稳定磷硫钾等重要农用矿产资源供给，服务粮食安全战略。加强膨润土等重要功能性非金属矿产的保护和精深加工利用，开辟矿产资源利用新领域。严格砂石粘土、建筑石材等非金属矿产管理，规范开发秩序。</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本项目已按要求办理开发利用方案备案，并通过了矿产权交易，项目的建设符合《全国矿产资源总体规划（2016-2020）》的相关要求。</w:t>
            </w:r>
          </w:p>
          <w:p>
            <w:pPr>
              <w:snapToGrid w:val="0"/>
              <w:spacing w:line="360" w:lineRule="auto"/>
              <w:ind w:firstLine="480"/>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②</w:t>
            </w:r>
            <w:r>
              <w:rPr>
                <w:rFonts w:ascii="Times New Roman" w:hAnsi="Times New Roman" w:cs="Times New Roman" w:hint="default"/>
                <w:b/>
                <w:bCs/>
                <w:snapToGrid w:val="0"/>
                <w:color w:val="auto"/>
                <w:kern w:val="0"/>
              </w:rPr>
              <w:t>与《广东省矿产资源总体规划（2016－2020年）》相符性</w:t>
            </w:r>
          </w:p>
          <w:p>
            <w:pPr>
              <w:snapToGrid w:val="0"/>
              <w:spacing w:after="0"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根据国土资源部批准的《广东省矿产资源总体规划（2016－2020年）》，</w:t>
            </w:r>
            <w:r>
              <w:rPr>
                <w:rFonts w:ascii="Times New Roman" w:hAnsi="Times New Roman" w:cs="Times New Roman" w:hint="default"/>
                <w:snapToGrid w:val="0"/>
                <w:color w:val="auto"/>
                <w:kern w:val="0"/>
              </w:rPr>
              <w:t>“</w:t>
            </w:r>
          </w:p>
        </w:tc>
      </w:tr>
    </w:tbl>
    <w:p>
      <w:pPr>
        <w:sectPr>
          <w:footerReference w:type="even" r:id="rId27"/>
          <w:footerReference w:type="default" r:id="rId2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0"/>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snapToGrid w:val="0"/>
              <w:spacing w:before="0"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（五）矿产资源开发管理：进一步规范非金属矿山开发管理。鼓励非金属矿山集约节约、规模开发和综合利用。</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规划附表7《广东省矿产资源开采分区表》，全省划分1个限制开采区及237个禁止开采区，本项目所在地阳江市阳春市石望镇不属于限制开采区及禁止开采区。规划附表9《主要矿产矿山最低开采规模规划表》中未对冶金熔剂用白云质灰岩矿最低开采量做规定，但其规定建筑用石料最低开采量为5万t/a，本项目建筑用灰岩矿开采规模为55万t/a，符合规划要求。</w:t>
            </w:r>
          </w:p>
          <w:p>
            <w:pPr>
              <w:snapToGrid w:val="0"/>
              <w:spacing w:line="360" w:lineRule="auto"/>
              <w:ind w:firstLine="480"/>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③</w:t>
            </w:r>
            <w:r>
              <w:rPr>
                <w:rFonts w:ascii="Times New Roman" w:hAnsi="Times New Roman" w:cs="Times New Roman" w:hint="default"/>
                <w:b/>
                <w:bCs/>
                <w:snapToGrid w:val="0"/>
                <w:color w:val="auto"/>
                <w:kern w:val="0"/>
              </w:rPr>
              <w:t>与《关于进一步加强矿产资源开发利用生态环境保护工作的意见的通知》（粤环[2012]37号）相符性</w:t>
            </w:r>
          </w:p>
          <w:p>
            <w:pPr>
              <w:snapToGrid w:val="0"/>
              <w:spacing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关于进一步加强矿产资源开发利用生态环境保护工作的意见的通知》（粤环[2012]37号）指出，要严格按有关规定优化矿产资源开发利用布局，严禁在饮用水源保护区、生态严格控制区、自然保护区、国家地质公园、国家森林公园、生态公益林等环境敏感区、重要生态功能保护区内规划建设矿产资源开发利用项目（供水设施项目除外）。禁止审批向河流排放汞、砷、镉、铬、铅等重金属的矿产资源开发利用项目。对基本农田保护区、居民集中区等环境敏感地区及其周边，以及重金属污染物超标的地区，不予审批新增有重金属排放的矿产资源开发利用项目。</w:t>
            </w:r>
          </w:p>
          <w:p>
            <w:pPr>
              <w:snapToGrid w:val="0"/>
              <w:spacing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项目占地不在饮用水源保护区、生态严格控制区、自然保护区、国家地质公园、国家森林公园、生态公益林等环境敏感区、重要生态功能保护区。项目矿石为冶金熔剂用白云质灰岩矿和建筑用灰岩矿，矿石中基本不含汞、砷、镉、铬、铅等重金属元素，开采过程中不会排放汞、砷、镉、铬、铅等重金属。因此项目建设与《关于进一步加强矿产资源开发利用生态环境保护工作的意见的通知》（粤环[2012]37号）相符。</w:t>
            </w:r>
          </w:p>
          <w:p>
            <w:pPr>
              <w:snapToGrid w:val="0"/>
              <w:spacing w:line="360" w:lineRule="auto"/>
              <w:ind w:firstLine="480"/>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④</w:t>
            </w:r>
            <w:r>
              <w:rPr>
                <w:rFonts w:ascii="Times New Roman" w:hAnsi="Times New Roman" w:cs="Times New Roman" w:hint="default"/>
                <w:b/>
                <w:bCs/>
                <w:snapToGrid w:val="0"/>
                <w:color w:val="auto"/>
                <w:kern w:val="0"/>
              </w:rPr>
              <w:t>与《广东省打赢蓝天保卫战实施方案（2018-2020年）》相符性</w:t>
            </w:r>
          </w:p>
          <w:p>
            <w:pPr>
              <w:snapToGrid w:val="0"/>
              <w:spacing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根据广东省人民政府关于印发《广东省打赢蓝天保卫战实施方案（2018-2020年）》的通知，</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38.排查整治堆场、矿山、码头扬尘污染</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2019年年底前，完成各类露天矿山、堆场、余泥渣土受纳场摸底调查，建立整治清单。强化对露天矿山、渣堆、料堆、灰堆及裸露土地降尘抑尘措施落实情况的监督检查。易产生粉尘污染的物料应实施仓库、储藏罐、封闭或半封闭堆场分类存放。裸露土地应植草复绿或覆盖防尘网。依法关闭违反资源环境法律法规、规划，污染环境、破坏生态、乱采滥挖的露天矿山；对污染治理不规范的露天矿山，依法责令限期改正，整治完成应经相关部门组织验收，拒不改正的依法责令停工停业整治；对责任主体灭失的露天矿山，要加强修复绿化、减尘抑尘。</w:t>
            </w:r>
            <w:r>
              <w:rPr>
                <w:rFonts w:ascii="Times New Roman" w:hAnsi="Times New Roman" w:cs="Times New Roman" w:hint="default"/>
                <w:snapToGrid w:val="0"/>
                <w:color w:val="auto"/>
                <w:kern w:val="0"/>
              </w:rPr>
              <w:t>”</w:t>
            </w:r>
          </w:p>
          <w:p>
            <w:pPr>
              <w:snapToGrid w:val="0"/>
              <w:spacing w:after="0" w:line="360" w:lineRule="auto"/>
              <w:ind w:firstLine="480"/>
              <w:rPr>
                <w:rFonts w:ascii="Times New Roman" w:hAnsi="Times New Roman" w:cs="Times New Roman" w:hint="default"/>
                <w:snapToGrid w:val="0"/>
                <w:color w:val="auto"/>
                <w:kern w:val="0"/>
              </w:rPr>
            </w:pPr>
          </w:p>
        </w:tc>
      </w:tr>
    </w:tbl>
    <w:p>
      <w:pPr>
        <w:sectPr>
          <w:footerReference w:type="even" r:id="rId29"/>
          <w:footerReference w:type="default" r:id="rId30"/>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1"/>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snapToGrid w:val="0"/>
              <w:spacing w:before="0"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本项目露天采矿区和破碎加工区中，易产生粉尘污染的物料堆放区采取定期洒水等措施，同时对堆料进行覆盖防风防尘网遮挡等减尘抑尘措施；建设单位将严格落实边开采边复绿的生态修复方案，因此，本项目满足《广东省打赢蓝天保卫战实施方案（2018-2020年）》的要求。</w:t>
            </w:r>
          </w:p>
          <w:p>
            <w:pPr>
              <w:snapToGrid w:val="0"/>
              <w:spacing w:line="360" w:lineRule="auto"/>
              <w:ind w:firstLine="480"/>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⑤</w:t>
            </w:r>
            <w:r>
              <w:rPr>
                <w:rFonts w:ascii="Times New Roman" w:hAnsi="Times New Roman" w:cs="Times New Roman" w:hint="default"/>
                <w:b/>
                <w:bCs/>
                <w:snapToGrid w:val="0"/>
                <w:color w:val="auto"/>
                <w:kern w:val="0"/>
              </w:rPr>
              <w:t>《阳江市矿产规划资源总体规划（2016-2020年）》相符性</w:t>
            </w:r>
          </w:p>
          <w:p>
            <w:pPr>
              <w:snapToGrid w:val="0"/>
              <w:spacing w:line="360" w:lineRule="auto"/>
              <w:ind w:firstLine="48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本项目不在禁止开采区范围内，开采规模满足最低开采规模要求，且建设单位严格按照规定，委托相关单位编制环境影响评价报告、水土保持方案、土地复绿方案等文件，确保项目的建设不对周边环境造成影响。因此，本项目符合《阳江市矿产规划资源总体规划》（2016-2020年）相关要求。</w:t>
            </w:r>
          </w:p>
          <w:p>
            <w:pPr>
              <w:snapToGrid w:val="0"/>
              <w:spacing w:line="360" w:lineRule="auto"/>
              <w:ind w:firstLine="480" w:firstLineChars="200"/>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⑥</w:t>
            </w:r>
            <w:r>
              <w:rPr>
                <w:rFonts w:ascii="Times New Roman" w:hAnsi="Times New Roman" w:cs="Times New Roman" w:hint="default"/>
                <w:b/>
                <w:bCs/>
                <w:snapToGrid w:val="0"/>
                <w:color w:val="auto"/>
                <w:kern w:val="0"/>
              </w:rPr>
              <w:t>与《广东省水利厅关于划分省级水土流失重点预防区和重点治理区的公告》相符性</w:t>
            </w:r>
          </w:p>
          <w:p>
            <w:pPr>
              <w:snapToGrid w:val="0"/>
              <w:spacing w:line="360" w:lineRule="auto"/>
              <w:ind w:firstLine="480" w:firstLineChars="20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公告中规定阳春市合水镇、永宁镇、春湾镇、圭岗镇、河口镇、三甲镇、八甲镇和陂面镇为漠阳江上游省级重点预防区，本项目位于阳春市石望镇，不在重点预防区范围内，项目具体位置详见附图6。</w:t>
            </w:r>
          </w:p>
          <w:p>
            <w:pPr>
              <w:snapToGrid w:val="0"/>
              <w:spacing w:line="360" w:lineRule="auto"/>
              <w:ind w:firstLine="480" w:firstLineChars="200"/>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⑦</w:t>
            </w:r>
            <w:r>
              <w:rPr>
                <w:rFonts w:ascii="Times New Roman" w:hAnsi="Times New Roman" w:cs="Times New Roman" w:hint="default"/>
                <w:b/>
                <w:bCs/>
                <w:snapToGrid w:val="0"/>
                <w:color w:val="auto"/>
                <w:kern w:val="0"/>
              </w:rPr>
              <w:t>与《广东省饮用水源水质保护条例》相符性分析</w:t>
            </w:r>
          </w:p>
          <w:p>
            <w:pPr>
              <w:snapToGrid w:val="0"/>
              <w:spacing w:line="360" w:lineRule="auto"/>
              <w:ind w:firstLine="480" w:firstLineChars="20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保护条例中提到</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第十六条 饮用水地表水源保护区内禁止下列行为：（八）开山采石和非法浚性采砂。</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本项目周边最近饮用水源保护区为阳春市石望镇沙河石咀水源保护区，项目边界与</w:t>
            </w:r>
            <w:r>
              <w:rPr>
                <w:rFonts w:ascii="Times New Roman" w:hAnsi="Times New Roman" w:cs="Times New Roman" w:hint="default"/>
                <w:bCs/>
                <w:color w:val="auto"/>
              </w:rPr>
              <w:t>阳春市石望镇沙河石咀水源二级保护区直线距离约130m，不在饮用水源保护区范围内，因此本项目的建设符合《广东省饮用水源水质保护条例》要求。</w:t>
            </w:r>
          </w:p>
          <w:p>
            <w:pPr>
              <w:snapToGrid w:val="0"/>
              <w:spacing w:line="360" w:lineRule="auto"/>
              <w:ind w:firstLine="480" w:firstLineChars="200"/>
              <w:rPr>
                <w:rFonts w:ascii="Times New Roman" w:hAnsi="Times New Roman" w:cs="Times New Roman" w:hint="default"/>
                <w:b/>
                <w:color w:val="auto"/>
              </w:rPr>
            </w:pPr>
            <w:r>
              <w:rPr>
                <w:rFonts w:ascii="Times New Roman" w:hAnsi="Times New Roman" w:cs="Times New Roman" w:hint="default"/>
                <w:b/>
                <w:color w:val="auto"/>
              </w:rPr>
              <w:t>（3）选址符合性分析</w:t>
            </w:r>
          </w:p>
          <w:p>
            <w:pPr>
              <w:pStyle w:val="120"/>
              <w:rPr>
                <w:rFonts w:cs="Times New Roman" w:hint="default"/>
                <w:snapToGrid w:val="0"/>
                <w:color w:val="auto"/>
                <w:kern w:val="0"/>
              </w:rPr>
            </w:pPr>
            <w:r>
              <w:rPr>
                <w:rFonts w:ascii="Times New Roman" w:hAnsi="Times New Roman" w:cs="Times New Roman" w:hint="default"/>
                <w:color w:val="auto"/>
              </w:rPr>
              <w:t>项目位于</w:t>
            </w:r>
            <w:r>
              <w:rPr>
                <w:rFonts w:ascii="Times New Roman" w:hAnsi="Times New Roman" w:cs="Times New Roman" w:hint="default"/>
                <w:snapToGrid w:val="0"/>
                <w:color w:val="auto"/>
                <w:kern w:val="0"/>
              </w:rPr>
              <w:t>阳春市石望镇</w:t>
            </w:r>
            <w:r>
              <w:rPr>
                <w:rFonts w:ascii="Times New Roman" w:hAnsi="Times New Roman" w:cs="Times New Roman" w:hint="default"/>
                <w:color w:val="auto"/>
              </w:rPr>
              <w:t>，</w:t>
            </w:r>
            <w:r>
              <w:rPr>
                <w:rFonts w:ascii="Times New Roman" w:hAnsi="Times New Roman" w:cs="Times New Roman" w:hint="default"/>
                <w:color w:val="auto"/>
                <w:lang w:eastAsia="zh-CN"/>
              </w:rPr>
              <w:t>位于阳春市生态集约利用区，不在生态严格控制区和限制开发区范围内（详见附图</w:t>
            </w:r>
            <w:r>
              <w:rPr>
                <w:rFonts w:ascii="Times New Roman" w:hAnsi="Times New Roman" w:cs="Times New Roman" w:hint="default"/>
                <w:color w:val="auto"/>
                <w:lang w:val="en-US" w:eastAsia="zh-CN"/>
              </w:rPr>
              <w:t>7</w:t>
            </w:r>
            <w:r>
              <w:rPr>
                <w:rFonts w:ascii="Times New Roman" w:hAnsi="Times New Roman" w:cs="Times New Roman" w:hint="default"/>
                <w:color w:val="auto"/>
                <w:lang w:eastAsia="zh-CN"/>
              </w:rPr>
              <w:t>）。根据由国土资源局提供的项目红线图（详见附图</w:t>
            </w:r>
            <w:r>
              <w:rPr>
                <w:rFonts w:ascii="Times New Roman" w:hAnsi="Times New Roman" w:cs="Times New Roman" w:hint="default"/>
                <w:color w:val="auto"/>
                <w:lang w:val="en-US" w:eastAsia="zh-CN"/>
              </w:rPr>
              <w:t>19</w:t>
            </w:r>
            <w:r>
              <w:rPr>
                <w:rFonts w:ascii="Times New Roman" w:hAnsi="Times New Roman" w:cs="Times New Roman" w:hint="default"/>
                <w:color w:val="auto"/>
                <w:lang w:eastAsia="zh-CN"/>
              </w:rPr>
              <w:t>），本项目堆场区、生产区和办公区均位于项目红线范围内，且未占用基本农田。同时对照《阳江市建设项目差别化环保准入实施方案（图集）》，本项目选址</w:t>
            </w:r>
            <w:r>
              <w:rPr>
                <w:rFonts w:ascii="Times New Roman" w:hAnsi="Times New Roman" w:cs="Times New Roman" w:hint="default"/>
                <w:snapToGrid w:val="0"/>
                <w:color w:val="auto"/>
                <w:kern w:val="0"/>
              </w:rPr>
              <w:t>不属于限制开采区及禁止开采区，也不在水源保护区、风景名胜区等敏感区范围内</w:t>
            </w:r>
            <w:r>
              <w:rPr>
                <w:rFonts w:ascii="Times New Roman" w:hAnsi="Times New Roman" w:cs="Times New Roman" w:hint="default"/>
                <w:snapToGrid w:val="0"/>
                <w:color w:val="auto"/>
                <w:kern w:val="0"/>
                <w:lang w:eastAsia="zh-CN"/>
              </w:rPr>
              <w:t>，不涉及生态红线</w:t>
            </w:r>
            <w:r>
              <w:rPr>
                <w:rFonts w:ascii="Times New Roman" w:hAnsi="Times New Roman" w:cs="Times New Roman" w:hint="default"/>
                <w:snapToGrid w:val="0"/>
                <w:color w:val="auto"/>
                <w:kern w:val="0"/>
              </w:rPr>
              <w:t>。</w:t>
            </w:r>
          </w:p>
          <w:p>
            <w:pPr>
              <w:pStyle w:val="120"/>
              <w:rPr>
                <w:rFonts w:cs="Times New Roman" w:hint="default"/>
                <w:color w:val="auto"/>
              </w:rPr>
            </w:pPr>
            <w:r>
              <w:rPr>
                <w:rFonts w:ascii="Times New Roman" w:hAnsi="Times New Roman" w:cs="Times New Roman" w:hint="default"/>
                <w:color w:val="auto"/>
              </w:rPr>
              <w:t>该区域交通便利，给排水、电力、通讯等基础设施基本完备，能满足项目生产生活需要。项目在落实本环评提出的各项污染防治措施后，项目产生的各项污染物经过处理后能做到达标排放，对周围环境影响较小，周围环境空气质量、声环境质量均能满足各功能要求，水环境质量能维持现有等级。因此项目选址基本合理，选址符合相关的要求。</w:t>
            </w:r>
          </w:p>
          <w:p>
            <w:pPr>
              <w:pStyle w:val="120"/>
              <w:ind w:firstLine="482"/>
              <w:rPr>
                <w:rFonts w:cs="Times New Roman" w:hint="default"/>
                <w:color w:val="auto"/>
                <w:sz w:val="28"/>
                <w:szCs w:val="28"/>
              </w:rPr>
            </w:pPr>
            <w:r>
              <w:rPr>
                <w:rFonts w:ascii="Times New Roman" w:hAnsi="Times New Roman" w:cs="Times New Roman" w:hint="default"/>
                <w:b/>
                <w:bCs/>
                <w:color w:val="auto"/>
              </w:rPr>
              <w:t>（4）</w:t>
            </w:r>
            <w:r>
              <w:rPr>
                <w:rFonts w:ascii="Times New Roman" w:hAnsi="Times New Roman" w:cs="Times New Roman" w:hint="default"/>
                <w:b/>
                <w:bCs/>
                <w:color w:val="auto"/>
              </w:rPr>
              <w:t>“</w:t>
            </w:r>
            <w:r>
              <w:rPr>
                <w:rFonts w:ascii="Times New Roman" w:hAnsi="Times New Roman" w:cs="Times New Roman" w:hint="default"/>
                <w:b/>
                <w:bCs/>
                <w:color w:val="auto"/>
              </w:rPr>
              <w:t>三线一单</w:t>
            </w:r>
            <w:r>
              <w:rPr>
                <w:rFonts w:ascii="Times New Roman" w:hAnsi="Times New Roman" w:cs="Times New Roman" w:hint="default"/>
                <w:b/>
                <w:bCs/>
                <w:color w:val="auto"/>
              </w:rPr>
              <w:t>”</w:t>
            </w:r>
            <w:r>
              <w:rPr>
                <w:rFonts w:ascii="Times New Roman" w:hAnsi="Times New Roman" w:cs="Times New Roman" w:hint="default"/>
                <w:b/>
                <w:bCs/>
                <w:color w:val="auto"/>
              </w:rPr>
              <w:t>符合性分析</w:t>
            </w:r>
          </w:p>
          <w:p>
            <w:pPr>
              <w:pStyle w:val="120"/>
              <w:rPr>
                <w:rFonts w:cs="Times New Roman" w:hint="default"/>
                <w:b/>
                <w:bCs/>
                <w:color w:val="auto"/>
                <w:sz w:val="21"/>
                <w:szCs w:val="21"/>
              </w:rPr>
            </w:pPr>
            <w:r>
              <w:rPr>
                <w:rFonts w:ascii="Times New Roman" w:hAnsi="Times New Roman" w:cs="Times New Roman" w:hint="default"/>
                <w:color w:val="auto"/>
              </w:rPr>
              <w:t>三线一单</w:t>
            </w:r>
            <w:r>
              <w:rPr>
                <w:rFonts w:ascii="Times New Roman" w:hAnsi="Times New Roman" w:cs="Times New Roman" w:hint="default"/>
                <w:color w:val="auto"/>
              </w:rPr>
              <w:t>”</w:t>
            </w:r>
            <w:r>
              <w:rPr>
                <w:rFonts w:ascii="Times New Roman" w:hAnsi="Times New Roman" w:cs="Times New Roman" w:hint="default"/>
                <w:color w:val="auto"/>
              </w:rPr>
              <w:t>是指生态保护红线、环境质量底线、资源利用上线以及负面清单。本项目与</w:t>
            </w:r>
            <w:r>
              <w:rPr>
                <w:rFonts w:ascii="Times New Roman" w:hAnsi="Times New Roman" w:cs="Times New Roman" w:hint="default"/>
                <w:color w:val="auto"/>
              </w:rPr>
              <w:t>“</w:t>
            </w:r>
            <w:r>
              <w:rPr>
                <w:rFonts w:ascii="Times New Roman" w:hAnsi="Times New Roman" w:cs="Times New Roman" w:hint="default"/>
                <w:color w:val="auto"/>
              </w:rPr>
              <w:t>三线一单</w:t>
            </w:r>
            <w:r>
              <w:rPr>
                <w:rFonts w:ascii="Times New Roman" w:hAnsi="Times New Roman" w:cs="Times New Roman" w:hint="default"/>
                <w:color w:val="auto"/>
              </w:rPr>
              <w:t>”</w:t>
            </w:r>
            <w:r>
              <w:rPr>
                <w:rFonts w:ascii="Times New Roman" w:hAnsi="Times New Roman" w:cs="Times New Roman" w:hint="default"/>
                <w:color w:val="auto"/>
              </w:rPr>
              <w:t>文件相符性分析具体见下表：</w:t>
            </w:r>
          </w:p>
        </w:tc>
      </w:tr>
    </w:tbl>
    <w:p>
      <w:pPr>
        <w:sectPr>
          <w:footerReference w:type="even" r:id="rId31"/>
          <w:footerReference w:type="default" r:id="rId32"/>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2"/>
          <w:cols w:space="708"/>
          <w:titlePg w:val="0"/>
          <w:docGrid w:type="lines" w:linePitch="312"/>
        </w:sectPr>
      </w:pPr>
    </w:p>
    <w:tbl>
      <w:tblPr>
        <w:tblStyle w:val="TableNormal"/>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8"/>
      </w:tblGrid>
      <w:tr>
        <w:tblPrEx>
          <w:tblW w:w="5007" w:type="pct"/>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5000" w:type="pct"/>
          </w:tcPr>
          <w:p>
            <w:pPr>
              <w:pStyle w:val="120"/>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表1-8   项目与</w:t>
            </w:r>
            <w:r>
              <w:rPr>
                <w:rFonts w:ascii="Times New Roman" w:hAnsi="Times New Roman" w:cs="Times New Roman" w:hint="default"/>
                <w:b/>
                <w:bCs/>
                <w:color w:val="auto"/>
                <w:sz w:val="21"/>
                <w:szCs w:val="21"/>
              </w:rPr>
              <w:t>“</w:t>
            </w:r>
            <w:r>
              <w:rPr>
                <w:rFonts w:ascii="Times New Roman" w:hAnsi="Times New Roman" w:cs="Times New Roman" w:hint="default"/>
                <w:b/>
                <w:bCs/>
                <w:color w:val="auto"/>
                <w:sz w:val="21"/>
                <w:szCs w:val="21"/>
              </w:rPr>
              <w:t>三线一单</w:t>
            </w:r>
            <w:r>
              <w:rPr>
                <w:rFonts w:ascii="Times New Roman" w:hAnsi="Times New Roman" w:cs="Times New Roman" w:hint="default"/>
                <w:b/>
                <w:bCs/>
                <w:color w:val="auto"/>
                <w:sz w:val="21"/>
                <w:szCs w:val="21"/>
              </w:rPr>
              <w:t>”</w:t>
            </w:r>
            <w:r>
              <w:rPr>
                <w:rFonts w:ascii="Times New Roman" w:hAnsi="Times New Roman" w:cs="Times New Roman" w:hint="default"/>
                <w:b/>
                <w:bCs/>
                <w:color w:val="auto"/>
                <w:sz w:val="21"/>
                <w:szCs w:val="21"/>
              </w:rPr>
              <w:t>文件相符性分析</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2006"/>
              <w:gridCol w:w="6003"/>
              <w:gridCol w:w="1061"/>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90"/>
              </w:trPr>
              <w:tc>
                <w:tcPr>
                  <w:tcW w:w="2031"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类别</w:t>
                  </w:r>
                </w:p>
              </w:tc>
              <w:tc>
                <w:tcPr>
                  <w:tcW w:w="6079"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项目与三线一单相符分析</w:t>
                  </w:r>
                </w:p>
              </w:tc>
              <w:tc>
                <w:tcPr>
                  <w:tcW w:w="1075"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相符性</w:t>
                  </w:r>
                </w:p>
              </w:tc>
            </w:tr>
            <w:tr>
              <w:tblPrEx>
                <w:tblW w:w="0" w:type="auto"/>
                <w:tblInd w:w="116" w:type="dxa"/>
                <w:tblCellMar>
                  <w:top w:w="0" w:type="dxa"/>
                  <w:left w:w="108" w:type="dxa"/>
                  <w:bottom w:w="0" w:type="dxa"/>
                  <w:right w:w="108" w:type="dxa"/>
                </w:tblCellMar>
                <w:tblLook w:val="0000"/>
              </w:tblPrEx>
              <w:tc>
                <w:tcPr>
                  <w:tcW w:w="203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生态保护红线</w:t>
                  </w:r>
                </w:p>
              </w:tc>
              <w:tc>
                <w:tcPr>
                  <w:tcW w:w="6079"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本项目所在地位于</w:t>
                  </w:r>
                  <w:r>
                    <w:rPr>
                      <w:rFonts w:ascii="Times New Roman" w:hAnsi="Times New Roman" w:cs="Times New Roman" w:hint="default"/>
                      <w:color w:val="auto"/>
                      <w:sz w:val="21"/>
                    </w:rPr>
                    <w:t>阳春市石望镇</w:t>
                  </w:r>
                  <w:r>
                    <w:rPr>
                      <w:rFonts w:ascii="Times New Roman" w:hAnsi="Times New Roman" w:cs="Times New Roman" w:hint="default"/>
                      <w:color w:val="auto"/>
                      <w:sz w:val="21"/>
                      <w:szCs w:val="21"/>
                    </w:rPr>
                    <w:t>，根据《阳江市生态保护</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红线划定方案》，项目所在地不属于生态红线区域</w:t>
                  </w:r>
                </w:p>
              </w:tc>
              <w:tc>
                <w:tcPr>
                  <w:tcW w:w="1075"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符合</w:t>
                  </w:r>
                </w:p>
              </w:tc>
            </w:tr>
            <w:tr>
              <w:tblPrEx>
                <w:tblW w:w="0" w:type="auto"/>
                <w:tblInd w:w="116" w:type="dxa"/>
                <w:tblCellMar>
                  <w:top w:w="0" w:type="dxa"/>
                  <w:left w:w="108" w:type="dxa"/>
                  <w:bottom w:w="0" w:type="dxa"/>
                  <w:right w:w="108" w:type="dxa"/>
                </w:tblCellMar>
                <w:tblLook w:val="0000"/>
              </w:tblPrEx>
              <w:tc>
                <w:tcPr>
                  <w:tcW w:w="203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环境质量底线</w:t>
                  </w:r>
                </w:p>
              </w:tc>
              <w:tc>
                <w:tcPr>
                  <w:tcW w:w="6079"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根据项目所在地环境现状调查和污染物影响预测，本项目实施后对区域内环境影响较小，环境质量可保持现有水平</w:t>
                  </w:r>
                </w:p>
              </w:tc>
              <w:tc>
                <w:tcPr>
                  <w:tcW w:w="1075"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符合</w:t>
                  </w:r>
                </w:p>
              </w:tc>
            </w:tr>
            <w:tr>
              <w:tblPrEx>
                <w:tblW w:w="0" w:type="auto"/>
                <w:tblInd w:w="116" w:type="dxa"/>
                <w:tblCellMar>
                  <w:top w:w="0" w:type="dxa"/>
                  <w:left w:w="108" w:type="dxa"/>
                  <w:bottom w:w="0" w:type="dxa"/>
                  <w:right w:w="108" w:type="dxa"/>
                </w:tblCellMar>
                <w:tblLook w:val="0000"/>
              </w:tblPrEx>
              <w:tc>
                <w:tcPr>
                  <w:tcW w:w="203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资源利用上线</w:t>
                  </w:r>
                </w:p>
              </w:tc>
              <w:tc>
                <w:tcPr>
                  <w:tcW w:w="6079" w:type="dxa"/>
                  <w:vAlign w:val="center"/>
                </w:tcPr>
                <w:p>
                  <w:pPr>
                    <w:pStyle w:val="NormalWeb"/>
                    <w:spacing w:before="0" w:beforeAutospacing="0" w:after="0" w:afterAutospacing="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本项目不属于高耗能、高污染、资源型企业，生活用水使用地下水，用电来自南方电网供电。本项目建成后通过内部管理、设备选择、原辅材料的选用和管理、废物回收利用、污染治理等方面采取合理可行的防治措施，以</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节能、降耗、减污</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为目标，有效的控制污染。项目的水、电等资源利用不会突破区域的资源利用上线</w:t>
                  </w:r>
                </w:p>
              </w:tc>
              <w:tc>
                <w:tcPr>
                  <w:tcW w:w="1075"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符合</w:t>
                  </w:r>
                </w:p>
              </w:tc>
            </w:tr>
            <w:tr>
              <w:tblPrEx>
                <w:tblW w:w="0" w:type="auto"/>
                <w:tblInd w:w="116" w:type="dxa"/>
                <w:tblCellMar>
                  <w:top w:w="0" w:type="dxa"/>
                  <w:left w:w="108" w:type="dxa"/>
                  <w:bottom w:w="0" w:type="dxa"/>
                  <w:right w:w="108" w:type="dxa"/>
                </w:tblCellMar>
                <w:tblLook w:val="0000"/>
              </w:tblPrEx>
              <w:tc>
                <w:tcPr>
                  <w:tcW w:w="203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环境准入负面清单</w:t>
                  </w:r>
                </w:p>
              </w:tc>
              <w:tc>
                <w:tcPr>
                  <w:tcW w:w="6079"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项目不属于限制类、淘汰类或禁止准入类，不属于阳江市负面清单，属于允许类，其选用的设备不属于淘汰落后设备，符合国家有关法律、法规和产业政策的要求</w:t>
                  </w:r>
                </w:p>
              </w:tc>
              <w:tc>
                <w:tcPr>
                  <w:tcW w:w="1075"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符合</w:t>
                  </w:r>
                </w:p>
              </w:tc>
            </w:tr>
          </w:tbl>
          <w:p>
            <w:pPr>
              <w:pStyle w:val="120"/>
              <w:ind w:firstLine="0" w:firstLineChars="0"/>
              <w:rPr>
                <w:rFonts w:cs="Times New Roman" w:hint="default"/>
                <w:color w:val="auto"/>
              </w:rPr>
            </w:pPr>
          </w:p>
        </w:tc>
      </w:tr>
      <w:tr>
        <w:tblPrEx>
          <w:tblW w:w="5007" w:type="pct"/>
          <w:jc w:val="center"/>
          <w:tblInd w:w="-8" w:type="dxa"/>
          <w:tblCellMar>
            <w:top w:w="0" w:type="dxa"/>
            <w:left w:w="108" w:type="dxa"/>
            <w:bottom w:w="0" w:type="dxa"/>
            <w:right w:w="108" w:type="dxa"/>
          </w:tblCellMar>
          <w:tblLook w:val="0000"/>
        </w:tblPrEx>
        <w:trPr>
          <w:trHeight w:val="4089"/>
          <w:jc w:val="center"/>
        </w:trPr>
        <w:tc>
          <w:tcPr>
            <w:tcW w:w="5000" w:type="pct"/>
          </w:tcPr>
          <w:p>
            <w:pPr>
              <w:spacing w:line="360" w:lineRule="auto"/>
              <w:rPr>
                <w:rFonts w:ascii="Times New Roman" w:hAnsi="Times New Roman" w:cs="Times New Roman" w:hint="default"/>
                <w:b/>
                <w:color w:val="auto"/>
                <w:szCs w:val="24"/>
              </w:rPr>
            </w:pPr>
            <w:r>
              <w:rPr>
                <w:rFonts w:ascii="Times New Roman" w:hAnsi="Times New Roman" w:cs="Times New Roman" w:hint="default"/>
                <w:b/>
                <w:color w:val="auto"/>
                <w:szCs w:val="24"/>
              </w:rPr>
              <w:t>与本项目有关的原有污染情况及主要环境问题：</w:t>
            </w:r>
          </w:p>
          <w:p>
            <w:pPr>
              <w:pStyle w:val="120"/>
              <w:rPr>
                <w:rFonts w:cs="Times New Roman" w:hint="default"/>
                <w:color w:val="auto"/>
              </w:rPr>
            </w:pPr>
            <w:r>
              <w:rPr>
                <w:rFonts w:ascii="Times New Roman" w:hAnsi="Times New Roman" w:cs="Times New Roman" w:hint="default"/>
                <w:color w:val="auto"/>
              </w:rPr>
              <w:t>本项目为新建项目，项目位于</w:t>
            </w:r>
            <w:r>
              <w:rPr>
                <w:rFonts w:ascii="Times New Roman" w:hAnsi="Times New Roman" w:cs="Times New Roman" w:hint="default"/>
                <w:color w:val="auto"/>
                <w:szCs w:val="24"/>
              </w:rPr>
              <w:t>阳江市阳春市石望镇</w:t>
            </w:r>
            <w:r>
              <w:rPr>
                <w:rFonts w:ascii="Times New Roman" w:hAnsi="Times New Roman" w:cs="Times New Roman" w:hint="default"/>
                <w:color w:val="auto"/>
              </w:rPr>
              <w:t>，目前项目尚未动工建设，矿区拟选址处目前为山林，其生态环境目前未受到破坏。项目西、北、东面均为林地，西南面为农田，周边无工业企业。</w:t>
            </w:r>
            <w:r>
              <w:rPr>
                <w:rFonts w:ascii="Times New Roman" w:hAnsi="Times New Roman" w:cs="Times New Roman" w:hint="default"/>
                <w:color w:val="auto"/>
                <w:szCs w:val="24"/>
              </w:rPr>
              <w:t>项目周边主要环境问题为附近居民产生的生活污水、生活垃圾以及周边农业面源污染。项目四至图详见附图</w:t>
            </w:r>
            <w:r>
              <w:rPr>
                <w:rFonts w:cs="Times New Roman" w:hint="eastAsia"/>
                <w:color w:val="auto"/>
                <w:szCs w:val="24"/>
                <w:lang w:val="en-US" w:eastAsia="zh-CN"/>
              </w:rPr>
              <w:t>2</w:t>
            </w:r>
            <w:r>
              <w:rPr>
                <w:rFonts w:ascii="Times New Roman" w:hAnsi="Times New Roman" w:cs="Times New Roman" w:hint="default"/>
                <w:color w:val="auto"/>
                <w:szCs w:val="24"/>
              </w:rPr>
              <w:t>。</w:t>
            </w:r>
          </w:p>
        </w:tc>
      </w:tr>
    </w:tbl>
    <w:p>
      <w:pPr>
        <w:sectPr>
          <w:footerReference w:type="even" r:id="rId33"/>
          <w:footerReference w:type="default" r:id="rId34"/>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3"/>
          <w:cols w:space="708"/>
          <w:titlePg w:val="0"/>
          <w:docGrid w:type="lines" w:linePitch="312"/>
        </w:sectPr>
      </w:pPr>
    </w:p>
    <w:p>
      <w:pPr>
        <w:pStyle w:val="Heading2"/>
        <w:numPr>
          <w:ilvl w:val="0"/>
          <w:numId w:val="0"/>
        </w:numPr>
        <w:spacing w:before="0" w:after="0" w:line="360" w:lineRule="auto"/>
        <w:rPr>
          <w:rFonts w:ascii="Times New Roman" w:eastAsia="宋体" w:hAnsi="Times New Roman" w:cs="Times New Roman" w:hint="default"/>
          <w:color w:val="auto"/>
          <w:sz w:val="28"/>
          <w:szCs w:val="28"/>
        </w:rPr>
      </w:pPr>
      <w:r>
        <w:rPr>
          <w:rFonts w:ascii="Times New Roman" w:eastAsia="宋体" w:hAnsi="Times New Roman" w:cs="Times New Roman" w:hint="default"/>
          <w:color w:val="auto"/>
        </w:rPr>
        <w:t>二、建设项目所在地自然环境社会环境简况</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595"/>
          <w:jc w:val="center"/>
        </w:trPr>
        <w:tc>
          <w:tcPr>
            <w:tcW w:w="9580" w:type="dxa"/>
          </w:tcPr>
          <w:p>
            <w:pPr>
              <w:pStyle w:val="120"/>
              <w:ind w:firstLine="0" w:firstLineChars="0"/>
              <w:rPr>
                <w:rFonts w:cs="Times New Roman" w:hint="default"/>
                <w:b/>
                <w:color w:val="auto"/>
                <w:spacing w:val="-20"/>
                <w:sz w:val="28"/>
                <w:szCs w:val="28"/>
              </w:rPr>
            </w:pPr>
            <w:r>
              <w:rPr>
                <w:rFonts w:ascii="Times New Roman" w:hAnsi="Times New Roman" w:cs="Times New Roman" w:hint="default"/>
                <w:b/>
                <w:color w:val="auto"/>
                <w:sz w:val="28"/>
                <w:szCs w:val="28"/>
              </w:rPr>
              <w:t>自然环境简况（地形、地貌、地质、气候、气象、水文、植被、生物多样性等）：</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（1）地理位置</w:t>
            </w:r>
          </w:p>
          <w:p>
            <w:pPr>
              <w:pStyle w:val="12"/>
              <w:rPr>
                <w:rFonts w:ascii="Times New Roman" w:hAnsi="Times New Roman" w:cs="Times New Roman" w:hint="default"/>
                <w:color w:val="auto"/>
                <w:szCs w:val="24"/>
              </w:rPr>
            </w:pPr>
            <w:r>
              <w:rPr>
                <w:rFonts w:ascii="Times New Roman" w:hAnsi="Times New Roman" w:cs="Times New Roman" w:hint="default"/>
                <w:color w:val="auto"/>
                <w:szCs w:val="24"/>
              </w:rPr>
              <w:t>阳春市位于广东省西南部，地处云雾山脉、天露山脉的中段与河尾山的八甲大山之间， 位于漠阳江中上游。地理座标为东经111</w:t>
            </w:r>
            <w:r>
              <w:rPr>
                <w:rFonts w:ascii="Times New Roman" w:hAnsi="Times New Roman" w:cs="Times New Roman" w:hint="default"/>
                <w:color w:val="auto"/>
                <w:szCs w:val="24"/>
              </w:rPr>
              <w:t>°</w:t>
            </w:r>
            <w:r>
              <w:rPr>
                <w:rFonts w:ascii="Times New Roman" w:hAnsi="Times New Roman" w:cs="Times New Roman" w:hint="default"/>
                <w:color w:val="auto"/>
                <w:szCs w:val="24"/>
              </w:rPr>
              <w:t>16</w:t>
            </w:r>
            <w:r>
              <w:rPr>
                <w:rFonts w:ascii="Times New Roman" w:hAnsi="Times New Roman" w:cs="Times New Roman" w:hint="default"/>
                <w:color w:val="auto"/>
                <w:szCs w:val="24"/>
              </w:rPr>
              <w:t>’</w:t>
            </w:r>
            <w:r>
              <w:rPr>
                <w:rFonts w:ascii="Times New Roman" w:hAnsi="Times New Roman" w:cs="Times New Roman" w:hint="default"/>
                <w:color w:val="auto"/>
                <w:szCs w:val="24"/>
              </w:rPr>
              <w:t>27"至112</w:t>
            </w:r>
            <w:r>
              <w:rPr>
                <w:rFonts w:ascii="Times New Roman" w:hAnsi="Times New Roman" w:cs="Times New Roman" w:hint="default"/>
                <w:color w:val="auto"/>
                <w:szCs w:val="24"/>
              </w:rPr>
              <w:t>°</w:t>
            </w:r>
            <w:r>
              <w:rPr>
                <w:rFonts w:ascii="Times New Roman" w:hAnsi="Times New Roman" w:cs="Times New Roman" w:hint="default"/>
                <w:color w:val="auto"/>
                <w:szCs w:val="24"/>
              </w:rPr>
              <w:t>09</w:t>
            </w:r>
            <w:r>
              <w:rPr>
                <w:rFonts w:ascii="Times New Roman" w:hAnsi="Times New Roman" w:cs="Times New Roman" w:hint="default"/>
                <w:color w:val="auto"/>
                <w:szCs w:val="24"/>
              </w:rPr>
              <w:t>’</w:t>
            </w:r>
            <w:r>
              <w:rPr>
                <w:rFonts w:ascii="Times New Roman" w:hAnsi="Times New Roman" w:cs="Times New Roman" w:hint="default"/>
                <w:color w:val="auto"/>
                <w:szCs w:val="24"/>
              </w:rPr>
              <w:t>22"，北纬21</w:t>
            </w:r>
            <w:r>
              <w:rPr>
                <w:rFonts w:ascii="Times New Roman" w:hAnsi="Times New Roman" w:cs="Times New Roman" w:hint="default"/>
                <w:color w:val="auto"/>
                <w:szCs w:val="24"/>
              </w:rPr>
              <w:t>°</w:t>
            </w:r>
            <w:r>
              <w:rPr>
                <w:rFonts w:ascii="Times New Roman" w:hAnsi="Times New Roman" w:cs="Times New Roman" w:hint="default"/>
                <w:color w:val="auto"/>
                <w:szCs w:val="24"/>
              </w:rPr>
              <w:t>50</w:t>
            </w:r>
            <w:r>
              <w:rPr>
                <w:rFonts w:ascii="Times New Roman" w:hAnsi="Times New Roman" w:cs="Times New Roman" w:hint="default"/>
                <w:color w:val="auto"/>
                <w:szCs w:val="24"/>
              </w:rPr>
              <w:t>’</w:t>
            </w:r>
            <w:r>
              <w:rPr>
                <w:rFonts w:ascii="Times New Roman" w:hAnsi="Times New Roman" w:cs="Times New Roman" w:hint="default"/>
                <w:color w:val="auto"/>
                <w:szCs w:val="24"/>
              </w:rPr>
              <w:t>36"至 22</w:t>
            </w:r>
            <w:r>
              <w:rPr>
                <w:rFonts w:ascii="Times New Roman" w:hAnsi="Times New Roman" w:cs="Times New Roman" w:hint="default"/>
                <w:color w:val="auto"/>
                <w:szCs w:val="24"/>
              </w:rPr>
              <w:t>°</w:t>
            </w:r>
            <w:r>
              <w:rPr>
                <w:rFonts w:ascii="Times New Roman" w:hAnsi="Times New Roman" w:cs="Times New Roman" w:hint="default"/>
                <w:color w:val="auto"/>
                <w:szCs w:val="24"/>
              </w:rPr>
              <w:t>41</w:t>
            </w:r>
            <w:r>
              <w:rPr>
                <w:rFonts w:ascii="Times New Roman" w:hAnsi="Times New Roman" w:cs="Times New Roman" w:hint="default"/>
                <w:color w:val="auto"/>
                <w:szCs w:val="24"/>
              </w:rPr>
              <w:t>’</w:t>
            </w:r>
            <w:r>
              <w:rPr>
                <w:rFonts w:ascii="Times New Roman" w:hAnsi="Times New Roman" w:cs="Times New Roman" w:hint="default"/>
                <w:color w:val="auto"/>
                <w:szCs w:val="24"/>
              </w:rPr>
              <w:t>01"。与肇庆市、江门市、阳江市的阳西县、阳东县、以及茂名市四面相邻。全市总面积 4054.7平方公里。南北长105公里，东西宽91公里。地形以山地丘陵为主，漠阳江北南纵贯全市，为狭长的河谷盆地和小平原。</w:t>
            </w:r>
          </w:p>
          <w:p>
            <w:pPr>
              <w:adjustRightInd w:val="0"/>
              <w:snapToGrid w:val="0"/>
              <w:spacing w:line="360" w:lineRule="auto"/>
              <w:ind w:firstLine="480" w:firstLineChars="200"/>
              <w:rPr>
                <w:rFonts w:ascii="Times New Roman" w:hAnsi="Times New Roman" w:cs="Times New Roman" w:hint="default"/>
                <w:color w:val="auto"/>
                <w:szCs w:val="24"/>
                <w:shd w:val="clear" w:color="auto" w:fill="FFFFFF"/>
              </w:rPr>
            </w:pPr>
            <w:r>
              <w:rPr>
                <w:rFonts w:ascii="Times New Roman" w:hAnsi="Times New Roman" w:cs="Times New Roman" w:hint="default"/>
                <w:color w:val="auto"/>
                <w:szCs w:val="24"/>
                <w:shd w:val="clear" w:color="auto" w:fill="FFFFFF"/>
              </w:rPr>
              <w:t>石望镇，位于阳春市区东北部，东邻新兴天堂镇，西接云浮市富林镇。全镇总面积110平方千米（2017年）。辖有10个村委会和一个居委会，126条自然村，总人口28306人（2017年）。总耕地面积28368亩，其中水田面积22830亩，旱地5538亩。林业用地面积76066亩，其中坡度25度以下山地18000亩。有丰富的锌、铁、石灰石等矿产资源，而且品位高，蕴藏量大。</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（2）地形地貌</w:t>
            </w:r>
          </w:p>
          <w:p>
            <w:pPr>
              <w:pStyle w:val="12"/>
              <w:rPr>
                <w:rFonts w:ascii="Times New Roman" w:hAnsi="Times New Roman" w:cs="Times New Roman" w:hint="default"/>
                <w:color w:val="auto"/>
              </w:rPr>
            </w:pPr>
            <w:r>
              <w:rPr>
                <w:rFonts w:ascii="Times New Roman" w:hAnsi="Times New Roman" w:cs="Times New Roman" w:hint="default"/>
                <w:color w:val="auto"/>
                <w:szCs w:val="24"/>
              </w:rPr>
              <w:t>阳春市地势东南高西北低，地形以山地丘陵为主，构成以漠阳江流域为中心的狭长低洼地带</w:t>
            </w:r>
            <w:r>
              <w:rPr>
                <w:rFonts w:ascii="Times New Roman" w:hAnsi="Times New Roman" w:cs="Times New Roman" w:hint="default"/>
                <w:color w:val="auto"/>
                <w:szCs w:val="24"/>
              </w:rPr>
              <w:t>——</w:t>
            </w:r>
            <w:r>
              <w:rPr>
                <w:rFonts w:ascii="Times New Roman" w:hAnsi="Times New Roman" w:cs="Times New Roman" w:hint="default"/>
                <w:color w:val="auto"/>
                <w:szCs w:val="24"/>
              </w:rPr>
              <w:t>阳春盆地，八甲大山的鹅凰嶂是境内最高峰，海拔 1337.6m。阳春市地质走向主要为北东</w:t>
            </w:r>
            <w:r>
              <w:rPr>
                <w:rFonts w:ascii="Times New Roman" w:hAnsi="Times New Roman" w:cs="Times New Roman" w:hint="default"/>
                <w:color w:val="auto"/>
                <w:szCs w:val="24"/>
              </w:rPr>
              <w:t>—</w:t>
            </w:r>
            <w:r>
              <w:rPr>
                <w:rFonts w:ascii="Times New Roman" w:hAnsi="Times New Roman" w:cs="Times New Roman" w:hint="default"/>
                <w:color w:val="auto"/>
                <w:szCs w:val="24"/>
              </w:rPr>
              <w:t>南西向，地层比较齐全，地层自老至新有震旦系、寒武系、泥盆系、石炭系、二迭系、三迭系、侏罗系、白垩系、第三系及第四系，从上元古震旦系至第四系花岗岩、变质岩（砂岩、页岩、片麻岩）、石灰岩等均有出露。 根据广东省地震烈度区划图，阳春市处于</w:t>
            </w:r>
            <w:r>
              <w:rPr>
                <w:rFonts w:ascii="Times New Roman" w:hAnsi="Times New Roman" w:cs="Times New Roman" w:hint="default"/>
                <w:color w:val="auto"/>
                <w:szCs w:val="24"/>
              </w:rPr>
              <w:t>≤</w:t>
            </w:r>
            <w:r>
              <w:rPr>
                <w:rFonts w:ascii="Times New Roman" w:hAnsi="Times New Roman" w:cs="Times New Roman" w:hint="default"/>
                <w:color w:val="auto"/>
                <w:szCs w:val="24"/>
              </w:rPr>
              <w:t>6度区域，阳春盆地为地震少发区。本工程地震烈度为6度。</w:t>
            </w:r>
          </w:p>
          <w:p>
            <w:pPr>
              <w:pStyle w:val="120"/>
              <w:ind w:firstLine="482"/>
              <w:rPr>
                <w:rFonts w:cs="Times New Roman" w:hint="default"/>
                <w:b/>
                <w:color w:val="auto"/>
              </w:rPr>
            </w:pPr>
            <w:r>
              <w:rPr>
                <w:rFonts w:ascii="Times New Roman" w:hAnsi="Times New Roman" w:cs="Times New Roman" w:hint="default"/>
                <w:b/>
                <w:color w:val="auto"/>
              </w:rPr>
              <w:t>（3）土壤资源</w:t>
            </w:r>
          </w:p>
          <w:p>
            <w:pPr>
              <w:pStyle w:val="12"/>
              <w:rPr>
                <w:rFonts w:ascii="Times New Roman" w:hAnsi="Times New Roman" w:cs="Times New Roman" w:hint="default"/>
                <w:color w:val="auto"/>
              </w:rPr>
            </w:pPr>
            <w:r>
              <w:rPr>
                <w:rFonts w:ascii="Times New Roman" w:hAnsi="Times New Roman" w:cs="Times New Roman" w:hint="default"/>
                <w:color w:val="auto"/>
              </w:rPr>
              <w:t>1980年土壤普查，根据成土条件（含成土母质），土壤形成的不同过程，把全区土壤分为9个土类，15个亚类，34个土壤，76个土种。</w:t>
            </w:r>
          </w:p>
          <w:p>
            <w:pPr>
              <w:pStyle w:val="12"/>
              <w:rPr>
                <w:rFonts w:ascii="Times New Roman" w:hAnsi="Times New Roman" w:cs="Times New Roman" w:hint="default"/>
                <w:color w:val="auto"/>
              </w:rPr>
            </w:pPr>
            <w:r>
              <w:rPr>
                <w:rFonts w:ascii="Times New Roman" w:hAnsi="Times New Roman" w:cs="Times New Roman" w:hint="default"/>
                <w:color w:val="auto"/>
              </w:rPr>
              <w:t>耕作土壤：全区耕作土壤28099.0公顷，分水田、旱地两类。 水田25345.3公顷，占耕作土壤的90.20%。旱地：132346.79 亩，占耕作土壤的16.25%。</w:t>
            </w:r>
          </w:p>
          <w:p>
            <w:pPr>
              <w:pStyle w:val="12"/>
              <w:rPr>
                <w:rFonts w:ascii="Times New Roman" w:hAnsi="Times New Roman" w:cs="Times New Roman" w:hint="default"/>
                <w:color w:val="auto"/>
              </w:rPr>
            </w:pPr>
            <w:r>
              <w:rPr>
                <w:rFonts w:ascii="Times New Roman" w:hAnsi="Times New Roman" w:cs="Times New Roman" w:hint="default"/>
                <w:color w:val="auto"/>
              </w:rPr>
              <w:t>自然土壤：主要分山地、滩涂两种。山地有比较明显的垂直地带性，分花岗岩赤红壤、 砂页岩赤红壤、紫色砂页岩赤红壤、侵蚀赤红壤4个土属。滩涂72149 亩，分滨海泥和滨海草滩两个土种。</w:t>
            </w:r>
          </w:p>
        </w:tc>
      </w:tr>
    </w:tbl>
    <w:p>
      <w:pPr>
        <w:sectPr>
          <w:footerReference w:type="even" r:id="rId35"/>
          <w:footerReference w:type="default" r:id="rId36"/>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4"/>
          <w:cols w:space="708"/>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595"/>
          <w:jc w:val="center"/>
        </w:trPr>
        <w:tc>
          <w:tcPr>
            <w:tcW w:w="9580" w:type="dxa"/>
          </w:tcPr>
          <w:p>
            <w:pPr>
              <w:adjustRightInd w:val="0"/>
              <w:snapToGrid w:val="0"/>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（4）水文水系</w:t>
            </w:r>
          </w:p>
          <w:p>
            <w:pPr>
              <w:adjustRightInd w:val="0"/>
              <w:snapToGrid w:val="0"/>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阳春市主要河流为漠阳江，该江从东北向西南横贯全市，水质清澈含砂量少，流量大。漠阳江发源于省境云浮市西南大云雾山南侧，初向西南行，流经阳春市马南山后，转90度折向东南，在阳江市的北津流入南海。干流长199公里，流域面积6042平方公里。流域面积在 100 平方公里以上的支流有 20 条。龙门河的西面和北面有天露山等一系列东北西南走向的山脉阻挡，使来自海洋的季风和台风在山地前缘产生大量降雨。漠阳江谷地以雨量丰沛著称，年降水量达 1800～2000 毫米，且暴雨径流特性非常突出，流量分配极不均匀。极端最大流量值出现的月份和月均最大流量的月份不一致，各月流量的极端值和月均值相差很大，月内最大流量与最小流量可相差40倍。受降雨季节分配不均匀影响，漠阳江一年中相应有两次主要洪峰出现，除夏季 6、7 月有一次外，9月再出现一次。漠阳江春城至高朗河段坡降为0.0001416，水面比降为 0.0001247，河床平均宽度为275m，丰枯流量比约为 2.6 左右。根据水文站提供的资料，漠阳江春湾城区段的最高洪水位33.3米，最大排洪为 1188m</w:t>
            </w:r>
            <w:r>
              <w:rPr>
                <w:rFonts w:ascii="Times New Roman" w:hAnsi="Times New Roman" w:cs="Times New Roman" w:hint="default"/>
                <w:color w:val="auto"/>
                <w:szCs w:val="24"/>
              </w:rPr>
              <w:t>³</w:t>
            </w:r>
            <w:r>
              <w:rPr>
                <w:rFonts w:ascii="Times New Roman" w:hAnsi="Times New Roman" w:cs="Times New Roman" w:hint="default"/>
                <w:color w:val="auto"/>
                <w:szCs w:val="24"/>
              </w:rPr>
              <w:t xml:space="preserve">/秒。二十年一遇洪水淹没区范围基本在漠阳江的泄洪区内，洪水对整个城区未构成威胁。 </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（5）气候、气象</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color w:val="auto"/>
                <w:szCs w:val="24"/>
              </w:rPr>
              <w:t>阳春市位于北回归线以南，气候类型为南亚热带海洋性季风气候，光、热、水资 源 丰富，温暖多雨为气候基本特征。阳春市常年气候温和，冬无严寒，夏无酷暑，一年中7、8月份气温最高，1月份最冷。据多年气象观测资料，多年平均气温为 22.1</w:t>
            </w:r>
            <w:r>
              <w:rPr>
                <w:rFonts w:ascii="Times New Roman" w:hAnsi="Times New Roman" w:cs="Times New Roman" w:hint="default"/>
                <w:color w:val="auto"/>
                <w:szCs w:val="24"/>
              </w:rPr>
              <w:t>℃</w:t>
            </w:r>
            <w:r>
              <w:rPr>
                <w:rFonts w:ascii="Times New Roman" w:hAnsi="Times New Roman" w:cs="Times New Roman" w:hint="default"/>
                <w:color w:val="auto"/>
                <w:szCs w:val="24"/>
              </w:rPr>
              <w:t>，年极端最高气温38.4</w:t>
            </w:r>
            <w:r>
              <w:rPr>
                <w:rFonts w:ascii="Times New Roman" w:hAnsi="Times New Roman" w:cs="Times New Roman" w:hint="default"/>
                <w:color w:val="auto"/>
                <w:szCs w:val="24"/>
              </w:rPr>
              <w:t>℃</w:t>
            </w:r>
            <w:r>
              <w:rPr>
                <w:rFonts w:ascii="Times New Roman" w:hAnsi="Times New Roman" w:cs="Times New Roman" w:hint="default"/>
                <w:color w:val="auto"/>
                <w:szCs w:val="24"/>
              </w:rPr>
              <w:t>，极端最低气温-1.8</w:t>
            </w:r>
            <w:r>
              <w:rPr>
                <w:rFonts w:ascii="Times New Roman" w:hAnsi="Times New Roman" w:cs="Times New Roman" w:hint="default"/>
                <w:color w:val="auto"/>
                <w:szCs w:val="24"/>
              </w:rPr>
              <w:t>℃</w:t>
            </w:r>
            <w:r>
              <w:rPr>
                <w:rFonts w:ascii="Times New Roman" w:hAnsi="Times New Roman" w:cs="Times New Roman" w:hint="default"/>
                <w:color w:val="auto"/>
                <w:szCs w:val="24"/>
              </w:rPr>
              <w:t>。全年无霜期340天。雨水充沛，年平均降雨量 2335mm，其中4～9月的降水约占全年的 82%。阳春市多年平均主导风为 NNE，频率为16%，其次为NE风和S风，频率分别为14%和8.8%，静风频率为29%。季风气候明显，夏季成盛行偏南风，7月最大频率 17%，冬季盛行偏北风，1月最大频率27%。夏季平均风速2.1m/s，冬季平均风速 2.2m/s。</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（6）自然资源</w:t>
            </w:r>
          </w:p>
          <w:p>
            <w:pPr>
              <w:pStyle w:val="120"/>
              <w:spacing w:after="0"/>
              <w:rPr>
                <w:rFonts w:cs="Times New Roman" w:hint="default"/>
                <w:color w:val="auto"/>
              </w:rPr>
            </w:pPr>
            <w:r>
              <w:rPr>
                <w:rFonts w:ascii="Times New Roman" w:hAnsi="Times New Roman" w:cs="Times New Roman" w:hint="default"/>
                <w:color w:val="auto"/>
                <w:szCs w:val="24"/>
              </w:rPr>
              <w:t>阳春是广东省粮、油、林、生猪生产基地之一，又是广东省无公害蔬菜生产基地和春砂仁、霍香等南药主要产区。市内建成了水果、蔬菜、甜玉米、蚕桑、香蕉、马占相思六大生产基地，颇具本地特色的阳春红荔枝、马水桔等优质水果广销省内外。农业生产和综合开发潜力巨大。全市森林覆盖率</w:t>
            </w:r>
            <w:r>
              <w:rPr>
                <w:rFonts w:ascii="Times New Roman" w:hAnsi="Times New Roman" w:cs="Times New Roman" w:hint="default"/>
                <w:color w:val="auto"/>
                <w:szCs w:val="24"/>
              </w:rPr>
              <w:t xml:space="preserve"> 59.2%，有650多种野生植物、100</w:t>
            </w:r>
            <w:r>
              <w:rPr>
                <w:rFonts w:ascii="Times New Roman" w:hAnsi="Times New Roman" w:cs="Times New Roman" w:hint="default"/>
                <w:color w:val="auto"/>
                <w:szCs w:val="24"/>
              </w:rPr>
              <w:t xml:space="preserve"> 多种野生动物，其中有茶木鹃、猪血木等多种国家一级保护动植物。土地森林资源十分丰富。全市耕地面积73.8万亩，其中水田56.9万亩。山林面积389.5</w:t>
            </w:r>
          </w:p>
        </w:tc>
      </w:tr>
    </w:tbl>
    <w:p>
      <w:pPr>
        <w:sectPr>
          <w:footerReference w:type="even" r:id="rId37"/>
          <w:footerReference w:type="default" r:id="rId3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5"/>
          <w:cols w:space="708"/>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595"/>
          <w:jc w:val="center"/>
        </w:trPr>
        <w:tc>
          <w:tcPr>
            <w:tcW w:w="9580" w:type="dxa"/>
          </w:tcPr>
          <w:p>
            <w:pPr>
              <w:pStyle w:val="120"/>
              <w:spacing w:before="0"/>
              <w:rPr>
                <w:rFonts w:cs="Times New Roman" w:hint="default"/>
                <w:color w:val="auto"/>
              </w:rPr>
            </w:pPr>
            <w:r>
              <w:rPr>
                <w:rFonts w:ascii="Times New Roman" w:hAnsi="Times New Roman" w:cs="Times New Roman" w:hint="default"/>
                <w:color w:val="auto"/>
                <w:szCs w:val="24"/>
              </w:rPr>
              <w:t xml:space="preserve"> 万亩，森林覆盖率达59.2%，木材总蓄积量</w:t>
            </w:r>
            <w:r>
              <w:rPr>
                <w:rFonts w:ascii="Times New Roman" w:hAnsi="Times New Roman" w:cs="Times New Roman" w:hint="default"/>
                <w:color w:val="auto"/>
                <w:szCs w:val="24"/>
              </w:rPr>
              <w:t xml:space="preserve"> 743</w:t>
            </w:r>
            <w:r>
              <w:rPr>
                <w:rFonts w:ascii="Times New Roman" w:hAnsi="Times New Roman" w:cs="Times New Roman" w:hint="default"/>
                <w:color w:val="auto"/>
                <w:szCs w:val="24"/>
              </w:rPr>
              <w:t xml:space="preserve"> 万立方米，可供开发的山坡山130万亩。阳春是广东省粮、油、林、生猪生产基地之一，又是广东省无公害蔬菜生产基</w:t>
            </w:r>
            <w:r>
              <w:rPr>
                <w:rFonts w:ascii="Times New Roman" w:hAnsi="Times New Roman" w:cs="Times New Roman" w:hint="default"/>
                <w:color w:val="auto"/>
                <w:szCs w:val="24"/>
              </w:rPr>
              <w:t xml:space="preserve"> 地和春砂仁、霍香等南药主要产区。市内建成了水果、蔬菜、甜玉米、蚕桑、香蕉、马占相思六大生产基地，颇具本地特色的阳春红荔枝、马水桔等优质水果广销省内外。</w:t>
            </w:r>
            <w:r>
              <w:rPr>
                <w:rFonts w:ascii="Times New Roman" w:hAnsi="Times New Roman" w:cs="Times New Roman" w:hint="default"/>
                <w:color w:val="auto"/>
                <w:szCs w:val="24"/>
              </w:rPr>
              <w:t xml:space="preserve"> 农业生产和综合开发潜力巨大。矿产资源储量大，品位高，已探明有铜、铁、锌、钨、锡、煤、石灰石、大理石、花岗岩等</w:t>
            </w:r>
            <w:r>
              <w:rPr>
                <w:rFonts w:ascii="Times New Roman" w:hAnsi="Times New Roman" w:cs="Times New Roman" w:hint="default"/>
                <w:color w:val="auto"/>
                <w:szCs w:val="24"/>
              </w:rPr>
              <w:t xml:space="preserve"> 36</w:t>
            </w:r>
            <w:r>
              <w:rPr>
                <w:rFonts w:ascii="Times New Roman" w:hAnsi="Times New Roman" w:cs="Times New Roman" w:hint="default"/>
                <w:color w:val="auto"/>
                <w:szCs w:val="24"/>
              </w:rPr>
              <w:t xml:space="preserve"> 种之多，是全国矿产最丰富的</w:t>
            </w:r>
            <w:r>
              <w:rPr>
                <w:rFonts w:ascii="Times New Roman" w:hAnsi="Times New Roman" w:cs="Times New Roman" w:hint="default"/>
                <w:color w:val="auto"/>
                <w:szCs w:val="24"/>
              </w:rPr>
              <w:t xml:space="preserve"> 6</w:t>
            </w:r>
            <w:r>
              <w:rPr>
                <w:rFonts w:ascii="Times New Roman" w:hAnsi="Times New Roman" w:cs="Times New Roman" w:hint="default"/>
                <w:color w:val="auto"/>
                <w:szCs w:val="24"/>
              </w:rPr>
              <w:t xml:space="preserve"> 个县（市）之一，其中水泥石灰岩储量在10亿吨以上，是生产高标号水泥的好材料。丰富的资源为发展工业提供了良好条件。</w:t>
            </w:r>
          </w:p>
          <w:p>
            <w:pPr>
              <w:pStyle w:val="120"/>
              <w:rPr>
                <w:rFonts w:cs="Times New Roman" w:hint="default"/>
                <w:color w:val="auto"/>
              </w:rPr>
            </w:pPr>
            <w:r>
              <w:rPr>
                <w:rFonts w:ascii="Times New Roman" w:hAnsi="Times New Roman" w:cs="Times New Roman" w:hint="default"/>
                <w:color w:val="auto"/>
              </w:rPr>
              <w:t>项目所在区域的环境功能属性见表2-1。</w:t>
            </w: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表2-1  项目所在区域环境功能属性一览表</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38"/>
              <w:gridCol w:w="2935"/>
              <w:gridCol w:w="5412"/>
            </w:tblGrid>
            <w:tr>
              <w:tblPrEx>
                <w:tblW w:w="0" w:type="auto"/>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90"/>
                <w:tblHeader/>
              </w:trPr>
              <w:tc>
                <w:tcPr>
                  <w:tcW w:w="838" w:type="dxa"/>
                  <w:vAlign w:val="center"/>
                </w:tcPr>
                <w:p>
                  <w:pPr>
                    <w:pStyle w:val="11"/>
                    <w:tabs>
                      <w:tab w:val="left" w:pos="1000"/>
                      <w:tab w:val="left" w:pos="1260"/>
                    </w:tabs>
                    <w:rPr>
                      <w:rFonts w:ascii="Times New Roman" w:hAnsi="Times New Roman" w:cs="Times New Roman" w:hint="default"/>
                      <w:b/>
                      <w:color w:val="auto"/>
                      <w:sz w:val="21"/>
                    </w:rPr>
                  </w:pPr>
                  <w:r>
                    <w:rPr>
                      <w:rFonts w:ascii="Times New Roman" w:hAnsi="Times New Roman" w:cs="Times New Roman" w:hint="default"/>
                      <w:b/>
                      <w:color w:val="auto"/>
                      <w:sz w:val="21"/>
                    </w:rPr>
                    <w:t>编号</w:t>
                  </w:r>
                </w:p>
              </w:tc>
              <w:tc>
                <w:tcPr>
                  <w:tcW w:w="2935" w:type="dxa"/>
                  <w:vAlign w:val="center"/>
                </w:tcPr>
                <w:p>
                  <w:pPr>
                    <w:pStyle w:val="11"/>
                    <w:tabs>
                      <w:tab w:val="left" w:pos="1000"/>
                      <w:tab w:val="left" w:pos="1260"/>
                    </w:tabs>
                    <w:rPr>
                      <w:rFonts w:ascii="Times New Roman" w:hAnsi="Times New Roman" w:cs="Times New Roman" w:hint="default"/>
                      <w:b/>
                      <w:color w:val="auto"/>
                      <w:sz w:val="21"/>
                    </w:rPr>
                  </w:pPr>
                  <w:r>
                    <w:rPr>
                      <w:rFonts w:ascii="Times New Roman" w:hAnsi="Times New Roman" w:cs="Times New Roman" w:hint="default"/>
                      <w:b/>
                      <w:color w:val="auto"/>
                      <w:sz w:val="21"/>
                    </w:rPr>
                    <w:t>环境功能区名称</w:t>
                  </w:r>
                </w:p>
              </w:tc>
              <w:tc>
                <w:tcPr>
                  <w:tcW w:w="5412" w:type="dxa"/>
                  <w:vAlign w:val="center"/>
                </w:tcPr>
                <w:p>
                  <w:pPr>
                    <w:pStyle w:val="11"/>
                    <w:tabs>
                      <w:tab w:val="left" w:pos="1000"/>
                      <w:tab w:val="left" w:pos="1260"/>
                    </w:tabs>
                    <w:rPr>
                      <w:rFonts w:ascii="Times New Roman" w:hAnsi="Times New Roman" w:cs="Times New Roman" w:hint="default"/>
                      <w:b/>
                      <w:color w:val="auto"/>
                      <w:sz w:val="21"/>
                    </w:rPr>
                  </w:pPr>
                  <w:r>
                    <w:rPr>
                      <w:rFonts w:ascii="Times New Roman" w:hAnsi="Times New Roman" w:cs="Times New Roman" w:hint="default"/>
                      <w:b/>
                      <w:color w:val="auto"/>
                      <w:sz w:val="21"/>
                    </w:rPr>
                    <w:t>评价区域所属类别</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1</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地表水环境功能区</w:t>
                  </w:r>
                </w:p>
              </w:tc>
              <w:tc>
                <w:tcPr>
                  <w:tcW w:w="5412" w:type="dxa"/>
                  <w:vAlign w:val="center"/>
                </w:tcPr>
                <w:p>
                  <w:pPr>
                    <w:pStyle w:val="220"/>
                    <w:spacing w:line="240" w:lineRule="auto"/>
                    <w:ind w:left="22" w:right="22"/>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根据《广东省地表水环境功能区划》（粤环[2011]14号），龙湾河属地表水</w:t>
                  </w:r>
                  <w:r>
                    <w:rPr>
                      <w:rFonts w:ascii="Times New Roman" w:eastAsia="宋体" w:hAnsi="Times New Roman" w:cs="Times New Roman" w:hint="default"/>
                      <w:color w:val="auto"/>
                      <w:sz w:val="21"/>
                      <w:szCs w:val="21"/>
                    </w:rPr>
                    <w:t>Ⅲ</w:t>
                  </w:r>
                  <w:r>
                    <w:rPr>
                      <w:rFonts w:ascii="Times New Roman" w:eastAsia="宋体" w:hAnsi="Times New Roman" w:cs="Times New Roman" w:hint="default"/>
                      <w:color w:val="auto"/>
                      <w:sz w:val="21"/>
                      <w:szCs w:val="21"/>
                    </w:rPr>
                    <w:t>类水体，执行《地表水环境质量标准》（GB3838-2002）中</w:t>
                  </w:r>
                  <w:r>
                    <w:rPr>
                      <w:rFonts w:ascii="Times New Roman" w:eastAsia="宋体" w:hAnsi="Times New Roman" w:cs="Times New Roman" w:hint="default"/>
                      <w:color w:val="auto"/>
                      <w:sz w:val="21"/>
                      <w:szCs w:val="21"/>
                    </w:rPr>
                    <w:t>Ⅲ</w:t>
                  </w:r>
                  <w:r>
                    <w:rPr>
                      <w:rFonts w:ascii="Times New Roman" w:eastAsia="宋体" w:hAnsi="Times New Roman" w:cs="Times New Roman" w:hint="default"/>
                      <w:color w:val="auto"/>
                      <w:sz w:val="21"/>
                      <w:szCs w:val="21"/>
                    </w:rPr>
                    <w:t>类标准；区划中未对龙湾陂东干渠进行功能区划划分，根据《广东省地表水环境功能区划》（粤环〔2011〕14 号），各水体未列出的上游及支流的水体环境质量控制目标以保证主流的环境质量控制目标为最低要求，原则上与汇入干流的功能目标要求不能相差超过一个级别。因此，龙湾陂东干渠属于</w:t>
                  </w:r>
                  <w:r>
                    <w:rPr>
                      <w:rFonts w:ascii="Times New Roman" w:eastAsia="宋体" w:hAnsi="Times New Roman" w:cs="Times New Roman" w:hint="default"/>
                      <w:color w:val="auto"/>
                      <w:sz w:val="21"/>
                      <w:szCs w:val="21"/>
                    </w:rPr>
                    <w:t>Ⅳ</w:t>
                  </w:r>
                  <w:r>
                    <w:rPr>
                      <w:rFonts w:ascii="Times New Roman" w:eastAsia="宋体" w:hAnsi="Times New Roman" w:cs="Times New Roman" w:hint="default"/>
                      <w:color w:val="auto"/>
                      <w:sz w:val="21"/>
                      <w:szCs w:val="21"/>
                    </w:rPr>
                    <w:t>类水，执行《地表水环境质量标准》（GB3838-2002）</w:t>
                  </w:r>
                  <w:r>
                    <w:rPr>
                      <w:rFonts w:ascii="Times New Roman" w:eastAsia="宋体" w:hAnsi="Times New Roman" w:cs="Times New Roman" w:hint="default"/>
                      <w:color w:val="auto"/>
                      <w:sz w:val="21"/>
                      <w:szCs w:val="21"/>
                    </w:rPr>
                    <w:t>Ⅳ</w:t>
                  </w:r>
                  <w:r>
                    <w:rPr>
                      <w:rFonts w:ascii="Times New Roman" w:eastAsia="宋体" w:hAnsi="Times New Roman" w:cs="Times New Roman" w:hint="default"/>
                      <w:color w:val="auto"/>
                      <w:sz w:val="21"/>
                      <w:szCs w:val="21"/>
                    </w:rPr>
                    <w:t>类标准</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2</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环境空气功能区</w:t>
                  </w:r>
                </w:p>
              </w:tc>
              <w:tc>
                <w:tcPr>
                  <w:tcW w:w="5412" w:type="dxa"/>
                  <w:vAlign w:val="center"/>
                </w:tcPr>
                <w:p>
                  <w:pPr>
                    <w:pStyle w:val="220"/>
                    <w:spacing w:line="240" w:lineRule="auto"/>
                    <w:ind w:left="22" w:right="22"/>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项目所在地属于二类环境空气功能区，执行《环境空气质量标准（GB3095-2012）》二级标准要求</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3</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环境噪声功能区</w:t>
                  </w:r>
                </w:p>
              </w:tc>
              <w:tc>
                <w:tcPr>
                  <w:tcW w:w="5412"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项目所在地属于2类声环境功能区，</w:t>
                  </w:r>
                  <w:r>
                    <w:rPr>
                      <w:rFonts w:ascii="Times New Roman" w:hAnsi="Times New Roman" w:cs="Times New Roman" w:hint="default"/>
                      <w:color w:val="auto"/>
                      <w:sz w:val="21"/>
                    </w:rPr>
                    <w:t>执行《声环境质量标准》（GB3096-2008）中</w:t>
                  </w:r>
                  <w:r>
                    <w:rPr>
                      <w:rFonts w:ascii="Times New Roman" w:hAnsi="Times New Roman" w:cs="Times New Roman" w:hint="default"/>
                      <w:color w:val="auto"/>
                      <w:sz w:val="21"/>
                      <w:lang w:eastAsia="zh-CN"/>
                    </w:rPr>
                    <w:t>2</w:t>
                  </w:r>
                  <w:r>
                    <w:rPr>
                      <w:rFonts w:ascii="Times New Roman" w:hAnsi="Times New Roman" w:cs="Times New Roman" w:hint="default"/>
                      <w:color w:val="auto"/>
                      <w:sz w:val="21"/>
                    </w:rPr>
                    <w:t>类</w:t>
                  </w:r>
                  <w:r>
                    <w:rPr>
                      <w:rFonts w:ascii="Times New Roman" w:hAnsi="Times New Roman" w:cs="Times New Roman" w:hint="default"/>
                      <w:color w:val="auto"/>
                      <w:sz w:val="21"/>
                      <w:lang w:eastAsia="zh-CN"/>
                    </w:rPr>
                    <w:t>标准</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4</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lang w:eastAsia="zh-CN"/>
                    </w:rPr>
                    <w:t>是否</w:t>
                  </w:r>
                  <w:r>
                    <w:rPr>
                      <w:rFonts w:ascii="Times New Roman" w:hAnsi="Times New Roman" w:cs="Times New Roman" w:hint="default"/>
                      <w:color w:val="auto"/>
                      <w:sz w:val="21"/>
                    </w:rPr>
                    <w:t>基本农田保护区</w:t>
                  </w:r>
                </w:p>
              </w:tc>
              <w:tc>
                <w:tcPr>
                  <w:tcW w:w="5412" w:type="dxa"/>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否</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5</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lang w:eastAsia="zh-CN"/>
                    </w:rPr>
                    <w:t>是否</w:t>
                  </w:r>
                  <w:r>
                    <w:rPr>
                      <w:rFonts w:ascii="Times New Roman" w:hAnsi="Times New Roman" w:cs="Times New Roman" w:hint="default"/>
                      <w:color w:val="auto"/>
                      <w:sz w:val="21"/>
                    </w:rPr>
                    <w:t>自然保护区</w:t>
                  </w:r>
                </w:p>
              </w:tc>
              <w:tc>
                <w:tcPr>
                  <w:tcW w:w="5412" w:type="dxa"/>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否</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6</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lang w:eastAsia="zh-CN"/>
                    </w:rPr>
                    <w:t>是否</w:t>
                  </w:r>
                  <w:r>
                    <w:rPr>
                      <w:rFonts w:ascii="Times New Roman" w:hAnsi="Times New Roman" w:cs="Times New Roman" w:hint="default"/>
                      <w:color w:val="auto"/>
                      <w:sz w:val="21"/>
                    </w:rPr>
                    <w:t>风景保护区</w:t>
                  </w:r>
                </w:p>
              </w:tc>
              <w:tc>
                <w:tcPr>
                  <w:tcW w:w="5412" w:type="dxa"/>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否</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7</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lang w:eastAsia="zh-CN"/>
                    </w:rPr>
                    <w:t>是否</w:t>
                  </w:r>
                  <w:r>
                    <w:rPr>
                      <w:rFonts w:ascii="Times New Roman" w:hAnsi="Times New Roman" w:cs="Times New Roman" w:hint="default"/>
                      <w:color w:val="auto"/>
                      <w:sz w:val="21"/>
                    </w:rPr>
                    <w:t>文物保护单位</w:t>
                  </w:r>
                </w:p>
              </w:tc>
              <w:tc>
                <w:tcPr>
                  <w:tcW w:w="5412" w:type="dxa"/>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否</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rPr>
                    <w:t>8</w:t>
                  </w:r>
                </w:p>
              </w:tc>
              <w:tc>
                <w:tcPr>
                  <w:tcW w:w="2935" w:type="dxa"/>
                  <w:vAlign w:val="center"/>
                </w:tcPr>
                <w:p>
                  <w:pPr>
                    <w:pStyle w:val="11"/>
                    <w:tabs>
                      <w:tab w:val="left" w:pos="1000"/>
                      <w:tab w:val="left" w:pos="1260"/>
                    </w:tabs>
                    <w:rPr>
                      <w:rFonts w:ascii="Times New Roman" w:hAnsi="Times New Roman" w:cs="Times New Roman" w:hint="default"/>
                      <w:color w:val="auto"/>
                      <w:sz w:val="21"/>
                    </w:rPr>
                  </w:pPr>
                  <w:r>
                    <w:rPr>
                      <w:rFonts w:ascii="Times New Roman" w:hAnsi="Times New Roman" w:cs="Times New Roman" w:hint="default"/>
                      <w:color w:val="auto"/>
                      <w:sz w:val="21"/>
                      <w:lang w:eastAsia="zh-CN"/>
                    </w:rPr>
                    <w:t>是否</w:t>
                  </w:r>
                  <w:r>
                    <w:rPr>
                      <w:rFonts w:ascii="Times New Roman" w:hAnsi="Times New Roman" w:cs="Times New Roman" w:hint="default"/>
                      <w:color w:val="auto"/>
                      <w:sz w:val="21"/>
                    </w:rPr>
                    <w:t>饮用水源保护区</w:t>
                  </w:r>
                </w:p>
              </w:tc>
              <w:tc>
                <w:tcPr>
                  <w:tcW w:w="5412" w:type="dxa"/>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否</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9</w:t>
                  </w:r>
                </w:p>
              </w:tc>
              <w:tc>
                <w:tcPr>
                  <w:tcW w:w="2935"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是否污水处理厂集中范围</w:t>
                  </w:r>
                </w:p>
              </w:tc>
              <w:tc>
                <w:tcPr>
                  <w:tcW w:w="5412" w:type="dxa"/>
                  <w:vAlign w:val="center"/>
                </w:tcPr>
                <w:p>
                  <w:pPr>
                    <w:pStyle w:val="220"/>
                    <w:spacing w:line="240" w:lineRule="auto"/>
                    <w:ind w:left="22" w:right="22"/>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否</w:t>
                  </w:r>
                </w:p>
              </w:tc>
            </w:tr>
            <w:tr>
              <w:tblPrEx>
                <w:tblW w:w="0" w:type="auto"/>
                <w:tblInd w:w="116" w:type="dxa"/>
                <w:tblLayout w:type="fixed"/>
                <w:tblCellMar>
                  <w:top w:w="0" w:type="dxa"/>
                  <w:left w:w="108" w:type="dxa"/>
                  <w:bottom w:w="0" w:type="dxa"/>
                  <w:right w:w="108" w:type="dxa"/>
                </w:tblCellMar>
                <w:tblLook w:val="0000"/>
              </w:tblPrEx>
              <w:trPr>
                <w:trHeight w:val="340"/>
              </w:trPr>
              <w:tc>
                <w:tcPr>
                  <w:tcW w:w="838"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10</w:t>
                  </w:r>
                </w:p>
              </w:tc>
              <w:tc>
                <w:tcPr>
                  <w:tcW w:w="2935"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是否酸雨控制区</w:t>
                  </w:r>
                </w:p>
              </w:tc>
              <w:tc>
                <w:tcPr>
                  <w:tcW w:w="5412" w:type="dxa"/>
                  <w:vAlign w:val="center"/>
                </w:tcPr>
                <w:p>
                  <w:pPr>
                    <w:pStyle w:val="11"/>
                    <w:tabs>
                      <w:tab w:val="left" w:pos="1000"/>
                      <w:tab w:val="left" w:pos="1260"/>
                    </w:tabs>
                    <w:rPr>
                      <w:rFonts w:ascii="Times New Roman" w:hAnsi="Times New Roman" w:cs="Times New Roman" w:hint="default"/>
                      <w:color w:val="auto"/>
                      <w:sz w:val="21"/>
                      <w:lang w:eastAsia="zh-CN"/>
                    </w:rPr>
                  </w:pPr>
                  <w:r>
                    <w:rPr>
                      <w:rFonts w:ascii="Times New Roman" w:hAnsi="Times New Roman" w:cs="Times New Roman" w:hint="default"/>
                      <w:color w:val="auto"/>
                      <w:sz w:val="21"/>
                      <w:lang w:eastAsia="zh-CN"/>
                    </w:rPr>
                    <w:t>否</w:t>
                  </w:r>
                </w:p>
              </w:tc>
            </w:tr>
          </w:tbl>
          <w:p>
            <w:pPr>
              <w:pStyle w:val="120"/>
              <w:rPr>
                <w:rFonts w:cs="Times New Roman" w:hint="default"/>
                <w:color w:val="auto"/>
                <w:szCs w:val="24"/>
              </w:rPr>
            </w:pPr>
          </w:p>
        </w:tc>
      </w:tr>
    </w:tbl>
    <w:p>
      <w:pPr>
        <w:sectPr>
          <w:footerReference w:type="even" r:id="rId39"/>
          <w:footerReference w:type="default" r:id="rId40"/>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6"/>
          <w:cols w:space="708"/>
          <w:titlePg w:val="0"/>
          <w:docGrid w:type="lines" w:linePitch="312"/>
        </w:sectPr>
      </w:pPr>
    </w:p>
    <w:p>
      <w:pPr>
        <w:pStyle w:val="Heading2"/>
        <w:numPr>
          <w:ilvl w:val="0"/>
          <w:numId w:val="0"/>
        </w:numPr>
        <w:spacing w:before="0" w:after="0" w:line="360" w:lineRule="auto"/>
        <w:rPr>
          <w:rFonts w:ascii="Times New Roman" w:eastAsia="宋体" w:hAnsi="Times New Roman" w:cs="Times New Roman" w:hint="default"/>
          <w:color w:val="auto"/>
          <w:sz w:val="30"/>
        </w:rPr>
      </w:pPr>
      <w:r>
        <w:rPr>
          <w:rFonts w:ascii="Times New Roman" w:eastAsia="宋体" w:hAnsi="Times New Roman" w:cs="Times New Roman" w:hint="default"/>
          <w:color w:val="auto"/>
          <w:sz w:val="28"/>
          <w:szCs w:val="28"/>
        </w:rPr>
        <w:t>三、环境质量状况</w:t>
      </w: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p>
            <w:pPr>
              <w:pStyle w:val="120"/>
              <w:ind w:firstLine="0" w:firstLineChars="0"/>
              <w:rPr>
                <w:rFonts w:cs="Times New Roman" w:hint="default"/>
                <w:b/>
                <w:color w:val="auto"/>
              </w:rPr>
            </w:pPr>
            <w:r>
              <w:rPr>
                <w:rFonts w:ascii="Times New Roman" w:hAnsi="Times New Roman" w:cs="Times New Roman" w:hint="default"/>
                <w:b/>
                <w:color w:val="auto"/>
              </w:rPr>
              <w:t>建设项目所在地区环境质量现状及主要环境问题（环境空气、地面水、地下水、声环境、生态环境等）：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hint="default"/>
                <w:b/>
                <w:bCs/>
                <w:color w:val="auto"/>
                <w:szCs w:val="22"/>
              </w:rPr>
            </w:pPr>
            <w:r>
              <w:rPr>
                <w:rFonts w:ascii="Times New Roman" w:hAnsi="Times New Roman" w:cs="Times New Roman" w:hint="default"/>
                <w:b/>
                <w:bCs/>
                <w:color w:val="auto"/>
                <w:szCs w:val="22"/>
              </w:rPr>
              <w:t>1、大气环境质量现状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hint="default"/>
                <w:color w:val="auto"/>
              </w:rPr>
            </w:pPr>
            <w:r>
              <w:rPr>
                <w:rFonts w:ascii="Times New Roman" w:hAnsi="Times New Roman" w:cs="Times New Roman" w:hint="default"/>
                <w:color w:val="auto"/>
              </w:rPr>
              <w:t>根据广东省环境质量考核状况网站查阅的资料可知，阳江市2019年环境空气质量状况如下表所示（网址链接：http://113.108.142.147:20061/StationStatus/AppCheck）。</w:t>
            </w:r>
          </w:p>
          <w:p>
            <w:pPr>
              <w:jc w:val="center"/>
              <w:rPr>
                <w:rFonts w:ascii="Times New Roman" w:hAnsi="Times New Roman" w:cs="Times New Roman" w:hint="default"/>
                <w:b/>
                <w:bCs/>
                <w:color w:val="auto"/>
                <w:sz w:val="21"/>
                <w:szCs w:val="16"/>
              </w:rPr>
            </w:pPr>
            <w:r>
              <w:rPr>
                <w:rFonts w:ascii="Times New Roman" w:hAnsi="Times New Roman" w:cs="Times New Roman" w:hint="default"/>
                <w:b/>
                <w:bCs/>
                <w:color w:val="auto"/>
                <w:sz w:val="21"/>
                <w:szCs w:val="18"/>
              </w:rPr>
              <w:t>表</w:t>
            </w:r>
            <w:r>
              <w:rPr>
                <w:rFonts w:ascii="Times New Roman" w:hAnsi="Times New Roman" w:cs="Times New Roman" w:hint="default"/>
                <w:b/>
                <w:bCs/>
                <w:color w:val="auto"/>
                <w:sz w:val="21"/>
                <w:szCs w:val="18"/>
                <w:lang w:val="en-US" w:eastAsia="zh-CN"/>
              </w:rPr>
              <w:t>3-1</w:t>
            </w:r>
            <w:r>
              <w:rPr>
                <w:rFonts w:ascii="Times New Roman" w:hAnsi="Times New Roman" w:cs="Times New Roman" w:hint="default"/>
                <w:b/>
                <w:bCs/>
                <w:color w:val="auto"/>
                <w:sz w:val="21"/>
                <w:szCs w:val="18"/>
              </w:rPr>
              <w:t xml:space="preserve">  环境空气质量统计结果</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14"/>
              <w:gridCol w:w="1314"/>
              <w:gridCol w:w="1312"/>
              <w:gridCol w:w="1312"/>
              <w:gridCol w:w="1312"/>
              <w:gridCol w:w="1310"/>
              <w:gridCol w:w="1314"/>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jc w:val="center"/>
              </w:trPr>
              <w:tc>
                <w:tcPr>
                  <w:tcW w:w="715" w:type="pct"/>
                  <w:vAlign w:val="center"/>
                </w:tcPr>
                <w:p>
                  <w:pPr>
                    <w:pStyle w:val="a28"/>
                    <w:widowControl w:val="0"/>
                    <w:rPr>
                      <w:rFonts w:ascii="Times New Roman" w:hAnsi="Times New Roman" w:cs="Times New Roman" w:hint="default"/>
                      <w:b/>
                      <w:bCs/>
                      <w:color w:val="auto"/>
                    </w:rPr>
                  </w:pPr>
                  <w:r>
                    <w:rPr>
                      <w:rFonts w:ascii="Times New Roman" w:hAnsi="Times New Roman" w:cs="Times New Roman" w:hint="default"/>
                      <w:b/>
                      <w:bCs/>
                      <w:color w:val="auto"/>
                    </w:rPr>
                    <w:t>项目</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SO</w:t>
                  </w:r>
                  <w:r>
                    <w:rPr>
                      <w:rFonts w:ascii="Times New Roman" w:hAnsi="Times New Roman" w:cs="Times New Roman" w:hint="default"/>
                      <w:color w:val="auto"/>
                      <w:vertAlign w:val="subscript"/>
                    </w:rPr>
                    <w:t>2</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NO</w:t>
                  </w:r>
                  <w:r>
                    <w:rPr>
                      <w:rFonts w:ascii="Times New Roman" w:hAnsi="Times New Roman" w:cs="Times New Roman" w:hint="default"/>
                      <w:color w:val="auto"/>
                      <w:vertAlign w:val="subscript"/>
                    </w:rPr>
                    <w:t>2</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PM</w:t>
                  </w:r>
                  <w:r>
                    <w:rPr>
                      <w:rFonts w:ascii="Times New Roman" w:hAnsi="Times New Roman" w:cs="Times New Roman" w:hint="default"/>
                      <w:color w:val="auto"/>
                      <w:vertAlign w:val="subscript"/>
                    </w:rPr>
                    <w:t>10</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PM</w:t>
                  </w:r>
                  <w:r>
                    <w:rPr>
                      <w:rFonts w:ascii="Times New Roman" w:hAnsi="Times New Roman" w:cs="Times New Roman" w:hint="default"/>
                      <w:color w:val="auto"/>
                      <w:vertAlign w:val="subscript"/>
                    </w:rPr>
                    <w:t>2.5</w:t>
                  </w:r>
                </w:p>
              </w:tc>
              <w:tc>
                <w:tcPr>
                  <w:tcW w:w="713"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CO</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O</w:t>
                  </w:r>
                  <w:r>
                    <w:rPr>
                      <w:rFonts w:ascii="Times New Roman" w:hAnsi="Times New Roman" w:cs="Times New Roman" w:hint="default"/>
                      <w:color w:val="auto"/>
                      <w:vertAlign w:val="subscript"/>
                    </w:rPr>
                    <w:t>3</w:t>
                  </w:r>
                </w:p>
              </w:tc>
            </w:tr>
            <w:tr>
              <w:tblPrEx>
                <w:tblW w:w="5000" w:type="pct"/>
                <w:jc w:val="center"/>
                <w:tblInd w:w="113" w:type="dxa"/>
                <w:tblCellMar>
                  <w:top w:w="0" w:type="dxa"/>
                  <w:left w:w="108" w:type="dxa"/>
                  <w:bottom w:w="0" w:type="dxa"/>
                  <w:right w:w="108" w:type="dxa"/>
                </w:tblCellMar>
                <w:tblLook w:val="0000"/>
              </w:tblPrEx>
              <w:trPr>
                <w:trHeight w:val="23"/>
                <w:jc w:val="center"/>
              </w:trPr>
              <w:tc>
                <w:tcPr>
                  <w:tcW w:w="715" w:type="pct"/>
                  <w:vAlign w:val="center"/>
                </w:tcPr>
                <w:p>
                  <w:pPr>
                    <w:pStyle w:val="a28"/>
                    <w:widowControl w:val="0"/>
                    <w:rPr>
                      <w:rFonts w:ascii="Times New Roman" w:hAnsi="Times New Roman" w:cs="Times New Roman" w:hint="default"/>
                      <w:b/>
                      <w:bCs/>
                      <w:color w:val="auto"/>
                    </w:rPr>
                  </w:pPr>
                  <w:r>
                    <w:rPr>
                      <w:rFonts w:ascii="Times New Roman" w:hAnsi="Times New Roman" w:cs="Times New Roman" w:hint="default"/>
                      <w:b/>
                      <w:bCs/>
                      <w:color w:val="auto"/>
                    </w:rPr>
                    <w:t>单位</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μ</w:t>
                  </w:r>
                  <w:r>
                    <w:rPr>
                      <w:rFonts w:ascii="Times New Roman" w:hAnsi="Times New Roman" w:cs="Times New Roman" w:hint="default"/>
                      <w:color w:val="auto"/>
                    </w:rPr>
                    <w:t>g/m</w:t>
                  </w:r>
                  <w:r>
                    <w:rPr>
                      <w:rFonts w:ascii="Times New Roman" w:hAnsi="Times New Roman" w:cs="Times New Roman" w:hint="default"/>
                      <w:color w:val="auto"/>
                      <w:vertAlign w:val="superscript"/>
                    </w:rPr>
                    <w:t>3</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μ</w:t>
                  </w:r>
                  <w:r>
                    <w:rPr>
                      <w:rFonts w:ascii="Times New Roman" w:hAnsi="Times New Roman" w:cs="Times New Roman" w:hint="default"/>
                      <w:color w:val="auto"/>
                    </w:rPr>
                    <w:t>g/m</w:t>
                  </w:r>
                  <w:r>
                    <w:rPr>
                      <w:rFonts w:ascii="Times New Roman" w:hAnsi="Times New Roman" w:cs="Times New Roman" w:hint="default"/>
                      <w:color w:val="auto"/>
                      <w:vertAlign w:val="superscript"/>
                    </w:rPr>
                    <w:t>3</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μ</w:t>
                  </w:r>
                  <w:r>
                    <w:rPr>
                      <w:rFonts w:ascii="Times New Roman" w:hAnsi="Times New Roman" w:cs="Times New Roman" w:hint="default"/>
                      <w:color w:val="auto"/>
                    </w:rPr>
                    <w:t>g/m</w:t>
                  </w:r>
                  <w:r>
                    <w:rPr>
                      <w:rFonts w:ascii="Times New Roman" w:hAnsi="Times New Roman" w:cs="Times New Roman" w:hint="default"/>
                      <w:color w:val="auto"/>
                      <w:vertAlign w:val="superscript"/>
                    </w:rPr>
                    <w:t>3</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μ</w:t>
                  </w:r>
                  <w:r>
                    <w:rPr>
                      <w:rFonts w:ascii="Times New Roman" w:hAnsi="Times New Roman" w:cs="Times New Roman" w:hint="default"/>
                      <w:color w:val="auto"/>
                    </w:rPr>
                    <w:t>g/m</w:t>
                  </w:r>
                  <w:r>
                    <w:rPr>
                      <w:rFonts w:ascii="Times New Roman" w:hAnsi="Times New Roman" w:cs="Times New Roman" w:hint="default"/>
                      <w:color w:val="auto"/>
                      <w:vertAlign w:val="superscript"/>
                    </w:rPr>
                    <w:t>3</w:t>
                  </w:r>
                </w:p>
              </w:tc>
              <w:tc>
                <w:tcPr>
                  <w:tcW w:w="713"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mg/m</w:t>
                  </w:r>
                  <w:r>
                    <w:rPr>
                      <w:rFonts w:ascii="Times New Roman" w:hAnsi="Times New Roman" w:cs="Times New Roman" w:hint="default"/>
                      <w:color w:val="auto"/>
                      <w:vertAlign w:val="superscript"/>
                    </w:rPr>
                    <w:t>3</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μ</w:t>
                  </w:r>
                  <w:r>
                    <w:rPr>
                      <w:rFonts w:ascii="Times New Roman" w:hAnsi="Times New Roman" w:cs="Times New Roman" w:hint="default"/>
                      <w:color w:val="auto"/>
                    </w:rPr>
                    <w:t>g/m</w:t>
                  </w:r>
                  <w:r>
                    <w:rPr>
                      <w:rFonts w:ascii="Times New Roman" w:hAnsi="Times New Roman" w:cs="Times New Roman" w:hint="default"/>
                      <w:color w:val="auto"/>
                      <w:vertAlign w:val="superscript"/>
                    </w:rPr>
                    <w:t>3</w:t>
                  </w:r>
                </w:p>
              </w:tc>
            </w:tr>
            <w:tr>
              <w:tblPrEx>
                <w:tblW w:w="5000" w:type="pct"/>
                <w:jc w:val="center"/>
                <w:tblInd w:w="113" w:type="dxa"/>
                <w:tblCellMar>
                  <w:top w:w="0" w:type="dxa"/>
                  <w:left w:w="108" w:type="dxa"/>
                  <w:bottom w:w="0" w:type="dxa"/>
                  <w:right w:w="108" w:type="dxa"/>
                </w:tblCellMar>
                <w:tblLook w:val="0000"/>
              </w:tblPrEx>
              <w:trPr>
                <w:trHeight w:val="23"/>
                <w:jc w:val="center"/>
              </w:trPr>
              <w:tc>
                <w:tcPr>
                  <w:tcW w:w="715" w:type="pct"/>
                  <w:vAlign w:val="center"/>
                </w:tcPr>
                <w:p>
                  <w:pPr>
                    <w:pStyle w:val="a28"/>
                    <w:widowControl w:val="0"/>
                    <w:rPr>
                      <w:rFonts w:ascii="Times New Roman" w:hAnsi="Times New Roman" w:cs="Times New Roman" w:hint="default"/>
                      <w:b/>
                      <w:bCs/>
                      <w:color w:val="auto"/>
                    </w:rPr>
                  </w:pPr>
                  <w:r>
                    <w:rPr>
                      <w:rFonts w:ascii="Times New Roman" w:hAnsi="Times New Roman" w:cs="Times New Roman" w:hint="default"/>
                      <w:b/>
                      <w:bCs/>
                      <w:color w:val="auto"/>
                    </w:rPr>
                    <w:t>年平均值</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7</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18</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42</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28</w:t>
                  </w:r>
                </w:p>
              </w:tc>
              <w:tc>
                <w:tcPr>
                  <w:tcW w:w="713"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1.2</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154</w:t>
                  </w:r>
                </w:p>
              </w:tc>
            </w:tr>
            <w:tr>
              <w:tblPrEx>
                <w:tblW w:w="5000" w:type="pct"/>
                <w:jc w:val="center"/>
                <w:tblInd w:w="113" w:type="dxa"/>
                <w:tblCellMar>
                  <w:top w:w="0" w:type="dxa"/>
                  <w:left w:w="108" w:type="dxa"/>
                  <w:bottom w:w="0" w:type="dxa"/>
                  <w:right w:w="108" w:type="dxa"/>
                </w:tblCellMar>
                <w:tblLook w:val="0000"/>
              </w:tblPrEx>
              <w:trPr>
                <w:trHeight w:val="23"/>
                <w:jc w:val="center"/>
              </w:trPr>
              <w:tc>
                <w:tcPr>
                  <w:tcW w:w="715" w:type="pct"/>
                  <w:vAlign w:val="center"/>
                </w:tcPr>
                <w:p>
                  <w:pPr>
                    <w:pStyle w:val="a28"/>
                    <w:widowControl w:val="0"/>
                    <w:rPr>
                      <w:rFonts w:ascii="Times New Roman" w:hAnsi="Times New Roman" w:cs="Times New Roman" w:hint="default"/>
                      <w:b/>
                      <w:bCs/>
                      <w:color w:val="auto"/>
                    </w:rPr>
                  </w:pPr>
                  <w:r>
                    <w:rPr>
                      <w:rFonts w:ascii="Times New Roman" w:hAnsi="Times New Roman" w:cs="Times New Roman" w:hint="default"/>
                      <w:b/>
                      <w:bCs/>
                      <w:color w:val="auto"/>
                    </w:rPr>
                    <w:t>质量标准</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60</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40</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70</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35</w:t>
                  </w:r>
                </w:p>
              </w:tc>
              <w:tc>
                <w:tcPr>
                  <w:tcW w:w="713"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4</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160</w:t>
                  </w:r>
                </w:p>
              </w:tc>
            </w:tr>
            <w:tr>
              <w:tblPrEx>
                <w:tblW w:w="5000" w:type="pct"/>
                <w:jc w:val="center"/>
                <w:tblInd w:w="113" w:type="dxa"/>
                <w:tblCellMar>
                  <w:top w:w="0" w:type="dxa"/>
                  <w:left w:w="108" w:type="dxa"/>
                  <w:bottom w:w="0" w:type="dxa"/>
                  <w:right w:w="108" w:type="dxa"/>
                </w:tblCellMar>
                <w:tblLook w:val="0000"/>
              </w:tblPrEx>
              <w:trPr>
                <w:trHeight w:val="23"/>
                <w:jc w:val="center"/>
              </w:trPr>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达标情况</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w:t>
                  </w:r>
                </w:p>
              </w:tc>
              <w:tc>
                <w:tcPr>
                  <w:tcW w:w="714"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w:t>
                  </w:r>
                </w:p>
              </w:tc>
              <w:tc>
                <w:tcPr>
                  <w:tcW w:w="713"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w:t>
                  </w:r>
                </w:p>
              </w:tc>
              <w:tc>
                <w:tcPr>
                  <w:tcW w:w="715" w:type="pct"/>
                  <w:vAlign w:val="center"/>
                </w:tcPr>
                <w:p>
                  <w:pPr>
                    <w:pStyle w:val="a28"/>
                    <w:widowControl w:val="0"/>
                    <w:rPr>
                      <w:rFonts w:ascii="Times New Roman" w:hAnsi="Times New Roman" w:cs="Times New Roman" w:hint="default"/>
                      <w:color w:val="auto"/>
                    </w:rPr>
                  </w:pPr>
                  <w:r>
                    <w:rPr>
                      <w:rFonts w:ascii="Times New Roman" w:hAnsi="Times New Roman" w:cs="Times New Roman" w:hint="default"/>
                      <w:color w:val="auto"/>
                    </w:rPr>
                    <w:t>达标</w:t>
                  </w:r>
                </w:p>
              </w:tc>
            </w:tr>
          </w:tbl>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由上表可得，该区域环境空气六项基本污染物浓度均满足《环境空气质量标准》（GB3095-2012）及其2018年修改单的二级标准，说明该区域为环境空气达标区。</w:t>
            </w:r>
          </w:p>
          <w:p>
            <w:pPr>
              <w:spacing w:line="360" w:lineRule="auto"/>
              <w:ind w:firstLine="480" w:firstLineChars="200"/>
              <w:rPr>
                <w:rFonts w:ascii="Times New Roman" w:hAnsi="Times New Roman" w:cs="Times New Roman" w:hint="default"/>
                <w:b/>
                <w:color w:val="auto"/>
              </w:rPr>
            </w:pPr>
            <w:r>
              <w:rPr>
                <w:rFonts w:ascii="Times New Roman" w:hAnsi="Times New Roman" w:cs="Times New Roman" w:hint="default"/>
                <w:b/>
                <w:color w:val="auto"/>
              </w:rPr>
              <w:t>2、地表水环境质量</w:t>
            </w:r>
          </w:p>
          <w:p>
            <w:pPr>
              <w:pStyle w:val="120"/>
              <w:rPr>
                <w:rFonts w:cs="Times New Roman" w:hint="default"/>
                <w:color w:val="auto"/>
                <w:szCs w:val="24"/>
              </w:rPr>
            </w:pPr>
            <w:r>
              <w:rPr>
                <w:rFonts w:ascii="Times New Roman" w:hAnsi="Times New Roman" w:cs="Times New Roman" w:hint="default"/>
                <w:color w:val="auto"/>
              </w:rPr>
              <w:t>本项目所在区域评价范围内地表水体为龙湾陂东干渠和龙湾河。</w:t>
            </w:r>
            <w:r>
              <w:rPr>
                <w:rFonts w:ascii="Times New Roman" w:hAnsi="Times New Roman" w:cs="Times New Roman" w:hint="default"/>
                <w:color w:val="auto"/>
                <w:szCs w:val="24"/>
              </w:rPr>
              <w:t>根据《广东省地表水环境功能区划》[粤环(2011)14号]的区划，</w:t>
            </w:r>
            <w:r>
              <w:rPr>
                <w:rFonts w:ascii="Times New Roman" w:hAnsi="Times New Roman" w:cs="Times New Roman" w:hint="default"/>
                <w:color w:val="auto"/>
              </w:rPr>
              <w:t>龙湾河</w:t>
            </w:r>
            <w:r>
              <w:rPr>
                <w:rFonts w:ascii="Times New Roman" w:hAnsi="Times New Roman" w:cs="Times New Roman" w:hint="default"/>
                <w:color w:val="auto"/>
                <w:szCs w:val="24"/>
              </w:rPr>
              <w:t>执行《地表水环境质量标准》（GB3838-2002）</w:t>
            </w:r>
            <w:r>
              <w:rPr>
                <w:rFonts w:ascii="Times New Roman" w:hAnsi="Times New Roman" w:cs="Times New Roman" w:hint="default"/>
                <w:color w:val="auto"/>
                <w:szCs w:val="24"/>
              </w:rPr>
              <w:t>Ⅲ</w:t>
            </w:r>
            <w:r>
              <w:rPr>
                <w:rFonts w:ascii="Times New Roman" w:hAnsi="Times New Roman" w:cs="Times New Roman" w:hint="default"/>
                <w:color w:val="auto"/>
                <w:szCs w:val="24"/>
              </w:rPr>
              <w:t>类标准，区划中未对龙湾陂东干渠进行功能区划划分，根据《广东省地表水环境功能区划》（粤环〔2011〕14 号），各水体未列出的上游及支流的水体环境质量控制目标以保证主流的环境质量控制目标为最低要求，原则上与汇入干流的功能目标要求不能相差超过一个级别。因此，龙湾陂东干渠属于</w:t>
            </w:r>
            <w:r>
              <w:rPr>
                <w:rFonts w:ascii="Times New Roman" w:hAnsi="Times New Roman" w:cs="Times New Roman" w:hint="default"/>
                <w:color w:val="auto"/>
                <w:szCs w:val="24"/>
              </w:rPr>
              <w:t>Ⅳ</w:t>
            </w:r>
            <w:r>
              <w:rPr>
                <w:rFonts w:ascii="Times New Roman" w:hAnsi="Times New Roman" w:cs="Times New Roman" w:hint="default"/>
                <w:color w:val="auto"/>
                <w:szCs w:val="24"/>
              </w:rPr>
              <w:t>类水，执行《地表水环境质量标准》（GB3838-2002）</w:t>
            </w:r>
            <w:r>
              <w:rPr>
                <w:rFonts w:ascii="Times New Roman" w:hAnsi="Times New Roman" w:cs="Times New Roman" w:hint="default"/>
                <w:color w:val="auto"/>
                <w:szCs w:val="24"/>
              </w:rPr>
              <w:t>Ⅳ</w:t>
            </w:r>
            <w:r>
              <w:rPr>
                <w:rFonts w:ascii="Times New Roman" w:hAnsi="Times New Roman" w:cs="Times New Roman" w:hint="default"/>
                <w:color w:val="auto"/>
                <w:szCs w:val="24"/>
              </w:rPr>
              <w:t>类标准。</w:t>
            </w:r>
          </w:p>
          <w:p>
            <w:pPr>
              <w:pStyle w:val="120"/>
              <w:rPr>
                <w:rFonts w:cs="Times New Roman" w:hint="default"/>
                <w:color w:val="auto"/>
              </w:rPr>
            </w:pPr>
            <w:r>
              <w:rPr>
                <w:rFonts w:ascii="Times New Roman" w:hAnsi="Times New Roman" w:cs="Times New Roman" w:hint="default"/>
                <w:color w:val="auto"/>
                <w:szCs w:val="24"/>
              </w:rPr>
              <w:t>为了解</w:t>
            </w:r>
            <w:r>
              <w:rPr>
                <w:rFonts w:ascii="Times New Roman" w:hAnsi="Times New Roman" w:cs="Times New Roman" w:hint="default"/>
                <w:color w:val="auto"/>
              </w:rPr>
              <w:t>龙湾河</w:t>
            </w:r>
            <w:r>
              <w:rPr>
                <w:rFonts w:ascii="Times New Roman" w:hAnsi="Times New Roman" w:cs="Times New Roman" w:hint="default"/>
                <w:color w:val="auto"/>
                <w:szCs w:val="24"/>
              </w:rPr>
              <w:t>水质现状情况，本次评价委托</w:t>
            </w:r>
            <w:r>
              <w:rPr>
                <w:rFonts w:ascii="Times New Roman" w:hAnsi="Times New Roman" w:cs="Times New Roman" w:hint="default"/>
                <w:color w:val="auto"/>
                <w:szCs w:val="24"/>
                <w:lang w:eastAsia="zh-CN"/>
              </w:rPr>
              <w:t>东莞市四丰检测技术有限公司</w:t>
            </w:r>
            <w:r>
              <w:rPr>
                <w:rFonts w:ascii="Times New Roman" w:hAnsi="Times New Roman" w:cs="Times New Roman" w:hint="default"/>
                <w:color w:val="auto"/>
                <w:szCs w:val="24"/>
              </w:rPr>
              <w:t>于2020年3月12日对项目南面</w:t>
            </w:r>
            <w:r>
              <w:rPr>
                <w:rFonts w:ascii="Times New Roman" w:hAnsi="Times New Roman" w:cs="Times New Roman" w:hint="default"/>
                <w:color w:val="auto"/>
              </w:rPr>
              <w:t>龙湾河</w:t>
            </w:r>
            <w:r>
              <w:rPr>
                <w:rFonts w:ascii="Times New Roman" w:hAnsi="Times New Roman" w:cs="Times New Roman" w:hint="default"/>
                <w:color w:val="auto"/>
                <w:szCs w:val="24"/>
              </w:rPr>
              <w:t>水质进行采样分析，</w:t>
            </w:r>
            <w:r>
              <w:rPr>
                <w:rFonts w:ascii="Times New Roman" w:hAnsi="Times New Roman" w:cs="Times New Roman" w:hint="default"/>
                <w:color w:val="auto"/>
              </w:rPr>
              <w:t>监测断面详见表3-2，监测结果统计见表3-3。</w:t>
            </w: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表3-2  地表水监测断面一览表</w:t>
            </w:r>
          </w:p>
          <w:tbl>
            <w:tblPr>
              <w:tblStyle w:val="TableNormal"/>
              <w:tblW w:w="0" w:type="auto"/>
              <w:jc w:val="center"/>
              <w:tblInd w:w="120"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CellMar>
                <w:top w:w="0" w:type="dxa"/>
                <w:left w:w="108" w:type="dxa"/>
                <w:bottom w:w="0" w:type="dxa"/>
                <w:right w:w="108" w:type="dxa"/>
              </w:tblCellMar>
              <w:tblLook w:val="0000"/>
            </w:tblPr>
            <w:tblGrid>
              <w:gridCol w:w="1819"/>
              <w:gridCol w:w="1961"/>
              <w:gridCol w:w="5282"/>
            </w:tblGrid>
            <w:tr>
              <w:tblPrEx>
                <w:tblW w:w="0" w:type="auto"/>
                <w:jc w:val="center"/>
                <w:tblInd w:w="120"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CellMar>
                  <w:top w:w="0" w:type="dxa"/>
                  <w:left w:w="108" w:type="dxa"/>
                  <w:bottom w:w="0" w:type="dxa"/>
                  <w:right w:w="108" w:type="dxa"/>
                </w:tblCellMar>
                <w:tblLook w:val="0000"/>
              </w:tblPrEx>
              <w:trPr>
                <w:jc w:val="center"/>
              </w:trPr>
              <w:tc>
                <w:tcPr>
                  <w:tcW w:w="1841" w:type="dxa"/>
                  <w:vAlign w:val="center"/>
                </w:tcPr>
                <w:p>
                  <w:pPr>
                    <w:pStyle w:val="111"/>
                    <w:spacing w:line="240" w:lineRule="auto"/>
                    <w:rPr>
                      <w:rFonts w:ascii="Times New Roman" w:hAnsi="Times New Roman" w:cs="Times New Roman" w:hint="default"/>
                      <w:b/>
                      <w:color w:val="auto"/>
                      <w:sz w:val="21"/>
                      <w:szCs w:val="15"/>
                    </w:rPr>
                  </w:pPr>
                  <w:r>
                    <w:rPr>
                      <w:rFonts w:ascii="Times New Roman" w:hAnsi="Times New Roman" w:cs="Times New Roman" w:hint="default"/>
                      <w:b/>
                      <w:color w:val="auto"/>
                      <w:sz w:val="21"/>
                      <w:szCs w:val="15"/>
                    </w:rPr>
                    <w:t>河流名称</w:t>
                  </w:r>
                </w:p>
              </w:tc>
              <w:tc>
                <w:tcPr>
                  <w:tcW w:w="1985" w:type="dxa"/>
                  <w:vAlign w:val="center"/>
                </w:tcPr>
                <w:p>
                  <w:pPr>
                    <w:pStyle w:val="111"/>
                    <w:spacing w:line="240" w:lineRule="auto"/>
                    <w:rPr>
                      <w:rFonts w:ascii="Times New Roman" w:hAnsi="Times New Roman" w:cs="Times New Roman" w:hint="default"/>
                      <w:b/>
                      <w:color w:val="auto"/>
                      <w:sz w:val="21"/>
                      <w:szCs w:val="15"/>
                    </w:rPr>
                  </w:pPr>
                  <w:r>
                    <w:rPr>
                      <w:rFonts w:ascii="Times New Roman" w:hAnsi="Times New Roman" w:cs="Times New Roman" w:hint="default"/>
                      <w:b/>
                      <w:color w:val="auto"/>
                      <w:sz w:val="21"/>
                      <w:szCs w:val="15"/>
                    </w:rPr>
                    <w:t>水质监测断面编号</w:t>
                  </w:r>
                </w:p>
              </w:tc>
              <w:tc>
                <w:tcPr>
                  <w:tcW w:w="5348" w:type="dxa"/>
                  <w:vAlign w:val="center"/>
                </w:tcPr>
                <w:p>
                  <w:pPr>
                    <w:pStyle w:val="111"/>
                    <w:spacing w:line="240" w:lineRule="auto"/>
                    <w:rPr>
                      <w:rFonts w:ascii="Times New Roman" w:hAnsi="Times New Roman" w:cs="Times New Roman" w:hint="default"/>
                      <w:b/>
                      <w:color w:val="auto"/>
                      <w:sz w:val="21"/>
                      <w:szCs w:val="15"/>
                    </w:rPr>
                  </w:pPr>
                  <w:r>
                    <w:rPr>
                      <w:rFonts w:ascii="Times New Roman" w:hAnsi="Times New Roman" w:cs="Times New Roman" w:hint="default"/>
                      <w:b/>
                      <w:color w:val="auto"/>
                      <w:sz w:val="21"/>
                      <w:szCs w:val="15"/>
                    </w:rPr>
                    <w:t>具体位置</w:t>
                  </w:r>
                </w:p>
              </w:tc>
            </w:tr>
            <w:tr>
              <w:tblPrEx>
                <w:tblW w:w="0" w:type="auto"/>
                <w:jc w:val="center"/>
                <w:tblInd w:w="120" w:type="dxa"/>
                <w:tblCellMar>
                  <w:top w:w="0" w:type="dxa"/>
                  <w:left w:w="108" w:type="dxa"/>
                  <w:bottom w:w="0" w:type="dxa"/>
                  <w:right w:w="108" w:type="dxa"/>
                </w:tblCellMar>
                <w:tblLook w:val="0000"/>
              </w:tblPrEx>
              <w:trPr>
                <w:trHeight w:val="240"/>
                <w:jc w:val="center"/>
              </w:trPr>
              <w:tc>
                <w:tcPr>
                  <w:tcW w:w="1841" w:type="dxa"/>
                  <w:vMerge w:val="restart"/>
                  <w:vAlign w:val="center"/>
                </w:tcPr>
                <w:p>
                  <w:pPr>
                    <w:pStyle w:val="111"/>
                    <w:spacing w:line="240" w:lineRule="auto"/>
                    <w:rPr>
                      <w:rFonts w:ascii="Times New Roman" w:hAnsi="Times New Roman" w:cs="Times New Roman" w:hint="default"/>
                      <w:color w:val="auto"/>
                      <w:sz w:val="21"/>
                      <w:szCs w:val="15"/>
                    </w:rPr>
                  </w:pPr>
                  <w:r>
                    <w:rPr>
                      <w:rFonts w:ascii="Times New Roman" w:hAnsi="Times New Roman" w:cs="Times New Roman" w:hint="default"/>
                      <w:color w:val="auto"/>
                    </w:rPr>
                    <w:t>龙湾河</w:t>
                  </w:r>
                </w:p>
              </w:tc>
              <w:tc>
                <w:tcPr>
                  <w:tcW w:w="1985" w:type="dxa"/>
                  <w:vAlign w:val="center"/>
                </w:tcPr>
                <w:p>
                  <w:pPr>
                    <w:pStyle w:val="111"/>
                    <w:spacing w:line="240" w:lineRule="auto"/>
                    <w:rPr>
                      <w:rFonts w:ascii="Times New Roman" w:hAnsi="Times New Roman" w:cs="Times New Roman" w:hint="default"/>
                      <w:color w:val="auto"/>
                      <w:sz w:val="21"/>
                      <w:szCs w:val="15"/>
                    </w:rPr>
                  </w:pPr>
                  <w:r>
                    <w:rPr>
                      <w:rFonts w:ascii="Times New Roman" w:hAnsi="Times New Roman" w:cs="Times New Roman" w:hint="default"/>
                      <w:color w:val="auto"/>
                      <w:sz w:val="21"/>
                      <w:szCs w:val="15"/>
                    </w:rPr>
                    <w:t>W1</w:t>
                  </w:r>
                </w:p>
              </w:tc>
              <w:tc>
                <w:tcPr>
                  <w:tcW w:w="5348" w:type="dxa"/>
                  <w:vAlign w:val="center"/>
                </w:tcPr>
                <w:p>
                  <w:pPr>
                    <w:pStyle w:val="220"/>
                    <w:spacing w:line="240" w:lineRule="auto"/>
                    <w:ind w:left="22" w:right="22"/>
                    <w:rPr>
                      <w:rFonts w:ascii="Times New Roman" w:eastAsia="宋体" w:hAnsi="Times New Roman" w:cs="Times New Roman" w:hint="default"/>
                      <w:color w:val="auto"/>
                      <w:sz w:val="21"/>
                      <w:szCs w:val="15"/>
                    </w:rPr>
                  </w:pPr>
                  <w:r>
                    <w:rPr>
                      <w:rFonts w:ascii="Times New Roman" w:eastAsia="宋体" w:hAnsi="Times New Roman" w:cs="Times New Roman" w:hint="default"/>
                      <w:color w:val="auto"/>
                      <w:sz w:val="21"/>
                      <w:szCs w:val="15"/>
                    </w:rPr>
                    <w:t>项目南面龙湾陂东干渠汇入龙湾河处上游500m</w:t>
                  </w:r>
                </w:p>
              </w:tc>
            </w:tr>
            <w:tr>
              <w:tblPrEx>
                <w:tblW w:w="0" w:type="auto"/>
                <w:jc w:val="center"/>
                <w:tblInd w:w="120" w:type="dxa"/>
                <w:tblCellMar>
                  <w:top w:w="0" w:type="dxa"/>
                  <w:left w:w="108" w:type="dxa"/>
                  <w:bottom w:w="0" w:type="dxa"/>
                  <w:right w:w="108" w:type="dxa"/>
                </w:tblCellMar>
                <w:tblLook w:val="0000"/>
              </w:tblPrEx>
              <w:trPr>
                <w:jc w:val="center"/>
              </w:trPr>
              <w:tc>
                <w:tcPr>
                  <w:tcW w:w="1841" w:type="dxa"/>
                  <w:vMerge/>
                  <w:vAlign w:val="center"/>
                </w:tcPr>
                <w:p>
                  <w:pPr>
                    <w:pStyle w:val="111"/>
                    <w:spacing w:line="240" w:lineRule="auto"/>
                    <w:rPr>
                      <w:rFonts w:ascii="Times New Roman" w:hAnsi="Times New Roman" w:cs="Times New Roman" w:hint="default"/>
                      <w:color w:val="auto"/>
                      <w:sz w:val="21"/>
                      <w:szCs w:val="15"/>
                    </w:rPr>
                  </w:pPr>
                </w:p>
              </w:tc>
              <w:tc>
                <w:tcPr>
                  <w:tcW w:w="1985" w:type="dxa"/>
                  <w:vAlign w:val="center"/>
                </w:tcPr>
                <w:p>
                  <w:pPr>
                    <w:pStyle w:val="111"/>
                    <w:spacing w:line="240" w:lineRule="auto"/>
                    <w:rPr>
                      <w:rFonts w:ascii="Times New Roman" w:hAnsi="Times New Roman" w:cs="Times New Roman" w:hint="default"/>
                      <w:color w:val="auto"/>
                      <w:sz w:val="21"/>
                      <w:szCs w:val="15"/>
                    </w:rPr>
                  </w:pPr>
                  <w:r>
                    <w:rPr>
                      <w:rFonts w:ascii="Times New Roman" w:hAnsi="Times New Roman" w:cs="Times New Roman" w:hint="default"/>
                      <w:color w:val="auto"/>
                      <w:sz w:val="21"/>
                      <w:szCs w:val="15"/>
                    </w:rPr>
                    <w:t>W2</w:t>
                  </w:r>
                </w:p>
              </w:tc>
              <w:tc>
                <w:tcPr>
                  <w:tcW w:w="5348" w:type="dxa"/>
                  <w:vAlign w:val="center"/>
                </w:tcPr>
                <w:p>
                  <w:pPr>
                    <w:pStyle w:val="220"/>
                    <w:spacing w:line="240" w:lineRule="auto"/>
                    <w:ind w:left="22" w:right="22"/>
                    <w:rPr>
                      <w:rFonts w:ascii="Times New Roman" w:eastAsia="宋体" w:hAnsi="Times New Roman" w:cs="Times New Roman" w:hint="default"/>
                      <w:color w:val="auto"/>
                      <w:sz w:val="21"/>
                      <w:szCs w:val="15"/>
                    </w:rPr>
                  </w:pPr>
                  <w:r>
                    <w:rPr>
                      <w:rFonts w:ascii="Times New Roman" w:eastAsia="宋体" w:hAnsi="Times New Roman" w:cs="Times New Roman" w:hint="default"/>
                      <w:color w:val="auto"/>
                      <w:sz w:val="21"/>
                      <w:szCs w:val="15"/>
                    </w:rPr>
                    <w:t>项目南面龙湾陂东干渠汇入龙湾河处下游500m</w:t>
                  </w:r>
                </w:p>
              </w:tc>
            </w:tr>
            <w:tr>
              <w:tblPrEx>
                <w:tblW w:w="0" w:type="auto"/>
                <w:jc w:val="center"/>
                <w:tblInd w:w="120" w:type="dxa"/>
                <w:tblCellMar>
                  <w:top w:w="0" w:type="dxa"/>
                  <w:left w:w="108" w:type="dxa"/>
                  <w:bottom w:w="0" w:type="dxa"/>
                  <w:right w:w="108" w:type="dxa"/>
                </w:tblCellMar>
                <w:tblLook w:val="0000"/>
              </w:tblPrEx>
              <w:trPr>
                <w:jc w:val="center"/>
              </w:trPr>
              <w:tc>
                <w:tcPr>
                  <w:tcW w:w="1841" w:type="dxa"/>
                  <w:vMerge/>
                  <w:vAlign w:val="center"/>
                </w:tcPr>
                <w:p>
                  <w:pPr>
                    <w:pStyle w:val="111"/>
                    <w:spacing w:line="240" w:lineRule="auto"/>
                    <w:rPr>
                      <w:rFonts w:ascii="Times New Roman" w:hAnsi="Times New Roman" w:cs="Times New Roman" w:hint="default"/>
                      <w:color w:val="auto"/>
                      <w:sz w:val="21"/>
                      <w:szCs w:val="15"/>
                    </w:rPr>
                  </w:pPr>
                </w:p>
              </w:tc>
              <w:tc>
                <w:tcPr>
                  <w:tcW w:w="1985" w:type="dxa"/>
                  <w:vAlign w:val="center"/>
                </w:tcPr>
                <w:p>
                  <w:pPr>
                    <w:pStyle w:val="111"/>
                    <w:spacing w:line="240" w:lineRule="auto"/>
                    <w:rPr>
                      <w:rFonts w:ascii="Times New Roman" w:hAnsi="Times New Roman" w:cs="Times New Roman" w:hint="default"/>
                      <w:color w:val="auto"/>
                      <w:sz w:val="21"/>
                      <w:szCs w:val="15"/>
                    </w:rPr>
                  </w:pPr>
                  <w:r>
                    <w:rPr>
                      <w:rFonts w:ascii="Times New Roman" w:hAnsi="Times New Roman" w:cs="Times New Roman" w:hint="default"/>
                      <w:color w:val="auto"/>
                      <w:sz w:val="21"/>
                      <w:szCs w:val="15"/>
                    </w:rPr>
                    <w:t>W3</w:t>
                  </w:r>
                </w:p>
              </w:tc>
              <w:tc>
                <w:tcPr>
                  <w:tcW w:w="5348" w:type="dxa"/>
                  <w:vAlign w:val="center"/>
                </w:tcPr>
                <w:p>
                  <w:pPr>
                    <w:pStyle w:val="220"/>
                    <w:spacing w:line="240" w:lineRule="auto"/>
                    <w:ind w:left="22" w:right="22"/>
                    <w:rPr>
                      <w:rFonts w:ascii="Times New Roman" w:eastAsia="宋体" w:hAnsi="Times New Roman" w:cs="Times New Roman" w:hint="default"/>
                      <w:color w:val="auto"/>
                      <w:sz w:val="21"/>
                      <w:szCs w:val="15"/>
                    </w:rPr>
                  </w:pPr>
                  <w:r>
                    <w:rPr>
                      <w:rFonts w:ascii="Times New Roman" w:eastAsia="宋体" w:hAnsi="Times New Roman" w:cs="Times New Roman" w:hint="default"/>
                      <w:color w:val="auto"/>
                      <w:sz w:val="21"/>
                      <w:szCs w:val="15"/>
                    </w:rPr>
                    <w:t>项目南面龙湾陂东干渠汇入龙湾河处下游1500m</w:t>
                  </w:r>
                </w:p>
              </w:tc>
            </w:tr>
          </w:tbl>
          <w:p>
            <w:pPr>
              <w:pStyle w:val="22"/>
              <w:rPr>
                <w:rFonts w:ascii="Times New Roman" w:hAnsi="Times New Roman" w:cs="Times New Roman" w:hint="default"/>
                <w:color w:val="auto"/>
                <w:sz w:val="21"/>
                <w:szCs w:val="21"/>
              </w:rPr>
            </w:pP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表3-3  地表水监测结果一览表 (mg/L，pH除外）</w:t>
            </w:r>
          </w:p>
          <w:tbl>
            <w:tblPr>
              <w:tblStyle w:val="TableNormal"/>
              <w:tblW w:w="9183" w:type="dxa"/>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836"/>
              <w:gridCol w:w="1835"/>
              <w:gridCol w:w="1836"/>
              <w:gridCol w:w="1838"/>
              <w:gridCol w:w="1838"/>
            </w:tblGrid>
            <w:tr>
              <w:tblPrEx>
                <w:tblW w:w="9183" w:type="dxa"/>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836" w:type="dxa"/>
                  <w:vMerge w:val="restart"/>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项目</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color w:val="auto"/>
                      <w:sz w:val="21"/>
                      <w:szCs w:val="21"/>
                    </w:rPr>
                  </w:pPr>
                </w:p>
              </w:tc>
              <w:tc>
                <w:tcPr>
                  <w:tcW w:w="1836"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W1</w:t>
                  </w:r>
                </w:p>
              </w:tc>
              <w:tc>
                <w:tcPr>
                  <w:tcW w:w="1838"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W2</w:t>
                  </w:r>
                </w:p>
              </w:tc>
              <w:tc>
                <w:tcPr>
                  <w:tcW w:w="1838"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W3</w:t>
                  </w:r>
                </w:p>
              </w:tc>
            </w:tr>
            <w:tr>
              <w:tblPrEx>
                <w:tblW w:w="9183" w:type="dxa"/>
                <w:tblInd w:w="116" w:type="dxa"/>
                <w:tblCellMar>
                  <w:top w:w="0" w:type="dxa"/>
                  <w:left w:w="108" w:type="dxa"/>
                  <w:bottom w:w="0" w:type="dxa"/>
                  <w:right w:w="108" w:type="dxa"/>
                </w:tblCellMar>
                <w:tblLook w:val="0000"/>
              </w:tblPrEx>
              <w:tc>
                <w:tcPr>
                  <w:tcW w:w="1836" w:type="dxa"/>
                  <w:vMerge/>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color w:val="auto"/>
                      <w:sz w:val="21"/>
                      <w:szCs w:val="21"/>
                    </w:rPr>
                    <w:t>Ⅲ</w:t>
                  </w:r>
                  <w:r>
                    <w:rPr>
                      <w:rFonts w:ascii="Times New Roman" w:hAnsi="Times New Roman" w:cs="Times New Roman" w:hint="default"/>
                      <w:color w:val="auto"/>
                      <w:sz w:val="21"/>
                      <w:szCs w:val="21"/>
                    </w:rPr>
                    <w:t>类标准限值</w:t>
                  </w:r>
                </w:p>
              </w:tc>
              <w:tc>
                <w:tcPr>
                  <w:tcW w:w="5512" w:type="dxa"/>
                  <w:gridSpan w:val="3"/>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2020.03.12</w:t>
                  </w:r>
                </w:p>
              </w:tc>
            </w:tr>
            <w:tr>
              <w:tblPrEx>
                <w:tblW w:w="9183" w:type="dxa"/>
                <w:tblInd w:w="116" w:type="dxa"/>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pH值</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bCs/>
                      <w:color w:val="auto"/>
                      <w:sz w:val="21"/>
                      <w:szCs w:val="21"/>
                    </w:rPr>
                    <w:t>6-9</w:t>
                  </w:r>
                </w:p>
              </w:tc>
              <w:tc>
                <w:tcPr>
                  <w:tcW w:w="1836" w:type="dxa"/>
                  <w:vAlign w:val="center"/>
                </w:tcPr>
                <w:p>
                  <w:pPr>
                    <w:pStyle w:val="TableParagraph"/>
                    <w:keepNext w:val="0"/>
                    <w:keepLines w:val="0"/>
                    <w:pageBreakBefore w:val="0"/>
                    <w:widowControl w:val="0"/>
                    <w:kinsoku/>
                    <w:wordWrap/>
                    <w:overflowPunct/>
                    <w:topLinePunct w:val="0"/>
                    <w:bidi w:val="0"/>
                    <w:adjustRightInd/>
                    <w:snapToGrid/>
                    <w:ind w:left="118" w:right="100"/>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7.12</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7.23</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7.19</w:t>
                  </w:r>
                </w:p>
              </w:tc>
            </w:tr>
            <w:tr>
              <w:tblPrEx>
                <w:tblW w:w="9183" w:type="dxa"/>
                <w:tblInd w:w="116" w:type="dxa"/>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化学需氧量</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color w:val="auto"/>
                      <w:sz w:val="21"/>
                      <w:szCs w:val="21"/>
                    </w:rPr>
                    <w:t>≤</w:t>
                  </w:r>
                  <w:r>
                    <w:rPr>
                      <w:rFonts w:ascii="Times New Roman" w:hAnsi="Times New Roman" w:cs="Times New Roman" w:hint="default"/>
                      <w:b w:val="0"/>
                      <w:color w:val="auto"/>
                      <w:sz w:val="21"/>
                      <w:szCs w:val="21"/>
                    </w:rPr>
                    <w:t>20</w:t>
                  </w:r>
                </w:p>
              </w:tc>
              <w:tc>
                <w:tcPr>
                  <w:tcW w:w="1836" w:type="dxa"/>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15</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15</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16</w:t>
                  </w:r>
                </w:p>
              </w:tc>
            </w:tr>
          </w:tbl>
          <w:p/>
        </w:tc>
      </w:tr>
    </w:tbl>
    <w:p>
      <w:pPr>
        <w:sectPr>
          <w:footerReference w:type="even" r:id="rId41"/>
          <w:footerReference w:type="default" r:id="rId42"/>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7"/>
          <w:cols w:space="708"/>
          <w:titlePg w:val="0"/>
          <w:docGrid w:type="lines" w:linePitch="312"/>
        </w:sectPr>
      </w:pP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tbl>
            <w:tblPr>
              <w:tblStyle w:val="TableNormal"/>
              <w:tblW w:w="9183" w:type="dxa"/>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836"/>
              <w:gridCol w:w="1835"/>
              <w:gridCol w:w="1836"/>
              <w:gridCol w:w="1838"/>
              <w:gridCol w:w="1838"/>
            </w:tblGrid>
            <w:tr>
              <w:tblPrEx>
                <w:tblW w:w="9183" w:type="dxa"/>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五日生化需氧量</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color w:val="auto"/>
                      <w:sz w:val="21"/>
                      <w:szCs w:val="21"/>
                    </w:rPr>
                    <w:t>≤</w:t>
                  </w:r>
                  <w:r>
                    <w:rPr>
                      <w:rFonts w:ascii="Times New Roman" w:hAnsi="Times New Roman" w:cs="Times New Roman" w:hint="default"/>
                      <w:b w:val="0"/>
                      <w:color w:val="auto"/>
                      <w:sz w:val="21"/>
                      <w:szCs w:val="21"/>
                    </w:rPr>
                    <w:t>4</w:t>
                  </w:r>
                </w:p>
              </w:tc>
              <w:tc>
                <w:tcPr>
                  <w:tcW w:w="1836" w:type="dxa"/>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3.6</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3.4</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3.8</w:t>
                  </w:r>
                </w:p>
              </w:tc>
            </w:tr>
            <w:tr>
              <w:tblPrEx>
                <w:tblW w:w="9183" w:type="dxa"/>
                <w:tblInd w:w="116" w:type="dxa"/>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溶解氧</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bCs/>
                      <w:color w:val="auto"/>
                      <w:sz w:val="21"/>
                      <w:szCs w:val="21"/>
                    </w:rPr>
                    <w:t>≥</w:t>
                  </w:r>
                  <w:r>
                    <w:rPr>
                      <w:rFonts w:ascii="Times New Roman" w:hAnsi="Times New Roman" w:cs="Times New Roman" w:hint="default"/>
                      <w:b w:val="0"/>
                      <w:bCs/>
                      <w:color w:val="auto"/>
                      <w:sz w:val="21"/>
                      <w:szCs w:val="21"/>
                    </w:rPr>
                    <w:t>5</w:t>
                  </w:r>
                </w:p>
              </w:tc>
              <w:tc>
                <w:tcPr>
                  <w:tcW w:w="1836" w:type="dxa"/>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6.1</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6.0</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6.0</w:t>
                  </w:r>
                </w:p>
              </w:tc>
            </w:tr>
            <w:tr>
              <w:tblPrEx>
                <w:tblW w:w="9183" w:type="dxa"/>
                <w:tblInd w:w="116" w:type="dxa"/>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悬浮物</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bCs/>
                      <w:color w:val="auto"/>
                      <w:sz w:val="21"/>
                      <w:szCs w:val="21"/>
                    </w:rPr>
                    <w:t>≤</w:t>
                  </w:r>
                  <w:r>
                    <w:rPr>
                      <w:rFonts w:ascii="Times New Roman" w:hAnsi="Times New Roman" w:cs="Times New Roman" w:hint="default"/>
                      <w:b w:val="0"/>
                      <w:bCs/>
                      <w:color w:val="auto"/>
                      <w:sz w:val="21"/>
                      <w:szCs w:val="21"/>
                    </w:rPr>
                    <w:t>60</w:t>
                  </w:r>
                </w:p>
              </w:tc>
              <w:tc>
                <w:tcPr>
                  <w:tcW w:w="1836" w:type="dxa"/>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bCs/>
                      <w:color w:val="auto"/>
                      <w:sz w:val="21"/>
                      <w:szCs w:val="21"/>
                      <w:lang w:eastAsia="zh-CN"/>
                    </w:rPr>
                  </w:pPr>
                  <w:r>
                    <w:rPr>
                      <w:rFonts w:ascii="Times New Roman" w:eastAsia="宋体" w:hAnsi="Times New Roman" w:cs="Times New Roman" w:hint="default"/>
                      <w:bCs/>
                      <w:color w:val="auto"/>
                      <w:sz w:val="21"/>
                      <w:szCs w:val="21"/>
                      <w:lang w:eastAsia="zh-CN"/>
                    </w:rPr>
                    <w:t>15</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bCs/>
                      <w:color w:val="auto"/>
                      <w:sz w:val="21"/>
                      <w:szCs w:val="21"/>
                      <w:lang w:eastAsia="zh-CN"/>
                    </w:rPr>
                  </w:pPr>
                  <w:r>
                    <w:rPr>
                      <w:rFonts w:ascii="Times New Roman" w:eastAsia="宋体" w:hAnsi="Times New Roman" w:cs="Times New Roman" w:hint="default"/>
                      <w:bCs/>
                      <w:color w:val="auto"/>
                      <w:sz w:val="21"/>
                      <w:szCs w:val="21"/>
                      <w:lang w:eastAsia="zh-CN"/>
                    </w:rPr>
                    <w:t>18</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14</w:t>
                  </w:r>
                </w:p>
              </w:tc>
            </w:tr>
            <w:tr>
              <w:tblPrEx>
                <w:tblW w:w="9183" w:type="dxa"/>
                <w:tblInd w:w="116" w:type="dxa"/>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动植物油</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bCs/>
                      <w:color w:val="auto"/>
                      <w:sz w:val="21"/>
                      <w:szCs w:val="21"/>
                    </w:rPr>
                    <w:t>/</w:t>
                  </w:r>
                </w:p>
              </w:tc>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N.D</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N.D</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N.D</w:t>
                  </w:r>
                </w:p>
              </w:tc>
            </w:tr>
            <w:tr>
              <w:tblPrEx>
                <w:tblW w:w="9183" w:type="dxa"/>
                <w:tblInd w:w="116" w:type="dxa"/>
                <w:tblCellMar>
                  <w:top w:w="0" w:type="dxa"/>
                  <w:left w:w="108" w:type="dxa"/>
                  <w:bottom w:w="0" w:type="dxa"/>
                  <w:right w:w="108" w:type="dxa"/>
                </w:tblCellMar>
                <w:tblLook w:val="0000"/>
              </w:tblPrEx>
              <w:tc>
                <w:tcPr>
                  <w:tcW w:w="1836"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总磷</w:t>
                  </w:r>
                </w:p>
              </w:tc>
              <w:tc>
                <w:tcPr>
                  <w:tcW w:w="1835" w:type="dxa"/>
                  <w:vAlign w:val="center"/>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bCs/>
                      <w:color w:val="auto"/>
                      <w:sz w:val="21"/>
                      <w:szCs w:val="21"/>
                    </w:rPr>
                    <w:t>≤</w:t>
                  </w:r>
                  <w:r>
                    <w:rPr>
                      <w:rFonts w:ascii="Times New Roman" w:hAnsi="Times New Roman" w:cs="Times New Roman" w:hint="default"/>
                      <w:b w:val="0"/>
                      <w:bCs/>
                      <w:color w:val="auto"/>
                      <w:sz w:val="21"/>
                      <w:szCs w:val="21"/>
                    </w:rPr>
                    <w:t>0.2</w:t>
                  </w:r>
                </w:p>
              </w:tc>
              <w:tc>
                <w:tcPr>
                  <w:tcW w:w="1836" w:type="dxa"/>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bCs/>
                      <w:color w:val="auto"/>
                      <w:sz w:val="21"/>
                      <w:szCs w:val="21"/>
                      <w:lang w:eastAsia="zh-CN"/>
                    </w:rPr>
                  </w:pPr>
                  <w:r>
                    <w:rPr>
                      <w:rFonts w:ascii="Times New Roman" w:eastAsia="宋体" w:hAnsi="Times New Roman" w:cs="Times New Roman" w:hint="default"/>
                      <w:bCs/>
                      <w:color w:val="auto"/>
                      <w:sz w:val="21"/>
                      <w:szCs w:val="21"/>
                      <w:lang w:eastAsia="zh-CN"/>
                    </w:rPr>
                    <w:t>0.11</w:t>
                  </w:r>
                </w:p>
              </w:tc>
              <w:tc>
                <w:tcPr>
                  <w:tcW w:w="1838" w:type="dxa"/>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bCs/>
                      <w:color w:val="auto"/>
                      <w:sz w:val="21"/>
                      <w:szCs w:val="21"/>
                      <w:lang w:eastAsia="zh-CN"/>
                    </w:rPr>
                  </w:pPr>
                  <w:r>
                    <w:rPr>
                      <w:rFonts w:ascii="Times New Roman" w:eastAsia="宋体" w:hAnsi="Times New Roman" w:cs="Times New Roman" w:hint="default"/>
                      <w:bCs/>
                      <w:color w:val="auto"/>
                      <w:sz w:val="21"/>
                      <w:szCs w:val="21"/>
                      <w:lang w:eastAsia="zh-CN"/>
                    </w:rPr>
                    <w:t>0.08</w:t>
                  </w:r>
                </w:p>
              </w:tc>
              <w:tc>
                <w:tcPr>
                  <w:tcW w:w="1838" w:type="dxa"/>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0.13</w:t>
                  </w:r>
                </w:p>
              </w:tc>
            </w:tr>
            <w:tr>
              <w:tblPrEx>
                <w:tblW w:w="9183" w:type="dxa"/>
                <w:tblInd w:w="116" w:type="dxa"/>
                <w:tblCellMar>
                  <w:top w:w="0" w:type="dxa"/>
                  <w:left w:w="108" w:type="dxa"/>
                  <w:bottom w:w="0" w:type="dxa"/>
                  <w:right w:w="108" w:type="dxa"/>
                </w:tblCellMar>
                <w:tblLook w:val="0000"/>
              </w:tblPrEx>
              <w:tc>
                <w:tcPr>
                  <w:tcW w:w="1836" w:type="auto"/>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氨氮</w:t>
                  </w:r>
                </w:p>
              </w:tc>
              <w:tc>
                <w:tcPr>
                  <w:tcW w:w="1835" w:type="auto"/>
                </w:tcPr>
                <w:p>
                  <w:pPr>
                    <w:pStyle w:val="22"/>
                    <w:keepNext w:val="0"/>
                    <w:keepLines w:val="0"/>
                    <w:pageBreakBefore w:val="0"/>
                    <w:widowControl w:val="0"/>
                    <w:kinsoku/>
                    <w:wordWrap/>
                    <w:overflowPunct/>
                    <w:topLinePunct w:val="0"/>
                    <w:bidi w:val="0"/>
                    <w:adjustRightInd/>
                    <w:snapToGrid/>
                    <w:spacing w:line="240" w:lineRule="auto"/>
                    <w:ind w:firstLine="0"/>
                    <w:textAlignment w:val="auto"/>
                    <w:rPr>
                      <w:rFonts w:ascii="Times New Roman" w:hAnsi="Times New Roman" w:cs="Times New Roman" w:hint="default"/>
                      <w:b w:val="0"/>
                      <w:bCs/>
                      <w:color w:val="auto"/>
                      <w:sz w:val="21"/>
                      <w:szCs w:val="21"/>
                    </w:rPr>
                  </w:pPr>
                  <w:r>
                    <w:rPr>
                      <w:rFonts w:ascii="Times New Roman" w:hAnsi="Times New Roman" w:cs="Times New Roman" w:hint="default"/>
                      <w:b w:val="0"/>
                      <w:color w:val="auto"/>
                      <w:sz w:val="21"/>
                      <w:szCs w:val="21"/>
                    </w:rPr>
                    <w:t>≤</w:t>
                  </w:r>
                  <w:r>
                    <w:rPr>
                      <w:rFonts w:ascii="Times New Roman" w:hAnsi="Times New Roman" w:cs="Times New Roman" w:hint="default"/>
                      <w:b w:val="0"/>
                      <w:color w:val="auto"/>
                      <w:sz w:val="21"/>
                      <w:szCs w:val="21"/>
                    </w:rPr>
                    <w:t>1.0</w:t>
                  </w:r>
                </w:p>
              </w:tc>
              <w:tc>
                <w:tcPr>
                  <w:tcW w:w="1836" w:type="auto"/>
                  <w:vAlign w:val="center"/>
                </w:tcPr>
                <w:p>
                  <w:pPr>
                    <w:pStyle w:val="TableParagraph"/>
                    <w:keepNext w:val="0"/>
                    <w:keepLines w:val="0"/>
                    <w:pageBreakBefore w:val="0"/>
                    <w:widowControl w:val="0"/>
                    <w:kinsoku/>
                    <w:wordWrap/>
                    <w:overflowPunct/>
                    <w:topLinePunct w:val="0"/>
                    <w:bidi w:val="0"/>
                    <w:adjustRightInd/>
                    <w:snapToGrid/>
                    <w:ind w:left="65" w:right="48"/>
                    <w:textAlignment w:val="auto"/>
                    <w:rPr>
                      <w:rFonts w:eastAsia="宋体" w:cs="Times New Roman" w:hint="default"/>
                      <w:bCs/>
                      <w:color w:val="auto"/>
                      <w:sz w:val="21"/>
                      <w:szCs w:val="21"/>
                      <w:lang w:eastAsia="zh-CN"/>
                    </w:rPr>
                  </w:pPr>
                  <w:r>
                    <w:rPr>
                      <w:rFonts w:ascii="Times New Roman" w:eastAsia="宋体" w:hAnsi="Times New Roman" w:cs="Times New Roman" w:hint="default"/>
                      <w:bCs/>
                      <w:color w:val="auto"/>
                      <w:sz w:val="21"/>
                      <w:szCs w:val="21"/>
                      <w:lang w:eastAsia="zh-CN"/>
                    </w:rPr>
                    <w:t>0.657</w:t>
                  </w:r>
                </w:p>
              </w:tc>
              <w:tc>
                <w:tcPr>
                  <w:tcW w:w="1838" w:type="auto"/>
                  <w:vAlign w:val="center"/>
                </w:tcPr>
                <w:p>
                  <w:pPr>
                    <w:pStyle w:val="TableParagraph"/>
                    <w:keepNext w:val="0"/>
                    <w:keepLines w:val="0"/>
                    <w:pageBreakBefore w:val="0"/>
                    <w:widowControl w:val="0"/>
                    <w:kinsoku/>
                    <w:wordWrap/>
                    <w:overflowPunct/>
                    <w:topLinePunct w:val="0"/>
                    <w:bidi w:val="0"/>
                    <w:adjustRightInd/>
                    <w:snapToGrid/>
                    <w:ind w:left="65" w:right="46"/>
                    <w:textAlignment w:val="auto"/>
                    <w:rPr>
                      <w:rFonts w:eastAsia="宋体" w:cs="Times New Roman" w:hint="default"/>
                      <w:bCs/>
                      <w:color w:val="auto"/>
                      <w:sz w:val="21"/>
                      <w:szCs w:val="21"/>
                      <w:lang w:eastAsia="zh-CN"/>
                    </w:rPr>
                  </w:pPr>
                  <w:r>
                    <w:rPr>
                      <w:rFonts w:ascii="Times New Roman" w:eastAsia="宋体" w:hAnsi="Times New Roman" w:cs="Times New Roman" w:hint="default"/>
                      <w:bCs/>
                      <w:color w:val="auto"/>
                      <w:sz w:val="21"/>
                      <w:szCs w:val="21"/>
                      <w:lang w:eastAsia="zh-CN"/>
                    </w:rPr>
                    <w:t>0.539</w:t>
                  </w:r>
                </w:p>
              </w:tc>
              <w:tc>
                <w:tcPr>
                  <w:tcW w:w="1838" w:type="auto"/>
                  <w:vAlign w:val="center"/>
                </w:tcPr>
                <w:p>
                  <w:pPr>
                    <w:keepNext w:val="0"/>
                    <w:keepLines w:val="0"/>
                    <w:pageBreakBefore w:val="0"/>
                    <w:widowControl w:val="0"/>
                    <w:kinsoku/>
                    <w:wordWrap/>
                    <w:overflowPunct/>
                    <w:topLinePunct w:val="0"/>
                    <w:bidi w:val="0"/>
                    <w:adjustRightInd/>
                    <w:snapToGrid/>
                    <w:jc w:val="center"/>
                    <w:textAlignment w:val="auto"/>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0.614</w:t>
                  </w:r>
                </w:p>
              </w:tc>
            </w:tr>
          </w:tbl>
          <w:p>
            <w:pPr>
              <w:pStyle w:val="120"/>
              <w:rPr>
                <w:rFonts w:cs="Times New Roman" w:hint="default"/>
                <w:color w:val="auto"/>
                <w:szCs w:val="24"/>
              </w:rPr>
            </w:pPr>
            <w:r>
              <w:rPr>
                <w:rFonts w:ascii="Times New Roman" w:hAnsi="Times New Roman" w:cs="Times New Roman" w:hint="default"/>
                <w:color w:val="auto"/>
                <w:szCs w:val="24"/>
              </w:rPr>
              <w:t>由监测结果可知，各监测断面测得的各项因子均满足《地表水环境质量标准》（GB3838-2002）</w:t>
            </w:r>
            <w:r>
              <w:rPr>
                <w:rFonts w:ascii="Times New Roman" w:hAnsi="Times New Roman" w:cs="Times New Roman" w:hint="default"/>
                <w:color w:val="auto"/>
                <w:szCs w:val="24"/>
              </w:rPr>
              <w:t>Ⅲ</w:t>
            </w:r>
            <w:r>
              <w:rPr>
                <w:rFonts w:ascii="Times New Roman" w:hAnsi="Times New Roman" w:cs="Times New Roman" w:hint="default"/>
                <w:color w:val="auto"/>
                <w:szCs w:val="24"/>
              </w:rPr>
              <w:t>类标准要求。</w:t>
            </w:r>
          </w:p>
          <w:p>
            <w:pPr>
              <w:pStyle w:val="120"/>
              <w:ind w:firstLine="482"/>
              <w:rPr>
                <w:rFonts w:cs="Times New Roman" w:hint="default"/>
                <w:b/>
                <w:color w:val="auto"/>
              </w:rPr>
            </w:pPr>
            <w:r>
              <w:rPr>
                <w:rFonts w:ascii="Times New Roman" w:hAnsi="Times New Roman" w:cs="Times New Roman" w:hint="default"/>
                <w:b/>
                <w:color w:val="auto"/>
              </w:rPr>
              <w:t>3、声环境质量</w:t>
            </w:r>
          </w:p>
          <w:p>
            <w:pPr>
              <w:spacing w:line="360" w:lineRule="auto"/>
              <w:ind w:firstLine="480" w:firstLineChars="200"/>
              <w:rPr>
                <w:rFonts w:ascii="Times New Roman" w:hAnsi="Times New Roman" w:cs="Times New Roman" w:hint="default"/>
                <w:color w:val="auto"/>
                <w:szCs w:val="22"/>
                <w:shd w:val="clear" w:color="auto" w:fill="FFFFFF"/>
              </w:rPr>
            </w:pPr>
            <w:r>
              <w:rPr>
                <w:rFonts w:ascii="Times New Roman" w:hAnsi="Times New Roman" w:cs="Times New Roman" w:hint="default"/>
                <w:color w:val="auto"/>
                <w:szCs w:val="22"/>
              </w:rPr>
              <w:t>本项目所在区域声环境为2类区，执行《声环境质量标准》(GB3096-2008) 中2类标准。为了解工程拟建区域声环境现状，</w:t>
            </w:r>
            <w:r>
              <w:rPr>
                <w:rFonts w:ascii="Times New Roman" w:hAnsi="Times New Roman" w:cs="Times New Roman" w:hint="default"/>
                <w:color w:val="auto"/>
                <w:szCs w:val="22"/>
                <w:shd w:val="clear" w:color="auto" w:fill="FFFFFF"/>
              </w:rPr>
              <w:t>本次委托</w:t>
            </w:r>
            <w:r>
              <w:rPr>
                <w:rFonts w:ascii="Times New Roman" w:hAnsi="Times New Roman" w:cs="Times New Roman" w:hint="default"/>
                <w:color w:val="auto"/>
                <w:szCs w:val="24"/>
                <w:lang w:eastAsia="zh-CN"/>
              </w:rPr>
              <w:t>东莞市四丰检测技术有限公司</w:t>
            </w:r>
            <w:r>
              <w:rPr>
                <w:rFonts w:ascii="Times New Roman" w:hAnsi="Times New Roman" w:cs="Times New Roman" w:hint="default"/>
                <w:color w:val="auto"/>
                <w:szCs w:val="22"/>
                <w:shd w:val="clear" w:color="auto" w:fill="FFFFFF"/>
              </w:rPr>
              <w:t>对选址区域环境噪声进行了现场监测。本次监测共布置5个监测点位，2020年3月12日、13日，连续监测两天，每天昼夜各一次。监测点位布设详见附图2，监测报告详见附件</w:t>
            </w:r>
            <w:r>
              <w:rPr>
                <w:rFonts w:ascii="Times New Roman" w:hAnsi="Times New Roman" w:cs="Times New Roman" w:hint="eastAsia"/>
                <w:color w:val="auto"/>
                <w:szCs w:val="22"/>
                <w:shd w:val="clear" w:color="auto" w:fill="FFFFFF"/>
                <w:lang w:val="en-US" w:eastAsia="zh-CN"/>
              </w:rPr>
              <w:t>3</w:t>
            </w:r>
            <w:r>
              <w:rPr>
                <w:rFonts w:ascii="Times New Roman" w:hAnsi="Times New Roman" w:cs="Times New Roman" w:hint="default"/>
                <w:color w:val="auto"/>
                <w:szCs w:val="22"/>
                <w:shd w:val="clear" w:color="auto" w:fill="FFFFFF"/>
              </w:rPr>
              <w:t>，声环境质量现状监测结果见表3-4。</w:t>
            </w:r>
          </w:p>
          <w:p>
            <w:pPr>
              <w:spacing w:line="360" w:lineRule="auto"/>
              <w:ind w:firstLine="420" w:firstLineChars="200"/>
              <w:jc w:val="center"/>
              <w:rPr>
                <w:rFonts w:ascii="Times New Roman" w:hAnsi="Times New Roman" w:cs="Times New Roman" w:hint="default"/>
                <w:b/>
                <w:color w:val="auto"/>
                <w:sz w:val="21"/>
                <w:szCs w:val="21"/>
                <w:shd w:val="clear" w:color="auto" w:fill="FFFFFF"/>
              </w:rPr>
            </w:pPr>
            <w:r>
              <w:rPr>
                <w:rFonts w:ascii="Times New Roman" w:hAnsi="Times New Roman" w:cs="Times New Roman" w:hint="default"/>
                <w:b/>
                <w:color w:val="auto"/>
                <w:sz w:val="21"/>
                <w:szCs w:val="21"/>
                <w:shd w:val="clear" w:color="auto" w:fill="FFFFFF"/>
              </w:rPr>
              <w:t>表3-4  环境噪声现状监测值    单位：dB(A)</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235"/>
              <w:gridCol w:w="1236"/>
              <w:gridCol w:w="2080"/>
              <w:gridCol w:w="1192"/>
              <w:gridCol w:w="1081"/>
              <w:gridCol w:w="1069"/>
              <w:gridCol w:w="1064"/>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297"/>
              </w:trPr>
              <w:tc>
                <w:tcPr>
                  <w:tcW w:w="2471" w:type="dxa"/>
                  <w:gridSpan w:val="2"/>
                  <w:vMerge w:val="restart"/>
                  <w:vAlign w:val="center"/>
                </w:tcPr>
                <w:p>
                  <w:pPr>
                    <w:jc w:val="center"/>
                    <w:rPr>
                      <w:rFonts w:ascii="Times New Roman" w:hAnsi="Times New Roman" w:cs="Times New Roman" w:hint="default"/>
                      <w:b/>
                      <w:bCs/>
                      <w:color w:val="auto"/>
                      <w:sz w:val="21"/>
                      <w:szCs w:val="21"/>
                      <w:shd w:val="clear" w:color="auto" w:fill="FFFFFF"/>
                    </w:rPr>
                  </w:pPr>
                  <w:r>
                    <w:rPr>
                      <w:rFonts w:ascii="Times New Roman" w:hAnsi="Times New Roman" w:cs="Times New Roman" w:hint="default"/>
                      <w:b/>
                      <w:bCs/>
                      <w:color w:val="auto"/>
                      <w:sz w:val="21"/>
                      <w:szCs w:val="21"/>
                      <w:shd w:val="clear" w:color="auto" w:fill="FFFFFF"/>
                    </w:rPr>
                    <w:t>采样点</w:t>
                  </w:r>
                </w:p>
              </w:tc>
              <w:tc>
                <w:tcPr>
                  <w:tcW w:w="2080" w:type="dxa"/>
                  <w:vMerge w:val="restart"/>
                  <w:vAlign w:val="center"/>
                </w:tcPr>
                <w:p>
                  <w:pPr>
                    <w:jc w:val="center"/>
                    <w:rPr>
                      <w:rFonts w:ascii="Times New Roman" w:hAnsi="Times New Roman" w:cs="Times New Roman" w:hint="default"/>
                      <w:b/>
                      <w:bCs/>
                      <w:color w:val="auto"/>
                      <w:sz w:val="21"/>
                      <w:szCs w:val="21"/>
                      <w:shd w:val="clear" w:color="auto" w:fill="FFFFFF"/>
                      <w:vertAlign w:val="subscript"/>
                    </w:rPr>
                  </w:pPr>
                  <w:r>
                    <w:rPr>
                      <w:rFonts w:ascii="Times New Roman" w:hAnsi="Times New Roman" w:cs="Times New Roman" w:hint="default"/>
                      <w:b/>
                      <w:bCs/>
                      <w:color w:val="auto"/>
                      <w:sz w:val="21"/>
                      <w:szCs w:val="21"/>
                      <w:shd w:val="clear" w:color="auto" w:fill="FFFFFF"/>
                    </w:rPr>
                    <w:t>主要噪声源</w:t>
                  </w:r>
                </w:p>
              </w:tc>
              <w:tc>
                <w:tcPr>
                  <w:tcW w:w="4406" w:type="dxa"/>
                  <w:gridSpan w:val="4"/>
                </w:tcPr>
                <w:p>
                  <w:pPr>
                    <w:jc w:val="center"/>
                    <w:rPr>
                      <w:rFonts w:ascii="Times New Roman" w:hAnsi="Times New Roman" w:cs="Times New Roman" w:hint="default"/>
                      <w:b/>
                      <w:bCs/>
                      <w:color w:val="auto"/>
                      <w:sz w:val="21"/>
                      <w:szCs w:val="21"/>
                      <w:shd w:val="clear" w:color="auto" w:fill="FFFFFF"/>
                    </w:rPr>
                  </w:pPr>
                  <w:r>
                    <w:rPr>
                      <w:rFonts w:ascii="Times New Roman" w:hAnsi="Times New Roman" w:cs="Times New Roman" w:hint="default"/>
                      <w:b/>
                      <w:bCs/>
                      <w:color w:val="auto"/>
                      <w:sz w:val="21"/>
                      <w:szCs w:val="21"/>
                      <w:shd w:val="clear" w:color="auto" w:fill="FFFFFF"/>
                    </w:rPr>
                    <w:t>监测结果</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Merge/>
                  <w:vAlign w:val="center"/>
                </w:tcPr>
                <w:p>
                  <w:pPr>
                    <w:jc w:val="center"/>
                    <w:rPr>
                      <w:rFonts w:ascii="Times New Roman" w:hAnsi="Times New Roman" w:cs="Times New Roman" w:hint="default"/>
                      <w:b/>
                      <w:bCs/>
                      <w:color w:val="auto"/>
                      <w:sz w:val="21"/>
                      <w:szCs w:val="21"/>
                      <w:shd w:val="clear" w:color="auto" w:fill="FFFFFF"/>
                    </w:rPr>
                  </w:pPr>
                </w:p>
              </w:tc>
              <w:tc>
                <w:tcPr>
                  <w:tcW w:w="2080" w:type="dxa"/>
                  <w:vMerge/>
                  <w:vAlign w:val="center"/>
                </w:tcPr>
                <w:p>
                  <w:pPr>
                    <w:jc w:val="center"/>
                    <w:rPr>
                      <w:rFonts w:ascii="Times New Roman" w:hAnsi="Times New Roman" w:cs="Times New Roman" w:hint="default"/>
                      <w:b/>
                      <w:bCs/>
                      <w:color w:val="auto"/>
                      <w:sz w:val="21"/>
                      <w:szCs w:val="21"/>
                      <w:shd w:val="clear" w:color="auto" w:fill="FFFFFF"/>
                    </w:rPr>
                  </w:pPr>
                </w:p>
              </w:tc>
              <w:tc>
                <w:tcPr>
                  <w:tcW w:w="2273" w:type="dxa"/>
                  <w:gridSpan w:val="2"/>
                </w:tcPr>
                <w:p>
                  <w:pPr>
                    <w:jc w:val="center"/>
                    <w:rPr>
                      <w:rFonts w:ascii="Times New Roman" w:eastAsia="宋体"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2019.</w:t>
                  </w:r>
                  <w:r>
                    <w:rPr>
                      <w:rFonts w:ascii="Times New Roman" w:hAnsi="Times New Roman" w:cs="Times New Roman" w:hint="default"/>
                      <w:color w:val="auto"/>
                      <w:sz w:val="21"/>
                      <w:szCs w:val="21"/>
                      <w:shd w:val="clear" w:color="auto" w:fill="FFFFFF"/>
                      <w:lang w:val="en-US" w:eastAsia="zh-CN"/>
                    </w:rPr>
                    <w:t>03</w:t>
                  </w:r>
                  <w:r>
                    <w:rPr>
                      <w:rFonts w:ascii="Times New Roman" w:hAnsi="Times New Roman" w:cs="Times New Roman" w:hint="default"/>
                      <w:color w:val="auto"/>
                      <w:sz w:val="21"/>
                      <w:szCs w:val="21"/>
                      <w:shd w:val="clear" w:color="auto" w:fill="FFFFFF"/>
                    </w:rPr>
                    <w:t>.</w:t>
                  </w:r>
                  <w:r>
                    <w:rPr>
                      <w:rFonts w:ascii="Times New Roman" w:hAnsi="Times New Roman" w:cs="Times New Roman" w:hint="default"/>
                      <w:color w:val="auto"/>
                      <w:sz w:val="21"/>
                      <w:szCs w:val="21"/>
                      <w:shd w:val="clear" w:color="auto" w:fill="FFFFFF"/>
                      <w:lang w:val="en-US" w:eastAsia="zh-CN"/>
                    </w:rPr>
                    <w:t>12</w:t>
                  </w:r>
                </w:p>
              </w:tc>
              <w:tc>
                <w:tcPr>
                  <w:tcW w:w="2133" w:type="dxa"/>
                  <w:gridSpan w:val="2"/>
                </w:tcPr>
                <w:p>
                  <w:pPr>
                    <w:jc w:val="center"/>
                    <w:rPr>
                      <w:rFonts w:ascii="Times New Roman" w:eastAsia="宋体"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2019.0</w:t>
                  </w:r>
                  <w:r>
                    <w:rPr>
                      <w:rFonts w:ascii="Times New Roman" w:hAnsi="Times New Roman" w:cs="Times New Roman" w:hint="default"/>
                      <w:color w:val="auto"/>
                      <w:sz w:val="21"/>
                      <w:szCs w:val="21"/>
                      <w:shd w:val="clear" w:color="auto" w:fill="FFFFFF"/>
                      <w:lang w:val="en-US" w:eastAsia="zh-CN"/>
                    </w:rPr>
                    <w:t>3</w:t>
                  </w:r>
                  <w:r>
                    <w:rPr>
                      <w:rFonts w:ascii="Times New Roman" w:hAnsi="Times New Roman" w:cs="Times New Roman" w:hint="default"/>
                      <w:color w:val="auto"/>
                      <w:sz w:val="21"/>
                      <w:szCs w:val="21"/>
                      <w:shd w:val="clear" w:color="auto" w:fill="FFFFFF"/>
                    </w:rPr>
                    <w:t>.</w:t>
                  </w:r>
                  <w:r>
                    <w:rPr>
                      <w:rFonts w:ascii="Times New Roman" w:hAnsi="Times New Roman" w:cs="Times New Roman" w:hint="default"/>
                      <w:color w:val="auto"/>
                      <w:sz w:val="21"/>
                      <w:szCs w:val="21"/>
                      <w:shd w:val="clear" w:color="auto" w:fill="FFFFFF"/>
                      <w:lang w:val="en-US" w:eastAsia="zh-CN"/>
                    </w:rPr>
                    <w:t>12</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Merge/>
                  <w:vAlign w:val="center"/>
                </w:tcPr>
                <w:p>
                  <w:pPr>
                    <w:jc w:val="center"/>
                    <w:rPr>
                      <w:rFonts w:ascii="Times New Roman" w:hAnsi="Times New Roman" w:cs="Times New Roman" w:hint="default"/>
                      <w:b/>
                      <w:bCs/>
                      <w:color w:val="auto"/>
                      <w:sz w:val="21"/>
                      <w:szCs w:val="21"/>
                      <w:shd w:val="clear" w:color="auto" w:fill="FFFFFF"/>
                    </w:rPr>
                  </w:pPr>
                </w:p>
              </w:tc>
              <w:tc>
                <w:tcPr>
                  <w:tcW w:w="2080" w:type="dxa"/>
                  <w:vMerge/>
                  <w:vAlign w:val="center"/>
                </w:tcPr>
                <w:p>
                  <w:pPr>
                    <w:jc w:val="center"/>
                    <w:rPr>
                      <w:rFonts w:ascii="Times New Roman" w:hAnsi="Times New Roman" w:cs="Times New Roman" w:hint="default"/>
                      <w:b/>
                      <w:bCs/>
                      <w:color w:val="auto"/>
                      <w:sz w:val="21"/>
                      <w:szCs w:val="21"/>
                      <w:shd w:val="clear" w:color="auto" w:fill="FFFFFF"/>
                    </w:rPr>
                  </w:pPr>
                </w:p>
              </w:tc>
              <w:tc>
                <w:tcPr>
                  <w:tcW w:w="1192"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昼间，L</w:t>
                  </w:r>
                  <w:r>
                    <w:rPr>
                      <w:rFonts w:ascii="Times New Roman" w:hAnsi="Times New Roman" w:cs="Times New Roman" w:hint="default"/>
                      <w:color w:val="auto"/>
                      <w:sz w:val="21"/>
                      <w:szCs w:val="21"/>
                      <w:shd w:val="clear" w:color="auto" w:fill="FFFFFF"/>
                      <w:vertAlign w:val="subscript"/>
                    </w:rPr>
                    <w:t>eq</w:t>
                  </w:r>
                </w:p>
              </w:tc>
              <w:tc>
                <w:tcPr>
                  <w:tcW w:w="1081"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夜间，L</w:t>
                  </w:r>
                  <w:r>
                    <w:rPr>
                      <w:rFonts w:ascii="Times New Roman" w:hAnsi="Times New Roman" w:cs="Times New Roman" w:hint="default"/>
                      <w:color w:val="auto"/>
                      <w:sz w:val="21"/>
                      <w:szCs w:val="21"/>
                      <w:shd w:val="clear" w:color="auto" w:fill="FFFFFF"/>
                      <w:vertAlign w:val="subscript"/>
                    </w:rPr>
                    <w:t>eq</w:t>
                  </w:r>
                </w:p>
              </w:tc>
              <w:tc>
                <w:tcPr>
                  <w:tcW w:w="1069"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昼间，L</w:t>
                  </w:r>
                  <w:r>
                    <w:rPr>
                      <w:rFonts w:ascii="Times New Roman" w:hAnsi="Times New Roman" w:cs="Times New Roman" w:hint="default"/>
                      <w:color w:val="auto"/>
                      <w:sz w:val="21"/>
                      <w:szCs w:val="21"/>
                      <w:shd w:val="clear" w:color="auto" w:fill="FFFFFF"/>
                      <w:vertAlign w:val="subscript"/>
                    </w:rPr>
                    <w:t>eq</w:t>
                  </w:r>
                </w:p>
              </w:tc>
              <w:tc>
                <w:tcPr>
                  <w:tcW w:w="1064"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夜间，L</w:t>
                  </w:r>
                  <w:r>
                    <w:rPr>
                      <w:rFonts w:ascii="Times New Roman" w:hAnsi="Times New Roman" w:cs="Times New Roman" w:hint="default"/>
                      <w:color w:val="auto"/>
                      <w:sz w:val="21"/>
                      <w:szCs w:val="21"/>
                      <w:shd w:val="clear" w:color="auto" w:fill="FFFFFF"/>
                      <w:vertAlign w:val="subscript"/>
                    </w:rPr>
                    <w:t>eq</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1# 矿区西边界外1米处</w:t>
                  </w:r>
                </w:p>
              </w:tc>
              <w:tc>
                <w:tcPr>
                  <w:tcW w:w="2080"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环境噪声</w:t>
                  </w:r>
                </w:p>
              </w:tc>
              <w:tc>
                <w:tcPr>
                  <w:tcW w:w="1192"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55.3</w:t>
                  </w:r>
                </w:p>
              </w:tc>
              <w:tc>
                <w:tcPr>
                  <w:tcW w:w="1081"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45.3</w:t>
                  </w:r>
                </w:p>
              </w:tc>
              <w:tc>
                <w:tcPr>
                  <w:tcW w:w="1069"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56.2</w:t>
                  </w:r>
                </w:p>
              </w:tc>
              <w:tc>
                <w:tcPr>
                  <w:tcW w:w="1064"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46.8</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2# 矿区南边界外1米处</w:t>
                  </w:r>
                </w:p>
              </w:tc>
              <w:tc>
                <w:tcPr>
                  <w:tcW w:w="2080"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环境噪声</w:t>
                  </w:r>
                </w:p>
              </w:tc>
              <w:tc>
                <w:tcPr>
                  <w:tcW w:w="1192"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54.1</w:t>
                  </w:r>
                </w:p>
              </w:tc>
              <w:tc>
                <w:tcPr>
                  <w:tcW w:w="1081"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43.8</w:t>
                  </w:r>
                </w:p>
              </w:tc>
              <w:tc>
                <w:tcPr>
                  <w:tcW w:w="1069"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53.2</w:t>
                  </w:r>
                </w:p>
              </w:tc>
              <w:tc>
                <w:tcPr>
                  <w:tcW w:w="1064"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42.9</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3# 矿区东边界外1米处</w:t>
                  </w:r>
                </w:p>
              </w:tc>
              <w:tc>
                <w:tcPr>
                  <w:tcW w:w="2080"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环境噪声</w:t>
                  </w:r>
                </w:p>
              </w:tc>
              <w:tc>
                <w:tcPr>
                  <w:tcW w:w="1192"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56.3</w:t>
                  </w:r>
                </w:p>
              </w:tc>
              <w:tc>
                <w:tcPr>
                  <w:tcW w:w="1081"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45.8</w:t>
                  </w:r>
                </w:p>
              </w:tc>
              <w:tc>
                <w:tcPr>
                  <w:tcW w:w="1069"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55.7</w:t>
                  </w:r>
                </w:p>
              </w:tc>
              <w:tc>
                <w:tcPr>
                  <w:tcW w:w="1064"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47.1</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 矿区北边界外1米处</w:t>
                  </w:r>
                </w:p>
              </w:tc>
              <w:tc>
                <w:tcPr>
                  <w:tcW w:w="2080"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环境噪声</w:t>
                  </w:r>
                </w:p>
              </w:tc>
              <w:tc>
                <w:tcPr>
                  <w:tcW w:w="1192"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56.2</w:t>
                  </w:r>
                </w:p>
              </w:tc>
              <w:tc>
                <w:tcPr>
                  <w:tcW w:w="1081"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45.3</w:t>
                  </w:r>
                </w:p>
              </w:tc>
              <w:tc>
                <w:tcPr>
                  <w:tcW w:w="1069"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54.9</w:t>
                  </w:r>
                </w:p>
              </w:tc>
              <w:tc>
                <w:tcPr>
                  <w:tcW w:w="1064"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44.8</w:t>
                  </w:r>
                </w:p>
              </w:tc>
            </w:tr>
            <w:tr>
              <w:tblPrEx>
                <w:tblW w:w="0" w:type="auto"/>
                <w:tblInd w:w="116" w:type="dxa"/>
                <w:tblCellMar>
                  <w:top w:w="0" w:type="dxa"/>
                  <w:left w:w="108" w:type="dxa"/>
                  <w:bottom w:w="0" w:type="dxa"/>
                  <w:right w:w="108" w:type="dxa"/>
                </w:tblCellMar>
                <w:tblLook w:val="0000"/>
              </w:tblPrEx>
              <w:trPr>
                <w:trHeight w:val="297"/>
              </w:trPr>
              <w:tc>
                <w:tcPr>
                  <w:tcW w:w="2471" w:type="dxa"/>
                  <w:gridSpan w:val="2"/>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5#破碎加工场拟选址处</w:t>
                  </w:r>
                </w:p>
              </w:tc>
              <w:tc>
                <w:tcPr>
                  <w:tcW w:w="2080"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环境噪声</w:t>
                  </w:r>
                </w:p>
              </w:tc>
              <w:tc>
                <w:tcPr>
                  <w:tcW w:w="1192"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53.1</w:t>
                  </w:r>
                </w:p>
              </w:tc>
              <w:tc>
                <w:tcPr>
                  <w:tcW w:w="1081"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43.8</w:t>
                  </w:r>
                </w:p>
              </w:tc>
              <w:tc>
                <w:tcPr>
                  <w:tcW w:w="1069"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54.7</w:t>
                  </w:r>
                </w:p>
              </w:tc>
              <w:tc>
                <w:tcPr>
                  <w:tcW w:w="1064" w:type="dxa"/>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44.2</w:t>
                  </w:r>
                </w:p>
              </w:tc>
            </w:tr>
            <w:tr>
              <w:tblPrEx>
                <w:tblW w:w="0" w:type="auto"/>
                <w:tblInd w:w="116" w:type="dxa"/>
                <w:tblCellMar>
                  <w:top w:w="0" w:type="dxa"/>
                  <w:left w:w="108" w:type="dxa"/>
                  <w:bottom w:w="0" w:type="dxa"/>
                  <w:right w:w="108" w:type="dxa"/>
                </w:tblCellMar>
                <w:tblLook w:val="0000"/>
              </w:tblPrEx>
              <w:trPr>
                <w:trHeight w:val="297"/>
              </w:trPr>
              <w:tc>
                <w:tcPr>
                  <w:tcW w:w="4551" w:type="dxa"/>
                  <w:gridSpan w:val="3"/>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执行《声环境质量标准》（GB3096-2008）</w:t>
                  </w:r>
                </w:p>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2类标准</w:t>
                  </w:r>
                </w:p>
              </w:tc>
              <w:tc>
                <w:tcPr>
                  <w:tcW w:w="1192"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60</w:t>
                  </w:r>
                </w:p>
              </w:tc>
              <w:tc>
                <w:tcPr>
                  <w:tcW w:w="1081"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50</w:t>
                  </w:r>
                </w:p>
              </w:tc>
              <w:tc>
                <w:tcPr>
                  <w:tcW w:w="1069"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60</w:t>
                  </w:r>
                </w:p>
              </w:tc>
              <w:tc>
                <w:tcPr>
                  <w:tcW w:w="1064" w:type="dxa"/>
                  <w:vAlign w:val="center"/>
                </w:tcPr>
                <w:p>
                  <w:pPr>
                    <w:jc w:val="center"/>
                    <w:rPr>
                      <w:rFonts w:ascii="Times New Roman" w:hAnsi="Times New Roman" w:cs="Times New Roman" w:hint="default"/>
                      <w:color w:val="auto"/>
                      <w:sz w:val="21"/>
                      <w:szCs w:val="21"/>
                      <w:shd w:val="clear" w:color="auto" w:fill="FFFFFF"/>
                    </w:rPr>
                  </w:pPr>
                  <w:r>
                    <w:rPr>
                      <w:rFonts w:ascii="Times New Roman" w:hAnsi="Times New Roman" w:cs="Times New Roman" w:hint="default"/>
                      <w:color w:val="auto"/>
                      <w:sz w:val="21"/>
                      <w:szCs w:val="21"/>
                      <w:shd w:val="clear" w:color="auto" w:fill="FFFFFF"/>
                    </w:rPr>
                    <w:t>50</w:t>
                  </w:r>
                </w:p>
              </w:tc>
            </w:tr>
            <w:tr>
              <w:tblPrEx>
                <w:tblW w:w="0" w:type="auto"/>
                <w:tblInd w:w="116" w:type="dxa"/>
                <w:tblCellMar>
                  <w:top w:w="0" w:type="dxa"/>
                  <w:left w:w="108" w:type="dxa"/>
                  <w:bottom w:w="0" w:type="dxa"/>
                  <w:right w:w="108" w:type="dxa"/>
                </w:tblCellMar>
                <w:tblLook w:val="0000"/>
              </w:tblPrEx>
              <w:trPr>
                <w:trHeight w:val="297"/>
              </w:trPr>
              <w:tc>
                <w:tcPr>
                  <w:tcW w:w="1235" w:type="dxa"/>
                  <w:vAlign w:val="center"/>
                </w:tcPr>
                <w:p>
                  <w:pPr>
                    <w:jc w:val="center"/>
                    <w:rPr>
                      <w:rFonts w:ascii="Times New Roman" w:hAnsi="Times New Roman" w:cs="Times New Roman" w:hint="default"/>
                      <w:color w:val="auto"/>
                      <w:sz w:val="18"/>
                      <w:szCs w:val="18"/>
                      <w:shd w:val="clear" w:color="auto" w:fill="FFFFFF"/>
                    </w:rPr>
                  </w:pPr>
                  <w:r>
                    <w:rPr>
                      <w:rFonts w:ascii="Times New Roman" w:hAnsi="Times New Roman" w:cs="Times New Roman" w:hint="default"/>
                      <w:color w:val="auto"/>
                      <w:sz w:val="18"/>
                      <w:szCs w:val="18"/>
                      <w:shd w:val="clear" w:color="auto" w:fill="FFFFFF"/>
                    </w:rPr>
                    <w:t>备注</w:t>
                  </w:r>
                </w:p>
              </w:tc>
              <w:tc>
                <w:tcPr>
                  <w:tcW w:w="7722" w:type="dxa"/>
                  <w:gridSpan w:val="6"/>
                  <w:vAlign w:val="center"/>
                </w:tcPr>
                <w:p>
                  <w:pPr>
                    <w:numPr>
                      <w:ilvl w:val="0"/>
                      <w:numId w:val="4"/>
                    </w:numPr>
                    <w:rPr>
                      <w:rFonts w:ascii="Times New Roman" w:hAnsi="Times New Roman" w:cs="Times New Roman" w:hint="default"/>
                      <w:color w:val="auto"/>
                      <w:sz w:val="18"/>
                      <w:szCs w:val="18"/>
                      <w:shd w:val="clear" w:color="auto" w:fill="FFFFFF"/>
                    </w:rPr>
                  </w:pPr>
                  <w:r>
                    <w:rPr>
                      <w:rFonts w:ascii="Times New Roman" w:hAnsi="Times New Roman" w:cs="Times New Roman" w:hint="default"/>
                      <w:color w:val="auto"/>
                      <w:sz w:val="18"/>
                      <w:szCs w:val="18"/>
                      <w:shd w:val="clear" w:color="auto" w:fill="FFFFFF"/>
                    </w:rPr>
                    <w:t>连续监测2天，监测时段分昼间夜间两个时段进行，每天昼间</w:t>
                  </w:r>
                </w:p>
                <w:p>
                  <w:pPr>
                    <w:rPr>
                      <w:rFonts w:ascii="Times New Roman" w:hAnsi="Times New Roman" w:cs="Times New Roman" w:hint="default"/>
                      <w:color w:val="auto"/>
                      <w:sz w:val="18"/>
                      <w:szCs w:val="18"/>
                      <w:shd w:val="clear" w:color="auto" w:fill="FFFFFF"/>
                    </w:rPr>
                  </w:pPr>
                  <w:r>
                    <w:rPr>
                      <w:rFonts w:ascii="Times New Roman" w:hAnsi="Times New Roman" w:cs="Times New Roman" w:hint="default"/>
                      <w:color w:val="auto"/>
                      <w:sz w:val="18"/>
                      <w:szCs w:val="18"/>
                      <w:shd w:val="clear" w:color="auto" w:fill="FFFFFF"/>
                    </w:rPr>
                    <w:t xml:space="preserve">  （06:00-22:00）和夜间（22:00-06:00）各监测一次。</w:t>
                  </w:r>
                </w:p>
                <w:p>
                  <w:pPr>
                    <w:rPr>
                      <w:rFonts w:ascii="Times New Roman" w:hAnsi="Times New Roman" w:cs="Times New Roman" w:hint="default"/>
                      <w:color w:val="auto"/>
                      <w:sz w:val="18"/>
                      <w:szCs w:val="18"/>
                      <w:shd w:val="clear" w:color="auto" w:fill="FFFFFF"/>
                    </w:rPr>
                  </w:pPr>
                  <w:r>
                    <w:rPr>
                      <w:rFonts w:ascii="Times New Roman" w:hAnsi="Times New Roman" w:cs="Times New Roman" w:hint="default"/>
                      <w:color w:val="auto"/>
                      <w:sz w:val="18"/>
                      <w:szCs w:val="18"/>
                      <w:shd w:val="clear" w:color="auto" w:fill="FFFFFF"/>
                    </w:rPr>
                    <w:t>2、多功能声级计AWA8860在检测前、后均进行了校核。</w:t>
                  </w:r>
                </w:p>
              </w:tc>
            </w:tr>
          </w:tbl>
          <w:p>
            <w:pPr>
              <w:pStyle w:val="120"/>
              <w:rPr>
                <w:rStyle w:val="CommentReference"/>
                <w:rFonts w:cs="Times New Roman" w:hint="default"/>
                <w:color w:val="auto"/>
              </w:rPr>
            </w:pPr>
            <w:r>
              <w:rPr>
                <w:rFonts w:ascii="Times New Roman" w:hAnsi="Times New Roman" w:cs="Times New Roman" w:hint="default"/>
                <w:color w:val="auto"/>
              </w:rPr>
              <w:t>由监测结果可知，各监测点昼、夜间噪声监测值均能达到《声环境质量标准》（GB3096-2008）中2类标准要求。</w:t>
            </w:r>
          </w:p>
          <w:p>
            <w:pPr>
              <w:pStyle w:val="120"/>
              <w:numPr>
                <w:ilvl w:val="0"/>
                <w:numId w:val="5"/>
              </w:numPr>
              <w:ind w:firstLine="482"/>
              <w:rPr>
                <w:rFonts w:cs="Times New Roman" w:hint="default"/>
                <w:b/>
                <w:bCs/>
                <w:color w:val="auto"/>
                <w:kern w:val="0"/>
                <w:szCs w:val="24"/>
              </w:rPr>
            </w:pPr>
            <w:r>
              <w:rPr>
                <w:rFonts w:ascii="Times New Roman" w:hAnsi="Times New Roman" w:cs="Times New Roman" w:hint="default"/>
                <w:b/>
                <w:bCs/>
                <w:color w:val="auto"/>
                <w:kern w:val="0"/>
                <w:szCs w:val="24"/>
              </w:rPr>
              <w:t>土壤环境质量</w:t>
            </w:r>
          </w:p>
          <w:p>
            <w:pPr>
              <w:pStyle w:val="120"/>
              <w:rPr>
                <w:rFonts w:cs="Times New Roman" w:hint="default"/>
                <w:color w:val="auto"/>
                <w:kern w:val="0"/>
                <w:szCs w:val="24"/>
              </w:rPr>
            </w:pPr>
            <w:r>
              <w:rPr>
                <w:rFonts w:ascii="Times New Roman" w:hAnsi="Times New Roman" w:cs="Times New Roman" w:hint="default"/>
                <w:color w:val="auto"/>
                <w:kern w:val="0"/>
                <w:szCs w:val="24"/>
              </w:rPr>
              <w:t>项目</w:t>
            </w:r>
            <w:r>
              <w:rPr>
                <w:rFonts w:ascii="Times New Roman" w:hAnsi="Times New Roman" w:cs="Times New Roman" w:hint="default"/>
                <w:color w:val="auto"/>
                <w:kern w:val="0"/>
                <w:szCs w:val="24"/>
                <w:lang w:eastAsia="zh-CN"/>
              </w:rPr>
              <w:t>所在地土壤</w:t>
            </w:r>
            <w:r>
              <w:rPr>
                <w:rFonts w:ascii="Times New Roman" w:hAnsi="Times New Roman" w:cs="Times New Roman" w:hint="default"/>
                <w:color w:val="auto"/>
                <w:kern w:val="0"/>
                <w:szCs w:val="24"/>
              </w:rPr>
              <w:t>环境质量标准</w:t>
            </w:r>
            <w:r>
              <w:rPr>
                <w:rFonts w:ascii="Times New Roman" w:hAnsi="Times New Roman" w:cs="Times New Roman" w:hint="default"/>
                <w:color w:val="auto"/>
                <w:kern w:val="0"/>
                <w:szCs w:val="24"/>
                <w:lang w:eastAsia="zh-CN"/>
              </w:rPr>
              <w:t>执行</w:t>
            </w:r>
            <w:r>
              <w:rPr>
                <w:rFonts w:ascii="Times New Roman" w:hAnsi="Times New Roman" w:cs="Times New Roman" w:hint="default"/>
                <w:color w:val="auto"/>
                <w:kern w:val="0"/>
                <w:szCs w:val="24"/>
              </w:rPr>
              <w:t>《土壤环境质量 建设用地土壤污染风险管控标准》（GB36600-2018）中第二类用地土壤污染风险筛选值</w:t>
            </w:r>
            <w:r>
              <w:rPr>
                <w:rFonts w:ascii="Times New Roman" w:hAnsi="Times New Roman" w:cs="Times New Roman" w:hint="default"/>
                <w:color w:val="auto"/>
                <w:kern w:val="0"/>
                <w:szCs w:val="24"/>
                <w:lang w:eastAsia="zh-CN"/>
              </w:rPr>
              <w:t>。</w:t>
            </w:r>
            <w:r>
              <w:rPr>
                <w:rFonts w:ascii="Times New Roman" w:hAnsi="Times New Roman" w:cs="Times New Roman" w:hint="default"/>
                <w:color w:val="auto"/>
                <w:kern w:val="0"/>
                <w:szCs w:val="24"/>
              </w:rPr>
              <w:t xml:space="preserve"> </w:t>
            </w:r>
          </w:p>
          <w:p>
            <w:pPr>
              <w:pStyle w:val="120"/>
              <w:rPr>
                <w:rFonts w:cs="Times New Roman" w:hint="default"/>
                <w:color w:val="auto"/>
                <w:kern w:val="0"/>
                <w:szCs w:val="24"/>
              </w:rPr>
            </w:pPr>
            <w:r>
              <w:rPr>
                <w:rFonts w:ascii="Times New Roman" w:hAnsi="Times New Roman" w:cs="Times New Roman" w:hint="default"/>
                <w:color w:val="auto"/>
                <w:kern w:val="0"/>
                <w:szCs w:val="24"/>
              </w:rPr>
              <w:t>根据《环境影响评价技术导则 土壤环境（试行）》（HJ 964-2018），本项目土壤评价等级为三级评价，对照导则表6，三级评价需要在项目占地范围内布设3个表层样点。</w:t>
            </w:r>
          </w:p>
          <w:p>
            <w:pPr>
              <w:pStyle w:val="120"/>
              <w:spacing w:after="0"/>
              <w:rPr>
                <w:rFonts w:cs="Times New Roman" w:hint="default"/>
                <w:color w:val="auto"/>
                <w:kern w:val="0"/>
                <w:szCs w:val="24"/>
              </w:rPr>
            </w:pPr>
            <w:r>
              <w:rPr>
                <w:rFonts w:ascii="Times New Roman" w:hAnsi="Times New Roman" w:cs="Times New Roman" w:hint="default"/>
                <w:color w:val="auto"/>
                <w:kern w:val="0"/>
                <w:szCs w:val="24"/>
              </w:rPr>
              <w:t>为了解项目所在地及周边敏感点土壤环境质量情况，本次评价委托</w:t>
            </w:r>
            <w:r>
              <w:rPr>
                <w:rFonts w:ascii="Times New Roman" w:hAnsi="Times New Roman" w:cs="Times New Roman" w:hint="default"/>
                <w:color w:val="auto"/>
                <w:kern w:val="0"/>
                <w:szCs w:val="24"/>
                <w:lang w:eastAsia="zh-CN"/>
              </w:rPr>
              <w:t>东莞市四丰检测技术有限公司</w:t>
            </w:r>
            <w:r>
              <w:rPr>
                <w:rFonts w:ascii="Times New Roman" w:hAnsi="Times New Roman" w:cs="Times New Roman" w:hint="default"/>
                <w:color w:val="auto"/>
                <w:kern w:val="0"/>
                <w:szCs w:val="24"/>
              </w:rPr>
              <w:t>对项目所在地及周边敏感点土壤进行采样监测，监测报告见附件</w:t>
            </w:r>
            <w:r>
              <w:rPr>
                <w:rFonts w:cs="Times New Roman" w:hint="eastAsia"/>
                <w:color w:val="auto"/>
                <w:kern w:val="0"/>
                <w:szCs w:val="24"/>
                <w:lang w:val="en-US" w:eastAsia="zh-CN"/>
              </w:rPr>
              <w:t>3</w:t>
            </w:r>
          </w:p>
        </w:tc>
      </w:tr>
    </w:tbl>
    <w:p>
      <w:pPr>
        <w:sectPr>
          <w:footerReference w:type="even" r:id="rId43"/>
          <w:footerReference w:type="default" r:id="rId44"/>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8"/>
          <w:cols w:space="708"/>
          <w:titlePg w:val="0"/>
          <w:docGrid w:type="lines" w:linePitch="312"/>
        </w:sectPr>
      </w:pP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p>
            <w:pPr>
              <w:pStyle w:val="120"/>
              <w:spacing w:before="0"/>
              <w:rPr>
                <w:rFonts w:cs="Times New Roman" w:hint="default"/>
                <w:color w:val="auto"/>
                <w:kern w:val="0"/>
                <w:szCs w:val="24"/>
              </w:rPr>
            </w:pPr>
            <w:r>
              <w:rPr>
                <w:rFonts w:ascii="Times New Roman" w:hAnsi="Times New Roman" w:cs="Times New Roman" w:hint="default"/>
                <w:color w:val="auto"/>
                <w:kern w:val="0"/>
                <w:szCs w:val="24"/>
              </w:rPr>
              <w:t>，点位布设情况见表3-</w:t>
            </w:r>
            <w:r>
              <w:rPr>
                <w:rFonts w:ascii="Times New Roman" w:hAnsi="Times New Roman" w:cs="Times New Roman" w:hint="default"/>
                <w:color w:val="auto"/>
                <w:kern w:val="0"/>
                <w:szCs w:val="24"/>
                <w:lang w:val="en-US" w:eastAsia="zh-CN"/>
              </w:rPr>
              <w:t>5</w:t>
            </w:r>
            <w:r>
              <w:rPr>
                <w:rFonts w:ascii="Times New Roman" w:hAnsi="Times New Roman" w:cs="Times New Roman" w:hint="default"/>
                <w:color w:val="auto"/>
                <w:kern w:val="0"/>
                <w:szCs w:val="24"/>
              </w:rPr>
              <w:t>，监测结果见表3-</w:t>
            </w:r>
            <w:r>
              <w:rPr>
                <w:rFonts w:ascii="Times New Roman" w:hAnsi="Times New Roman" w:cs="Times New Roman" w:hint="default"/>
                <w:color w:val="auto"/>
                <w:kern w:val="0"/>
                <w:szCs w:val="24"/>
                <w:lang w:val="en-US" w:eastAsia="zh-CN"/>
              </w:rPr>
              <w:t>6</w:t>
            </w:r>
            <w:r>
              <w:rPr>
                <w:rFonts w:ascii="Times New Roman" w:hAnsi="Times New Roman" w:cs="Times New Roman" w:hint="default"/>
                <w:color w:val="auto"/>
                <w:kern w:val="0"/>
                <w:szCs w:val="24"/>
              </w:rPr>
              <w:t>，评价结果见表3-</w:t>
            </w:r>
            <w:r>
              <w:rPr>
                <w:rFonts w:ascii="Times New Roman" w:hAnsi="Times New Roman" w:cs="Times New Roman" w:hint="default"/>
                <w:color w:val="auto"/>
                <w:kern w:val="0"/>
                <w:szCs w:val="24"/>
                <w:lang w:val="en-US" w:eastAsia="zh-CN"/>
              </w:rPr>
              <w:t>7</w:t>
            </w:r>
            <w:r>
              <w:rPr>
                <w:rFonts w:ascii="Times New Roman" w:hAnsi="Times New Roman" w:cs="Times New Roman" w:hint="default"/>
                <w:color w:val="auto"/>
                <w:kern w:val="0"/>
                <w:szCs w:val="24"/>
              </w:rPr>
              <w:t>。</w:t>
            </w:r>
          </w:p>
          <w:p>
            <w:pPr>
              <w:pStyle w:val="Default"/>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表3-</w:t>
            </w:r>
            <w:r>
              <w:rPr>
                <w:rFonts w:ascii="Times New Roman" w:hAnsi="Times New Roman" w:cs="Times New Roman" w:hint="default"/>
                <w:b/>
                <w:bCs/>
                <w:color w:val="auto"/>
                <w:sz w:val="21"/>
                <w:szCs w:val="21"/>
                <w:lang w:val="en-US" w:eastAsia="zh-CN"/>
              </w:rPr>
              <w:t>5</w:t>
            </w:r>
            <w:r>
              <w:rPr>
                <w:rFonts w:ascii="Times New Roman" w:hAnsi="Times New Roman" w:cs="Times New Roman" w:hint="default"/>
                <w:b/>
                <w:bCs/>
                <w:color w:val="auto"/>
                <w:sz w:val="21"/>
                <w:szCs w:val="21"/>
              </w:rPr>
              <w:t xml:space="preserve">  土壤环境现状监测点位</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465"/>
              <w:gridCol w:w="945"/>
              <w:gridCol w:w="1265"/>
              <w:gridCol w:w="6391"/>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
              </w:trPr>
              <w:tc>
                <w:tcPr>
                  <w:tcW w:w="0" w:type="auto"/>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编号</w:t>
                  </w:r>
                </w:p>
              </w:tc>
              <w:tc>
                <w:tcPr>
                  <w:tcW w:w="957" w:type="dxa"/>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监测点位置</w:t>
                  </w:r>
                </w:p>
              </w:tc>
              <w:tc>
                <w:tcPr>
                  <w:tcW w:w="1042" w:type="dxa"/>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布点类型</w:t>
                  </w:r>
                </w:p>
              </w:tc>
              <w:tc>
                <w:tcPr>
                  <w:tcW w:w="0" w:type="auto"/>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监测因子</w:t>
                  </w:r>
                </w:p>
              </w:tc>
            </w:tr>
            <w:tr>
              <w:tblPrEx>
                <w:tblW w:w="0" w:type="auto"/>
                <w:tblInd w:w="116" w:type="dxa"/>
                <w:tblCellMar>
                  <w:top w:w="0" w:type="dxa"/>
                  <w:left w:w="108" w:type="dxa"/>
                  <w:bottom w:w="0" w:type="dxa"/>
                  <w:right w:w="108" w:type="dxa"/>
                </w:tblCellMar>
                <w:tblLook w:val="0000"/>
              </w:tblPrEx>
              <w:trPr>
                <w:trHeight w:val="34"/>
              </w:trPr>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S1</w:t>
                  </w:r>
                </w:p>
              </w:tc>
              <w:tc>
                <w:tcPr>
                  <w:tcW w:w="957" w:type="dxa"/>
                  <w:vAlign w:val="center"/>
                </w:tcPr>
                <w:p>
                  <w:pPr>
                    <w:autoSpaceDE w:val="0"/>
                    <w:autoSpaceDN w:val="0"/>
                    <w:adjustRightIn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表土堆场拟选址处</w:t>
                  </w:r>
                </w:p>
              </w:tc>
              <w:tc>
                <w:tcPr>
                  <w:tcW w:w="1042" w:type="dxa"/>
                  <w:vMerge w:val="restart"/>
                  <w:vAlign w:val="center"/>
                </w:tcPr>
                <w:p>
                  <w:pPr>
                    <w:autoSpaceDE w:val="0"/>
                    <w:autoSpaceDN w:val="0"/>
                    <w:adjustRightIn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表层样</w:t>
                  </w:r>
                </w:p>
                <w:p>
                  <w:pPr>
                    <w:autoSpaceDE w:val="0"/>
                    <w:autoSpaceDN w:val="0"/>
                    <w:adjustRightIn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（0~0.2m）</w:t>
                  </w:r>
                </w:p>
              </w:tc>
              <w:tc>
                <w:tcPr>
                  <w:tcW w:w="0" w:type="auto"/>
                  <w:vMerge w:val="restart"/>
                  <w:vAlign w:val="center"/>
                </w:tcPr>
                <w:p>
                  <w:pPr>
                    <w:autoSpaceDE w:val="0"/>
                    <w:autoSpaceDN w:val="0"/>
                    <w:adjustRightInd w:val="0"/>
                    <w:rPr>
                      <w:rFonts w:ascii="Times New Roman" w:hAnsi="Times New Roman" w:cs="Times New Roman" w:hint="default"/>
                      <w:color w:val="auto"/>
                      <w:sz w:val="21"/>
                      <w:szCs w:val="21"/>
                    </w:rPr>
                  </w:pPr>
                  <w:r>
                    <w:rPr>
                      <w:rFonts w:ascii="Times New Roman" w:hAnsi="Times New Roman" w:cs="Times New Roman" w:hint="default"/>
                      <w:b/>
                      <w:color w:val="auto"/>
                      <w:sz w:val="21"/>
                      <w:szCs w:val="21"/>
                    </w:rPr>
                    <w:t>常规因子：</w:t>
                  </w:r>
                  <w:r>
                    <w:rPr>
                      <w:rFonts w:ascii="Times New Roman" w:hAnsi="Times New Roman" w:cs="Times New Roman" w:hint="default"/>
                      <w:bCs/>
                      <w:color w:val="auto"/>
                      <w:sz w:val="21"/>
                      <w:szCs w:val="21"/>
                    </w:rPr>
                    <w:t>pH、砷、镉、铬（六价）、铜、铅、汞、镍、四氯化碳、氯仿、氯甲烷、1,1-二氯乙烷、1,2-二氯乙烷、1,1-二氯乙烯、顺-1,2-二氯乙烯、反-1,2-二氯乙烯、二氯甲烷、1,2-二氯丙烷、1,1,1,2-四氯乙烷、1,1,2,2-四氯乙烷、四氯乙烯、</w:t>
                  </w:r>
                  <w:r>
                    <w:rPr>
                      <w:rFonts w:ascii="Times New Roman" w:hAnsi="Times New Roman" w:cs="Times New Roman" w:hint="default"/>
                      <w:color w:val="auto"/>
                      <w:sz w:val="21"/>
                      <w:szCs w:val="21"/>
                    </w:rPr>
                    <w:t>1,1,1-三氯乙烷、1,1,2-三氯乙烷、三氯乙烯、1,2,3-三氯丙烷、氯乙烯、苯、氯苯、1,2-二氯苯、1,4-二氯苯、乙苯、苯乙烯、甲苯、间二甲苯+对二甲苯、邻二甲苯、</w:t>
                  </w:r>
                  <w:r>
                    <w:rPr>
                      <w:rFonts w:ascii="Times New Roman" w:hAnsi="Times New Roman" w:cs="Times New Roman" w:hint="default"/>
                      <w:bCs/>
                      <w:color w:val="auto"/>
                      <w:sz w:val="21"/>
                      <w:szCs w:val="21"/>
                    </w:rPr>
                    <w:t>硝基苯、苯胺、2-氯苯酚、</w:t>
                  </w:r>
                  <w:r>
                    <w:rPr>
                      <w:rFonts w:ascii="Times New Roman" w:hAnsi="Times New Roman" w:cs="Times New Roman" w:hint="default"/>
                      <w:color w:val="auto"/>
                      <w:sz w:val="21"/>
                      <w:szCs w:val="21"/>
                    </w:rPr>
                    <w:t>苯并[a]蒽、苯并[a]芘、苯并[b]荧蒽、苯并[k]荧蒽、䓛、二苯并[a,h]蒽、茚并[1,2,3-cd]芘、萘。</w:t>
                  </w:r>
                </w:p>
                <w:p>
                  <w:pPr>
                    <w:autoSpaceDE w:val="0"/>
                    <w:autoSpaceDN w:val="0"/>
                    <w:adjustRightInd w:val="0"/>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特征因子：</w:t>
                  </w:r>
                  <w:r>
                    <w:rPr>
                      <w:rFonts w:ascii="Times New Roman" w:hAnsi="Times New Roman" w:cs="Times New Roman" w:hint="default"/>
                      <w:color w:val="auto"/>
                      <w:sz w:val="21"/>
                      <w:szCs w:val="21"/>
                    </w:rPr>
                    <w:t>石油烃（C</w:t>
                  </w:r>
                  <w:r>
                    <w:rPr>
                      <w:rFonts w:ascii="Times New Roman" w:hAnsi="Times New Roman" w:cs="Times New Roman" w:hint="default"/>
                      <w:color w:val="auto"/>
                      <w:sz w:val="21"/>
                      <w:szCs w:val="21"/>
                      <w:vertAlign w:val="subscript"/>
                    </w:rPr>
                    <w:t>10</w:t>
                  </w:r>
                  <w:r>
                    <w:rPr>
                      <w:rFonts w:ascii="Times New Roman" w:hAnsi="Times New Roman" w:cs="Times New Roman" w:hint="default"/>
                      <w:color w:val="auto"/>
                      <w:sz w:val="21"/>
                      <w:szCs w:val="21"/>
                    </w:rPr>
                    <w:t>-C</w:t>
                  </w:r>
                  <w:r>
                    <w:rPr>
                      <w:rFonts w:ascii="Times New Roman" w:hAnsi="Times New Roman" w:cs="Times New Roman" w:hint="default"/>
                      <w:color w:val="auto"/>
                      <w:sz w:val="21"/>
                      <w:szCs w:val="21"/>
                      <w:vertAlign w:val="subscript"/>
                    </w:rPr>
                    <w:t>40</w:t>
                  </w:r>
                  <w:r>
                    <w:rPr>
                      <w:rFonts w:ascii="Times New Roman" w:hAnsi="Times New Roman" w:cs="Times New Roman" w:hint="default"/>
                      <w:color w:val="auto"/>
                      <w:sz w:val="21"/>
                      <w:szCs w:val="21"/>
                    </w:rPr>
                    <w:t>）、</w:t>
                  </w:r>
                  <w:r>
                    <w:rPr>
                      <w:rFonts w:ascii="Times New Roman" w:hAnsi="Times New Roman" w:cs="Times New Roman" w:hint="default"/>
                      <w:color w:val="auto"/>
                      <w:sz w:val="21"/>
                    </w:rPr>
                    <w:t>钙、镁</w:t>
                  </w:r>
                </w:p>
              </w:tc>
            </w:tr>
            <w:tr>
              <w:tblPrEx>
                <w:tblW w:w="0" w:type="auto"/>
                <w:tblInd w:w="116" w:type="dxa"/>
                <w:tblCellMar>
                  <w:top w:w="0" w:type="dxa"/>
                  <w:left w:w="108" w:type="dxa"/>
                  <w:bottom w:w="0" w:type="dxa"/>
                  <w:right w:w="108" w:type="dxa"/>
                </w:tblCellMar>
                <w:tblLook w:val="0000"/>
              </w:tblPrEx>
              <w:trPr>
                <w:trHeight w:val="34"/>
              </w:trPr>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S2</w:t>
                  </w:r>
                </w:p>
              </w:tc>
              <w:tc>
                <w:tcPr>
                  <w:tcW w:w="957" w:type="dxa"/>
                  <w:vAlign w:val="center"/>
                </w:tcPr>
                <w:p>
                  <w:pPr>
                    <w:autoSpaceDE w:val="0"/>
                    <w:autoSpaceDN w:val="0"/>
                    <w:adjustRightIn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矿石堆场拟选址处</w:t>
                  </w:r>
                </w:p>
              </w:tc>
              <w:tc>
                <w:tcPr>
                  <w:tcW w:w="1042" w:type="dxa"/>
                  <w:vMerge/>
                  <w:vAlign w:val="center"/>
                </w:tcPr>
                <w:p>
                  <w:pPr>
                    <w:autoSpaceDE w:val="0"/>
                    <w:autoSpaceDN w:val="0"/>
                    <w:adjustRightInd w:val="0"/>
                    <w:jc w:val="center"/>
                    <w:rPr>
                      <w:rFonts w:ascii="Times New Roman" w:hAnsi="Times New Roman" w:cs="Times New Roman" w:hint="default"/>
                      <w:color w:val="auto"/>
                      <w:sz w:val="21"/>
                      <w:szCs w:val="21"/>
                    </w:rPr>
                  </w:pPr>
                </w:p>
              </w:tc>
              <w:tc>
                <w:tcPr>
                  <w:tcW w:w="0" w:type="auto"/>
                  <w:vMerge/>
                  <w:vAlign w:val="center"/>
                </w:tcPr>
                <w:p>
                  <w:pPr>
                    <w:pStyle w:val="PlainText"/>
                    <w:rPr>
                      <w:rFonts w:ascii="Times New Roman" w:hAnsi="Times New Roman" w:cs="Times New Roman" w:hint="default"/>
                      <w:color w:val="auto"/>
                      <w:sz w:val="21"/>
                    </w:rPr>
                  </w:pPr>
                </w:p>
              </w:tc>
            </w:tr>
            <w:tr>
              <w:tblPrEx>
                <w:tblW w:w="0" w:type="auto"/>
                <w:tblInd w:w="116" w:type="dxa"/>
                <w:tblCellMar>
                  <w:top w:w="0" w:type="dxa"/>
                  <w:left w:w="108" w:type="dxa"/>
                  <w:bottom w:w="0" w:type="dxa"/>
                  <w:right w:w="108" w:type="dxa"/>
                </w:tblCellMar>
                <w:tblLook w:val="0000"/>
              </w:tblPrEx>
              <w:trPr>
                <w:trHeight w:val="34"/>
              </w:trPr>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S3</w:t>
                  </w:r>
                </w:p>
              </w:tc>
              <w:tc>
                <w:tcPr>
                  <w:tcW w:w="957" w:type="dxa"/>
                  <w:vAlign w:val="center"/>
                </w:tcPr>
                <w:p>
                  <w:pPr>
                    <w:autoSpaceDE w:val="0"/>
                    <w:autoSpaceDN w:val="0"/>
                    <w:adjustRightInd w:val="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破碎加工区拟选址处</w:t>
                  </w:r>
                </w:p>
              </w:tc>
              <w:tc>
                <w:tcPr>
                  <w:tcW w:w="1042" w:type="dxa"/>
                  <w:vMerge/>
                  <w:vAlign w:val="center"/>
                </w:tcPr>
                <w:p>
                  <w:pPr>
                    <w:autoSpaceDE w:val="0"/>
                    <w:autoSpaceDN w:val="0"/>
                    <w:adjustRightInd w:val="0"/>
                    <w:jc w:val="center"/>
                    <w:rPr>
                      <w:rFonts w:ascii="Times New Roman" w:hAnsi="Times New Roman" w:cs="Times New Roman" w:hint="default"/>
                      <w:color w:val="auto"/>
                      <w:sz w:val="21"/>
                      <w:szCs w:val="21"/>
                    </w:rPr>
                  </w:pPr>
                </w:p>
              </w:tc>
              <w:tc>
                <w:tcPr>
                  <w:tcW w:w="0" w:type="auto"/>
                  <w:vAlign w:val="center"/>
                </w:tcPr>
                <w:p>
                  <w:pPr>
                    <w:pStyle w:val="PlainText"/>
                    <w:rPr>
                      <w:rFonts w:ascii="Times New Roman" w:hAnsi="Times New Roman" w:cs="Times New Roman" w:hint="default"/>
                      <w:color w:val="auto"/>
                      <w:sz w:val="21"/>
                    </w:rPr>
                  </w:pPr>
                  <w:r>
                    <w:rPr>
                      <w:rFonts w:ascii="Times New Roman" w:hAnsi="Times New Roman" w:cs="Times New Roman" w:hint="default"/>
                      <w:b/>
                      <w:color w:val="auto"/>
                      <w:sz w:val="21"/>
                    </w:rPr>
                    <w:t>特征因子：</w:t>
                  </w:r>
                  <w:r>
                    <w:rPr>
                      <w:rFonts w:ascii="Times New Roman" w:hAnsi="Times New Roman" w:cs="Times New Roman" w:hint="default"/>
                      <w:color w:val="auto"/>
                      <w:sz w:val="21"/>
                    </w:rPr>
                    <w:t>pH、石油烃（C</w:t>
                  </w:r>
                  <w:r>
                    <w:rPr>
                      <w:rFonts w:ascii="Times New Roman" w:hAnsi="Times New Roman" w:cs="Times New Roman" w:hint="default"/>
                      <w:color w:val="auto"/>
                      <w:sz w:val="21"/>
                      <w:vertAlign w:val="subscript"/>
                    </w:rPr>
                    <w:t>10</w:t>
                  </w:r>
                  <w:r>
                    <w:rPr>
                      <w:rFonts w:ascii="Times New Roman" w:hAnsi="Times New Roman" w:cs="Times New Roman" w:hint="default"/>
                      <w:color w:val="auto"/>
                      <w:sz w:val="21"/>
                    </w:rPr>
                    <w:t>-C</w:t>
                  </w:r>
                  <w:r>
                    <w:rPr>
                      <w:rFonts w:ascii="Times New Roman" w:hAnsi="Times New Roman" w:cs="Times New Roman" w:hint="default"/>
                      <w:color w:val="auto"/>
                      <w:sz w:val="21"/>
                      <w:vertAlign w:val="subscript"/>
                    </w:rPr>
                    <w:t>40</w:t>
                  </w:r>
                  <w:r>
                    <w:rPr>
                      <w:rFonts w:ascii="Times New Roman" w:hAnsi="Times New Roman" w:cs="Times New Roman" w:hint="default"/>
                      <w:color w:val="auto"/>
                      <w:sz w:val="21"/>
                    </w:rPr>
                    <w:t>）、钙、镁</w:t>
                  </w:r>
                </w:p>
              </w:tc>
            </w:tr>
          </w:tbl>
          <w:p>
            <w:pPr>
              <w:pStyle w:val="TimesNewRoman"/>
              <w:spacing w:before="240" w:beforeLines="0"/>
              <w:jc w:val="center"/>
              <w:rPr>
                <w:rFonts w:ascii="Times New Roman" w:hAnsi="Times New Roman" w:cs="Times New Roman" w:hint="default"/>
                <w:color w:val="auto"/>
              </w:rPr>
            </w:pPr>
            <w:r>
              <w:rPr>
                <w:rFonts w:ascii="Times New Roman" w:hAnsi="Times New Roman" w:cs="Times New Roman" w:hint="default"/>
                <w:color w:val="auto"/>
                <w:sz w:val="21"/>
                <w:szCs w:val="21"/>
              </w:rPr>
              <w:t>表3-</w:t>
            </w:r>
            <w:r>
              <w:rPr>
                <w:rFonts w:ascii="Times New Roman" w:hAnsi="Times New Roman" w:cs="Times New Roman" w:hint="default"/>
                <w:color w:val="auto"/>
                <w:sz w:val="21"/>
                <w:szCs w:val="21"/>
                <w:lang w:val="en-US" w:eastAsia="zh-CN"/>
              </w:rPr>
              <w:t>6</w:t>
            </w:r>
            <w:r>
              <w:rPr>
                <w:rFonts w:ascii="Times New Roman" w:hAnsi="Times New Roman" w:cs="Times New Roman" w:hint="default"/>
                <w:color w:val="auto"/>
                <w:sz w:val="21"/>
                <w:szCs w:val="21"/>
              </w:rPr>
              <w:t xml:space="preserve">  土壤环境质量监测结果一览表</w:t>
            </w:r>
          </w:p>
          <w:tbl>
            <w:tblPr>
              <w:tblStyle w:val="TableNormal"/>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664"/>
              <w:gridCol w:w="753"/>
              <w:gridCol w:w="1956"/>
              <w:gridCol w:w="1526"/>
              <w:gridCol w:w="1688"/>
              <w:gridCol w:w="1596"/>
            </w:tblGrid>
            <w:tr>
              <w:tblPrEx>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
              </w:trPr>
              <w:tc>
                <w:tcPr>
                  <w:tcW w:w="1316" w:type="pct"/>
                  <w:gridSpan w:val="2"/>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采样点位</w:t>
                  </w:r>
                </w:p>
              </w:tc>
              <w:tc>
                <w:tcPr>
                  <w:tcW w:w="1065"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S1表土堆场拟选址处0~0.2m</w:t>
                  </w:r>
                </w:p>
              </w:tc>
              <w:tc>
                <w:tcPr>
                  <w:tcW w:w="831"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S2矿石堆场拟选址处</w:t>
                  </w:r>
                </w:p>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0 ~0.2m</w:t>
                  </w:r>
                </w:p>
              </w:tc>
              <w:tc>
                <w:tcPr>
                  <w:tcW w:w="919"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S3破碎加工区拟选址处</w:t>
                  </w:r>
                </w:p>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0~0.2m</w:t>
                  </w:r>
                </w:p>
              </w:tc>
              <w:tc>
                <w:tcPr>
                  <w:tcW w:w="869"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第二类用地风险筛选值</w:t>
                  </w:r>
                </w:p>
              </w:tc>
            </w:tr>
            <w:tr>
              <w:tblPrEx>
                <w:tblW w:w="5000" w:type="pct"/>
                <w:tblInd w:w="116" w:type="dxa"/>
                <w:tblCellMar>
                  <w:top w:w="0" w:type="dxa"/>
                  <w:left w:w="108" w:type="dxa"/>
                  <w:bottom w:w="0" w:type="dxa"/>
                  <w:right w:w="108" w:type="dxa"/>
                </w:tblCellMar>
                <w:tblLook w:val="0000"/>
              </w:tblPrEx>
              <w:trPr>
                <w:trHeight w:val="34"/>
              </w:trPr>
              <w:tc>
                <w:tcPr>
                  <w:tcW w:w="1316" w:type="pct"/>
                  <w:gridSpan w:val="2"/>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采样日期</w:t>
                  </w:r>
                </w:p>
              </w:tc>
              <w:tc>
                <w:tcPr>
                  <w:tcW w:w="2815" w:type="pct"/>
                  <w:gridSpan w:val="3"/>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2020.03.12</w:t>
                  </w:r>
                </w:p>
              </w:tc>
              <w:tc>
                <w:tcPr>
                  <w:tcW w:w="869"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检测项目</w:t>
                  </w:r>
                </w:p>
              </w:tc>
              <w:tc>
                <w:tcPr>
                  <w:tcW w:w="410"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单位</w:t>
                  </w:r>
                </w:p>
              </w:tc>
              <w:tc>
                <w:tcPr>
                  <w:tcW w:w="2815" w:type="pct"/>
                  <w:gridSpan w:val="3"/>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检测结果</w:t>
                  </w:r>
                </w:p>
              </w:tc>
              <w:tc>
                <w:tcPr>
                  <w:tcW w:w="869"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pH</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7.65</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6.54</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7.11</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bidi="en-US"/>
                    </w:rPr>
                    <w:t>4.51</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5.64</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汞</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bidi="en-US"/>
                    </w:rPr>
                    <w:t>2.661</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5.423</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38</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镉</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bidi="en-US"/>
                    </w:rPr>
                    <w:t>0.47</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1.79</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六价铬</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5.7</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铜</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25</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80</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18000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铅</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bidi="en-US"/>
                    </w:rPr>
                    <w:t>8.9</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15.3</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800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镍</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lang w:bidi="en-US"/>
                    </w:rPr>
                    <w:t>35</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26</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900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四氯化碳</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氯仿</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0.9</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氯甲烷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37</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1,1-二氯乙烷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1,2-二氯乙烷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1,1-二氯乙烯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66</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顺-1,2-二氯乙烯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596</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反-1,2-二氯乙烯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54</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二氯甲烷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616</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1,2-二氯丙烷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1,1,1,2-四氯乙烷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1,1,2,2-四氯乙烷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6.8</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四氯乙烯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53</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1,1,1-三滤乙烷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840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1,1,2-三滤乙烷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bl>
          <w:p/>
        </w:tc>
      </w:tr>
    </w:tbl>
    <w:p>
      <w:pPr>
        <w:sectPr>
          <w:footerReference w:type="even" r:id="rId45"/>
          <w:footerReference w:type="default" r:id="rId46"/>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19"/>
          <w:cols w:space="708"/>
          <w:titlePg w:val="0"/>
          <w:docGrid w:type="lines" w:linePitch="312"/>
        </w:sectPr>
      </w:pP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tbl>
            <w:tblPr>
              <w:tblStyle w:val="TableNormal"/>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664"/>
              <w:gridCol w:w="753"/>
              <w:gridCol w:w="1956"/>
              <w:gridCol w:w="1526"/>
              <w:gridCol w:w="1688"/>
              <w:gridCol w:w="1596"/>
            </w:tblGrid>
            <w:tr>
              <w:tblPrEx>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三氯乙烯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1,2,3-三氯丙烷</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0.43</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270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1,2-二氯苯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560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1,4-二氯苯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乙苯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苯乙烯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1290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甲苯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1200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间/对二甲苯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570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邻二甲苯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640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硝基苯</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76</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苯胺</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260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2-氯酚</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2256</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苯并（a）蒽</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苯并（a）芘</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苯并（b）荧蒽</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苯并（k）荧蒽</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151</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䓛</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1293</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二苯并（a,h）蒽</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茚并（1,2,3-cd）芘</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萘</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N.D</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石油烃</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kern w:val="0"/>
                      <w:sz w:val="21"/>
                      <w:szCs w:val="21"/>
                    </w:rPr>
                    <w:t>10</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4500</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钙</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110</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136</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141</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90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镁</w:t>
                  </w:r>
                </w:p>
              </w:tc>
              <w:tc>
                <w:tcPr>
                  <w:tcW w:w="41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mg/kg</w:t>
                  </w:r>
                </w:p>
              </w:tc>
              <w:tc>
                <w:tcPr>
                  <w:tcW w:w="1065"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86</w:t>
                  </w:r>
                </w:p>
              </w:tc>
              <w:tc>
                <w:tcPr>
                  <w:tcW w:w="8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121</w:t>
                  </w:r>
                </w:p>
              </w:tc>
              <w:tc>
                <w:tcPr>
                  <w:tcW w:w="91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97</w:t>
                  </w:r>
                </w:p>
              </w:tc>
              <w:tc>
                <w:tcPr>
                  <w:tcW w:w="869"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bl>
          <w:p>
            <w:pPr>
              <w:pStyle w:val="TimesNewRoman"/>
              <w:spacing w:before="240" w:beforeLines="0"/>
              <w:jc w:val="center"/>
              <w:rPr>
                <w:rFonts w:ascii="Times New Roman" w:hAnsi="Times New Roman" w:cs="Times New Roman" w:hint="default"/>
                <w:color w:val="auto"/>
              </w:rPr>
            </w:pPr>
            <w:r>
              <w:rPr>
                <w:rFonts w:ascii="Times New Roman" w:hAnsi="Times New Roman" w:cs="Times New Roman" w:hint="default"/>
                <w:color w:val="auto"/>
                <w:sz w:val="21"/>
                <w:szCs w:val="21"/>
              </w:rPr>
              <w:t>表3-</w:t>
            </w:r>
            <w:r>
              <w:rPr>
                <w:rFonts w:ascii="Times New Roman" w:hAnsi="Times New Roman" w:cs="Times New Roman" w:hint="default"/>
                <w:color w:val="auto"/>
                <w:sz w:val="21"/>
                <w:szCs w:val="21"/>
                <w:lang w:val="en-US" w:eastAsia="zh-CN"/>
              </w:rPr>
              <w:t>7</w:t>
            </w:r>
            <w:r>
              <w:rPr>
                <w:rFonts w:ascii="Times New Roman" w:hAnsi="Times New Roman" w:cs="Times New Roman" w:hint="default"/>
                <w:color w:val="auto"/>
                <w:sz w:val="21"/>
                <w:szCs w:val="21"/>
              </w:rPr>
              <w:t xml:space="preserve">  土壤环境质量标准指数一览表</w:t>
            </w:r>
          </w:p>
          <w:tbl>
            <w:tblPr>
              <w:tblStyle w:val="TableNormal"/>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2235"/>
              <w:gridCol w:w="2628"/>
              <w:gridCol w:w="2050"/>
              <w:gridCol w:w="2270"/>
            </w:tblGrid>
            <w:tr>
              <w:tblPrEx>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采样点位</w:t>
                  </w:r>
                </w:p>
              </w:tc>
              <w:tc>
                <w:tcPr>
                  <w:tcW w:w="1431"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S1表土堆场拟选址处0~0.2m</w:t>
                  </w:r>
                </w:p>
              </w:tc>
              <w:tc>
                <w:tcPr>
                  <w:tcW w:w="1116"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S2矿石堆场拟选址处0 ~0.2m</w:t>
                  </w:r>
                </w:p>
              </w:tc>
              <w:tc>
                <w:tcPr>
                  <w:tcW w:w="1236" w:type="pct"/>
                  <w:vAlign w:val="center"/>
                </w:tcPr>
                <w:p>
                  <w:pPr>
                    <w:pStyle w:val="BodyTextIndent3"/>
                    <w:spacing w:line="240" w:lineRule="auto"/>
                    <w:ind w:firstLine="0"/>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S3破碎加工区拟选址处0~0.2m</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砷</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0.075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0.094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汞</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0.070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0.143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镉</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0.007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0.028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铜</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0.001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0.004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铅</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0.011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0.019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镍</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0.039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0.029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w:t>
                  </w:r>
                </w:p>
              </w:tc>
            </w:tr>
            <w:tr>
              <w:tblPrEx>
                <w:tblW w:w="5000" w:type="pct"/>
                <w:tblInd w:w="116" w:type="dxa"/>
                <w:tblCellMar>
                  <w:top w:w="0" w:type="dxa"/>
                  <w:left w:w="108" w:type="dxa"/>
                  <w:bottom w:w="0" w:type="dxa"/>
                  <w:right w:w="108" w:type="dxa"/>
                </w:tblCellMar>
                <w:tblLook w:val="0000"/>
              </w:tblPrEx>
              <w:trPr>
                <w:trHeight w:val="34"/>
              </w:trPr>
              <w:tc>
                <w:tcPr>
                  <w:tcW w:w="1217"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石油烃</w:t>
                  </w:r>
                </w:p>
              </w:tc>
              <w:tc>
                <w:tcPr>
                  <w:tcW w:w="1431"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0.002 </w:t>
                  </w:r>
                </w:p>
              </w:tc>
              <w:tc>
                <w:tcPr>
                  <w:tcW w:w="111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 xml:space="preserve">0.003 </w:t>
                  </w:r>
                </w:p>
              </w:tc>
              <w:tc>
                <w:tcPr>
                  <w:tcW w:w="1236"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0.002</w:t>
                  </w:r>
                </w:p>
              </w:tc>
            </w:tr>
            <w:tr>
              <w:tblPrEx>
                <w:tblW w:w="5000" w:type="pct"/>
                <w:tblInd w:w="116" w:type="dxa"/>
                <w:tblCellMar>
                  <w:top w:w="0" w:type="dxa"/>
                  <w:left w:w="108" w:type="dxa"/>
                  <w:bottom w:w="0" w:type="dxa"/>
                  <w:right w:w="108" w:type="dxa"/>
                </w:tblCellMar>
                <w:tblLook w:val="0000"/>
              </w:tblPrEx>
              <w:trPr>
                <w:trHeight w:val="34"/>
              </w:trPr>
              <w:tc>
                <w:tcPr>
                  <w:tcW w:w="5000" w:type="pct"/>
                  <w:gridSpan w:val="4"/>
                  <w:vAlign w:val="center"/>
                </w:tcPr>
                <w:p>
                  <w:pPr>
                    <w:pStyle w:val="BodyTextIndent3"/>
                    <w:spacing w:line="240" w:lineRule="auto"/>
                    <w:ind w:firstLine="0"/>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注：其余未列出监测因子其检测结果均为未检出。</w:t>
                  </w:r>
                </w:p>
              </w:tc>
            </w:tr>
          </w:tbl>
          <w:p>
            <w:pPr>
              <w:pStyle w:val="120"/>
              <w:rPr>
                <w:rFonts w:cs="Times New Roman" w:hint="default"/>
                <w:color w:val="auto"/>
                <w:kern w:val="0"/>
                <w:szCs w:val="24"/>
              </w:rPr>
            </w:pPr>
            <w:r>
              <w:rPr>
                <w:rFonts w:ascii="Times New Roman" w:hAnsi="Times New Roman" w:cs="Times New Roman" w:hint="default"/>
                <w:color w:val="auto"/>
                <w:kern w:val="0"/>
                <w:szCs w:val="24"/>
              </w:rPr>
              <w:t>根据土壤监测结果可知，各监测点位测得的各项因子均能满足《土壤环境质量 建设用地土壤污染风险管控标准》（GB36600-2018）中第二类用地土壤污染风险筛选值标准要求。</w:t>
            </w:r>
          </w:p>
          <w:p>
            <w:pPr>
              <w:pStyle w:val="120"/>
              <w:numPr>
                <w:ilvl w:val="0"/>
                <w:numId w:val="0"/>
              </w:numPr>
              <w:rPr>
                <w:rFonts w:cs="Times New Roman" w:hint="default"/>
                <w:b/>
                <w:color w:val="auto"/>
                <w:kern w:val="0"/>
                <w:szCs w:val="24"/>
              </w:rPr>
            </w:pPr>
          </w:p>
          <w:p>
            <w:pPr>
              <w:pStyle w:val="120"/>
              <w:numPr>
                <w:ilvl w:val="0"/>
                <w:numId w:val="17"/>
              </w:numPr>
              <w:ind w:firstLine="482"/>
              <w:rPr>
                <w:rFonts w:cs="Times New Roman" w:hint="default"/>
                <w:b/>
                <w:color w:val="auto"/>
                <w:kern w:val="0"/>
                <w:szCs w:val="24"/>
              </w:rPr>
            </w:pPr>
            <w:r>
              <w:rPr>
                <w:rFonts w:ascii="Times New Roman" w:hAnsi="Times New Roman" w:cs="Times New Roman" w:hint="default"/>
                <w:b/>
                <w:color w:val="auto"/>
              </w:rPr>
              <w:t>生态环境现状调查</w:t>
            </w:r>
          </w:p>
          <w:p>
            <w:pPr>
              <w:pStyle w:val="120"/>
              <w:spacing w:after="0"/>
              <w:rPr>
                <w:rFonts w:cs="Times New Roman" w:hint="default"/>
                <w:color w:val="auto"/>
                <w:kern w:val="0"/>
                <w:szCs w:val="24"/>
              </w:rPr>
            </w:pPr>
          </w:p>
        </w:tc>
      </w:tr>
    </w:tbl>
    <w:p>
      <w:pPr>
        <w:sectPr>
          <w:footerReference w:type="even" r:id="rId47"/>
          <w:footerReference w:type="default" r:id="rId4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0"/>
          <w:cols w:space="708"/>
          <w:titlePg w:val="0"/>
          <w:docGrid w:type="lines" w:linePitch="312"/>
        </w:sectPr>
      </w:pP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p>
            <w:pPr>
              <w:pStyle w:val="120"/>
              <w:spacing w:before="0"/>
              <w:rPr>
                <w:rFonts w:cs="Times New Roman" w:hint="default"/>
                <w:color w:val="auto"/>
                <w:kern w:val="0"/>
                <w:szCs w:val="24"/>
              </w:rPr>
            </w:pPr>
            <w:r>
              <w:rPr>
                <w:rFonts w:ascii="Times New Roman" w:hAnsi="Times New Roman" w:cs="Times New Roman" w:hint="default"/>
                <w:color w:val="auto"/>
                <w:kern w:val="0"/>
                <w:szCs w:val="24"/>
              </w:rPr>
              <w:t>本次评价主要通过查阅相关文献资料并结合现场调查走访等方式，拟调查本项目及项目外沿200m范围内的土地利用、植被、动物资源情况。并根据现状调查和资料整理所得的数据对项目区域土地利用、植被、动物现状进行定性和定量相结合的评价，分析影响评价区环境的主要功能及其主要生态问题。</w:t>
            </w:r>
          </w:p>
          <w:p>
            <w:pPr>
              <w:pStyle w:val="120"/>
              <w:numPr>
                <w:ilvl w:val="0"/>
                <w:numId w:val="18"/>
              </w:numPr>
              <w:ind w:firstLine="482"/>
              <w:rPr>
                <w:rFonts w:cs="Times New Roman" w:hint="default"/>
                <w:b/>
                <w:bCs/>
                <w:color w:val="auto"/>
                <w:kern w:val="0"/>
                <w:szCs w:val="24"/>
              </w:rPr>
            </w:pPr>
            <w:r>
              <w:rPr>
                <w:rFonts w:ascii="Times New Roman" w:hAnsi="Times New Roman" w:cs="Times New Roman" w:hint="default"/>
                <w:b/>
                <w:bCs/>
                <w:color w:val="auto"/>
                <w:kern w:val="0"/>
                <w:szCs w:val="24"/>
              </w:rPr>
              <w:t>土地利用情况</w:t>
            </w:r>
          </w:p>
          <w:p>
            <w:pPr>
              <w:pStyle w:val="120"/>
              <w:rPr>
                <w:rFonts w:cs="Times New Roman" w:hint="default"/>
                <w:color w:val="auto"/>
                <w:kern w:val="0"/>
                <w:szCs w:val="24"/>
              </w:rPr>
            </w:pPr>
            <w:r>
              <w:rPr>
                <w:rFonts w:ascii="Times New Roman" w:hAnsi="Times New Roman" w:cs="Times New Roman" w:hint="default"/>
                <w:color w:val="auto"/>
                <w:kern w:val="0"/>
                <w:szCs w:val="24"/>
              </w:rPr>
              <w:t>本项目为新建项目，项目内主要为林地、草地，基本未受人类活动影响，植被覆盖面积广。项目内动物种类和数量较多，但主要为当地常见的类型，包括一些小兽类、鸟类、爬行类以及昆虫等，无大型野生动物。项目所在区域内无国家和地方规定的珍稀、濒危生物种类。</w:t>
            </w:r>
          </w:p>
          <w:p>
            <w:pPr>
              <w:pStyle w:val="120"/>
              <w:numPr>
                <w:ilvl w:val="0"/>
                <w:numId w:val="18"/>
              </w:numPr>
              <w:ind w:firstLine="482"/>
              <w:rPr>
                <w:rFonts w:cs="Times New Roman" w:hint="default"/>
                <w:b/>
                <w:bCs/>
                <w:color w:val="auto"/>
                <w:kern w:val="0"/>
                <w:szCs w:val="24"/>
              </w:rPr>
            </w:pPr>
            <w:r>
              <w:rPr>
                <w:rFonts w:ascii="Times New Roman" w:hAnsi="Times New Roman" w:cs="Times New Roman" w:hint="default"/>
                <w:b/>
                <w:bCs/>
                <w:color w:val="auto"/>
                <w:kern w:val="0"/>
                <w:szCs w:val="24"/>
              </w:rPr>
              <w:t>植被</w:t>
            </w:r>
          </w:p>
          <w:p>
            <w:pPr>
              <w:pStyle w:val="120"/>
              <w:rPr>
                <w:rFonts w:cs="Times New Roman" w:hint="default"/>
                <w:color w:val="auto"/>
                <w:kern w:val="0"/>
                <w:szCs w:val="24"/>
              </w:rPr>
            </w:pPr>
            <w:r>
              <w:rPr>
                <w:rFonts w:ascii="Times New Roman" w:hAnsi="Times New Roman" w:cs="Times New Roman" w:hint="default"/>
                <w:color w:val="auto"/>
                <w:kern w:val="0"/>
                <w:szCs w:val="24"/>
              </w:rPr>
              <w:t>评价区地形属丘陵山地，项目拟选址处及周边主要为林地，林地主要植被类型为阔叶林（美叶桉、细叶桉林）、针叶林（马尾松、杉树针叶林）、灌丛（三叉苦、山黄麻灌丛；毛东青、野牡丹灌丛）、草丛（芒萁、白茅杂类草丛；野古草杂类草丛）。项目内及周边200m范围内</w:t>
            </w:r>
            <w:r>
              <w:rPr>
                <w:rFonts w:ascii="Times New Roman" w:hAnsi="Times New Roman" w:cs="Times New Roman" w:hint="default"/>
                <w:color w:val="auto"/>
              </w:rPr>
              <w:t>未发现国家保护的珍稀、濒危植物，无古树名木，植物类型主要是以松、桉树优势种的人工用材林、常见的旷野植物，群落结构较为简单。</w:t>
            </w:r>
          </w:p>
          <w:p>
            <w:pPr>
              <w:pStyle w:val="120"/>
              <w:numPr>
                <w:ilvl w:val="0"/>
                <w:numId w:val="18"/>
              </w:numPr>
              <w:ind w:firstLine="482"/>
              <w:rPr>
                <w:rFonts w:cs="Times New Roman" w:hint="default"/>
                <w:b/>
                <w:bCs/>
                <w:color w:val="auto"/>
                <w:kern w:val="0"/>
                <w:szCs w:val="24"/>
              </w:rPr>
            </w:pPr>
            <w:r>
              <w:rPr>
                <w:rFonts w:ascii="Times New Roman" w:hAnsi="Times New Roman" w:cs="Times New Roman" w:hint="default"/>
                <w:b/>
                <w:bCs/>
                <w:color w:val="auto"/>
                <w:kern w:val="0"/>
                <w:szCs w:val="24"/>
              </w:rPr>
              <w:t>动物</w:t>
            </w:r>
          </w:p>
          <w:p>
            <w:pPr>
              <w:adjustRightInd w:val="0"/>
              <w:snapToGrid w:val="0"/>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kern w:val="0"/>
                <w:szCs w:val="24"/>
              </w:rPr>
              <w:t>评价区地形属丘陵山地，由于基本未受人类活动干扰，</w:t>
            </w:r>
            <w:r>
              <w:rPr>
                <w:rFonts w:ascii="Times New Roman" w:hAnsi="Times New Roman" w:cs="Times New Roman" w:hint="default"/>
                <w:color w:val="auto"/>
                <w:szCs w:val="24"/>
              </w:rPr>
              <w:t>动物栖息环境未遭到破坏。</w:t>
            </w:r>
            <w:r>
              <w:rPr>
                <w:rFonts w:ascii="Times New Roman" w:hAnsi="Times New Roman" w:cs="Times New Roman" w:hint="default"/>
                <w:color w:val="auto"/>
              </w:rPr>
              <w:t>根据对当地野生动物资源的调查，评价区内的野生动物主要有：</w:t>
            </w:r>
          </w:p>
          <w:p>
            <w:pPr>
              <w:adjustRightInd w:val="0"/>
              <w:snapToGrid w:val="0"/>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两栖类：主要有中华蟾蜍、无斑雨蛙、黑斑蛙等。</w:t>
            </w:r>
          </w:p>
          <w:p>
            <w:pPr>
              <w:adjustRightInd w:val="0"/>
              <w:snapToGrid w:val="0"/>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爬行类：灌草丛中多见蝮蛇，草蛇多见于农田，乌龟、憋等少见。</w:t>
            </w:r>
          </w:p>
          <w:p>
            <w:pPr>
              <w:adjustRightInd w:val="0"/>
              <w:snapToGrid w:val="0"/>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鸟类：以雀形目占优势，主要有大山雀、云雀、画眉、黄雀、大雁、山斑鸠、白鹭等。</w:t>
            </w:r>
          </w:p>
          <w:p>
            <w:pPr>
              <w:adjustRightInd w:val="0"/>
              <w:snapToGrid w:val="0"/>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哺乳类：主要为一些鼠类。</w:t>
            </w:r>
          </w:p>
          <w:p>
            <w:pPr>
              <w:adjustRightInd w:val="0"/>
              <w:snapToGrid w:val="0"/>
              <w:spacing w:line="360" w:lineRule="auto"/>
              <w:ind w:firstLine="480" w:firstLineChars="200"/>
              <w:rPr>
                <w:rFonts w:ascii="Times New Roman" w:hAnsi="Times New Roman" w:cs="Times New Roman" w:hint="default"/>
                <w:b/>
                <w:color w:val="auto"/>
                <w:sz w:val="28"/>
              </w:rPr>
            </w:pPr>
            <w:r>
              <w:rPr>
                <w:rFonts w:ascii="Times New Roman" w:hAnsi="Times New Roman" w:cs="Times New Roman" w:hint="default"/>
                <w:color w:val="auto"/>
              </w:rPr>
              <w:t>昆虫类：主要有蚂蚁、虻等。</w:t>
            </w:r>
            <w:r>
              <w:rPr>
                <w:rFonts w:ascii="Times New Roman" w:hAnsi="Times New Roman" w:cs="Times New Roman" w:hint="default"/>
                <w:color w:val="auto"/>
                <w:szCs w:val="24"/>
              </w:rPr>
              <w:t>评价区内无珍稀濒危动物。</w:t>
            </w:r>
          </w:p>
          <w:p>
            <w:pPr>
              <w:spacing w:line="360" w:lineRule="auto"/>
              <w:rPr>
                <w:rFonts w:ascii="Times New Roman" w:hAnsi="Times New Roman" w:cs="Times New Roman" w:hint="default"/>
                <w:b/>
                <w:color w:val="auto"/>
                <w:sz w:val="28"/>
              </w:rPr>
            </w:pPr>
            <w:r>
              <w:rPr>
                <w:rFonts w:ascii="Times New Roman" w:hAnsi="Times New Roman" w:cs="Times New Roman" w:hint="default"/>
                <w:b/>
                <w:color w:val="auto"/>
                <w:sz w:val="28"/>
              </w:rPr>
              <w:t>主要环境保护目标（列出名单及保护级别）：</w:t>
            </w:r>
          </w:p>
          <w:p>
            <w:pPr>
              <w:spacing w:line="360" w:lineRule="auto"/>
              <w:ind w:firstLine="480" w:firstLineChars="200"/>
              <w:rPr>
                <w:rFonts w:ascii="Times New Roman" w:hAnsi="Times New Roman" w:cs="Times New Roman" w:hint="default"/>
                <w:color w:val="auto"/>
                <w:szCs w:val="22"/>
              </w:rPr>
            </w:pPr>
            <w:r>
              <w:rPr>
                <w:rFonts w:ascii="Times New Roman" w:hAnsi="Times New Roman" w:cs="Times New Roman" w:hint="default"/>
                <w:color w:val="auto"/>
                <w:szCs w:val="22"/>
              </w:rPr>
              <w:t>经评价单位现场踏勘及走访调查，确定评价范围内周边无重点保护文物、名胜古迹及珍稀动植物资源；无声环境和大气环境保护目标。本项目水环境保护目标及保护级别见表3-</w:t>
            </w:r>
            <w:r>
              <w:rPr>
                <w:rFonts w:ascii="Times New Roman" w:hAnsi="Times New Roman" w:cs="Times New Roman" w:hint="default"/>
                <w:color w:val="auto"/>
                <w:szCs w:val="22"/>
                <w:lang w:val="en-US" w:eastAsia="zh-CN"/>
              </w:rPr>
              <w:t>8</w:t>
            </w:r>
            <w:r>
              <w:rPr>
                <w:rFonts w:ascii="Times New Roman" w:hAnsi="Times New Roman" w:cs="Times New Roman" w:hint="default"/>
                <w:color w:val="auto"/>
                <w:szCs w:val="22"/>
              </w:rPr>
              <w:t>。</w:t>
            </w: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表3-</w:t>
            </w:r>
            <w:r>
              <w:rPr>
                <w:rFonts w:ascii="Times New Roman" w:hAnsi="Times New Roman" w:cs="Times New Roman" w:hint="default"/>
                <w:color w:val="auto"/>
                <w:sz w:val="21"/>
                <w:szCs w:val="21"/>
                <w:lang w:val="en-US" w:eastAsia="zh-CN"/>
              </w:rPr>
              <w:t>8</w:t>
            </w:r>
            <w:r>
              <w:rPr>
                <w:rFonts w:ascii="Times New Roman" w:hAnsi="Times New Roman" w:cs="Times New Roman" w:hint="default"/>
                <w:color w:val="auto"/>
                <w:sz w:val="21"/>
                <w:szCs w:val="21"/>
              </w:rPr>
              <w:t xml:space="preserve">  主要环境保护目标和保护级别</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885"/>
              <w:gridCol w:w="697"/>
              <w:gridCol w:w="697"/>
              <w:gridCol w:w="888"/>
              <w:gridCol w:w="1149"/>
              <w:gridCol w:w="888"/>
              <w:gridCol w:w="1244"/>
              <w:gridCol w:w="1198"/>
              <w:gridCol w:w="1420"/>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名称</w:t>
                  </w:r>
                </w:p>
              </w:tc>
              <w:tc>
                <w:tcPr>
                  <w:tcW w:w="0" w:type="auto"/>
                  <w:gridSpan w:val="2"/>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坐标/m</w:t>
                  </w:r>
                </w:p>
              </w:tc>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保护对象</w:t>
                  </w:r>
                </w:p>
              </w:tc>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lang w:eastAsia="zh-CN"/>
                    </w:rPr>
                    <w:t>人数（人）</w:t>
                  </w:r>
                </w:p>
              </w:tc>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保护内容</w:t>
                  </w:r>
                </w:p>
              </w:tc>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环境功能区</w:t>
                  </w:r>
                </w:p>
              </w:tc>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相对厂址方位</w:t>
                  </w:r>
                </w:p>
              </w:tc>
              <w:tc>
                <w:tcPr>
                  <w:tcW w:w="0" w:type="auto"/>
                  <w:vMerge w:val="restart"/>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相对厂界距离/m</w:t>
                  </w:r>
                </w:p>
              </w:tc>
            </w:tr>
            <w:tr>
              <w:tblPrEx>
                <w:tblW w:w="0" w:type="auto"/>
                <w:tblInd w:w="116" w:type="dxa"/>
                <w:tblCellMar>
                  <w:top w:w="0" w:type="dxa"/>
                  <w:left w:w="108" w:type="dxa"/>
                  <w:bottom w:w="0" w:type="dxa"/>
                  <w:right w:w="108" w:type="dxa"/>
                </w:tblCellMar>
                <w:tblLook w:val="0000"/>
              </w:tblPrEx>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c>
                <w:tcPr>
                  <w:tcW w:w="0" w:type="auto"/>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X</w:t>
                  </w:r>
                </w:p>
              </w:tc>
              <w:tc>
                <w:tcPr>
                  <w:tcW w:w="0" w:type="auto"/>
                  <w:vAlign w:val="center"/>
                </w:tcPr>
                <w:p>
                  <w:pPr>
                    <w:pStyle w:val="a27"/>
                    <w:spacing w:line="240" w:lineRule="auto"/>
                    <w:ind w:firstLine="0" w:firstLineChars="0"/>
                    <w:jc w:val="center"/>
                    <w:rPr>
                      <w:rFonts w:ascii="Times New Roman" w:eastAsia="宋体" w:hAnsi="Times New Roman" w:cs="Times New Roman" w:hint="default"/>
                      <w:b/>
                      <w:bCs/>
                      <w:color w:val="auto"/>
                      <w:sz w:val="21"/>
                      <w:szCs w:val="21"/>
                    </w:rPr>
                  </w:pPr>
                  <w:r>
                    <w:rPr>
                      <w:rFonts w:ascii="Times New Roman" w:eastAsia="宋体" w:hAnsi="Times New Roman" w:cs="Times New Roman" w:hint="default"/>
                      <w:b/>
                      <w:bCs/>
                      <w:color w:val="auto"/>
                      <w:sz w:val="21"/>
                      <w:szCs w:val="21"/>
                    </w:rPr>
                    <w:t>Y</w:t>
                  </w:r>
                </w:p>
              </w:tc>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c>
                <w:tcPr>
                  <w:tcW w:w="0" w:type="auto"/>
                  <w:vMerge/>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冲塘</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-543</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500</w:t>
                  </w:r>
                </w:p>
              </w:tc>
            </w:tr>
          </w:tbl>
          <w:p/>
        </w:tc>
      </w:tr>
    </w:tbl>
    <w:p>
      <w:pPr>
        <w:sectPr>
          <w:footerReference w:type="even" r:id="rId49"/>
          <w:footerReference w:type="default" r:id="rId50"/>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1"/>
          <w:cols w:space="708"/>
          <w:titlePg w:val="0"/>
          <w:docGrid w:type="lines" w:linePitch="312"/>
        </w:sectPr>
      </w:pP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885"/>
              <w:gridCol w:w="697"/>
              <w:gridCol w:w="697"/>
              <w:gridCol w:w="888"/>
              <w:gridCol w:w="1149"/>
              <w:gridCol w:w="888"/>
              <w:gridCol w:w="1244"/>
              <w:gridCol w:w="1198"/>
              <w:gridCol w:w="1420"/>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和民村</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-930</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-39</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600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800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和民小学</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-1326</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学生</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500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1170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大田山</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-1271</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80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1350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灯心塘</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-1597</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-256</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1480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黎头寨</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-1705</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-690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60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1810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横琴村</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-1829</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155</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1610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云罗</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-845</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300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720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潭必塘</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-806</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837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60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770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潭汶</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-1294</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984</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80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1290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朱武村</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-2465</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1039</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60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2400</w:t>
                  </w:r>
                </w:p>
              </w:tc>
            </w:tr>
            <w:tr>
              <w:tblPrEx>
                <w:tblW w:w="0" w:type="auto"/>
                <w:tblInd w:w="116" w:type="dxa"/>
                <w:tblCellMar>
                  <w:top w:w="0" w:type="dxa"/>
                  <w:left w:w="108" w:type="dxa"/>
                  <w:bottom w:w="0" w:type="dxa"/>
                  <w:right w:w="108" w:type="dxa"/>
                </w:tblCellMar>
                <w:tblLook w:val="0000"/>
              </w:tblPrEx>
              <w:trPr>
                <w:trHeight w:val="275"/>
              </w:trPr>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木坪</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-2233</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1411</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西北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2290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长岐岗</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-93</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2597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2080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居鹿围</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1365</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2333</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500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2210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安康小学</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1822</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1705</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学生</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240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2120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潭井</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1900</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1465</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200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2000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寨仔</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1016</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170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250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770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白马</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837</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-217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4</w:t>
                  </w:r>
                  <w:r>
                    <w:rPr>
                      <w:rFonts w:ascii="Times New Roman" w:eastAsia="宋体" w:hAnsi="Times New Roman" w:cs="Times New Roman" w:hint="eastAsia"/>
                      <w:color w:val="auto"/>
                      <w:sz w:val="21"/>
                      <w:szCs w:val="21"/>
                      <w:lang w:val="en-US" w:eastAsia="zh-CN"/>
                    </w:rPr>
                    <w:t>3</w:t>
                  </w:r>
                  <w:r>
                    <w:rPr>
                      <w:rFonts w:ascii="Times New Roman" w:eastAsia="宋体" w:hAnsi="Times New Roman" w:cs="Times New Roman" w:hint="default"/>
                      <w:color w:val="auto"/>
                      <w:sz w:val="21"/>
                      <w:szCs w:val="21"/>
                    </w:rPr>
                    <w:t>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建设村</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1481</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-217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500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1080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建设小学</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1768</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学生</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300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1420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连龙寨</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1023</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-737</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90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940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滑头根</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1062</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-1574</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80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1450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上潭围</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605</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-2155</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300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东南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1910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石垌</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-147</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-628</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500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eastAsia"/>
                      <w:color w:val="auto"/>
                      <w:sz w:val="21"/>
                      <w:szCs w:val="21"/>
                      <w:lang w:val="en-US" w:eastAsia="zh-CN"/>
                    </w:rPr>
                    <w:t>470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罗岗</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-953</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-1442</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200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1470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竹步村</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-1434</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-1349</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1830</w:t>
                  </w:r>
                </w:p>
              </w:tc>
            </w:tr>
            <w:tr>
              <w:tblPrEx>
                <w:tblW w:w="0" w:type="auto"/>
                <w:tblInd w:w="116" w:type="dxa"/>
                <w:tblCellMar>
                  <w:top w:w="0" w:type="dxa"/>
                  <w:left w:w="108" w:type="dxa"/>
                  <w:bottom w:w="0" w:type="dxa"/>
                  <w:right w:w="108" w:type="dxa"/>
                </w:tblCellMar>
                <w:tblLook w:val="0000"/>
              </w:tblPrEx>
              <w:tc>
                <w:tcPr>
                  <w:tcW w:w="0" w:type="auto"/>
                  <w:vAlign w:val="center"/>
                </w:tcPr>
                <w:p>
                  <w:pPr>
                    <w:spacing w:after="0"/>
                    <w:jc w:val="center"/>
                    <w:rPr>
                      <w:rFonts w:ascii="Times New Roman" w:hAnsi="Times New Roman" w:cs="Times New Roman" w:hint="default"/>
                      <w:color w:val="auto"/>
                      <w:sz w:val="21"/>
                      <w:szCs w:val="21"/>
                    </w:rPr>
                  </w:pPr>
                </w:p>
              </w:tc>
              <w:tc>
                <w:tcPr>
                  <w:tcW w:w="0" w:type="auto"/>
                  <w:vAlign w:val="center"/>
                </w:tcPr>
                <w:p>
                  <w:pPr>
                    <w:spacing w:after="0"/>
                    <w:jc w:val="center"/>
                    <w:rPr>
                      <w:rFonts w:ascii="Times New Roman" w:hAnsi="Times New Roman" w:cs="Times New Roman" w:hint="default"/>
                      <w:color w:val="auto"/>
                      <w:sz w:val="21"/>
                      <w:szCs w:val="21"/>
                    </w:rPr>
                  </w:pPr>
                </w:p>
              </w:tc>
              <w:tc>
                <w:tcPr>
                  <w:tcW w:w="0" w:type="auto"/>
                  <w:vAlign w:val="center"/>
                </w:tcPr>
                <w:p>
                  <w:pPr>
                    <w:spacing w:after="0"/>
                    <w:jc w:val="center"/>
                    <w:rPr>
                      <w:rFonts w:ascii="Times New Roman" w:hAnsi="Times New Roman" w:cs="Times New Roman" w:hint="default"/>
                      <w:color w:val="auto"/>
                      <w:sz w:val="21"/>
                      <w:szCs w:val="21"/>
                    </w:rPr>
                  </w:pP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学生</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350</w:t>
                  </w:r>
                </w:p>
              </w:tc>
              <w:tc>
                <w:tcPr>
                  <w:tcW w:w="0" w:type="auto"/>
                  <w:vAlign w:val="center"/>
                </w:tcPr>
                <w:p>
                  <w:pPr>
                    <w:pStyle w:val="a27"/>
                    <w:spacing w:after="0" w:line="240" w:lineRule="auto"/>
                    <w:ind w:firstLine="0" w:firstLineChars="0"/>
                    <w:jc w:val="center"/>
                    <w:rPr>
                      <w:rFonts w:ascii="Times New Roman" w:eastAsia="宋体" w:hAnsi="Times New Roman" w:cs="Times New Roman" w:hint="default"/>
                      <w:color w:val="auto"/>
                      <w:sz w:val="21"/>
                      <w:szCs w:val="21"/>
                    </w:rPr>
                  </w:pPr>
                </w:p>
              </w:tc>
              <w:tc>
                <w:tcPr>
                  <w:tcW w:w="0" w:type="auto"/>
                  <w:vAlign w:val="center"/>
                </w:tcPr>
                <w:p>
                  <w:pPr>
                    <w:pStyle w:val="a27"/>
                    <w:spacing w:after="0" w:line="240" w:lineRule="auto"/>
                    <w:ind w:firstLine="0" w:firstLineChars="0"/>
                    <w:jc w:val="center"/>
                    <w:rPr>
                      <w:rFonts w:ascii="Times New Roman" w:eastAsia="宋体" w:hAnsi="Times New Roman" w:cs="Times New Roman" w:hint="default"/>
                      <w:color w:val="auto"/>
                      <w:sz w:val="21"/>
                      <w:szCs w:val="21"/>
                    </w:rPr>
                  </w:pP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2400</w:t>
                  </w:r>
                </w:p>
              </w:tc>
            </w:tr>
          </w:tbl>
          <w:p/>
        </w:tc>
      </w:tr>
    </w:tbl>
    <w:p>
      <w:pPr>
        <w:sectPr>
          <w:footerReference w:type="even" r:id="rId51"/>
          <w:footerReference w:type="default" r:id="rId52"/>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2"/>
          <w:cols w:space="708"/>
          <w:titlePg w:val="0"/>
          <w:docGrid w:type="lines" w:linePitch="312"/>
        </w:sectPr>
      </w:pPr>
    </w:p>
    <w:tbl>
      <w:tblPr>
        <w:tblStyle w:val="TableNormal"/>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14"/>
      </w:tblGrid>
      <w:tr>
        <w:tblPrEx>
          <w:tblW w:w="0" w:type="auto"/>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3453"/>
          <w:jc w:val="center"/>
        </w:trPr>
        <w:tc>
          <w:tcPr>
            <w:tcW w:w="9401" w:type="dxa"/>
          </w:tcPr>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885"/>
              <w:gridCol w:w="697"/>
              <w:gridCol w:w="697"/>
              <w:gridCol w:w="888"/>
              <w:gridCol w:w="1149"/>
              <w:gridCol w:w="888"/>
              <w:gridCol w:w="1244"/>
              <w:gridCol w:w="1198"/>
              <w:gridCol w:w="1420"/>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0" w:type="auto"/>
                  <w:vAlign w:val="center"/>
                </w:tcPr>
                <w:p>
                  <w:pPr>
                    <w:spacing w:befor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竹步小学</w:t>
                  </w:r>
                </w:p>
              </w:tc>
              <w:tc>
                <w:tcPr>
                  <w:tcW w:w="0" w:type="auto"/>
                  <w:vAlign w:val="center"/>
                </w:tcPr>
                <w:p>
                  <w:pPr>
                    <w:spacing w:befor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-1961</w:t>
                  </w:r>
                </w:p>
              </w:tc>
              <w:tc>
                <w:tcPr>
                  <w:tcW w:w="0" w:type="auto"/>
                  <w:vAlign w:val="center"/>
                </w:tcPr>
                <w:p>
                  <w:pPr>
                    <w:spacing w:befor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-1682</w:t>
                  </w:r>
                </w:p>
              </w:tc>
              <w:tc>
                <w:tcPr>
                  <w:tcW w:w="0" w:type="auto"/>
                  <w:vAlign w:val="center"/>
                </w:tcPr>
                <w:p/>
              </w:tc>
              <w:tc>
                <w:tcPr>
                  <w:tcW w:w="0" w:type="auto"/>
                  <w:vAlign w:val="center"/>
                </w:tcPr>
                <w:p/>
              </w:tc>
              <w:tc>
                <w:tcPr>
                  <w:tcW w:w="0" w:type="auto"/>
                  <w:vAlign w:val="center"/>
                </w:tcPr>
                <w:p>
                  <w:pPr>
                    <w:pStyle w:val="a27"/>
                    <w:spacing w:before="0"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before="0"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tc>
              <w:tc>
                <w:tcPr>
                  <w:tcW w:w="0" w:type="auto"/>
                  <w:vAlign w:val="center"/>
                </w:tcPr>
                <w:p/>
              </w:tc>
            </w:tr>
            <w:tr>
              <w:tblPrEx>
                <w:tblW w:w="0" w:type="auto"/>
                <w:tblInd w:w="116" w:type="dxa"/>
                <w:tblCellMar>
                  <w:top w:w="0" w:type="dxa"/>
                  <w:left w:w="108" w:type="dxa"/>
                  <w:bottom w:w="0" w:type="dxa"/>
                  <w:right w:w="108" w:type="dxa"/>
                </w:tblCellMar>
                <w:tblLook w:val="0000"/>
              </w:tblPrEx>
              <w:trPr>
                <w:trHeight w:val="115"/>
              </w:trPr>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简墩</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-1085</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-1853</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150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1910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白云寨</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-1713</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-2132</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居民</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200</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大气环境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环境空气二类</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2490</w:t>
                  </w:r>
                </w:p>
              </w:tc>
            </w:tr>
            <w:tr>
              <w:tblPrEx>
                <w:tblW w:w="0" w:type="auto"/>
                <w:tblInd w:w="116" w:type="dxa"/>
                <w:tblCellMar>
                  <w:top w:w="0" w:type="dxa"/>
                  <w:left w:w="108" w:type="dxa"/>
                  <w:bottom w:w="0" w:type="dxa"/>
                  <w:right w:w="108" w:type="dxa"/>
                </w:tblCellMar>
                <w:tblLook w:val="0000"/>
              </w:tblPrEx>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龙湾河</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河流水质</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lang w:val="en-US" w:eastAsia="zh-CN"/>
                    </w:rPr>
                    <w:t>/</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水环境</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水环境</w:t>
                  </w:r>
                  <w:r>
                    <w:rPr>
                      <w:rFonts w:ascii="Times New Roman" w:eastAsia="宋体" w:hAnsi="Times New Roman" w:cs="Times New Roman" w:hint="default"/>
                      <w:color w:val="auto"/>
                      <w:sz w:val="21"/>
                      <w:szCs w:val="21"/>
                    </w:rPr>
                    <w:t>Ⅲ</w:t>
                  </w:r>
                  <w:r>
                    <w:rPr>
                      <w:rFonts w:ascii="Times New Roman" w:eastAsia="宋体" w:hAnsi="Times New Roman" w:cs="Times New Roman" w:hint="default"/>
                      <w:color w:val="auto"/>
                      <w:sz w:val="21"/>
                      <w:szCs w:val="21"/>
                    </w:rPr>
                    <w:t>类</w:t>
                  </w:r>
                </w:p>
              </w:tc>
              <w:tc>
                <w:tcPr>
                  <w:tcW w:w="0" w:type="auto"/>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西南</w:t>
                  </w:r>
                </w:p>
              </w:tc>
              <w:tc>
                <w:tcPr>
                  <w:tcW w:w="0" w:type="auto"/>
                  <w:vAlign w:val="center"/>
                </w:tcPr>
                <w:p>
                  <w:pPr>
                    <w:pStyle w:val="a27"/>
                    <w:spacing w:line="240" w:lineRule="auto"/>
                    <w:ind w:firstLine="0" w:firstLineChars="0"/>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2270</w:t>
                  </w:r>
                </w:p>
              </w:tc>
            </w:tr>
          </w:tbl>
          <w:p>
            <w:pPr>
              <w:pStyle w:val="22"/>
              <w:rPr>
                <w:rFonts w:ascii="Times New Roman" w:hAnsi="Times New Roman" w:cs="Times New Roman" w:hint="default"/>
                <w:color w:val="auto"/>
              </w:rPr>
            </w:pPr>
          </w:p>
          <w:p>
            <w:pPr>
              <w:pStyle w:val="22"/>
              <w:rPr>
                <w:rFonts w:ascii="Times New Roman" w:hAnsi="Times New Roman" w:cs="Times New Roman" w:hint="default"/>
                <w:color w:val="auto"/>
              </w:rPr>
            </w:pPr>
          </w:p>
          <w:p>
            <w:pPr>
              <w:pStyle w:val="120"/>
              <w:rPr>
                <w:rFonts w:cs="Times New Roman" w:hint="default"/>
                <w:color w:val="auto"/>
                <w:szCs w:val="24"/>
              </w:rPr>
            </w:pPr>
          </w:p>
        </w:tc>
      </w:tr>
    </w:tbl>
    <w:p>
      <w:pPr>
        <w:sectPr>
          <w:footerReference w:type="even" r:id="rId53"/>
          <w:footerReference w:type="default" r:id="rId54"/>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3"/>
          <w:cols w:space="708"/>
          <w:titlePg w:val="0"/>
          <w:docGrid w:type="lines" w:linePitch="312"/>
        </w:sectPr>
      </w:pPr>
    </w:p>
    <w:p>
      <w:pPr>
        <w:pStyle w:val="Heading2"/>
        <w:spacing w:before="0" w:after="0" w:line="360" w:lineRule="auto"/>
        <w:rPr>
          <w:rFonts w:ascii="Times New Roman" w:eastAsia="宋体" w:hAnsi="Times New Roman" w:cs="Times New Roman" w:hint="default"/>
          <w:color w:val="auto"/>
          <w:sz w:val="28"/>
          <w:szCs w:val="28"/>
        </w:rPr>
      </w:pPr>
      <w:r>
        <w:rPr>
          <w:rFonts w:ascii="Times New Roman" w:eastAsia="宋体" w:hAnsi="Times New Roman" w:cs="Times New Roman" w:hint="default"/>
          <w:color w:val="auto"/>
          <w:sz w:val="28"/>
          <w:szCs w:val="28"/>
        </w:rPr>
        <w:t>四、评价适用标准</w:t>
      </w:r>
    </w:p>
    <w:tbl>
      <w:tblPr>
        <w:tblStyle w:val="TableNormal"/>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85"/>
        <w:gridCol w:w="8514"/>
      </w:tblGrid>
      <w:tr>
        <w:tblPrEx>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83"/>
        </w:trPr>
        <w:tc>
          <w:tcPr>
            <w:tcW w:w="471" w:type="pct"/>
            <w:vAlign w:val="center"/>
          </w:tcPr>
          <w:p>
            <w:pPr>
              <w:spacing w:line="360" w:lineRule="auto"/>
              <w:jc w:val="center"/>
              <w:rPr>
                <w:rFonts w:ascii="Times New Roman" w:hAnsi="Times New Roman" w:cs="Times New Roman" w:hint="default"/>
                <w:color w:val="auto"/>
                <w:sz w:val="28"/>
              </w:rPr>
            </w:pPr>
            <w:r>
              <w:rPr>
                <w:rFonts w:ascii="Times New Roman" w:hAnsi="Times New Roman" w:cs="Times New Roman" w:hint="default"/>
                <w:b/>
                <w:bCs/>
                <w:color w:val="auto"/>
                <w:szCs w:val="24"/>
              </w:rPr>
              <w:t>环境质量标准</w:t>
            </w:r>
          </w:p>
        </w:tc>
        <w:tc>
          <w:tcPr>
            <w:tcW w:w="4528" w:type="pct"/>
          </w:tcPr>
          <w:p>
            <w:pPr>
              <w:spacing w:line="360" w:lineRule="auto"/>
              <w:ind w:firstLine="480" w:firstLineChars="200"/>
              <w:rPr>
                <w:rFonts w:ascii="Times New Roman" w:hAnsi="Times New Roman" w:cs="Times New Roman" w:hint="default"/>
                <w:b/>
                <w:bCs/>
                <w:color w:val="auto"/>
              </w:rPr>
            </w:pPr>
            <w:r>
              <w:rPr>
                <w:rFonts w:ascii="Times New Roman" w:hAnsi="Times New Roman" w:cs="Times New Roman" w:hint="default"/>
                <w:b/>
                <w:bCs/>
                <w:color w:val="auto"/>
              </w:rPr>
              <w:t>1、环境空气</w:t>
            </w:r>
          </w:p>
          <w:p>
            <w:pPr>
              <w:tabs>
                <w:tab w:val="left" w:pos="624"/>
              </w:tabs>
              <w:spacing w:line="360" w:lineRule="auto"/>
              <w:ind w:firstLine="480" w:firstLineChars="200"/>
              <w:rPr>
                <w:rFonts w:ascii="Times New Roman" w:hAnsi="Times New Roman" w:cs="Times New Roman" w:hint="default"/>
                <w:color w:val="auto"/>
                <w:szCs w:val="22"/>
              </w:rPr>
            </w:pPr>
            <w:r>
              <w:rPr>
                <w:rFonts w:ascii="Times New Roman" w:hAnsi="Times New Roman" w:cs="Times New Roman" w:hint="default"/>
                <w:color w:val="auto"/>
                <w:szCs w:val="22"/>
              </w:rPr>
              <w:t>项目所在区域大气环境质量执行《环境空气质量标准》（GB3095-2012）二级标准，部分标准限值见表4-1。</w:t>
            </w:r>
          </w:p>
          <w:p>
            <w:pPr>
              <w:tabs>
                <w:tab w:val="left" w:pos="624"/>
              </w:tabs>
              <w:spacing w:line="360" w:lineRule="auto"/>
              <w:jc w:val="center"/>
              <w:rPr>
                <w:rFonts w:ascii="Times New Roman" w:hAnsi="Times New Roman" w:cs="Times New Roman" w:hint="default"/>
                <w:color w:val="auto"/>
                <w:sz w:val="21"/>
                <w:szCs w:val="21"/>
                <w:vertAlign w:val="superscript"/>
              </w:rPr>
            </w:pPr>
            <w:r>
              <w:rPr>
                <w:rFonts w:ascii="Times New Roman" w:hAnsi="Times New Roman" w:cs="Times New Roman" w:hint="default"/>
                <w:b/>
                <w:color w:val="auto"/>
                <w:sz w:val="21"/>
                <w:szCs w:val="21"/>
              </w:rPr>
              <w:t xml:space="preserve">表4-1  《环境空气质量标准》（GB3095-2012）二级标准  </w:t>
            </w:r>
            <w:r>
              <w:rPr>
                <w:rFonts w:ascii="Times New Roman" w:hAnsi="Times New Roman" w:cs="Times New Roman" w:hint="default"/>
                <w:color w:val="auto"/>
                <w:sz w:val="21"/>
                <w:szCs w:val="21"/>
              </w:rPr>
              <w:t>单位：</w:t>
            </w:r>
            <w:r>
              <w:rPr>
                <w:rFonts w:ascii="Times New Roman" w:hAnsi="Times New Roman" w:cs="Times New Roman" w:hint="default"/>
                <w:color w:val="auto"/>
                <w:sz w:val="21"/>
                <w:szCs w:val="21"/>
              </w:rPr>
              <w:t>μ</w:t>
            </w:r>
            <w:r>
              <w:rPr>
                <w:rFonts w:ascii="Times New Roman" w:hAnsi="Times New Roman" w:cs="Times New Roman" w:hint="default"/>
                <w:color w:val="auto"/>
                <w:sz w:val="21"/>
                <w:szCs w:val="21"/>
              </w:rPr>
              <w:t>g/m</w:t>
            </w:r>
            <w:r>
              <w:rPr>
                <w:rFonts w:ascii="Times New Roman" w:hAnsi="Times New Roman" w:cs="Times New Roman" w:hint="default"/>
                <w:color w:val="auto"/>
                <w:sz w:val="21"/>
                <w:szCs w:val="21"/>
                <w:vertAlign w:val="superscript"/>
              </w:rPr>
              <w:t>3</w:t>
            </w:r>
          </w:p>
          <w:tbl>
            <w:tblPr>
              <w:tblStyle w:val="TableNormal"/>
              <w:tblW w:w="4996" w:type="pct"/>
              <w:jc w:val="center"/>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386"/>
              <w:gridCol w:w="1298"/>
              <w:gridCol w:w="911"/>
              <w:gridCol w:w="1151"/>
              <w:gridCol w:w="1182"/>
              <w:gridCol w:w="1181"/>
              <w:gridCol w:w="1167"/>
            </w:tblGrid>
            <w:tr>
              <w:tblPrEx>
                <w:tblW w:w="4996" w:type="pct"/>
                <w:jc w:val="center"/>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trHeight w:val="23"/>
                <w:jc w:val="center"/>
              </w:trPr>
              <w:tc>
                <w:tcPr>
                  <w:tcW w:w="837" w:type="pct"/>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项目</w:t>
                  </w:r>
                </w:p>
              </w:tc>
              <w:tc>
                <w:tcPr>
                  <w:tcW w:w="784" w:type="pct"/>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一氧化碳（CO）</w:t>
                  </w:r>
                </w:p>
              </w:tc>
              <w:tc>
                <w:tcPr>
                  <w:tcW w:w="550" w:type="pct"/>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PM</w:t>
                  </w:r>
                  <w:r>
                    <w:rPr>
                      <w:rFonts w:ascii="Times New Roman" w:hAnsi="Times New Roman" w:cs="Times New Roman" w:hint="default"/>
                      <w:b/>
                      <w:color w:val="auto"/>
                      <w:sz w:val="21"/>
                      <w:szCs w:val="21"/>
                      <w:vertAlign w:val="subscript"/>
                    </w:rPr>
                    <w:t>10</w:t>
                  </w:r>
                </w:p>
              </w:tc>
              <w:tc>
                <w:tcPr>
                  <w:tcW w:w="695" w:type="pct"/>
                  <w:vAlign w:val="center"/>
                </w:tcPr>
                <w:p>
                  <w:pPr>
                    <w:tabs>
                      <w:tab w:val="left" w:pos="624"/>
                    </w:tabs>
                    <w:jc w:val="center"/>
                    <w:rPr>
                      <w:rFonts w:ascii="Times New Roman" w:hAnsi="Times New Roman" w:cs="Times New Roman" w:hint="default"/>
                      <w:b/>
                      <w:color w:val="auto"/>
                      <w:sz w:val="21"/>
                      <w:szCs w:val="21"/>
                      <w:vertAlign w:val="subscript"/>
                    </w:rPr>
                  </w:pPr>
                  <w:r>
                    <w:rPr>
                      <w:rFonts w:ascii="Times New Roman" w:hAnsi="Times New Roman" w:cs="Times New Roman" w:hint="default"/>
                      <w:b/>
                      <w:color w:val="auto"/>
                      <w:sz w:val="21"/>
                      <w:szCs w:val="21"/>
                    </w:rPr>
                    <w:t>PM</w:t>
                  </w:r>
                  <w:r>
                    <w:rPr>
                      <w:rFonts w:ascii="Times New Roman" w:hAnsi="Times New Roman" w:cs="Times New Roman" w:hint="default"/>
                      <w:b/>
                      <w:color w:val="auto"/>
                      <w:sz w:val="21"/>
                      <w:szCs w:val="21"/>
                      <w:vertAlign w:val="subscript"/>
                    </w:rPr>
                    <w:t>2.5</w:t>
                  </w:r>
                </w:p>
              </w:tc>
              <w:tc>
                <w:tcPr>
                  <w:tcW w:w="714" w:type="pct"/>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二氧化氮（NO</w:t>
                  </w:r>
                  <w:r>
                    <w:rPr>
                      <w:rFonts w:ascii="Times New Roman" w:hAnsi="Times New Roman" w:cs="Times New Roman" w:hint="default"/>
                      <w:b/>
                      <w:color w:val="auto"/>
                      <w:sz w:val="21"/>
                      <w:szCs w:val="21"/>
                      <w:vertAlign w:val="subscript"/>
                    </w:rPr>
                    <w:t>2</w:t>
                  </w:r>
                  <w:r>
                    <w:rPr>
                      <w:rFonts w:ascii="Times New Roman" w:hAnsi="Times New Roman" w:cs="Times New Roman" w:hint="default"/>
                      <w:b/>
                      <w:color w:val="auto"/>
                      <w:sz w:val="21"/>
                      <w:szCs w:val="21"/>
                    </w:rPr>
                    <w:t>）</w:t>
                  </w:r>
                </w:p>
              </w:tc>
              <w:tc>
                <w:tcPr>
                  <w:tcW w:w="713" w:type="pct"/>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二氧化硫（SO</w:t>
                  </w:r>
                  <w:r>
                    <w:rPr>
                      <w:rFonts w:ascii="Times New Roman" w:hAnsi="Times New Roman" w:cs="Times New Roman" w:hint="default"/>
                      <w:b/>
                      <w:color w:val="auto"/>
                      <w:sz w:val="21"/>
                      <w:szCs w:val="21"/>
                      <w:vertAlign w:val="subscript"/>
                    </w:rPr>
                    <w:t>2</w:t>
                  </w:r>
                  <w:r>
                    <w:rPr>
                      <w:rFonts w:ascii="Times New Roman" w:hAnsi="Times New Roman" w:cs="Times New Roman" w:hint="default"/>
                      <w:b/>
                      <w:color w:val="auto"/>
                      <w:sz w:val="21"/>
                      <w:szCs w:val="21"/>
                    </w:rPr>
                    <w:t>）</w:t>
                  </w:r>
                </w:p>
              </w:tc>
              <w:tc>
                <w:tcPr>
                  <w:tcW w:w="705" w:type="pct"/>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臭氧（O</w:t>
                  </w:r>
                  <w:r>
                    <w:rPr>
                      <w:rFonts w:ascii="Times New Roman" w:hAnsi="Times New Roman" w:cs="Times New Roman" w:hint="default"/>
                      <w:b/>
                      <w:color w:val="auto"/>
                      <w:sz w:val="21"/>
                      <w:szCs w:val="21"/>
                      <w:vertAlign w:val="subscript"/>
                    </w:rPr>
                    <w:t>3</w:t>
                  </w:r>
                  <w:r>
                    <w:rPr>
                      <w:rFonts w:ascii="Times New Roman" w:hAnsi="Times New Roman" w:cs="Times New Roman" w:hint="default"/>
                      <w:b/>
                      <w:color w:val="auto"/>
                      <w:sz w:val="21"/>
                      <w:szCs w:val="21"/>
                    </w:rPr>
                    <w:t>）</w:t>
                  </w:r>
                </w:p>
              </w:tc>
            </w:tr>
            <w:tr>
              <w:tblPrEx>
                <w:tblW w:w="4996" w:type="pct"/>
                <w:jc w:val="center"/>
                <w:tblInd w:w="116" w:type="dxa"/>
                <w:tblCellMar>
                  <w:top w:w="0" w:type="dxa"/>
                  <w:left w:w="108" w:type="dxa"/>
                  <w:bottom w:w="0" w:type="dxa"/>
                  <w:right w:w="108" w:type="dxa"/>
                </w:tblCellMar>
                <w:tblLook w:val="0000"/>
              </w:tblPrEx>
              <w:trPr>
                <w:trHeight w:val="23"/>
                <w:jc w:val="center"/>
              </w:trPr>
              <w:tc>
                <w:tcPr>
                  <w:tcW w:w="837"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年平均</w:t>
                  </w:r>
                </w:p>
              </w:tc>
              <w:tc>
                <w:tcPr>
                  <w:tcW w:w="78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550"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70</w:t>
                  </w:r>
                </w:p>
              </w:tc>
              <w:tc>
                <w:tcPr>
                  <w:tcW w:w="69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35</w:t>
                  </w:r>
                </w:p>
              </w:tc>
              <w:tc>
                <w:tcPr>
                  <w:tcW w:w="71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40</w:t>
                  </w:r>
                </w:p>
              </w:tc>
              <w:tc>
                <w:tcPr>
                  <w:tcW w:w="713"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60</w:t>
                  </w:r>
                </w:p>
              </w:tc>
              <w:tc>
                <w:tcPr>
                  <w:tcW w:w="70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4996" w:type="pct"/>
                <w:jc w:val="center"/>
                <w:tblInd w:w="116" w:type="dxa"/>
                <w:tblCellMar>
                  <w:top w:w="0" w:type="dxa"/>
                  <w:left w:w="108" w:type="dxa"/>
                  <w:bottom w:w="0" w:type="dxa"/>
                  <w:right w:w="108" w:type="dxa"/>
                </w:tblCellMar>
                <w:tblLook w:val="0000"/>
              </w:tblPrEx>
              <w:trPr>
                <w:trHeight w:val="23"/>
                <w:jc w:val="center"/>
              </w:trPr>
              <w:tc>
                <w:tcPr>
                  <w:tcW w:w="837"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24小时平均</w:t>
                  </w:r>
                </w:p>
              </w:tc>
              <w:tc>
                <w:tcPr>
                  <w:tcW w:w="78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4000</w:t>
                  </w:r>
                </w:p>
              </w:tc>
              <w:tc>
                <w:tcPr>
                  <w:tcW w:w="550"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150</w:t>
                  </w:r>
                </w:p>
              </w:tc>
              <w:tc>
                <w:tcPr>
                  <w:tcW w:w="69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75</w:t>
                  </w:r>
                </w:p>
              </w:tc>
              <w:tc>
                <w:tcPr>
                  <w:tcW w:w="71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80</w:t>
                  </w:r>
                </w:p>
              </w:tc>
              <w:tc>
                <w:tcPr>
                  <w:tcW w:w="713"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150</w:t>
                  </w:r>
                </w:p>
              </w:tc>
              <w:tc>
                <w:tcPr>
                  <w:tcW w:w="70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4996" w:type="pct"/>
                <w:jc w:val="center"/>
                <w:tblInd w:w="116" w:type="dxa"/>
                <w:tblCellMar>
                  <w:top w:w="0" w:type="dxa"/>
                  <w:left w:w="108" w:type="dxa"/>
                  <w:bottom w:w="0" w:type="dxa"/>
                  <w:right w:w="108" w:type="dxa"/>
                </w:tblCellMar>
                <w:tblLook w:val="0000"/>
              </w:tblPrEx>
              <w:trPr>
                <w:trHeight w:val="23"/>
                <w:jc w:val="center"/>
              </w:trPr>
              <w:tc>
                <w:tcPr>
                  <w:tcW w:w="837"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1小时平均</w:t>
                  </w:r>
                </w:p>
              </w:tc>
              <w:tc>
                <w:tcPr>
                  <w:tcW w:w="78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10000</w:t>
                  </w:r>
                </w:p>
              </w:tc>
              <w:tc>
                <w:tcPr>
                  <w:tcW w:w="550"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69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1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200</w:t>
                  </w:r>
                </w:p>
              </w:tc>
              <w:tc>
                <w:tcPr>
                  <w:tcW w:w="713"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500</w:t>
                  </w:r>
                </w:p>
              </w:tc>
              <w:tc>
                <w:tcPr>
                  <w:tcW w:w="70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200</w:t>
                  </w:r>
                </w:p>
              </w:tc>
            </w:tr>
            <w:tr>
              <w:tblPrEx>
                <w:tblW w:w="4996" w:type="pct"/>
                <w:jc w:val="center"/>
                <w:tblInd w:w="116" w:type="dxa"/>
                <w:tblCellMar>
                  <w:top w:w="0" w:type="dxa"/>
                  <w:left w:w="108" w:type="dxa"/>
                  <w:bottom w:w="0" w:type="dxa"/>
                  <w:right w:w="108" w:type="dxa"/>
                </w:tblCellMar>
                <w:tblLook w:val="0000"/>
              </w:tblPrEx>
              <w:trPr>
                <w:trHeight w:val="23"/>
                <w:jc w:val="center"/>
              </w:trPr>
              <w:tc>
                <w:tcPr>
                  <w:tcW w:w="837"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8小时平均</w:t>
                  </w:r>
                </w:p>
              </w:tc>
              <w:tc>
                <w:tcPr>
                  <w:tcW w:w="78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550"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69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14"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13"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c>
                <w:tcPr>
                  <w:tcW w:w="705" w:type="pct"/>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160</w:t>
                  </w:r>
                </w:p>
              </w:tc>
            </w:tr>
          </w:tbl>
          <w:p>
            <w:pPr>
              <w:spacing w:line="360" w:lineRule="auto"/>
              <w:ind w:left="480"/>
              <w:rPr>
                <w:rFonts w:ascii="Times New Roman" w:hAnsi="Times New Roman" w:cs="Times New Roman" w:hint="default"/>
                <w:b/>
                <w:bCs/>
                <w:color w:val="auto"/>
              </w:rPr>
            </w:pPr>
            <w:r>
              <w:rPr>
                <w:rFonts w:ascii="Times New Roman" w:hAnsi="Times New Roman" w:cs="Times New Roman" w:hint="default"/>
                <w:b/>
                <w:bCs/>
                <w:color w:val="auto"/>
              </w:rPr>
              <w:t>2、水环境质量标准</w:t>
            </w:r>
          </w:p>
          <w:p>
            <w:pPr>
              <w:tabs>
                <w:tab w:val="left" w:pos="624"/>
              </w:tabs>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龙湾陂东干渠执行《地表水环境质量标准》（GB3838-2002）</w:t>
            </w:r>
            <w:r>
              <w:rPr>
                <w:rFonts w:ascii="Times New Roman" w:hAnsi="Times New Roman" w:cs="Times New Roman" w:hint="default"/>
                <w:color w:val="auto"/>
                <w:szCs w:val="24"/>
              </w:rPr>
              <w:t>Ⅳ</w:t>
            </w:r>
            <w:r>
              <w:rPr>
                <w:rFonts w:ascii="Times New Roman" w:hAnsi="Times New Roman" w:cs="Times New Roman" w:hint="default"/>
                <w:color w:val="auto"/>
                <w:szCs w:val="24"/>
              </w:rPr>
              <w:t>类标准，龙湾河执行《地表水环境质量标准》（GB3838-2002）</w:t>
            </w:r>
            <w:r>
              <w:rPr>
                <w:rFonts w:ascii="Times New Roman" w:hAnsi="Times New Roman" w:cs="Times New Roman" w:hint="default"/>
                <w:color w:val="auto"/>
                <w:szCs w:val="24"/>
              </w:rPr>
              <w:t>Ⅲ</w:t>
            </w:r>
            <w:r>
              <w:rPr>
                <w:rFonts w:ascii="Times New Roman" w:hAnsi="Times New Roman" w:cs="Times New Roman" w:hint="default"/>
                <w:color w:val="auto"/>
                <w:szCs w:val="24"/>
              </w:rPr>
              <w:t>类标准，部分污染物标准限值见表4-2。</w:t>
            </w:r>
          </w:p>
          <w:p>
            <w:pPr>
              <w:pStyle w:val="a13"/>
              <w:spacing w:line="360" w:lineRule="auto"/>
              <w:rPr>
                <w:rFonts w:cs="Times New Roman" w:hint="default"/>
                <w:color w:val="auto"/>
                <w:sz w:val="21"/>
                <w:szCs w:val="21"/>
              </w:rPr>
            </w:pPr>
            <w:r>
              <w:rPr>
                <w:rFonts w:ascii="Times New Roman" w:hAnsi="Times New Roman" w:cs="Times New Roman" w:hint="default"/>
                <w:color w:val="auto"/>
                <w:sz w:val="21"/>
                <w:szCs w:val="21"/>
              </w:rPr>
              <w:t>表4-2  地表水环境质量标准(部分)    单位：mg/L，pH值除外</w:t>
            </w:r>
          </w:p>
          <w:tbl>
            <w:tblPr>
              <w:tblStyle w:val="TableNormal"/>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649"/>
              <w:gridCol w:w="2386"/>
              <w:gridCol w:w="649"/>
              <w:gridCol w:w="649"/>
              <w:gridCol w:w="3947"/>
            </w:tblGrid>
            <w:tr>
              <w:tblPrEx>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b/>
                      <w:color w:val="auto"/>
                    </w:rPr>
                  </w:pPr>
                  <w:r>
                    <w:rPr>
                      <w:rFonts w:ascii="Times New Roman" w:hAnsi="Times New Roman" w:cs="Times New Roman" w:hint="default"/>
                      <w:b/>
                      <w:color w:val="auto"/>
                    </w:rPr>
                    <w:t>序号</w:t>
                  </w:r>
                </w:p>
              </w:tc>
              <w:tc>
                <w:tcPr>
                  <w:tcW w:w="1440" w:type="pct"/>
                  <w:vAlign w:val="center"/>
                </w:tcPr>
                <w:p>
                  <w:pPr>
                    <w:pStyle w:val="a17"/>
                    <w:rPr>
                      <w:rFonts w:cs="Times New Roman" w:hint="default"/>
                      <w:b/>
                      <w:color w:val="auto"/>
                    </w:rPr>
                  </w:pPr>
                  <w:r>
                    <w:rPr>
                      <w:rFonts w:ascii="Times New Roman" w:hAnsi="Times New Roman" w:cs="Times New Roman" w:hint="default"/>
                      <w:b/>
                      <w:color w:val="auto"/>
                    </w:rPr>
                    <w:t>项目</w:t>
                  </w:r>
                </w:p>
              </w:tc>
              <w:tc>
                <w:tcPr>
                  <w:tcW w:w="392" w:type="pct"/>
                  <w:vAlign w:val="center"/>
                </w:tcPr>
                <w:p>
                  <w:pPr>
                    <w:pStyle w:val="a17"/>
                    <w:rPr>
                      <w:rFonts w:cs="Times New Roman" w:hint="default"/>
                      <w:b/>
                      <w:color w:val="auto"/>
                    </w:rPr>
                  </w:pPr>
                  <w:r>
                    <w:rPr>
                      <w:rFonts w:ascii="Times New Roman" w:hAnsi="Times New Roman" w:cs="Times New Roman" w:hint="default"/>
                      <w:b/>
                      <w:color w:val="auto"/>
                    </w:rPr>
                    <w:t>Ⅳ</w:t>
                  </w:r>
                  <w:r>
                    <w:rPr>
                      <w:rFonts w:ascii="Times New Roman" w:hAnsi="Times New Roman" w:cs="Times New Roman" w:hint="default"/>
                      <w:b/>
                      <w:color w:val="auto"/>
                    </w:rPr>
                    <w:t>类</w:t>
                  </w:r>
                </w:p>
              </w:tc>
              <w:tc>
                <w:tcPr>
                  <w:tcW w:w="392" w:type="pct"/>
                  <w:vAlign w:val="center"/>
                </w:tcPr>
                <w:p>
                  <w:pPr>
                    <w:pStyle w:val="a17"/>
                    <w:rPr>
                      <w:rFonts w:cs="Times New Roman" w:hint="default"/>
                      <w:b/>
                      <w:color w:val="auto"/>
                    </w:rPr>
                  </w:pPr>
                  <w:r>
                    <w:rPr>
                      <w:rFonts w:ascii="Times New Roman" w:hAnsi="Times New Roman" w:cs="Times New Roman" w:hint="default"/>
                      <w:b/>
                      <w:color w:val="auto"/>
                    </w:rPr>
                    <w:t>Ⅲ</w:t>
                  </w:r>
                  <w:r>
                    <w:rPr>
                      <w:rFonts w:ascii="Times New Roman" w:hAnsi="Times New Roman" w:cs="Times New Roman" w:hint="default"/>
                      <w:b/>
                      <w:color w:val="auto"/>
                    </w:rPr>
                    <w:t>类</w:t>
                  </w:r>
                </w:p>
              </w:tc>
              <w:tc>
                <w:tcPr>
                  <w:tcW w:w="2382" w:type="pct"/>
                  <w:vAlign w:val="center"/>
                </w:tcPr>
                <w:p>
                  <w:pPr>
                    <w:pStyle w:val="a17"/>
                    <w:rPr>
                      <w:rFonts w:cs="Times New Roman" w:hint="default"/>
                      <w:b/>
                      <w:color w:val="auto"/>
                    </w:rPr>
                  </w:pPr>
                  <w:r>
                    <w:rPr>
                      <w:rFonts w:ascii="Times New Roman" w:hAnsi="Times New Roman" w:cs="Times New Roman" w:hint="default"/>
                      <w:b/>
                      <w:color w:val="auto"/>
                    </w:rPr>
                    <w:t>选用标准</w:t>
                  </w:r>
                </w:p>
              </w:tc>
            </w:tr>
            <w:tr>
              <w:tblPrEx>
                <w:tblW w:w="4998" w:type="pct"/>
                <w:tblInd w:w="116" w:type="dxa"/>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color w:val="auto"/>
                    </w:rPr>
                  </w:pPr>
                  <w:r>
                    <w:rPr>
                      <w:rFonts w:ascii="Times New Roman" w:hAnsi="Times New Roman" w:cs="Times New Roman" w:hint="default"/>
                      <w:color w:val="auto"/>
                    </w:rPr>
                    <w:t>1</w:t>
                  </w:r>
                </w:p>
              </w:tc>
              <w:tc>
                <w:tcPr>
                  <w:tcW w:w="1440" w:type="pct"/>
                  <w:vAlign w:val="center"/>
                </w:tcPr>
                <w:p>
                  <w:pPr>
                    <w:pStyle w:val="a17"/>
                    <w:rPr>
                      <w:rFonts w:cs="Times New Roman" w:hint="default"/>
                      <w:color w:val="auto"/>
                    </w:rPr>
                  </w:pPr>
                  <w:r>
                    <w:rPr>
                      <w:rFonts w:ascii="Times New Roman" w:hAnsi="Times New Roman" w:cs="Times New Roman" w:hint="default"/>
                      <w:color w:val="auto"/>
                    </w:rPr>
                    <w:t>pH</w:t>
                  </w:r>
                </w:p>
              </w:tc>
              <w:tc>
                <w:tcPr>
                  <w:tcW w:w="784" w:type="pct"/>
                  <w:gridSpan w:val="2"/>
                  <w:vAlign w:val="center"/>
                </w:tcPr>
                <w:p>
                  <w:pPr>
                    <w:pStyle w:val="a17"/>
                    <w:rPr>
                      <w:rFonts w:cs="Times New Roman" w:hint="default"/>
                      <w:color w:val="auto"/>
                    </w:rPr>
                  </w:pPr>
                  <w:r>
                    <w:rPr>
                      <w:rFonts w:ascii="Times New Roman" w:hAnsi="Times New Roman" w:cs="Times New Roman" w:hint="default"/>
                      <w:color w:val="auto"/>
                    </w:rPr>
                    <w:t>6~9</w:t>
                  </w:r>
                </w:p>
              </w:tc>
              <w:tc>
                <w:tcPr>
                  <w:tcW w:w="2382" w:type="pct"/>
                  <w:vMerge w:val="restart"/>
                  <w:vAlign w:val="center"/>
                </w:tcPr>
                <w:p>
                  <w:pPr>
                    <w:pStyle w:val="a17"/>
                    <w:rPr>
                      <w:rFonts w:cs="Times New Roman" w:hint="default"/>
                      <w:color w:val="auto"/>
                    </w:rPr>
                  </w:pPr>
                  <w:r>
                    <w:rPr>
                      <w:rFonts w:ascii="Times New Roman" w:hAnsi="Times New Roman" w:cs="Times New Roman" w:hint="default"/>
                      <w:color w:val="auto"/>
                    </w:rPr>
                    <w:t>《地表水环境质量标准》(GB3838-2002)</w:t>
                  </w:r>
                </w:p>
              </w:tc>
            </w:tr>
            <w:tr>
              <w:tblPrEx>
                <w:tblW w:w="4998" w:type="pct"/>
                <w:tblInd w:w="116" w:type="dxa"/>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color w:val="auto"/>
                    </w:rPr>
                  </w:pPr>
                  <w:r>
                    <w:rPr>
                      <w:rFonts w:ascii="Times New Roman" w:hAnsi="Times New Roman" w:cs="Times New Roman" w:hint="default"/>
                      <w:color w:val="auto"/>
                    </w:rPr>
                    <w:t>2</w:t>
                  </w:r>
                </w:p>
              </w:tc>
              <w:tc>
                <w:tcPr>
                  <w:tcW w:w="1440" w:type="pct"/>
                  <w:vAlign w:val="center"/>
                </w:tcPr>
                <w:p>
                  <w:pPr>
                    <w:pStyle w:val="a17"/>
                    <w:rPr>
                      <w:rFonts w:cs="Times New Roman" w:hint="default"/>
                      <w:color w:val="auto"/>
                    </w:rPr>
                  </w:pPr>
                  <w:r>
                    <w:rPr>
                      <w:rFonts w:ascii="Times New Roman" w:hAnsi="Times New Roman" w:cs="Times New Roman" w:hint="default"/>
                      <w:color w:val="auto"/>
                    </w:rPr>
                    <w:t>溶解氧(DO)</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3</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5</w:t>
                  </w:r>
                </w:p>
              </w:tc>
              <w:tc>
                <w:tcPr>
                  <w:tcW w:w="2382" w:type="pct"/>
                  <w:vMerge/>
                  <w:vAlign w:val="center"/>
                </w:tcPr>
                <w:p>
                  <w:pPr>
                    <w:pStyle w:val="a17"/>
                    <w:rPr>
                      <w:rFonts w:cs="Times New Roman" w:hint="default"/>
                      <w:color w:val="auto"/>
                    </w:rPr>
                  </w:pPr>
                </w:p>
              </w:tc>
            </w:tr>
            <w:tr>
              <w:tblPrEx>
                <w:tblW w:w="4998" w:type="pct"/>
                <w:tblInd w:w="116" w:type="dxa"/>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color w:val="auto"/>
                    </w:rPr>
                  </w:pPr>
                  <w:r>
                    <w:rPr>
                      <w:rFonts w:ascii="Times New Roman" w:hAnsi="Times New Roman" w:cs="Times New Roman" w:hint="default"/>
                      <w:color w:val="auto"/>
                    </w:rPr>
                    <w:t>3</w:t>
                  </w:r>
                </w:p>
              </w:tc>
              <w:tc>
                <w:tcPr>
                  <w:tcW w:w="1440" w:type="pct"/>
                  <w:vAlign w:val="center"/>
                </w:tcPr>
                <w:p>
                  <w:pPr>
                    <w:pStyle w:val="a17"/>
                    <w:rPr>
                      <w:rFonts w:cs="Times New Roman" w:hint="default"/>
                      <w:color w:val="auto"/>
                    </w:rPr>
                  </w:pPr>
                  <w:r>
                    <w:rPr>
                      <w:rFonts w:ascii="Times New Roman" w:hAnsi="Times New Roman" w:cs="Times New Roman" w:hint="default"/>
                      <w:color w:val="auto"/>
                    </w:rPr>
                    <w:t>化学需氧量(COD)</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30</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20</w:t>
                  </w:r>
                </w:p>
              </w:tc>
              <w:tc>
                <w:tcPr>
                  <w:tcW w:w="2382" w:type="pct"/>
                  <w:vMerge/>
                  <w:vAlign w:val="center"/>
                </w:tcPr>
                <w:p>
                  <w:pPr>
                    <w:pStyle w:val="a17"/>
                    <w:rPr>
                      <w:rFonts w:cs="Times New Roman" w:hint="default"/>
                      <w:color w:val="auto"/>
                    </w:rPr>
                  </w:pPr>
                </w:p>
              </w:tc>
            </w:tr>
            <w:tr>
              <w:tblPrEx>
                <w:tblW w:w="4998" w:type="pct"/>
                <w:tblInd w:w="116" w:type="dxa"/>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color w:val="auto"/>
                    </w:rPr>
                  </w:pPr>
                  <w:r>
                    <w:rPr>
                      <w:rFonts w:ascii="Times New Roman" w:hAnsi="Times New Roman" w:cs="Times New Roman" w:hint="default"/>
                      <w:color w:val="auto"/>
                    </w:rPr>
                    <w:t>4</w:t>
                  </w:r>
                </w:p>
              </w:tc>
              <w:tc>
                <w:tcPr>
                  <w:tcW w:w="1440" w:type="pct"/>
                  <w:vAlign w:val="center"/>
                </w:tcPr>
                <w:p>
                  <w:pPr>
                    <w:pStyle w:val="a17"/>
                    <w:rPr>
                      <w:rFonts w:cs="Times New Roman" w:hint="default"/>
                      <w:color w:val="auto"/>
                    </w:rPr>
                  </w:pPr>
                  <w:r>
                    <w:rPr>
                      <w:rFonts w:ascii="Times New Roman" w:hAnsi="Times New Roman" w:cs="Times New Roman" w:hint="default"/>
                      <w:color w:val="auto"/>
                    </w:rPr>
                    <w:t>五日生化需氧量(BOD</w:t>
                  </w:r>
                  <w:r>
                    <w:rPr>
                      <w:rFonts w:ascii="Times New Roman" w:hAnsi="Times New Roman" w:cs="Times New Roman" w:hint="default"/>
                      <w:color w:val="auto"/>
                      <w:vertAlign w:val="subscript"/>
                    </w:rPr>
                    <w:t>5</w:t>
                  </w:r>
                  <w:r>
                    <w:rPr>
                      <w:rFonts w:ascii="Times New Roman" w:hAnsi="Times New Roman" w:cs="Times New Roman" w:hint="default"/>
                      <w:color w:val="auto"/>
                    </w:rPr>
                    <w:t>)</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6</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4</w:t>
                  </w:r>
                </w:p>
              </w:tc>
              <w:tc>
                <w:tcPr>
                  <w:tcW w:w="2382" w:type="pct"/>
                  <w:vMerge/>
                  <w:vAlign w:val="center"/>
                </w:tcPr>
                <w:p>
                  <w:pPr>
                    <w:pStyle w:val="a17"/>
                    <w:rPr>
                      <w:rFonts w:cs="Times New Roman" w:hint="default"/>
                      <w:color w:val="auto"/>
                    </w:rPr>
                  </w:pPr>
                </w:p>
              </w:tc>
            </w:tr>
            <w:tr>
              <w:tblPrEx>
                <w:tblW w:w="4998" w:type="pct"/>
                <w:tblInd w:w="116" w:type="dxa"/>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color w:val="auto"/>
                    </w:rPr>
                  </w:pPr>
                  <w:r>
                    <w:rPr>
                      <w:rFonts w:ascii="Times New Roman" w:hAnsi="Times New Roman" w:cs="Times New Roman" w:hint="default"/>
                      <w:color w:val="auto"/>
                    </w:rPr>
                    <w:t>5</w:t>
                  </w:r>
                </w:p>
              </w:tc>
              <w:tc>
                <w:tcPr>
                  <w:tcW w:w="1440" w:type="pct"/>
                  <w:vAlign w:val="center"/>
                </w:tcPr>
                <w:p>
                  <w:pPr>
                    <w:pStyle w:val="a17"/>
                    <w:rPr>
                      <w:rFonts w:cs="Times New Roman" w:hint="default"/>
                      <w:color w:val="auto"/>
                    </w:rPr>
                  </w:pPr>
                  <w:r>
                    <w:rPr>
                      <w:rFonts w:ascii="Times New Roman" w:hAnsi="Times New Roman" w:cs="Times New Roman" w:hint="default"/>
                      <w:color w:val="auto"/>
                    </w:rPr>
                    <w:t>氨氮(NH</w:t>
                  </w:r>
                  <w:r>
                    <w:rPr>
                      <w:rFonts w:ascii="Times New Roman" w:hAnsi="Times New Roman" w:cs="Times New Roman" w:hint="default"/>
                      <w:color w:val="auto"/>
                      <w:vertAlign w:val="subscript"/>
                    </w:rPr>
                    <w:t>3</w:t>
                  </w:r>
                  <w:r>
                    <w:rPr>
                      <w:rFonts w:ascii="Times New Roman" w:hAnsi="Times New Roman" w:cs="Times New Roman" w:hint="default"/>
                      <w:color w:val="auto"/>
                    </w:rPr>
                    <w:t>-N)</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1.5</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1.0</w:t>
                  </w:r>
                </w:p>
              </w:tc>
              <w:tc>
                <w:tcPr>
                  <w:tcW w:w="2382" w:type="pct"/>
                  <w:vMerge/>
                  <w:vAlign w:val="center"/>
                </w:tcPr>
                <w:p>
                  <w:pPr>
                    <w:pStyle w:val="a17"/>
                    <w:rPr>
                      <w:rFonts w:cs="Times New Roman" w:hint="default"/>
                      <w:color w:val="auto"/>
                    </w:rPr>
                  </w:pPr>
                </w:p>
              </w:tc>
            </w:tr>
            <w:tr>
              <w:tblPrEx>
                <w:tblW w:w="4998" w:type="pct"/>
                <w:tblInd w:w="116" w:type="dxa"/>
                <w:tblCellMar>
                  <w:top w:w="0" w:type="dxa"/>
                  <w:left w:w="108" w:type="dxa"/>
                  <w:bottom w:w="0" w:type="dxa"/>
                  <w:right w:w="108" w:type="dxa"/>
                </w:tblCellMar>
                <w:tblLook w:val="0000"/>
              </w:tblPrEx>
              <w:trPr>
                <w:trHeight w:val="340"/>
              </w:trPr>
              <w:tc>
                <w:tcPr>
                  <w:tcW w:w="392" w:type="pct"/>
                  <w:vAlign w:val="center"/>
                </w:tcPr>
                <w:p>
                  <w:pPr>
                    <w:pStyle w:val="a17"/>
                    <w:rPr>
                      <w:rFonts w:cs="Times New Roman" w:hint="default"/>
                      <w:color w:val="auto"/>
                    </w:rPr>
                  </w:pPr>
                  <w:r>
                    <w:rPr>
                      <w:rFonts w:ascii="Times New Roman" w:hAnsi="Times New Roman" w:cs="Times New Roman" w:hint="default"/>
                      <w:color w:val="auto"/>
                    </w:rPr>
                    <w:t>6</w:t>
                  </w:r>
                </w:p>
              </w:tc>
              <w:tc>
                <w:tcPr>
                  <w:tcW w:w="1440" w:type="pct"/>
                  <w:vAlign w:val="center"/>
                </w:tcPr>
                <w:p>
                  <w:pPr>
                    <w:pStyle w:val="a17"/>
                    <w:rPr>
                      <w:rFonts w:cs="Times New Roman" w:hint="default"/>
                      <w:color w:val="auto"/>
                    </w:rPr>
                  </w:pPr>
                  <w:r>
                    <w:rPr>
                      <w:rFonts w:ascii="Times New Roman" w:hAnsi="Times New Roman" w:cs="Times New Roman" w:hint="default"/>
                      <w:color w:val="auto"/>
                    </w:rPr>
                    <w:t>总磷</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0.3</w:t>
                  </w:r>
                </w:p>
              </w:tc>
              <w:tc>
                <w:tcPr>
                  <w:tcW w:w="392" w:type="pct"/>
                  <w:vAlign w:val="center"/>
                </w:tcPr>
                <w:p>
                  <w:pPr>
                    <w:pStyle w:val="a17"/>
                    <w:rPr>
                      <w:rFonts w:cs="Times New Roman" w:hint="default"/>
                      <w:color w:val="auto"/>
                    </w:rPr>
                  </w:pPr>
                  <w:r>
                    <w:rPr>
                      <w:rFonts w:ascii="Times New Roman" w:hAnsi="Times New Roman" w:cs="Times New Roman" w:hint="default"/>
                      <w:color w:val="auto"/>
                    </w:rPr>
                    <w:t>≤</w:t>
                  </w:r>
                  <w:r>
                    <w:rPr>
                      <w:rFonts w:ascii="Times New Roman" w:hAnsi="Times New Roman" w:cs="Times New Roman" w:hint="default"/>
                      <w:color w:val="auto"/>
                    </w:rPr>
                    <w:t>0.2</w:t>
                  </w:r>
                </w:p>
              </w:tc>
              <w:tc>
                <w:tcPr>
                  <w:tcW w:w="2382" w:type="pct"/>
                  <w:vMerge/>
                  <w:vAlign w:val="center"/>
                </w:tcPr>
                <w:p>
                  <w:pPr>
                    <w:pStyle w:val="a17"/>
                    <w:rPr>
                      <w:rFonts w:cs="Times New Roman" w:hint="default"/>
                      <w:color w:val="auto"/>
                    </w:rPr>
                  </w:pPr>
                </w:p>
              </w:tc>
            </w:tr>
          </w:tbl>
          <w:p>
            <w:pPr>
              <w:spacing w:line="360" w:lineRule="auto"/>
              <w:ind w:left="480"/>
              <w:rPr>
                <w:rFonts w:ascii="Times New Roman" w:hAnsi="Times New Roman" w:cs="Times New Roman" w:hint="default"/>
                <w:b/>
                <w:color w:val="auto"/>
              </w:rPr>
            </w:pPr>
            <w:r>
              <w:rPr>
                <w:rFonts w:ascii="Times New Roman" w:hAnsi="Times New Roman" w:cs="Times New Roman" w:hint="default"/>
                <w:b/>
                <w:color w:val="auto"/>
              </w:rPr>
              <w:t>3、声环境</w:t>
            </w:r>
          </w:p>
          <w:p>
            <w:pPr>
              <w:tabs>
                <w:tab w:val="left" w:pos="624"/>
              </w:tabs>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color w:val="auto"/>
                <w:szCs w:val="24"/>
              </w:rPr>
              <w:t>项目所在区域为2类声功能区，</w:t>
            </w:r>
            <w:r>
              <w:rPr>
                <w:rStyle w:val="CommentReference"/>
                <w:rFonts w:ascii="Times New Roman" w:hAnsi="Times New Roman" w:cs="Times New Roman" w:hint="default"/>
                <w:color w:val="auto"/>
                <w:sz w:val="24"/>
                <w:szCs w:val="24"/>
              </w:rPr>
              <w:t>执行《声环境质量标准》（GB3096-2008）2类标准，标准限值见下表4-3。</w:t>
            </w:r>
          </w:p>
          <w:p>
            <w:pPr>
              <w:tabs>
                <w:tab w:val="left" w:pos="624"/>
              </w:tabs>
              <w:spacing w:line="360" w:lineRule="auto"/>
              <w:jc w:val="center"/>
              <w:rPr>
                <w:rFonts w:ascii="Times New Roman" w:hAnsi="Times New Roman" w:cs="Times New Roman" w:hint="default"/>
                <w:color w:val="auto"/>
                <w:sz w:val="21"/>
                <w:szCs w:val="21"/>
              </w:rPr>
            </w:pPr>
            <w:r>
              <w:rPr>
                <w:rFonts w:ascii="Times New Roman" w:hAnsi="Times New Roman" w:cs="Times New Roman" w:hint="default"/>
                <w:b/>
                <w:color w:val="auto"/>
                <w:sz w:val="21"/>
                <w:szCs w:val="21"/>
              </w:rPr>
              <w:t xml:space="preserve">表4-3 《声环境质量标准》（GB3096-2008）    </w:t>
            </w:r>
            <w:r>
              <w:rPr>
                <w:rFonts w:ascii="Times New Roman" w:hAnsi="Times New Roman" w:cs="Times New Roman" w:hint="default"/>
                <w:color w:val="auto"/>
                <w:sz w:val="21"/>
                <w:szCs w:val="21"/>
              </w:rPr>
              <w:t>单位：dB(A)</w:t>
            </w:r>
          </w:p>
          <w:tbl>
            <w:tblPr>
              <w:tblStyle w:val="TableNormal"/>
              <w:tblW w:w="0" w:type="auto"/>
              <w:jc w:val="center"/>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845"/>
              <w:gridCol w:w="2877"/>
              <w:gridCol w:w="3444"/>
            </w:tblGrid>
            <w:tr>
              <w:tblPrEx>
                <w:tblW w:w="0" w:type="auto"/>
                <w:jc w:val="center"/>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1916" w:type="dxa"/>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color w:val="auto"/>
                      <w:sz w:val="21"/>
                      <w:szCs w:val="21"/>
                    </w:rPr>
                    <w:pict>
                      <v:line id="直线 1837" o:spid="_x0000_s1069" style="mso-wrap-style:square;position:absolute;z-index:251659264" from="-4.2pt,2.1pt" to="87.45pt,27.4pt" stroked="t">
                        <v:fill o:detectmouseclick="t"/>
                        <v:stroke linestyle="single" endarrowwidth="narrow"/>
                        <o:lock v:ext="edit" aspectratio="f"/>
                      </v:line>
                    </w:pict>
                  </w:r>
                  <w:r>
                    <w:rPr>
                      <w:rFonts w:ascii="Times New Roman" w:hAnsi="Times New Roman" w:cs="Times New Roman" w:hint="default"/>
                      <w:b/>
                      <w:color w:val="auto"/>
                      <w:sz w:val="21"/>
                      <w:szCs w:val="21"/>
                    </w:rPr>
                    <w:t xml:space="preserve">         时段</w:t>
                  </w:r>
                </w:p>
                <w:p>
                  <w:pPr>
                    <w:tabs>
                      <w:tab w:val="left" w:pos="624"/>
                    </w:tabs>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 xml:space="preserve">  类别</w:t>
                  </w:r>
                </w:p>
              </w:tc>
              <w:tc>
                <w:tcPr>
                  <w:tcW w:w="2996" w:type="dxa"/>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昼 间</w:t>
                  </w:r>
                </w:p>
              </w:tc>
              <w:tc>
                <w:tcPr>
                  <w:tcW w:w="3589" w:type="dxa"/>
                  <w:vAlign w:val="center"/>
                </w:tcPr>
                <w:p>
                  <w:pPr>
                    <w:tabs>
                      <w:tab w:val="left" w:pos="624"/>
                    </w:tabs>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夜 间</w:t>
                  </w:r>
                </w:p>
              </w:tc>
            </w:tr>
            <w:tr>
              <w:tblPrEx>
                <w:tblW w:w="0" w:type="auto"/>
                <w:jc w:val="center"/>
                <w:tblInd w:w="116" w:type="dxa"/>
                <w:tblCellMar>
                  <w:top w:w="0" w:type="dxa"/>
                  <w:left w:w="108" w:type="dxa"/>
                  <w:bottom w:w="0" w:type="dxa"/>
                  <w:right w:w="108" w:type="dxa"/>
                </w:tblCellMar>
                <w:tblLook w:val="0000"/>
              </w:tblPrEx>
              <w:trPr>
                <w:cantSplit/>
                <w:trHeight w:val="34"/>
                <w:jc w:val="center"/>
              </w:trPr>
              <w:tc>
                <w:tcPr>
                  <w:tcW w:w="1916" w:type="dxa"/>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w:t>
                  </w:r>
                </w:p>
              </w:tc>
              <w:tc>
                <w:tcPr>
                  <w:tcW w:w="2996" w:type="dxa"/>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60</w:t>
                  </w:r>
                </w:p>
              </w:tc>
              <w:tc>
                <w:tcPr>
                  <w:tcW w:w="3589" w:type="dxa"/>
                  <w:vAlign w:val="center"/>
                </w:tcPr>
                <w:p>
                  <w:pPr>
                    <w:tabs>
                      <w:tab w:val="left" w:pos="624"/>
                    </w:tabs>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50</w:t>
                  </w:r>
                </w:p>
              </w:tc>
            </w:tr>
          </w:tbl>
          <w:p>
            <w:pPr>
              <w:pStyle w:val="a26"/>
              <w:spacing w:line="360" w:lineRule="auto"/>
              <w:ind w:firstLine="480" w:firstLineChars="200"/>
              <w:rPr>
                <w:rFonts w:ascii="Times New Roman" w:hAnsi="Times New Roman" w:cs="Times New Roman" w:hint="default"/>
                <w:b/>
                <w:bCs/>
                <w:color w:val="auto"/>
                <w:sz w:val="24"/>
                <w:szCs w:val="24"/>
              </w:rPr>
            </w:pPr>
            <w:r>
              <w:rPr>
                <w:rFonts w:ascii="Times New Roman" w:hAnsi="Times New Roman" w:cs="Times New Roman" w:hint="default"/>
                <w:b/>
                <w:bCs/>
                <w:color w:val="auto"/>
                <w:sz w:val="24"/>
                <w:szCs w:val="24"/>
              </w:rPr>
              <w:t>4、土壤环境</w:t>
            </w:r>
          </w:p>
          <w:p>
            <w:pPr>
              <w:pStyle w:val="a26"/>
              <w:spacing w:line="360" w:lineRule="auto"/>
              <w:ind w:firstLine="480" w:firstLineChars="200"/>
              <w:rPr>
                <w:rFonts w:ascii="Times New Roman" w:hAnsi="Times New Roman" w:cs="Times New Roman" w:hint="default"/>
                <w:color w:val="auto"/>
                <w:sz w:val="24"/>
                <w:szCs w:val="24"/>
                <w:lang w:val="en-US"/>
              </w:rPr>
            </w:pPr>
            <w:r>
              <w:rPr>
                <w:rFonts w:ascii="Times New Roman" w:hAnsi="Times New Roman" w:cs="Times New Roman" w:hint="default"/>
                <w:color w:val="auto"/>
                <w:sz w:val="24"/>
                <w:szCs w:val="24"/>
              </w:rPr>
              <w:t>项目所在地属于《土壤环境质量</w:t>
            </w:r>
            <w:r>
              <w:rPr>
                <w:rFonts w:ascii="Times New Roman" w:hAnsi="Times New Roman" w:cs="Times New Roman" w:hint="default"/>
                <w:color w:val="auto"/>
                <w:sz w:val="24"/>
                <w:szCs w:val="24"/>
                <w:lang w:val="en-US"/>
              </w:rPr>
              <w:t xml:space="preserve"> </w:t>
            </w:r>
            <w:r>
              <w:rPr>
                <w:rFonts w:ascii="Times New Roman" w:hAnsi="Times New Roman" w:cs="Times New Roman" w:hint="default"/>
                <w:color w:val="auto"/>
                <w:sz w:val="24"/>
                <w:szCs w:val="24"/>
              </w:rPr>
              <w:t>建设用地土壤污染风险管控标准》（</w:t>
            </w:r>
            <w:r>
              <w:rPr>
                <w:rFonts w:ascii="Times New Roman" w:hAnsi="Times New Roman" w:cs="Times New Roman" w:hint="default"/>
                <w:color w:val="auto"/>
                <w:sz w:val="24"/>
                <w:szCs w:val="24"/>
                <w:lang w:val="en-US"/>
              </w:rPr>
              <w:t>GB36600-2018</w:t>
            </w:r>
            <w:r>
              <w:rPr>
                <w:rFonts w:ascii="Times New Roman" w:hAnsi="Times New Roman" w:cs="Times New Roman" w:hint="default"/>
                <w:color w:val="auto"/>
                <w:sz w:val="24"/>
                <w:szCs w:val="24"/>
              </w:rPr>
              <w:t>）中第二类用地的工业用地，其土壤环境质量标准采用《土壤环境质量</w:t>
            </w:r>
            <w:r>
              <w:rPr>
                <w:rFonts w:ascii="Times New Roman" w:hAnsi="Times New Roman" w:cs="Times New Roman" w:hint="default"/>
                <w:color w:val="auto"/>
                <w:sz w:val="24"/>
                <w:szCs w:val="24"/>
                <w:lang w:val="en-US"/>
              </w:rPr>
              <w:t xml:space="preserve"> </w:t>
            </w:r>
            <w:r>
              <w:rPr>
                <w:rFonts w:ascii="Times New Roman" w:hAnsi="Times New Roman" w:cs="Times New Roman" w:hint="default"/>
                <w:color w:val="auto"/>
                <w:sz w:val="24"/>
                <w:szCs w:val="24"/>
              </w:rPr>
              <w:t>建设用地土壤污染风险管控标准》（</w:t>
            </w:r>
            <w:r>
              <w:rPr>
                <w:rFonts w:ascii="Times New Roman" w:hAnsi="Times New Roman" w:cs="Times New Roman" w:hint="default"/>
                <w:color w:val="auto"/>
                <w:sz w:val="24"/>
                <w:szCs w:val="24"/>
                <w:lang w:val="en-US"/>
              </w:rPr>
              <w:t>GB36600-2018</w:t>
            </w:r>
            <w:r>
              <w:rPr>
                <w:rFonts w:ascii="Times New Roman" w:hAnsi="Times New Roman" w:cs="Times New Roman" w:hint="default"/>
                <w:color w:val="auto"/>
                <w:sz w:val="24"/>
                <w:szCs w:val="24"/>
              </w:rPr>
              <w:t>）中第二类用地土壤污染风险筛选值，具体见表</w:t>
            </w:r>
            <w:r>
              <w:rPr>
                <w:rFonts w:ascii="Times New Roman" w:hAnsi="Times New Roman" w:cs="Times New Roman" w:hint="default"/>
                <w:color w:val="auto"/>
                <w:sz w:val="24"/>
                <w:szCs w:val="24"/>
                <w:lang w:val="en-US"/>
              </w:rPr>
              <w:t>4-4。</w:t>
            </w:r>
          </w:p>
        </w:tc>
      </w:tr>
    </w:tbl>
    <w:p>
      <w:pPr>
        <w:sectPr>
          <w:footerReference w:type="even" r:id="rId55"/>
          <w:footerReference w:type="default" r:id="rId56"/>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4"/>
          <w:cols w:space="708"/>
          <w:titlePg w:val="0"/>
          <w:docGrid w:type="lines" w:linePitch="312"/>
        </w:sectPr>
      </w:pPr>
    </w:p>
    <w:tbl>
      <w:tblPr>
        <w:tblStyle w:val="TableNormal"/>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85"/>
        <w:gridCol w:w="8514"/>
      </w:tblGrid>
      <w:tr>
        <w:tblPrEx>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83"/>
        </w:trPr>
        <w:tc>
          <w:tcPr>
            <w:tcW w:w="471" w:type="pct"/>
            <w:vAlign w:val="center"/>
          </w:tcPr>
          <w:p/>
        </w:tc>
        <w:tc>
          <w:tcPr>
            <w:tcW w:w="4528" w:type="pct"/>
          </w:tcPr>
          <w:p>
            <w:pPr>
              <w:pStyle w:val="a13"/>
              <w:wordWrap/>
              <w:spacing w:line="360" w:lineRule="auto"/>
              <w:rPr>
                <w:rFonts w:cs="Times New Roman" w:hint="default"/>
                <w:color w:val="auto"/>
                <w:sz w:val="21"/>
                <w:szCs w:val="21"/>
              </w:rPr>
            </w:pPr>
            <w:r>
              <w:rPr>
                <w:rFonts w:ascii="Times New Roman" w:hAnsi="Times New Roman" w:cs="Times New Roman" w:hint="default"/>
                <w:color w:val="auto"/>
                <w:sz w:val="21"/>
                <w:szCs w:val="21"/>
              </w:rPr>
              <w:t>表4-4  《土壤环境质量 建设用地土壤污染风险管控标准》（GB36600-2018）</w:t>
            </w:r>
          </w:p>
          <w:tbl>
            <w:tblPr>
              <w:tblStyle w:val="TableNormal"/>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989"/>
              <w:gridCol w:w="2037"/>
              <w:gridCol w:w="1939"/>
              <w:gridCol w:w="1656"/>
              <w:gridCol w:w="1659"/>
            </w:tblGrid>
            <w:tr>
              <w:tblPrEx>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23"/>
              </w:trPr>
              <w:tc>
                <w:tcPr>
                  <w:tcW w:w="597" w:type="pct"/>
                  <w:vMerge w:val="restart"/>
                  <w:vAlign w:val="center"/>
                </w:tcPr>
                <w:p>
                  <w:pPr>
                    <w:pStyle w:val="a26"/>
                    <w:ind w:firstLine="0"/>
                    <w:jc w:val="center"/>
                    <w:rPr>
                      <w:rFonts w:ascii="Times New Roman" w:hAnsi="Times New Roman" w:cs="Times New Roman" w:hint="default"/>
                      <w:b/>
                      <w:color w:val="auto"/>
                      <w:kern w:val="2"/>
                      <w:szCs w:val="21"/>
                    </w:rPr>
                  </w:pPr>
                  <w:r>
                    <w:rPr>
                      <w:rFonts w:ascii="Times New Roman" w:hAnsi="Times New Roman" w:cs="Times New Roman" w:hint="default"/>
                      <w:b/>
                      <w:color w:val="auto"/>
                      <w:kern w:val="2"/>
                      <w:szCs w:val="21"/>
                    </w:rPr>
                    <w:t>序号</w:t>
                  </w:r>
                </w:p>
              </w:tc>
              <w:tc>
                <w:tcPr>
                  <w:tcW w:w="1230" w:type="pct"/>
                  <w:vMerge w:val="restart"/>
                  <w:vAlign w:val="center"/>
                </w:tcPr>
                <w:p>
                  <w:pPr>
                    <w:pStyle w:val="a26"/>
                    <w:ind w:firstLine="0"/>
                    <w:jc w:val="center"/>
                    <w:rPr>
                      <w:rFonts w:ascii="Times New Roman" w:hAnsi="Times New Roman" w:cs="Times New Roman" w:hint="default"/>
                      <w:b/>
                      <w:color w:val="auto"/>
                      <w:kern w:val="2"/>
                      <w:szCs w:val="21"/>
                    </w:rPr>
                  </w:pPr>
                  <w:r>
                    <w:rPr>
                      <w:rFonts w:ascii="Times New Roman" w:hAnsi="Times New Roman" w:cs="Times New Roman" w:hint="default"/>
                      <w:b/>
                      <w:color w:val="auto"/>
                      <w:kern w:val="2"/>
                      <w:szCs w:val="21"/>
                    </w:rPr>
                    <w:t>污染物项目</w:t>
                  </w:r>
                </w:p>
              </w:tc>
              <w:tc>
                <w:tcPr>
                  <w:tcW w:w="1171" w:type="pct"/>
                  <w:vMerge w:val="restart"/>
                  <w:vAlign w:val="center"/>
                </w:tcPr>
                <w:p>
                  <w:pPr>
                    <w:pStyle w:val="a26"/>
                    <w:ind w:firstLine="0"/>
                    <w:jc w:val="center"/>
                    <w:rPr>
                      <w:rFonts w:ascii="Times New Roman" w:hAnsi="Times New Roman" w:cs="Times New Roman" w:hint="default"/>
                      <w:b/>
                      <w:color w:val="auto"/>
                      <w:kern w:val="2"/>
                      <w:szCs w:val="21"/>
                      <w:lang w:val="en-US"/>
                    </w:rPr>
                  </w:pPr>
                  <w:r>
                    <w:rPr>
                      <w:rFonts w:ascii="Times New Roman" w:hAnsi="Times New Roman" w:cs="Times New Roman" w:hint="default"/>
                      <w:b/>
                      <w:color w:val="auto"/>
                      <w:kern w:val="2"/>
                      <w:szCs w:val="21"/>
                      <w:lang w:val="en-US"/>
                    </w:rPr>
                    <w:t>CAS编号</w:t>
                  </w:r>
                </w:p>
              </w:tc>
              <w:tc>
                <w:tcPr>
                  <w:tcW w:w="2000" w:type="pct"/>
                  <w:gridSpan w:val="2"/>
                  <w:vAlign w:val="center"/>
                </w:tcPr>
                <w:p>
                  <w:pPr>
                    <w:pStyle w:val="a26"/>
                    <w:ind w:firstLine="0"/>
                    <w:jc w:val="center"/>
                    <w:rPr>
                      <w:rFonts w:ascii="Times New Roman" w:hAnsi="Times New Roman" w:cs="Times New Roman" w:hint="default"/>
                      <w:b/>
                      <w:color w:val="auto"/>
                      <w:kern w:val="2"/>
                      <w:szCs w:val="21"/>
                    </w:rPr>
                  </w:pPr>
                  <w:r>
                    <w:rPr>
                      <w:rFonts w:ascii="Times New Roman" w:hAnsi="Times New Roman" w:cs="Times New Roman" w:hint="default"/>
                      <w:b/>
                      <w:color w:val="auto"/>
                      <w:kern w:val="2"/>
                      <w:szCs w:val="21"/>
                    </w:rPr>
                    <w:t>筛选值（</w:t>
                  </w:r>
                  <w:r>
                    <w:rPr>
                      <w:rFonts w:ascii="Times New Roman" w:hAnsi="Times New Roman" w:cs="Times New Roman" w:hint="default"/>
                      <w:b/>
                      <w:color w:val="auto"/>
                      <w:kern w:val="2"/>
                      <w:szCs w:val="21"/>
                      <w:lang w:val="en-US"/>
                    </w:rPr>
                    <w:t>mg/kg</w:t>
                  </w:r>
                  <w:r>
                    <w:rPr>
                      <w:rFonts w:ascii="Times New Roman" w:hAnsi="Times New Roman" w:cs="Times New Roman" w:hint="default"/>
                      <w:b/>
                      <w:color w:val="auto"/>
                      <w:kern w:val="2"/>
                      <w:szCs w:val="21"/>
                    </w:rPr>
                    <w:t>）</w:t>
                  </w:r>
                </w:p>
              </w:tc>
            </w:tr>
            <w:tr>
              <w:tblPrEx>
                <w:tblW w:w="4998" w:type="pct"/>
                <w:tblInd w:w="116" w:type="dxa"/>
                <w:tblCellMar>
                  <w:top w:w="0" w:type="dxa"/>
                  <w:left w:w="108" w:type="dxa"/>
                  <w:bottom w:w="0" w:type="dxa"/>
                  <w:right w:w="108" w:type="dxa"/>
                </w:tblCellMar>
                <w:tblLook w:val="0000"/>
              </w:tblPrEx>
              <w:trPr>
                <w:trHeight w:val="23"/>
              </w:trPr>
              <w:tc>
                <w:tcPr>
                  <w:tcW w:w="597" w:type="pct"/>
                  <w:vMerge/>
                  <w:vAlign w:val="center"/>
                </w:tcPr>
                <w:p>
                  <w:pPr>
                    <w:pStyle w:val="a26"/>
                    <w:ind w:firstLine="0"/>
                    <w:jc w:val="center"/>
                    <w:rPr>
                      <w:rFonts w:ascii="Times New Roman" w:hAnsi="Times New Roman" w:cs="Times New Roman" w:hint="default"/>
                      <w:b/>
                      <w:color w:val="auto"/>
                      <w:kern w:val="2"/>
                      <w:szCs w:val="21"/>
                    </w:rPr>
                  </w:pPr>
                </w:p>
              </w:tc>
              <w:tc>
                <w:tcPr>
                  <w:tcW w:w="1230" w:type="pct"/>
                  <w:vMerge/>
                  <w:vAlign w:val="center"/>
                </w:tcPr>
                <w:p>
                  <w:pPr>
                    <w:pStyle w:val="a26"/>
                    <w:ind w:firstLine="0"/>
                    <w:jc w:val="center"/>
                    <w:rPr>
                      <w:rFonts w:ascii="Times New Roman" w:hAnsi="Times New Roman" w:cs="Times New Roman" w:hint="default"/>
                      <w:b/>
                      <w:color w:val="auto"/>
                      <w:kern w:val="2"/>
                      <w:szCs w:val="21"/>
                    </w:rPr>
                  </w:pPr>
                </w:p>
              </w:tc>
              <w:tc>
                <w:tcPr>
                  <w:tcW w:w="1171" w:type="pct"/>
                  <w:vMerge/>
                  <w:vAlign w:val="center"/>
                </w:tcPr>
                <w:p>
                  <w:pPr>
                    <w:pStyle w:val="a26"/>
                    <w:ind w:firstLine="0"/>
                    <w:jc w:val="center"/>
                    <w:rPr>
                      <w:rFonts w:ascii="Times New Roman" w:hAnsi="Times New Roman" w:cs="Times New Roman" w:hint="default"/>
                      <w:b/>
                      <w:color w:val="auto"/>
                      <w:kern w:val="2"/>
                      <w:szCs w:val="21"/>
                      <w:lang w:val="en-US"/>
                    </w:rPr>
                  </w:pPr>
                </w:p>
              </w:tc>
              <w:tc>
                <w:tcPr>
                  <w:tcW w:w="1000" w:type="pct"/>
                  <w:vAlign w:val="center"/>
                </w:tcPr>
                <w:p>
                  <w:pPr>
                    <w:pStyle w:val="a26"/>
                    <w:ind w:firstLine="0"/>
                    <w:jc w:val="center"/>
                    <w:rPr>
                      <w:rFonts w:ascii="Times New Roman" w:hAnsi="Times New Roman" w:cs="Times New Roman" w:hint="default"/>
                      <w:b/>
                      <w:color w:val="auto"/>
                      <w:kern w:val="2"/>
                      <w:szCs w:val="21"/>
                    </w:rPr>
                  </w:pPr>
                  <w:r>
                    <w:rPr>
                      <w:rFonts w:ascii="Times New Roman" w:hAnsi="Times New Roman" w:cs="Times New Roman" w:hint="default"/>
                      <w:b/>
                      <w:color w:val="auto"/>
                      <w:kern w:val="2"/>
                      <w:szCs w:val="21"/>
                    </w:rPr>
                    <w:t>第一类用地</w:t>
                  </w:r>
                </w:p>
              </w:tc>
              <w:tc>
                <w:tcPr>
                  <w:tcW w:w="1000" w:type="pct"/>
                  <w:vAlign w:val="center"/>
                </w:tcPr>
                <w:p>
                  <w:pPr>
                    <w:pStyle w:val="a26"/>
                    <w:ind w:firstLine="0"/>
                    <w:jc w:val="center"/>
                    <w:rPr>
                      <w:rFonts w:ascii="Times New Roman" w:hAnsi="Times New Roman" w:cs="Times New Roman" w:hint="default"/>
                      <w:b/>
                      <w:color w:val="auto"/>
                      <w:kern w:val="2"/>
                      <w:szCs w:val="21"/>
                    </w:rPr>
                  </w:pPr>
                  <w:r>
                    <w:rPr>
                      <w:rFonts w:ascii="Times New Roman" w:hAnsi="Times New Roman" w:cs="Times New Roman" w:hint="default"/>
                      <w:b/>
                      <w:color w:val="auto"/>
                      <w:kern w:val="2"/>
                      <w:szCs w:val="21"/>
                    </w:rPr>
                    <w:t>第二类用地</w:t>
                  </w:r>
                </w:p>
              </w:tc>
            </w:tr>
            <w:tr>
              <w:tblPrEx>
                <w:tblW w:w="4998" w:type="pct"/>
                <w:tblInd w:w="116" w:type="dxa"/>
                <w:tblCellMar>
                  <w:top w:w="0" w:type="dxa"/>
                  <w:left w:w="108" w:type="dxa"/>
                  <w:bottom w:w="0" w:type="dxa"/>
                  <w:right w:w="108" w:type="dxa"/>
                </w:tblCellMar>
                <w:tblLook w:val="0000"/>
              </w:tblPrEx>
              <w:trPr>
                <w:trHeight w:val="23"/>
              </w:trPr>
              <w:tc>
                <w:tcPr>
                  <w:tcW w:w="5000" w:type="pct"/>
                  <w:gridSpan w:val="5"/>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
                      <w:color w:val="auto"/>
                      <w:kern w:val="2"/>
                      <w:szCs w:val="21"/>
                    </w:rPr>
                    <w:t>重金属和无机物</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砷</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7440-38-2</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60</w:t>
                  </w:r>
                </w:p>
              </w:tc>
            </w:tr>
            <w:tr>
              <w:tblPrEx>
                <w:tblW w:w="4998" w:type="pct"/>
                <w:tblInd w:w="116" w:type="dxa"/>
                <w:tblCellMar>
                  <w:top w:w="0" w:type="dxa"/>
                  <w:left w:w="108" w:type="dxa"/>
                  <w:bottom w:w="0" w:type="dxa"/>
                  <w:right w:w="108" w:type="dxa"/>
                </w:tblCellMar>
                <w:tblLook w:val="0000"/>
              </w:tblPrEx>
              <w:trPr>
                <w:trHeight w:val="90"/>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镉</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7440-43-9</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65</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铬（六价）</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18540-29-9</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5.7</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铜</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7440-50-8</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2000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18000</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5</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铅</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7439-92-1</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400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800</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6</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汞</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7439-97-6</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8</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38</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w:t>
                  </w:r>
                </w:p>
              </w:tc>
              <w:tc>
                <w:tcPr>
                  <w:tcW w:w="1230" w:type="pct"/>
                  <w:vAlign w:val="center"/>
                </w:tcPr>
                <w:p>
                  <w:pPr>
                    <w:pStyle w:val="a26"/>
                    <w:ind w:firstLine="0"/>
                    <w:jc w:val="center"/>
                    <w:rPr>
                      <w:rFonts w:ascii="Times New Roman" w:hAnsi="Times New Roman" w:cs="Times New Roman" w:hint="default"/>
                      <w:bCs/>
                      <w:color w:val="auto"/>
                      <w:kern w:val="2"/>
                      <w:szCs w:val="21"/>
                    </w:rPr>
                  </w:pPr>
                  <w:r>
                    <w:rPr>
                      <w:rFonts w:ascii="Times New Roman" w:hAnsi="Times New Roman" w:cs="Times New Roman" w:hint="default"/>
                      <w:bCs/>
                      <w:color w:val="auto"/>
                      <w:kern w:val="2"/>
                      <w:szCs w:val="21"/>
                    </w:rPr>
                    <w:t>镍</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7440-02-0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150</w:t>
                  </w:r>
                </w:p>
              </w:tc>
              <w:tc>
                <w:tcPr>
                  <w:tcW w:w="1000"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900</w:t>
                  </w:r>
                </w:p>
              </w:tc>
            </w:tr>
            <w:tr>
              <w:tblPrEx>
                <w:tblW w:w="4998" w:type="pct"/>
                <w:tblInd w:w="116" w:type="dxa"/>
                <w:tblCellMar>
                  <w:top w:w="0" w:type="dxa"/>
                  <w:left w:w="108" w:type="dxa"/>
                  <w:bottom w:w="0" w:type="dxa"/>
                  <w:right w:w="108" w:type="dxa"/>
                </w:tblCellMar>
                <w:tblLook w:val="0000"/>
              </w:tblPrEx>
              <w:trPr>
                <w:trHeight w:val="23"/>
              </w:trPr>
              <w:tc>
                <w:tcPr>
                  <w:tcW w:w="5000" w:type="pct"/>
                  <w:gridSpan w:val="5"/>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
                      <w:color w:val="auto"/>
                      <w:kern w:val="2"/>
                      <w:szCs w:val="21"/>
                      <w:lang w:val="en-US"/>
                    </w:rPr>
                    <w:t>挥发性有机物</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8</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1,1,1,2-四氯乙烷</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630-20-6</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2.6</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w:t>
                  </w:r>
                </w:p>
              </w:tc>
            </w:tr>
            <w:tr>
              <w:tblPrEx>
                <w:tblW w:w="4998" w:type="pct"/>
                <w:tblInd w:w="116" w:type="dxa"/>
                <w:tblCellMar>
                  <w:top w:w="0" w:type="dxa"/>
                  <w:left w:w="108" w:type="dxa"/>
                  <w:bottom w:w="0" w:type="dxa"/>
                  <w:right w:w="108" w:type="dxa"/>
                </w:tblCellMar>
                <w:tblLook w:val="0000"/>
              </w:tblPrEx>
              <w:trPr>
                <w:trHeight w:val="23"/>
              </w:trPr>
              <w:tc>
                <w:tcPr>
                  <w:tcW w:w="597"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1,1,1-三氯乙烷</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71-55-6</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701</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840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1,1,2,2-四氯乙烷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79-34-5</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1.6</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6.8</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11</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1,1,2-三氯乙烷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79.00.5</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0.6</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12</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1,1-二氯乙烯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75-35-4</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66</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13</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1,1-二氯乙烷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75-34-3</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w:t>
                  </w:r>
                </w:p>
              </w:tc>
            </w:tr>
            <w:tr>
              <w:tblPrEx>
                <w:tblW w:w="4998" w:type="pct"/>
                <w:tblInd w:w="116" w:type="dxa"/>
                <w:tblCellMar>
                  <w:top w:w="0" w:type="dxa"/>
                  <w:left w:w="108" w:type="dxa"/>
                  <w:bottom w:w="0" w:type="dxa"/>
                  <w:right w:w="108" w:type="dxa"/>
                </w:tblCellMar>
                <w:tblLook w:val="0000"/>
              </w:tblPrEx>
              <w:trPr>
                <w:trHeight w:val="90"/>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14</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1,2,3-三氯丙烷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96-18-4</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0.05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15</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1,2-二氯丙烷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78-87-5</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16</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1,2-二氯乙烷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107-06-2</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0.52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17</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1,2-二氯苯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95-50-1</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560</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560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18</w:t>
                  </w:r>
                </w:p>
              </w:tc>
              <w:tc>
                <w:tcPr>
                  <w:tcW w:w="123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1,4-二氯苯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106-46-7</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5.6</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19</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乙苯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100-41-4</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7.2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20</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二氯甲烷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75-09-2</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94</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616</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21</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反式-1,2-二氯乙烯</w:t>
                  </w:r>
                </w:p>
              </w:tc>
              <w:tc>
                <w:tcPr>
                  <w:tcW w:w="1171" w:type="pct"/>
                  <w:vAlign w:val="center"/>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156-60-5</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10</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54</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22</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四氯乙烯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127-18-4</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11</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53</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23</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四氯化碳</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56-23-5</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0.9</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24</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氯乙烯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75-01-4</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0.12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0.43</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25</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氯仿</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67-66-3</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0.3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0.9</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26</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氯甲烷</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74-87-3</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37</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27</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氯苯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108-90-7</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68</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270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28</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甲苯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108-88-3</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1200</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1200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29</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71-43-2</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30</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苯乙烯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100-42-5</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1290</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1290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31</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邻-二甲苯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95-47-6</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222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640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32</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间，对-二甲苯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108-38-3,106-42-3</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163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570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33</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顺式-1,2-二氯乙烯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156-59-2</w:t>
                  </w:r>
                </w:p>
              </w:tc>
              <w:tc>
                <w:tcPr>
                  <w:tcW w:w="1000" w:type="pct"/>
                  <w:vAlign w:val="center"/>
                </w:tcPr>
                <w:p>
                  <w:pPr>
                    <w:pStyle w:val="BodyTextIndent3"/>
                    <w:spacing w:line="240" w:lineRule="auto"/>
                    <w:ind w:firstLine="0"/>
                    <w:jc w:val="center"/>
                    <w:rPr>
                      <w:rFonts w:ascii="Times New Roman" w:hAnsi="Times New Roman" w:cs="Times New Roman" w:hint="default"/>
                      <w:bCs/>
                      <w:color w:val="auto"/>
                      <w:sz w:val="21"/>
                      <w:szCs w:val="21"/>
                    </w:rPr>
                  </w:pPr>
                  <w:r>
                    <w:rPr>
                      <w:rFonts w:ascii="Times New Roman" w:hAnsi="Times New Roman" w:cs="Times New Roman" w:hint="default"/>
                      <w:bCs/>
                      <w:color w:val="auto"/>
                      <w:sz w:val="21"/>
                      <w:szCs w:val="21"/>
                    </w:rPr>
                    <w:t>66</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596</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34</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三氯乙烯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79-01-6</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0.7</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2.8</w:t>
                  </w:r>
                </w:p>
              </w:tc>
            </w:tr>
            <w:tr>
              <w:tblPrEx>
                <w:tblW w:w="4998" w:type="pct"/>
                <w:tblInd w:w="116" w:type="dxa"/>
                <w:tblCellMar>
                  <w:top w:w="0" w:type="dxa"/>
                  <w:left w:w="108" w:type="dxa"/>
                  <w:bottom w:w="0" w:type="dxa"/>
                  <w:right w:w="108" w:type="dxa"/>
                </w:tblCellMar>
                <w:tblLook w:val="0000"/>
              </w:tblPrEx>
              <w:trPr>
                <w:trHeight w:val="23"/>
              </w:trPr>
              <w:tc>
                <w:tcPr>
                  <w:tcW w:w="5000" w:type="pct"/>
                  <w:gridSpan w:val="5"/>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半挥发性有机物</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35</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硝基苯</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98-95-3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34</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76</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36</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苯胺</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62-53-3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92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260</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37</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2-氯酚</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95-57-8</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250</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2256</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38</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䓛</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218-01-9</w:t>
                  </w:r>
                </w:p>
              </w:tc>
              <w:tc>
                <w:tcPr>
                  <w:tcW w:w="1000" w:type="pct"/>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490</w:t>
                  </w:r>
                </w:p>
              </w:tc>
              <w:tc>
                <w:tcPr>
                  <w:tcW w:w="1000" w:type="pct"/>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1293</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39</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二苯并（a，h）蒽</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53-70-3</w:t>
                  </w:r>
                </w:p>
              </w:tc>
              <w:tc>
                <w:tcPr>
                  <w:tcW w:w="1000" w:type="pct"/>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0.55</w:t>
                  </w:r>
                </w:p>
              </w:tc>
              <w:tc>
                <w:tcPr>
                  <w:tcW w:w="1000" w:type="pct"/>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40</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苯并（a）芘</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50-32-8</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0.55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41</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苯并（a）蒽</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56-55-3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42</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苯并（b）荧蒽</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205-99-2</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43</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苯并（k）荧蒽</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207-08-9</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151</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44</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茚并（1,2,3-c,d）芘</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193-39-5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5.5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15</w:t>
                  </w:r>
                </w:p>
              </w:tc>
            </w:tr>
          </w:tbl>
          <w:p/>
        </w:tc>
      </w:tr>
    </w:tbl>
    <w:p>
      <w:pPr>
        <w:sectPr>
          <w:footerReference w:type="even" r:id="rId57"/>
          <w:footerReference w:type="default" r:id="rId5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5"/>
          <w:cols w:space="708"/>
          <w:titlePg w:val="0"/>
          <w:docGrid w:type="lines" w:linePitch="312"/>
        </w:sectPr>
      </w:pPr>
    </w:p>
    <w:tbl>
      <w:tblPr>
        <w:tblStyle w:val="TableNormal"/>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85"/>
        <w:gridCol w:w="8514"/>
      </w:tblGrid>
      <w:tr>
        <w:tblPrEx>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83"/>
        </w:trPr>
        <w:tc>
          <w:tcPr>
            <w:tcW w:w="471" w:type="pct"/>
            <w:vAlign w:val="center"/>
          </w:tcPr>
          <w:p/>
        </w:tc>
        <w:tc>
          <w:tcPr>
            <w:tcW w:w="4528" w:type="pct"/>
          </w:tcPr>
          <w:tbl>
            <w:tblPr>
              <w:tblStyle w:val="TableNormal"/>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989"/>
              <w:gridCol w:w="2037"/>
              <w:gridCol w:w="1939"/>
              <w:gridCol w:w="1656"/>
              <w:gridCol w:w="1659"/>
            </w:tblGrid>
            <w:tr>
              <w:tblPrEx>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45</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萘</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91-20-3</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25</w:t>
                  </w:r>
                </w:p>
              </w:tc>
              <w:tc>
                <w:tcPr>
                  <w:tcW w:w="100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70</w:t>
                  </w:r>
                </w:p>
              </w:tc>
            </w:tr>
            <w:tr>
              <w:tblPrEx>
                <w:tblW w:w="4998" w:type="pct"/>
                <w:tblInd w:w="116" w:type="dxa"/>
                <w:tblCellMar>
                  <w:top w:w="0" w:type="dxa"/>
                  <w:left w:w="108" w:type="dxa"/>
                  <w:bottom w:w="0" w:type="dxa"/>
                  <w:right w:w="108" w:type="dxa"/>
                </w:tblCellMar>
                <w:tblLook w:val="0000"/>
              </w:tblPrEx>
              <w:trPr>
                <w:trHeight w:val="23"/>
              </w:trPr>
              <w:tc>
                <w:tcPr>
                  <w:tcW w:w="5000" w:type="pct"/>
                  <w:gridSpan w:val="5"/>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b/>
                      <w:bCs/>
                      <w:color w:val="auto"/>
                      <w:sz w:val="21"/>
                      <w:szCs w:val="21"/>
                    </w:rPr>
                    <w:t>石油烃类</w:t>
                  </w:r>
                </w:p>
              </w:tc>
            </w:tr>
            <w:tr>
              <w:tblPrEx>
                <w:tblW w:w="4998" w:type="pct"/>
                <w:tblInd w:w="116" w:type="dxa"/>
                <w:tblCellMar>
                  <w:top w:w="0" w:type="dxa"/>
                  <w:left w:w="108" w:type="dxa"/>
                  <w:bottom w:w="0" w:type="dxa"/>
                  <w:right w:w="108" w:type="dxa"/>
                </w:tblCellMar>
                <w:tblLook w:val="0000"/>
              </w:tblPrEx>
              <w:trPr>
                <w:trHeight w:val="23"/>
              </w:trPr>
              <w:tc>
                <w:tcPr>
                  <w:tcW w:w="597"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46</w:t>
                  </w:r>
                </w:p>
              </w:tc>
              <w:tc>
                <w:tcPr>
                  <w:tcW w:w="1230" w:type="pct"/>
                  <w:vAlign w:val="center"/>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石油烃（C</w:t>
                  </w:r>
                  <w:r>
                    <w:rPr>
                      <w:rFonts w:ascii="Times New Roman" w:hAnsi="Times New Roman" w:cs="Times New Roman" w:hint="default"/>
                      <w:color w:val="auto"/>
                      <w:sz w:val="21"/>
                      <w:szCs w:val="21"/>
                      <w:vertAlign w:val="subscript"/>
                    </w:rPr>
                    <w:t>10</w:t>
                  </w:r>
                  <w:r>
                    <w:rPr>
                      <w:rFonts w:ascii="Times New Roman" w:hAnsi="Times New Roman" w:cs="Times New Roman" w:hint="default"/>
                      <w:color w:val="auto"/>
                      <w:sz w:val="21"/>
                      <w:szCs w:val="21"/>
                    </w:rPr>
                    <w:t>-C</w:t>
                  </w:r>
                  <w:r>
                    <w:rPr>
                      <w:rFonts w:ascii="Times New Roman" w:hAnsi="Times New Roman" w:cs="Times New Roman" w:hint="default"/>
                      <w:color w:val="auto"/>
                      <w:sz w:val="21"/>
                      <w:szCs w:val="21"/>
                      <w:vertAlign w:val="subscript"/>
                    </w:rPr>
                    <w:t>40</w:t>
                  </w:r>
                  <w:r>
                    <w:rPr>
                      <w:rFonts w:ascii="Times New Roman" w:hAnsi="Times New Roman" w:cs="Times New Roman" w:hint="default"/>
                      <w:color w:val="auto"/>
                      <w:sz w:val="21"/>
                      <w:szCs w:val="21"/>
                    </w:rPr>
                    <w:t>）</w:t>
                  </w:r>
                </w:p>
              </w:tc>
              <w:tc>
                <w:tcPr>
                  <w:tcW w:w="1171" w:type="pct"/>
                </w:tcPr>
                <w:p>
                  <w:pPr>
                    <w:pStyle w:val="a26"/>
                    <w:ind w:firstLine="0"/>
                    <w:jc w:val="center"/>
                    <w:rPr>
                      <w:rFonts w:ascii="Times New Roman" w:hAnsi="Times New Roman" w:cs="Times New Roman" w:hint="default"/>
                      <w:bCs/>
                      <w:color w:val="auto"/>
                      <w:kern w:val="2"/>
                      <w:szCs w:val="21"/>
                      <w:lang w:val="en-US"/>
                    </w:rPr>
                  </w:pPr>
                  <w:r>
                    <w:rPr>
                      <w:rFonts w:ascii="Times New Roman" w:hAnsi="Times New Roman" w:cs="Times New Roman" w:hint="default"/>
                      <w:bCs/>
                      <w:color w:val="auto"/>
                      <w:kern w:val="2"/>
                      <w:szCs w:val="21"/>
                      <w:lang w:val="en-US"/>
                    </w:rPr>
                    <w:t>—</w:t>
                  </w:r>
                </w:p>
              </w:tc>
              <w:tc>
                <w:tcPr>
                  <w:tcW w:w="1000" w:type="pct"/>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826</w:t>
                  </w:r>
                </w:p>
              </w:tc>
              <w:tc>
                <w:tcPr>
                  <w:tcW w:w="1000" w:type="pct"/>
                </w:tcPr>
                <w:p>
                  <w:pPr>
                    <w:pStyle w:val="BodyTextIndent3"/>
                    <w:spacing w:line="240" w:lineRule="auto"/>
                    <w:ind w:firstLine="0"/>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4500</w:t>
                  </w:r>
                </w:p>
              </w:tc>
            </w:tr>
          </w:tbl>
          <w:p>
            <w:pPr>
              <w:spacing w:line="360" w:lineRule="auto"/>
              <w:ind w:firstLine="560" w:firstLineChars="200"/>
              <w:jc w:val="left"/>
              <w:rPr>
                <w:rFonts w:ascii="Times New Roman" w:hAnsi="Times New Roman" w:cs="Times New Roman" w:hint="default"/>
                <w:color w:val="auto"/>
                <w:sz w:val="28"/>
                <w:szCs w:val="28"/>
              </w:rPr>
            </w:pPr>
          </w:p>
        </w:tc>
      </w:tr>
      <w:tr>
        <w:tblPrEx>
          <w:tblW w:w="4999" w:type="pct"/>
          <w:tblCellMar>
            <w:top w:w="0" w:type="dxa"/>
            <w:left w:w="108" w:type="dxa"/>
            <w:bottom w:w="0" w:type="dxa"/>
            <w:right w:w="108" w:type="dxa"/>
          </w:tblCellMar>
          <w:tblLook w:val="0000"/>
        </w:tblPrEx>
        <w:tc>
          <w:tcPr>
            <w:tcW w:w="471" w:type="pct"/>
            <w:vAlign w:val="center"/>
          </w:tcPr>
          <w:p>
            <w:pPr>
              <w:spacing w:line="360" w:lineRule="auto"/>
              <w:jc w:val="center"/>
              <w:rPr>
                <w:rFonts w:ascii="Times New Roman" w:hAnsi="Times New Roman" w:cs="Times New Roman" w:hint="default"/>
                <w:color w:val="auto"/>
                <w:sz w:val="22"/>
                <w:szCs w:val="16"/>
              </w:rPr>
            </w:pPr>
            <w:r>
              <w:rPr>
                <w:rFonts w:ascii="Times New Roman" w:hAnsi="Times New Roman" w:cs="Times New Roman" w:hint="default"/>
                <w:b/>
                <w:bCs/>
                <w:color w:val="auto"/>
                <w:szCs w:val="18"/>
              </w:rPr>
              <w:t>污染物排放标准</w:t>
            </w:r>
          </w:p>
        </w:tc>
        <w:tc>
          <w:tcPr>
            <w:tcW w:w="4528" w:type="pct"/>
          </w:tcPr>
          <w:p>
            <w:pPr>
              <w:pStyle w:val="120"/>
              <w:numPr>
                <w:ilvl w:val="0"/>
                <w:numId w:val="7"/>
              </w:numPr>
              <w:ind w:firstLine="482"/>
              <w:rPr>
                <w:rFonts w:cs="Times New Roman" w:hint="default"/>
                <w:b/>
                <w:bCs/>
                <w:color w:val="auto"/>
              </w:rPr>
            </w:pPr>
            <w:r>
              <w:rPr>
                <w:rFonts w:ascii="Times New Roman" w:hAnsi="Times New Roman" w:cs="Times New Roman" w:hint="default"/>
                <w:b/>
                <w:bCs/>
                <w:color w:val="auto"/>
              </w:rPr>
              <w:t>废气</w:t>
            </w:r>
          </w:p>
          <w:p>
            <w:pPr>
              <w:pStyle w:val="120"/>
              <w:rPr>
                <w:rFonts w:cs="Times New Roman" w:hint="default"/>
                <w:color w:val="auto"/>
                <w:szCs w:val="24"/>
              </w:rPr>
            </w:pPr>
            <w:r>
              <w:rPr>
                <w:rFonts w:ascii="Times New Roman" w:hAnsi="Times New Roman" w:cs="Times New Roman" w:hint="default"/>
                <w:color w:val="auto"/>
              </w:rPr>
              <w:t>营运期产生的粉尘，</w:t>
            </w:r>
            <w:r>
              <w:rPr>
                <w:rFonts w:ascii="Times New Roman" w:hAnsi="Times New Roman" w:cs="Times New Roman" w:hint="default"/>
                <w:snapToGrid w:val="0"/>
                <w:color w:val="auto"/>
                <w:kern w:val="0"/>
              </w:rPr>
              <w:t>执行广东省《大气污染物排放限值》（DB44/27-2001）第二时段无组织排放标准</w:t>
            </w:r>
            <w:r>
              <w:rPr>
                <w:rFonts w:ascii="Times New Roman" w:hAnsi="Times New Roman" w:cs="Times New Roman" w:hint="default"/>
                <w:color w:val="auto"/>
              </w:rPr>
              <w:t>，具体见表4-</w:t>
            </w:r>
            <w:r>
              <w:rPr>
                <w:rFonts w:ascii="Times New Roman" w:hAnsi="Times New Roman" w:cs="Times New Roman" w:hint="default"/>
                <w:color w:val="auto"/>
                <w:lang w:val="en-US" w:eastAsia="zh-CN"/>
              </w:rPr>
              <w:t>5</w:t>
            </w:r>
            <w:r>
              <w:rPr>
                <w:rFonts w:ascii="Times New Roman" w:hAnsi="Times New Roman" w:cs="Times New Roman" w:hint="default"/>
                <w:color w:val="auto"/>
              </w:rPr>
              <w:t>。</w:t>
            </w: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表4-</w:t>
            </w:r>
            <w:r>
              <w:rPr>
                <w:rFonts w:ascii="Times New Roman" w:hAnsi="Times New Roman" w:cs="Times New Roman" w:hint="default"/>
                <w:color w:val="auto"/>
                <w:sz w:val="21"/>
                <w:szCs w:val="21"/>
                <w:lang w:val="en-US" w:eastAsia="zh-CN"/>
              </w:rPr>
              <w:t>5</w:t>
            </w:r>
            <w:r>
              <w:rPr>
                <w:rFonts w:ascii="Times New Roman" w:hAnsi="Times New Roman" w:cs="Times New Roman" w:hint="default"/>
                <w:color w:val="auto"/>
                <w:sz w:val="21"/>
                <w:szCs w:val="21"/>
              </w:rPr>
              <w:t xml:space="preserve">  《大气污染物排放限值》（DB44/27-2001）</w:t>
            </w:r>
          </w:p>
          <w:tbl>
            <w:tblPr>
              <w:tblStyle w:val="TableNormal"/>
              <w:tblW w:w="4998" w:type="pct"/>
              <w:jc w:val="center"/>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Look w:val="0000"/>
            </w:tblPr>
            <w:tblGrid>
              <w:gridCol w:w="866"/>
              <w:gridCol w:w="4842"/>
              <w:gridCol w:w="2572"/>
            </w:tblGrid>
            <w:tr>
              <w:tblPrEx>
                <w:tblW w:w="4998" w:type="pct"/>
                <w:jc w:val="center"/>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Look w:val="0000"/>
              </w:tblPrEx>
              <w:trPr>
                <w:trHeight w:val="23"/>
                <w:jc w:val="center"/>
              </w:trPr>
              <w:tc>
                <w:tcPr>
                  <w:tcW w:w="523"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污染物</w:t>
                  </w:r>
                </w:p>
              </w:tc>
              <w:tc>
                <w:tcPr>
                  <w:tcW w:w="2923"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周界外浓度最高点浓度限值（mg/m</w:t>
                  </w:r>
                  <w:r>
                    <w:rPr>
                      <w:rFonts w:ascii="Times New Roman" w:hAnsi="Times New Roman" w:cs="Times New Roman" w:hint="default"/>
                      <w:b/>
                      <w:bCs/>
                      <w:color w:val="auto"/>
                      <w:sz w:val="21"/>
                      <w:szCs w:val="21"/>
                      <w:vertAlign w:val="superscript"/>
                    </w:rPr>
                    <w:t>3</w:t>
                  </w:r>
                  <w:r>
                    <w:rPr>
                      <w:rFonts w:ascii="Times New Roman" w:hAnsi="Times New Roman" w:cs="Times New Roman" w:hint="default"/>
                      <w:b/>
                      <w:bCs/>
                      <w:color w:val="auto"/>
                      <w:sz w:val="21"/>
                      <w:szCs w:val="21"/>
                    </w:rPr>
                    <w:t>）</w:t>
                  </w:r>
                </w:p>
              </w:tc>
              <w:tc>
                <w:tcPr>
                  <w:tcW w:w="1552" w:type="pct"/>
                  <w:vAlign w:val="center"/>
                </w:tcPr>
                <w:p>
                  <w:pPr>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监控点</w:t>
                  </w:r>
                </w:p>
              </w:tc>
            </w:tr>
            <w:tr>
              <w:tblPrEx>
                <w:tblW w:w="4998" w:type="pct"/>
                <w:jc w:val="center"/>
                <w:tblInd w:w="8" w:type="dxa"/>
                <w:tblCellMar>
                  <w:top w:w="0" w:type="dxa"/>
                  <w:left w:w="0" w:type="dxa"/>
                  <w:bottom w:w="0" w:type="dxa"/>
                  <w:right w:w="0" w:type="dxa"/>
                </w:tblCellMar>
                <w:tblLook w:val="0000"/>
              </w:tblPrEx>
              <w:trPr>
                <w:trHeight w:val="23"/>
                <w:jc w:val="center"/>
              </w:trPr>
              <w:tc>
                <w:tcPr>
                  <w:tcW w:w="523"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颗粒物</w:t>
                  </w:r>
                </w:p>
              </w:tc>
              <w:tc>
                <w:tcPr>
                  <w:tcW w:w="2923"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1.0</w:t>
                  </w:r>
                </w:p>
              </w:tc>
              <w:tc>
                <w:tcPr>
                  <w:tcW w:w="1552" w:type="pct"/>
                  <w:vAlign w:val="center"/>
                </w:tcPr>
                <w:p>
                  <w:pPr>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周围界外浓度最高点</w:t>
                  </w:r>
                </w:p>
              </w:tc>
            </w:tr>
          </w:tbl>
          <w:p>
            <w:pPr>
              <w:spacing w:line="360" w:lineRule="auto"/>
              <w:ind w:firstLine="480" w:firstLineChars="200"/>
              <w:rPr>
                <w:rFonts w:ascii="Times New Roman" w:hAnsi="Times New Roman" w:cs="Times New Roman" w:hint="default"/>
                <w:color w:val="auto"/>
                <w:szCs w:val="22"/>
              </w:rPr>
            </w:pPr>
            <w:r>
              <w:rPr>
                <w:rFonts w:ascii="Times New Roman" w:hAnsi="Times New Roman" w:cs="Times New Roman" w:hint="default"/>
                <w:color w:val="auto"/>
                <w:szCs w:val="22"/>
              </w:rPr>
              <w:t>食堂油烟执行《饮食业油烟排放标准（试行）》（GB18483-2001），具体见表4-</w:t>
            </w:r>
            <w:r>
              <w:rPr>
                <w:rFonts w:ascii="Times New Roman" w:hAnsi="Times New Roman" w:cs="Times New Roman" w:hint="default"/>
                <w:color w:val="auto"/>
                <w:szCs w:val="22"/>
                <w:lang w:val="en-US" w:eastAsia="zh-CN"/>
              </w:rPr>
              <w:t>6</w:t>
            </w:r>
            <w:r>
              <w:rPr>
                <w:rFonts w:ascii="Times New Roman" w:hAnsi="Times New Roman" w:cs="Times New Roman" w:hint="default"/>
                <w:color w:val="auto"/>
                <w:szCs w:val="22"/>
              </w:rPr>
              <w:t>所示。</w:t>
            </w:r>
          </w:p>
          <w:p>
            <w:pPr>
              <w:spacing w:line="360" w:lineRule="auto"/>
              <w:ind w:firstLine="482"/>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表4-</w:t>
            </w:r>
            <w:r>
              <w:rPr>
                <w:rFonts w:ascii="Times New Roman" w:hAnsi="Times New Roman" w:cs="Times New Roman" w:hint="default"/>
                <w:b/>
                <w:color w:val="auto"/>
                <w:sz w:val="21"/>
                <w:szCs w:val="21"/>
                <w:lang w:val="en-US" w:eastAsia="zh-CN"/>
              </w:rPr>
              <w:t>6</w:t>
            </w:r>
            <w:r>
              <w:rPr>
                <w:rFonts w:ascii="Times New Roman" w:hAnsi="Times New Roman" w:cs="Times New Roman" w:hint="default"/>
                <w:b/>
                <w:color w:val="auto"/>
                <w:sz w:val="21"/>
                <w:szCs w:val="21"/>
              </w:rPr>
              <w:t xml:space="preserve">  食堂油烟排放标准</w:t>
            </w:r>
          </w:p>
          <w:tbl>
            <w:tblPr>
              <w:tblStyle w:val="TableNormal"/>
              <w:tblW w:w="0" w:type="auto"/>
              <w:jc w:val="center"/>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994"/>
              <w:gridCol w:w="794"/>
              <w:gridCol w:w="3117"/>
              <w:gridCol w:w="3261"/>
            </w:tblGrid>
            <w:tr>
              <w:tblPrEx>
                <w:tblW w:w="0" w:type="auto"/>
                <w:jc w:val="center"/>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029" w:type="dxa"/>
                  <w:vAlign w:val="center"/>
                </w:tcPr>
                <w:p>
                  <w:pPr>
                    <w:pStyle w:val="Default"/>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污染物</w:t>
                  </w:r>
                </w:p>
              </w:tc>
              <w:tc>
                <w:tcPr>
                  <w:tcW w:w="818" w:type="dxa"/>
                  <w:vAlign w:val="center"/>
                </w:tcPr>
                <w:p>
                  <w:pPr>
                    <w:pStyle w:val="Default"/>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规模</w:t>
                  </w:r>
                </w:p>
              </w:tc>
              <w:tc>
                <w:tcPr>
                  <w:tcW w:w="3236" w:type="dxa"/>
                  <w:vAlign w:val="center"/>
                </w:tcPr>
                <w:p>
                  <w:pPr>
                    <w:pStyle w:val="Default"/>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最高允许排放浓度</w:t>
                  </w:r>
                </w:p>
              </w:tc>
              <w:tc>
                <w:tcPr>
                  <w:tcW w:w="3402" w:type="dxa"/>
                  <w:vAlign w:val="center"/>
                </w:tcPr>
                <w:p>
                  <w:pPr>
                    <w:pStyle w:val="Default"/>
                    <w:jc w:val="center"/>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净化设施最低去除效率</w:t>
                  </w:r>
                </w:p>
              </w:tc>
            </w:tr>
            <w:tr>
              <w:tblPrEx>
                <w:tblW w:w="0" w:type="auto"/>
                <w:jc w:val="center"/>
                <w:tblInd w:w="116" w:type="dxa"/>
                <w:tblCellMar>
                  <w:top w:w="0" w:type="dxa"/>
                  <w:left w:w="108" w:type="dxa"/>
                  <w:bottom w:w="0" w:type="dxa"/>
                  <w:right w:w="108" w:type="dxa"/>
                </w:tblCellMar>
                <w:tblLook w:val="0000"/>
              </w:tblPrEx>
              <w:trPr>
                <w:jc w:val="center"/>
              </w:trPr>
              <w:tc>
                <w:tcPr>
                  <w:tcW w:w="1029"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油烟</w:t>
                  </w:r>
                </w:p>
              </w:tc>
              <w:tc>
                <w:tcPr>
                  <w:tcW w:w="818"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小型</w:t>
                  </w:r>
                </w:p>
              </w:tc>
              <w:tc>
                <w:tcPr>
                  <w:tcW w:w="3236" w:type="dxa"/>
                  <w:vAlign w:val="center"/>
                </w:tcPr>
                <w:p>
                  <w:pPr>
                    <w:pStyle w:val="Default"/>
                    <w:jc w:val="center"/>
                    <w:rPr>
                      <w:rFonts w:ascii="Times New Roman" w:hAnsi="Times New Roman" w:cs="Times New Roman" w:hint="default"/>
                      <w:color w:val="auto"/>
                      <w:sz w:val="21"/>
                      <w:szCs w:val="21"/>
                      <w:vertAlign w:val="superscript"/>
                    </w:rPr>
                  </w:pPr>
                  <w:r>
                    <w:rPr>
                      <w:rFonts w:ascii="Times New Roman" w:hAnsi="Times New Roman" w:cs="Times New Roman" w:hint="default"/>
                      <w:color w:val="auto"/>
                      <w:sz w:val="21"/>
                      <w:szCs w:val="21"/>
                    </w:rPr>
                    <w:t>2.0mg/m</w:t>
                  </w:r>
                  <w:r>
                    <w:rPr>
                      <w:rFonts w:ascii="Times New Roman" w:hAnsi="Times New Roman" w:cs="Times New Roman" w:hint="default"/>
                      <w:color w:val="auto"/>
                      <w:sz w:val="21"/>
                      <w:szCs w:val="21"/>
                      <w:vertAlign w:val="superscript"/>
                    </w:rPr>
                    <w:t>3</w:t>
                  </w:r>
                </w:p>
              </w:tc>
              <w:tc>
                <w:tcPr>
                  <w:tcW w:w="3402"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60%</w:t>
                  </w:r>
                </w:p>
              </w:tc>
            </w:tr>
          </w:tbl>
          <w:p>
            <w:pPr>
              <w:pStyle w:val="120"/>
              <w:numPr>
                <w:ilvl w:val="0"/>
                <w:numId w:val="7"/>
              </w:numPr>
              <w:ind w:firstLine="482"/>
              <w:rPr>
                <w:rFonts w:cs="Times New Roman" w:hint="default"/>
                <w:b/>
                <w:color w:val="auto"/>
              </w:rPr>
            </w:pPr>
            <w:r>
              <w:rPr>
                <w:rFonts w:ascii="Times New Roman" w:hAnsi="Times New Roman" w:cs="Times New Roman" w:hint="default"/>
                <w:b/>
                <w:color w:val="auto"/>
              </w:rPr>
              <w:t>废水</w:t>
            </w:r>
          </w:p>
          <w:p>
            <w:pPr>
              <w:pStyle w:val="120"/>
              <w:rPr>
                <w:rFonts w:cs="Times New Roman" w:hint="default"/>
                <w:color w:val="auto"/>
                <w:szCs w:val="24"/>
              </w:rPr>
            </w:pPr>
            <w:r>
              <w:rPr>
                <w:rFonts w:ascii="Times New Roman" w:hAnsi="Times New Roman" w:cs="Times New Roman" w:hint="default"/>
                <w:color w:val="auto"/>
                <w:szCs w:val="24"/>
              </w:rPr>
              <w:t>运营期生活污水执行《农田灌溉水质标准》（GB5084-2005）旱作标准。</w:t>
            </w: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表4-</w:t>
            </w:r>
            <w:r>
              <w:rPr>
                <w:rFonts w:ascii="Times New Roman" w:hAnsi="Times New Roman" w:cs="Times New Roman" w:hint="default"/>
                <w:color w:val="auto"/>
                <w:sz w:val="21"/>
                <w:szCs w:val="21"/>
                <w:lang w:val="en-US" w:eastAsia="zh-CN"/>
              </w:rPr>
              <w:t>7</w:t>
            </w:r>
            <w:r>
              <w:rPr>
                <w:rFonts w:ascii="Times New Roman" w:hAnsi="Times New Roman" w:cs="Times New Roman" w:hint="default"/>
                <w:color w:val="auto"/>
                <w:sz w:val="21"/>
                <w:szCs w:val="21"/>
              </w:rPr>
              <w:t xml:space="preserve">  《农田灌溉水质标准》（GB5084-2005）</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355"/>
              <w:gridCol w:w="1364"/>
              <w:gridCol w:w="1363"/>
              <w:gridCol w:w="1361"/>
              <w:gridCol w:w="1147"/>
              <w:gridCol w:w="1576"/>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398" w:type="dxa"/>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项目</w:t>
                  </w:r>
                </w:p>
              </w:tc>
              <w:tc>
                <w:tcPr>
                  <w:tcW w:w="1398" w:type="dxa"/>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pH</w:t>
                  </w:r>
                </w:p>
              </w:tc>
              <w:tc>
                <w:tcPr>
                  <w:tcW w:w="1398" w:type="dxa"/>
                  <w:vAlign w:val="center"/>
                </w:tcPr>
                <w:p>
                  <w:pPr>
                    <w:pStyle w:val="120"/>
                    <w:spacing w:line="240" w:lineRule="auto"/>
                    <w:ind w:firstLine="0" w:firstLineChars="0"/>
                    <w:jc w:val="center"/>
                    <w:rPr>
                      <w:rFonts w:cs="Times New Roman" w:hint="default"/>
                      <w:b/>
                      <w:color w:val="auto"/>
                      <w:sz w:val="21"/>
                      <w:szCs w:val="21"/>
                      <w:vertAlign w:val="subscript"/>
                    </w:rPr>
                  </w:pPr>
                  <w:r>
                    <w:rPr>
                      <w:rFonts w:ascii="Times New Roman" w:hAnsi="Times New Roman" w:cs="Times New Roman" w:hint="default"/>
                      <w:b/>
                      <w:color w:val="auto"/>
                      <w:sz w:val="21"/>
                      <w:szCs w:val="21"/>
                    </w:rPr>
                    <w:t>COD</w:t>
                  </w:r>
                  <w:r>
                    <w:rPr>
                      <w:rFonts w:ascii="Times New Roman" w:hAnsi="Times New Roman" w:cs="Times New Roman" w:hint="default"/>
                      <w:b/>
                      <w:color w:val="auto"/>
                      <w:sz w:val="21"/>
                      <w:szCs w:val="21"/>
                      <w:vertAlign w:val="subscript"/>
                    </w:rPr>
                    <w:t>cr</w:t>
                  </w:r>
                </w:p>
              </w:tc>
              <w:tc>
                <w:tcPr>
                  <w:tcW w:w="1398" w:type="dxa"/>
                  <w:vAlign w:val="center"/>
                </w:tcPr>
                <w:p>
                  <w:pPr>
                    <w:pStyle w:val="120"/>
                    <w:spacing w:line="240" w:lineRule="auto"/>
                    <w:ind w:firstLine="0" w:firstLineChars="0"/>
                    <w:jc w:val="center"/>
                    <w:rPr>
                      <w:rFonts w:cs="Times New Roman" w:hint="default"/>
                      <w:b/>
                      <w:color w:val="auto"/>
                      <w:sz w:val="21"/>
                      <w:szCs w:val="21"/>
                      <w:vertAlign w:val="subscript"/>
                    </w:rPr>
                  </w:pPr>
                  <w:r>
                    <w:rPr>
                      <w:rFonts w:ascii="Times New Roman" w:hAnsi="Times New Roman" w:cs="Times New Roman" w:hint="default"/>
                      <w:b/>
                      <w:color w:val="auto"/>
                      <w:sz w:val="21"/>
                      <w:szCs w:val="21"/>
                    </w:rPr>
                    <w:t>BOD</w:t>
                  </w:r>
                  <w:r>
                    <w:rPr>
                      <w:rFonts w:ascii="Times New Roman" w:hAnsi="Times New Roman" w:cs="Times New Roman" w:hint="default"/>
                      <w:b/>
                      <w:color w:val="auto"/>
                      <w:sz w:val="21"/>
                      <w:szCs w:val="21"/>
                      <w:vertAlign w:val="subscript"/>
                    </w:rPr>
                    <w:t>5</w:t>
                  </w:r>
                </w:p>
              </w:tc>
              <w:tc>
                <w:tcPr>
                  <w:tcW w:w="1176" w:type="dxa"/>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SS</w:t>
                  </w:r>
                </w:p>
              </w:tc>
              <w:tc>
                <w:tcPr>
                  <w:tcW w:w="1620" w:type="dxa"/>
                  <w:vAlign w:val="center"/>
                </w:tcPr>
                <w:p>
                  <w:pPr>
                    <w:pStyle w:val="120"/>
                    <w:spacing w:line="240" w:lineRule="auto"/>
                    <w:ind w:firstLine="0" w:firstLineChars="0"/>
                    <w:jc w:val="center"/>
                    <w:rPr>
                      <w:rFonts w:cs="Times New Roman" w:hint="default"/>
                      <w:b/>
                      <w:color w:val="auto"/>
                      <w:sz w:val="21"/>
                      <w:szCs w:val="21"/>
                    </w:rPr>
                  </w:pPr>
                  <w:r>
                    <w:rPr>
                      <w:rFonts w:ascii="Times New Roman" w:hAnsi="Times New Roman" w:cs="Times New Roman" w:hint="default"/>
                      <w:b/>
                      <w:color w:val="auto"/>
                      <w:sz w:val="21"/>
                      <w:szCs w:val="21"/>
                    </w:rPr>
                    <w:t>粪大肠菌群数</w:t>
                  </w:r>
                </w:p>
              </w:tc>
            </w:tr>
            <w:tr>
              <w:tblPrEx>
                <w:tblW w:w="0" w:type="auto"/>
                <w:tblInd w:w="116" w:type="dxa"/>
                <w:tblCellMar>
                  <w:top w:w="0" w:type="dxa"/>
                  <w:left w:w="108" w:type="dxa"/>
                  <w:bottom w:w="0" w:type="dxa"/>
                  <w:right w:w="108" w:type="dxa"/>
                </w:tblCellMar>
                <w:tblLook w:val="0000"/>
              </w:tblPrEx>
              <w:tc>
                <w:tcPr>
                  <w:tcW w:w="1398" w:type="dxa"/>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旱作标准</w:t>
                  </w:r>
                </w:p>
              </w:tc>
              <w:tc>
                <w:tcPr>
                  <w:tcW w:w="1398" w:type="dxa"/>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5.5~8.5</w:t>
                  </w:r>
                </w:p>
              </w:tc>
              <w:tc>
                <w:tcPr>
                  <w:tcW w:w="1398" w:type="dxa"/>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w:t>
                  </w:r>
                  <w:r>
                    <w:rPr>
                      <w:rFonts w:ascii="Times New Roman" w:hAnsi="Times New Roman" w:cs="Times New Roman" w:hint="default"/>
                      <w:bCs/>
                      <w:color w:val="auto"/>
                      <w:sz w:val="21"/>
                      <w:szCs w:val="21"/>
                    </w:rPr>
                    <w:t>200</w:t>
                  </w:r>
                </w:p>
              </w:tc>
              <w:tc>
                <w:tcPr>
                  <w:tcW w:w="1398" w:type="dxa"/>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w:t>
                  </w:r>
                  <w:r>
                    <w:rPr>
                      <w:rFonts w:ascii="Times New Roman" w:hAnsi="Times New Roman" w:cs="Times New Roman" w:hint="default"/>
                      <w:bCs/>
                      <w:color w:val="auto"/>
                      <w:sz w:val="21"/>
                      <w:szCs w:val="21"/>
                    </w:rPr>
                    <w:t>100</w:t>
                  </w:r>
                </w:p>
              </w:tc>
              <w:tc>
                <w:tcPr>
                  <w:tcW w:w="1176" w:type="dxa"/>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w:t>
                  </w:r>
                  <w:r>
                    <w:rPr>
                      <w:rFonts w:ascii="Times New Roman" w:hAnsi="Times New Roman" w:cs="Times New Roman" w:hint="default"/>
                      <w:bCs/>
                      <w:color w:val="auto"/>
                      <w:sz w:val="21"/>
                      <w:szCs w:val="21"/>
                    </w:rPr>
                    <w:t>100</w:t>
                  </w:r>
                </w:p>
              </w:tc>
              <w:tc>
                <w:tcPr>
                  <w:tcW w:w="1620" w:type="dxa"/>
                  <w:vAlign w:val="center"/>
                </w:tcPr>
                <w:p>
                  <w:pPr>
                    <w:pStyle w:val="120"/>
                    <w:spacing w:line="240" w:lineRule="auto"/>
                    <w:ind w:firstLine="0" w:firstLineChars="0"/>
                    <w:jc w:val="center"/>
                    <w:rPr>
                      <w:rFonts w:cs="Times New Roman" w:hint="default"/>
                      <w:bCs/>
                      <w:color w:val="auto"/>
                      <w:sz w:val="21"/>
                      <w:szCs w:val="21"/>
                    </w:rPr>
                  </w:pPr>
                  <w:r>
                    <w:rPr>
                      <w:rFonts w:ascii="Times New Roman" w:hAnsi="Times New Roman" w:cs="Times New Roman" w:hint="default"/>
                      <w:bCs/>
                      <w:color w:val="auto"/>
                      <w:sz w:val="21"/>
                      <w:szCs w:val="21"/>
                    </w:rPr>
                    <w:t>≤</w:t>
                  </w:r>
                  <w:r>
                    <w:rPr>
                      <w:rFonts w:ascii="Times New Roman" w:hAnsi="Times New Roman" w:cs="Times New Roman" w:hint="default"/>
                      <w:bCs/>
                      <w:color w:val="auto"/>
                      <w:sz w:val="21"/>
                      <w:szCs w:val="21"/>
                    </w:rPr>
                    <w:t>4000</w:t>
                  </w:r>
                </w:p>
              </w:tc>
            </w:tr>
          </w:tbl>
          <w:p>
            <w:pPr>
              <w:pStyle w:val="120"/>
              <w:ind w:firstLine="420"/>
              <w:rPr>
                <w:rFonts w:cs="Times New Roman" w:hint="default"/>
                <w:b/>
                <w:color w:val="auto"/>
              </w:rPr>
            </w:pPr>
            <w:r>
              <w:rPr>
                <w:rFonts w:ascii="Times New Roman" w:hAnsi="Times New Roman" w:cs="Times New Roman" w:hint="default"/>
                <w:b/>
                <w:color w:val="auto"/>
              </w:rPr>
              <w:t>3、噪声</w:t>
            </w:r>
          </w:p>
          <w:p>
            <w:pPr>
              <w:pStyle w:val="120"/>
              <w:rPr>
                <w:rFonts w:cs="Times New Roman" w:hint="default"/>
                <w:color w:val="auto"/>
                <w:szCs w:val="24"/>
              </w:rPr>
            </w:pPr>
            <w:r>
              <w:rPr>
                <w:rFonts w:ascii="Times New Roman" w:hAnsi="Times New Roman" w:cs="Times New Roman" w:hint="default"/>
                <w:color w:val="auto"/>
                <w:szCs w:val="24"/>
              </w:rPr>
              <w:t>施工期噪声执行《建筑施工场界环境噪声排放标准》(GB12523-2011)，即昼间</w:t>
            </w:r>
            <w:r>
              <w:rPr>
                <w:rFonts w:ascii="Times New Roman" w:hAnsi="Times New Roman" w:cs="Times New Roman" w:hint="default"/>
                <w:color w:val="auto"/>
                <w:szCs w:val="24"/>
              </w:rPr>
              <w:t>≤</w:t>
            </w:r>
            <w:r>
              <w:rPr>
                <w:rFonts w:ascii="Times New Roman" w:hAnsi="Times New Roman" w:cs="Times New Roman" w:hint="default"/>
                <w:color w:val="auto"/>
                <w:szCs w:val="24"/>
              </w:rPr>
              <w:t>70dB(A)，夜间</w:t>
            </w:r>
            <w:r>
              <w:rPr>
                <w:rFonts w:ascii="Times New Roman" w:hAnsi="Times New Roman" w:cs="Times New Roman" w:hint="default"/>
                <w:color w:val="auto"/>
                <w:szCs w:val="24"/>
              </w:rPr>
              <w:t>≤</w:t>
            </w:r>
            <w:r>
              <w:rPr>
                <w:rFonts w:ascii="Times New Roman" w:hAnsi="Times New Roman" w:cs="Times New Roman" w:hint="default"/>
                <w:color w:val="auto"/>
                <w:szCs w:val="24"/>
              </w:rPr>
              <w:t>55dB(A)。</w:t>
            </w:r>
          </w:p>
          <w:p>
            <w:pPr>
              <w:spacing w:line="360" w:lineRule="auto"/>
              <w:ind w:firstLine="480" w:firstLineChars="200"/>
              <w:jc w:val="left"/>
              <w:rPr>
                <w:rFonts w:ascii="Times New Roman" w:hAnsi="Times New Roman" w:cs="Times New Roman" w:hint="default"/>
                <w:color w:val="auto"/>
                <w:szCs w:val="24"/>
              </w:rPr>
            </w:pPr>
            <w:r>
              <w:rPr>
                <w:rFonts w:ascii="Times New Roman" w:hAnsi="Times New Roman" w:cs="Times New Roman" w:hint="default"/>
                <w:color w:val="auto"/>
                <w:szCs w:val="24"/>
              </w:rPr>
              <w:t>营运期厂界噪声执行《工业企业厂界环境噪声排放标准》（GB12348-2008）中的 2 类标准，即：昼间</w:t>
            </w:r>
            <w:r>
              <w:rPr>
                <w:rFonts w:ascii="Times New Roman" w:hAnsi="Times New Roman" w:cs="Times New Roman" w:hint="default"/>
                <w:color w:val="auto"/>
                <w:szCs w:val="24"/>
              </w:rPr>
              <w:t>≤</w:t>
            </w:r>
            <w:r>
              <w:rPr>
                <w:rFonts w:ascii="Times New Roman" w:hAnsi="Times New Roman" w:cs="Times New Roman" w:hint="default"/>
                <w:color w:val="auto"/>
                <w:szCs w:val="24"/>
              </w:rPr>
              <w:t>60dB(A)、夜间</w:t>
            </w:r>
            <w:r>
              <w:rPr>
                <w:rFonts w:ascii="Times New Roman" w:hAnsi="Times New Roman" w:cs="Times New Roman" w:hint="default"/>
                <w:color w:val="auto"/>
                <w:szCs w:val="24"/>
              </w:rPr>
              <w:t>≤</w:t>
            </w:r>
            <w:r>
              <w:rPr>
                <w:rFonts w:ascii="Times New Roman" w:hAnsi="Times New Roman" w:cs="Times New Roman" w:hint="default"/>
                <w:color w:val="auto"/>
                <w:szCs w:val="24"/>
              </w:rPr>
              <w:t>50dB(A)。</w:t>
            </w:r>
          </w:p>
          <w:p>
            <w:pPr>
              <w:spacing w:line="360" w:lineRule="auto"/>
              <w:ind w:firstLine="480" w:firstLineChars="200"/>
              <w:jc w:val="left"/>
              <w:rPr>
                <w:rFonts w:ascii="Times New Roman" w:hAnsi="Times New Roman" w:cs="Times New Roman" w:hint="default"/>
                <w:b/>
                <w:color w:val="auto"/>
                <w:szCs w:val="24"/>
              </w:rPr>
            </w:pPr>
            <w:r>
              <w:rPr>
                <w:rFonts w:ascii="Times New Roman" w:hAnsi="Times New Roman" w:cs="Times New Roman" w:hint="default"/>
                <w:b/>
                <w:color w:val="auto"/>
                <w:szCs w:val="24"/>
              </w:rPr>
              <w:t>4、固体废物</w:t>
            </w:r>
          </w:p>
          <w:p>
            <w:pPr>
              <w:spacing w:line="360" w:lineRule="auto"/>
              <w:ind w:firstLine="480" w:firstLineChars="200"/>
              <w:jc w:val="left"/>
              <w:rPr>
                <w:rStyle w:val="12Char"/>
                <w:rFonts w:ascii="Times New Roman" w:hAnsi="Times New Roman" w:cs="Times New Roman" w:hint="default"/>
                <w:color w:val="auto"/>
              </w:rPr>
            </w:pPr>
            <w:r>
              <w:rPr>
                <w:rStyle w:val="12Char"/>
                <w:rFonts w:ascii="Times New Roman" w:hAnsi="Times New Roman" w:cs="Times New Roman" w:hint="default"/>
                <w:color w:val="auto"/>
              </w:rPr>
              <w:t>《一般工业固体废物贮存、处置场污染控制标准》（GB18599-2001）及其2013年修改单；《危险废物贮存污染控制标准》（GB18597-2001）及2013年修改单。</w:t>
            </w:r>
          </w:p>
          <w:p>
            <w:pPr>
              <w:spacing w:line="360" w:lineRule="auto"/>
              <w:ind w:firstLine="480" w:firstLineChars="200"/>
              <w:jc w:val="left"/>
              <w:rPr>
                <w:rFonts w:ascii="Times New Roman" w:hAnsi="Times New Roman" w:cs="Times New Roman" w:hint="default"/>
                <w:color w:val="auto"/>
                <w:szCs w:val="24"/>
              </w:rPr>
            </w:pPr>
            <w:r>
              <w:rPr>
                <w:rStyle w:val="12Char"/>
                <w:rFonts w:ascii="Times New Roman" w:hAnsi="Times New Roman" w:cs="Times New Roman" w:hint="default"/>
                <w:color w:val="auto"/>
              </w:rPr>
              <w:t>5、《生产建设项目水土流失防治标准》（GB/T50434-2018）生产类项目三级标准</w:t>
            </w:r>
          </w:p>
        </w:tc>
      </w:tr>
      <w:tr>
        <w:tblPrEx>
          <w:tblW w:w="4999" w:type="pct"/>
          <w:tblCellMar>
            <w:top w:w="0" w:type="dxa"/>
            <w:left w:w="108" w:type="dxa"/>
            <w:bottom w:w="0" w:type="dxa"/>
            <w:right w:w="108" w:type="dxa"/>
          </w:tblCellMar>
          <w:tblLook w:val="0000"/>
        </w:tblPrEx>
        <w:tc>
          <w:tcPr>
            <w:tcW w:w="471" w:type="pct"/>
            <w:vAlign w:val="center"/>
          </w:tcPr>
          <w:p>
            <w:pPr>
              <w:spacing w:line="360" w:lineRule="auto"/>
              <w:jc w:val="center"/>
              <w:rPr>
                <w:rFonts w:ascii="Times New Roman" w:hAnsi="Times New Roman" w:cs="Times New Roman" w:hint="default"/>
                <w:color w:val="auto"/>
                <w:sz w:val="28"/>
                <w:szCs w:val="28"/>
              </w:rPr>
            </w:pPr>
            <w:r>
              <w:rPr>
                <w:rFonts w:ascii="Times New Roman" w:hAnsi="Times New Roman" w:cs="Times New Roman" w:hint="default"/>
                <w:b/>
                <w:bCs/>
                <w:color w:val="auto"/>
                <w:szCs w:val="24"/>
              </w:rPr>
              <w:t>总量控制指标</w:t>
            </w:r>
          </w:p>
        </w:tc>
        <w:tc>
          <w:tcPr>
            <w:tcW w:w="4528" w:type="pct"/>
          </w:tcPr>
          <w:p>
            <w:pPr>
              <w:pStyle w:val="120"/>
              <w:numPr>
                <w:ilvl w:val="0"/>
                <w:numId w:val="8"/>
              </w:numPr>
              <w:ind w:firstLine="482"/>
              <w:rPr>
                <w:rFonts w:cs="Times New Roman" w:hint="default"/>
                <w:b/>
                <w:bCs/>
                <w:color w:val="auto"/>
              </w:rPr>
            </w:pPr>
            <w:r>
              <w:rPr>
                <w:rFonts w:ascii="Times New Roman" w:hAnsi="Times New Roman" w:cs="Times New Roman" w:hint="default"/>
                <w:b/>
                <w:bCs/>
                <w:color w:val="auto"/>
              </w:rPr>
              <w:t>大气污染物总量控制指标</w:t>
            </w:r>
          </w:p>
          <w:p>
            <w:pPr>
              <w:pStyle w:val="120"/>
              <w:rPr>
                <w:rFonts w:cs="Times New Roman" w:hint="default"/>
                <w:color w:val="auto"/>
              </w:rPr>
            </w:pPr>
            <w:r>
              <w:rPr>
                <w:rFonts w:ascii="Times New Roman" w:hAnsi="Times New Roman" w:cs="Times New Roman" w:hint="default"/>
                <w:color w:val="auto"/>
              </w:rPr>
              <w:t>本项目不设大气污染物总量控制指标。</w:t>
            </w:r>
          </w:p>
          <w:p>
            <w:pPr>
              <w:pStyle w:val="120"/>
              <w:numPr>
                <w:ilvl w:val="0"/>
                <w:numId w:val="8"/>
              </w:numPr>
              <w:ind w:firstLine="482"/>
              <w:rPr>
                <w:rFonts w:cs="Times New Roman" w:hint="default"/>
                <w:b/>
                <w:bCs/>
                <w:color w:val="auto"/>
              </w:rPr>
            </w:pPr>
            <w:r>
              <w:rPr>
                <w:rFonts w:ascii="Times New Roman" w:hAnsi="Times New Roman" w:cs="Times New Roman" w:hint="default"/>
                <w:b/>
                <w:bCs/>
                <w:color w:val="auto"/>
              </w:rPr>
              <w:t>水污染物总量控制指标</w:t>
            </w:r>
          </w:p>
          <w:p>
            <w:pPr>
              <w:pStyle w:val="120"/>
              <w:rPr>
                <w:rFonts w:cs="Times New Roman" w:hint="default"/>
                <w:color w:val="auto"/>
              </w:rPr>
            </w:pPr>
            <w:r>
              <w:rPr>
                <w:rFonts w:ascii="Times New Roman" w:hAnsi="Times New Roman" w:cs="Times New Roman" w:hint="default"/>
                <w:color w:val="auto"/>
              </w:rPr>
              <w:t>本项目生产废水全部回用，无废水外排，故不设水污染物总量控制指标</w:t>
            </w:r>
          </w:p>
        </w:tc>
      </w:tr>
    </w:tbl>
    <w:p>
      <w:pPr>
        <w:sectPr>
          <w:footerReference w:type="even" r:id="rId59"/>
          <w:footerReference w:type="default" r:id="rId60"/>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6"/>
          <w:cols w:space="708"/>
          <w:titlePg w:val="0"/>
          <w:docGrid w:type="lines" w:linePitch="312"/>
        </w:sectPr>
      </w:pPr>
    </w:p>
    <w:p>
      <w:pPr>
        <w:pStyle w:val="Heading2"/>
        <w:keepLines w:val="0"/>
        <w:numPr>
          <w:ilvl w:val="0"/>
          <w:numId w:val="0"/>
        </w:numPr>
        <w:spacing w:before="0" w:after="0" w:line="360" w:lineRule="auto"/>
        <w:rPr>
          <w:rFonts w:ascii="Times New Roman" w:eastAsia="宋体" w:hAnsi="Times New Roman" w:cs="Times New Roman" w:hint="default"/>
          <w:color w:val="auto"/>
          <w:sz w:val="28"/>
          <w:szCs w:val="28"/>
        </w:rPr>
      </w:pPr>
      <w:r>
        <w:rPr>
          <w:rFonts w:ascii="Times New Roman" w:eastAsia="宋体" w:hAnsi="Times New Roman" w:cs="Times New Roman" w:hint="default"/>
          <w:color w:val="auto"/>
          <w:sz w:val="28"/>
          <w:szCs w:val="28"/>
        </w:rPr>
        <w:t>五、建设项目工程分析</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2311"/>
        </w:trPr>
        <w:tc>
          <w:tcPr>
            <w:tcW w:w="5000" w:type="pct"/>
          </w:tcPr>
          <w:p>
            <w:pPr>
              <w:spacing w:line="360" w:lineRule="auto"/>
              <w:rPr>
                <w:rFonts w:ascii="Times New Roman" w:hAnsi="Times New Roman" w:cs="Times New Roman" w:hint="default"/>
                <w:b/>
                <w:bCs/>
                <w:color w:val="auto"/>
                <w:szCs w:val="24"/>
              </w:rPr>
            </w:pPr>
            <w:r>
              <w:rPr>
                <w:rFonts w:ascii="Times New Roman" w:hAnsi="Times New Roman" w:cs="Times New Roman" w:hint="default"/>
                <w:b/>
                <w:bCs/>
                <w:color w:val="auto"/>
                <w:szCs w:val="24"/>
              </w:rPr>
              <w:t>一、工艺流程简述：</w:t>
            </w:r>
          </w:p>
          <w:p>
            <w:pPr>
              <w:pStyle w:val="120"/>
              <w:ind w:firstLine="482"/>
              <w:rPr>
                <w:rFonts w:cs="Times New Roman" w:hint="default"/>
                <w:b/>
                <w:bCs/>
                <w:color w:val="auto"/>
                <w:szCs w:val="24"/>
              </w:rPr>
            </w:pPr>
            <w:r>
              <w:rPr>
                <w:rFonts w:ascii="Times New Roman" w:hAnsi="Times New Roman" w:cs="Times New Roman" w:hint="default"/>
                <w:b/>
                <w:bCs/>
                <w:color w:val="auto"/>
                <w:szCs w:val="24"/>
              </w:rPr>
              <w:t>1、施工期工艺流程</w:t>
            </w:r>
          </w:p>
          <w:p>
            <w:pPr>
              <w:pStyle w:val="120"/>
              <w:ind w:firstLine="0" w:firstLineChars="0"/>
              <w:jc w:val="center"/>
              <w:rPr>
                <w:rFonts w:cs="Times New Roman" w:hint="default"/>
                <w:color w:val="auto"/>
                <w:szCs w:val="24"/>
              </w:rPr>
            </w:pPr>
            <w:r>
              <w:rPr>
                <w:rFonts w:ascii="Times New Roman" w:hAnsi="Times New Roman" w:cs="Times New Roman" w:hint="default"/>
                <w:color w:val="auto"/>
                <w:szCs w:val="24"/>
              </w:rPr>
              <w:pict>
                <v:shape id="图片 638" o:spid="_x0000_i1070" type="#_x0000_t75" style="width:435.96pt;height:144.75pt;mso-position-horizontal-relative:page;mso-position-vertical-relative:page;mso-wrap-style:square" o:preferrelative="t" filled="f" stroked="f">
                  <v:stroke linestyle="single"/>
                  <v:imagedata r:id="rId61" o:title=""/>
                  <v:path o:extrusionok="f"/>
                  <o:lock v:ext="edit" aspectratio="t"/>
                </v:shape>
              </w:pict>
            </w:r>
          </w:p>
          <w:p>
            <w:pPr>
              <w:pStyle w:val="120"/>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图5-1  施工期流程及产污节点图</w:t>
            </w:r>
          </w:p>
          <w:p>
            <w:pPr>
              <w:pStyle w:val="120"/>
              <w:rPr>
                <w:rFonts w:cs="Times New Roman" w:hint="default"/>
                <w:color w:val="auto"/>
                <w:szCs w:val="24"/>
              </w:rPr>
            </w:pPr>
            <w:r>
              <w:rPr>
                <w:rFonts w:ascii="Times New Roman" w:hAnsi="Times New Roman" w:cs="Times New Roman" w:hint="default"/>
                <w:color w:val="auto"/>
                <w:szCs w:val="24"/>
              </w:rPr>
              <w:t>本项目为新建项目，拟选址处目前为山林，未受人类活动影响。施工期主要是对项目场地覆盖的植被进行清理和场地平整，并建设破碎加工区、综合服务区、机修场地以及配套的截排水沟。同时开拓出矿区道路，并在开采区清理出开采平台。施工过程会产生一定量的废水、废气和固体废物，施工期影响会随着施工期结束而消失。</w:t>
            </w:r>
          </w:p>
          <w:p>
            <w:pPr>
              <w:pStyle w:val="120"/>
              <w:ind w:firstLine="482"/>
              <w:rPr>
                <w:rFonts w:cs="Times New Roman" w:hint="default"/>
                <w:b/>
                <w:bCs/>
                <w:color w:val="auto"/>
                <w:szCs w:val="24"/>
              </w:rPr>
            </w:pPr>
            <w:r>
              <w:rPr>
                <w:rFonts w:ascii="Times New Roman" w:hAnsi="Times New Roman" w:cs="Times New Roman" w:hint="default"/>
                <w:b/>
                <w:bCs/>
                <w:color w:val="auto"/>
                <w:szCs w:val="24"/>
              </w:rPr>
              <w:t>2、营运期工艺流程</w:t>
            </w:r>
          </w:p>
          <w:p>
            <w:pPr>
              <w:pStyle w:val="120"/>
              <w:ind w:firstLine="482"/>
              <w:rPr>
                <w:rFonts w:cs="Times New Roman" w:hint="default"/>
                <w:b/>
                <w:bCs/>
                <w:color w:val="auto"/>
                <w:szCs w:val="24"/>
              </w:rPr>
            </w:pPr>
            <w:r>
              <w:rPr>
                <w:rFonts w:ascii="Times New Roman" w:hAnsi="Times New Roman" w:cs="Times New Roman" w:hint="default"/>
                <w:b/>
                <w:bCs/>
                <w:color w:val="auto"/>
                <w:szCs w:val="24"/>
              </w:rPr>
              <w:t>（1）矿山开采工艺流程</w:t>
            </w:r>
          </w:p>
          <w:p>
            <w:pPr>
              <w:pStyle w:val="120"/>
              <w:ind w:firstLine="0" w:firstLineChars="0"/>
              <w:jc w:val="center"/>
              <w:rPr>
                <w:rFonts w:cs="Times New Roman" w:hint="default"/>
                <w:color w:val="auto"/>
                <w:szCs w:val="24"/>
              </w:rPr>
            </w:pPr>
            <w:r>
              <w:rPr>
                <w:rFonts w:ascii="Times New Roman" w:hAnsi="Times New Roman" w:cs="Times New Roman" w:hint="default"/>
                <w:color w:val="auto"/>
                <w:szCs w:val="24"/>
              </w:rPr>
              <w:pict>
                <v:shape id="图片 639" o:spid="_x0000_i1071" type="#_x0000_t75" style="width:335.4pt;height:82.58pt;mso-position-horizontal-relative:page;mso-position-vertical-relative:page;mso-wrap-style:square" o:preferrelative="t" filled="f" stroked="f">
                  <v:fill o:detectmouseclick="t"/>
                  <v:stroke linestyle="single"/>
                  <v:imagedata r:id="rId62" o:title="" cropleft="12036f" cropright="136f"/>
                  <v:path o:extrusionok="f"/>
                  <o:lock v:ext="edit" aspectratio="t"/>
                </v:shape>
              </w:pict>
            </w:r>
          </w:p>
          <w:p>
            <w:pPr>
              <w:pStyle w:val="120"/>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图5-2  矿山开采工艺流程图</w:t>
            </w:r>
          </w:p>
          <w:p>
            <w:pPr>
              <w:autoSpaceDE w:val="0"/>
              <w:autoSpaceDN w:val="0"/>
              <w:adjustRightInd w:val="0"/>
              <w:snapToGrid w:val="0"/>
              <w:spacing w:line="360" w:lineRule="auto"/>
              <w:ind w:firstLine="480" w:firstLineChars="200"/>
              <w:jc w:val="left"/>
              <w:rPr>
                <w:rFonts w:ascii="Times New Roman" w:hAnsi="Times New Roman" w:cs="Times New Roman" w:hint="default"/>
                <w:b/>
                <w:bCs/>
                <w:color w:val="auto"/>
                <w:szCs w:val="24"/>
              </w:rPr>
            </w:pPr>
            <w:r>
              <w:rPr>
                <w:rFonts w:ascii="Times New Roman" w:hAnsi="Times New Roman" w:cs="Times New Roman" w:hint="default"/>
                <w:b/>
                <w:bCs/>
                <w:color w:val="auto"/>
                <w:szCs w:val="24"/>
              </w:rPr>
              <w:t>工艺流程简述：</w:t>
            </w:r>
          </w:p>
          <w:p>
            <w:pPr>
              <w:autoSpaceDE w:val="0"/>
              <w:autoSpaceDN w:val="0"/>
              <w:adjustRightInd w:val="0"/>
              <w:snapToGrid w:val="0"/>
              <w:spacing w:line="360" w:lineRule="auto"/>
              <w:ind w:firstLine="480" w:firstLineChars="200"/>
              <w:jc w:val="left"/>
              <w:rPr>
                <w:rFonts w:ascii="Times New Roman" w:hAnsi="Times New Roman" w:cs="Times New Roman" w:hint="default"/>
                <w:color w:val="auto"/>
                <w:szCs w:val="24"/>
              </w:rPr>
            </w:pPr>
            <w:r>
              <w:rPr>
                <w:rFonts w:ascii="Times New Roman" w:hAnsi="Times New Roman" w:cs="Times New Roman" w:hint="default"/>
                <w:b/>
                <w:bCs/>
                <w:color w:val="auto"/>
                <w:szCs w:val="24"/>
              </w:rPr>
              <w:t>①</w:t>
            </w:r>
            <w:r>
              <w:rPr>
                <w:rFonts w:ascii="Times New Roman" w:hAnsi="Times New Roman" w:cs="Times New Roman" w:hint="default"/>
                <w:b/>
                <w:bCs/>
                <w:color w:val="auto"/>
                <w:szCs w:val="24"/>
              </w:rPr>
              <w:t>表土剥离：</w:t>
            </w:r>
            <w:r>
              <w:rPr>
                <w:rFonts w:ascii="Times New Roman" w:hAnsi="Times New Roman" w:cs="Times New Roman" w:hint="default"/>
                <w:color w:val="auto"/>
                <w:szCs w:val="24"/>
              </w:rPr>
              <w:t>项目为露天开采，表土剥离主要是建设期和备采台阶形成过程中对部分表土进行剥离。上部第四系覆盖层不需爆破，直接采用挖掘机挖掘，用自卸汽车运走。</w:t>
            </w:r>
          </w:p>
          <w:p>
            <w:pPr>
              <w:autoSpaceDE w:val="0"/>
              <w:autoSpaceDN w:val="0"/>
              <w:adjustRightInd w:val="0"/>
              <w:snapToGrid w:val="0"/>
              <w:spacing w:line="360" w:lineRule="auto"/>
              <w:ind w:firstLine="480" w:firstLineChars="200"/>
              <w:jc w:val="left"/>
              <w:rPr>
                <w:rFonts w:ascii="Times New Roman" w:hAnsi="Times New Roman" w:cs="Times New Roman" w:hint="default"/>
                <w:color w:val="auto"/>
                <w:szCs w:val="24"/>
              </w:rPr>
            </w:pPr>
            <w:r>
              <w:rPr>
                <w:rFonts w:ascii="Times New Roman" w:hAnsi="Times New Roman" w:cs="Times New Roman" w:hint="default"/>
                <w:b/>
                <w:bCs/>
                <w:color w:val="auto"/>
                <w:szCs w:val="24"/>
              </w:rPr>
              <w:t>②</w:t>
            </w:r>
            <w:r>
              <w:rPr>
                <w:rFonts w:ascii="Times New Roman" w:hAnsi="Times New Roman" w:cs="Times New Roman" w:hint="default"/>
                <w:b/>
                <w:bCs/>
                <w:color w:val="auto"/>
                <w:szCs w:val="24"/>
              </w:rPr>
              <w:t>矿体钻孔爆破：</w:t>
            </w:r>
            <w:r>
              <w:rPr>
                <w:rFonts w:ascii="Times New Roman" w:hAnsi="Times New Roman" w:cs="Times New Roman" w:hint="default"/>
                <w:color w:val="auto"/>
                <w:szCs w:val="24"/>
              </w:rPr>
              <w:t>采用深孔台阶微差爆破。深孔台阶爆破为在台阶上按爆破设计方案布置炮孔，实施钻孔作业，然后再深孔中装入延长药包，并运用微差爆破技术将炮孔按一定顺序联接，控制相邻炮孔或排间按照预定顺序和时间间隔起爆的爆破作业方式。</w:t>
            </w:r>
          </w:p>
          <w:p>
            <w:pPr>
              <w:autoSpaceDE w:val="0"/>
              <w:autoSpaceDN w:val="0"/>
              <w:adjustRightInd w:val="0"/>
              <w:snapToGrid w:val="0"/>
              <w:spacing w:line="360" w:lineRule="auto"/>
              <w:ind w:firstLine="480" w:firstLineChars="200"/>
              <w:jc w:val="left"/>
              <w:rPr>
                <w:rFonts w:ascii="Times New Roman" w:hAnsi="Times New Roman" w:cs="Times New Roman" w:hint="default"/>
                <w:color w:val="auto"/>
                <w:szCs w:val="24"/>
              </w:rPr>
            </w:pPr>
            <w:r>
              <w:rPr>
                <w:rFonts w:ascii="Times New Roman" w:hAnsi="Times New Roman" w:cs="Times New Roman" w:hint="default"/>
                <w:b/>
                <w:bCs/>
                <w:color w:val="auto"/>
                <w:szCs w:val="24"/>
              </w:rPr>
              <w:t>③</w:t>
            </w:r>
            <w:r>
              <w:rPr>
                <w:rFonts w:ascii="Times New Roman" w:hAnsi="Times New Roman" w:cs="Times New Roman" w:hint="default"/>
                <w:b/>
                <w:bCs/>
                <w:color w:val="auto"/>
                <w:szCs w:val="24"/>
              </w:rPr>
              <w:t>机械采装：</w:t>
            </w:r>
            <w:r>
              <w:rPr>
                <w:rFonts w:ascii="Times New Roman" w:hAnsi="Times New Roman" w:cs="Times New Roman" w:hint="default"/>
                <w:color w:val="auto"/>
                <w:szCs w:val="24"/>
              </w:rPr>
              <w:t>爆破落矿后，建设单位用挖掘机将矿石装上自卸汽车，由汽车先运至项目内矿石堆场和夹石堆场内存放，再根据生产需要运至破碎加工区进行加工。</w:t>
            </w:r>
          </w:p>
          <w:p>
            <w:pPr>
              <w:autoSpaceDE w:val="0"/>
              <w:autoSpaceDN w:val="0"/>
              <w:adjustRightInd w:val="0"/>
              <w:snapToGrid w:val="0"/>
              <w:spacing w:after="0" w:line="360" w:lineRule="auto"/>
              <w:ind w:firstLine="480" w:firstLineChars="200"/>
              <w:jc w:val="left"/>
              <w:rPr>
                <w:rFonts w:ascii="Times New Roman" w:hAnsi="Times New Roman" w:cs="Times New Roman" w:hint="default"/>
                <w:color w:val="auto"/>
                <w:szCs w:val="24"/>
              </w:rPr>
            </w:pPr>
            <w:r>
              <w:rPr>
                <w:rFonts w:ascii="Times New Roman" w:hAnsi="Times New Roman" w:cs="Times New Roman" w:hint="default"/>
                <w:b/>
                <w:bCs/>
                <w:color w:val="auto"/>
                <w:szCs w:val="24"/>
              </w:rPr>
              <w:t>④</w:t>
            </w:r>
            <w:r>
              <w:rPr>
                <w:rFonts w:ascii="Times New Roman" w:hAnsi="Times New Roman" w:cs="Times New Roman" w:hint="default"/>
                <w:b/>
                <w:bCs/>
                <w:color w:val="auto"/>
                <w:szCs w:val="24"/>
              </w:rPr>
              <w:t>矿石加工：</w:t>
            </w:r>
          </w:p>
        </w:tc>
      </w:tr>
    </w:tbl>
    <w:p>
      <w:pPr>
        <w:sectPr>
          <w:footerReference w:type="even" r:id="rId63"/>
          <w:footerReference w:type="default" r:id="rId64"/>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7"/>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2311"/>
        </w:trPr>
        <w:tc>
          <w:tcPr>
            <w:tcW w:w="5000" w:type="pct"/>
          </w:tcPr>
          <w:p>
            <w:pPr>
              <w:autoSpaceDE w:val="0"/>
              <w:autoSpaceDN w:val="0"/>
              <w:adjustRightInd w:val="0"/>
              <w:snapToGrid w:val="0"/>
              <w:spacing w:before="0" w:line="360" w:lineRule="auto"/>
              <w:ind w:firstLine="480" w:firstLineChars="200"/>
              <w:jc w:val="left"/>
              <w:rPr>
                <w:rFonts w:ascii="Times New Roman" w:hAnsi="Times New Roman" w:cs="Times New Roman" w:hint="default"/>
                <w:color w:val="auto"/>
                <w:szCs w:val="24"/>
              </w:rPr>
            </w:pPr>
            <w:r>
              <w:rPr>
                <w:rFonts w:ascii="Times New Roman" w:hAnsi="Times New Roman" w:cs="Times New Roman" w:hint="default"/>
                <w:color w:val="auto"/>
                <w:szCs w:val="24"/>
              </w:rPr>
              <w:t>熔剂用灰岩矿和建筑用灰岩矿的破碎加工采用同一个生产破碎系统进行破碎筛分，通过分时段生产进行两种矿石的破碎加工。在进行两种矿石交替破碎加工处理时，通过调整中碎、细碎设备排料口的方式进行不同矿石产品粒度控制，可达到各种产品的粒度要求。矿石经破碎加工后得到产品。</w:t>
            </w:r>
          </w:p>
          <w:p>
            <w:pPr>
              <w:pStyle w:val="120"/>
              <w:ind w:left="480" w:firstLine="0" w:leftChars="200" w:firstLineChars="0"/>
              <w:rPr>
                <w:rFonts w:cs="Times New Roman" w:hint="default"/>
                <w:b/>
                <w:bCs/>
                <w:color w:val="auto"/>
                <w:szCs w:val="24"/>
              </w:rPr>
            </w:pPr>
            <w:r>
              <w:rPr>
                <w:rFonts w:ascii="Times New Roman" w:hAnsi="Times New Roman" w:cs="Times New Roman" w:hint="default"/>
                <w:b/>
                <w:bCs/>
                <w:color w:val="auto"/>
                <w:szCs w:val="24"/>
              </w:rPr>
              <w:t>（2）冶金熔剂用灰岩矿破碎筛分工艺流程</w:t>
            </w:r>
          </w:p>
          <w:p>
            <w:pPr>
              <w:pStyle w:val="120"/>
              <w:ind w:firstLine="0" w:firstLineChars="0"/>
              <w:jc w:val="center"/>
              <w:rPr>
                <w:rFonts w:eastAsia="宋体" w:cs="Times New Roman" w:hint="default"/>
                <w:color w:val="auto"/>
                <w:szCs w:val="24"/>
                <w:lang w:eastAsia="zh-CN"/>
              </w:rPr>
            </w:pPr>
            <w:r>
              <w:rPr>
                <w:rFonts w:ascii="Times New Roman" w:hAnsi="Times New Roman" w:cs="Times New Roman" w:hint="default"/>
                <w:color w:val="auto"/>
                <w:sz w:val="24"/>
              </w:rPr>
              <w:pict>
                <v:group id="画布 2119" o:spid="_x0000_i1072" editas="canvas" style="width:6in;height:380.1pt" coordorigin="0,0" coordsize="5486400,4827269">
                  <o:lock v:ext="edit" aspectratio="f"/>
                  <o:diagram v:ext="edit" dgmstyle="0" dgmscalex="0" dgmscaley="0" reverse="f"/>
                  <v:shape id="_x0000_s1073" type="#_x0000_t75" editas="canvas" style="width:5486400;height:4827269;mso-wrap-style:square;position:absolute;v-text-anchor:top" filled="f" stroked="f">
                    <v:fill o:detectmouseclick="t"/>
                    <v:stroke linestyle="single"/>
                    <o:lock v:ext="edit" aspectratio="f"/>
                    <o:diagram v:ext="edit" dgmstyle="0" dgmscalex="0" dgmscaley="0" reverse="f"/>
                  </v:shape>
                  <v:shape id="文本框 2120" o:spid="_x0000_s1074" type="#_x0000_t202" style="width:815340;height:297815;left:2394585;mso-wrap-style:square;position:absolute;top:257175;v-text-anchor:top" filled="t" fillcolor="white" stroked="t" strokeweight="0.5pt">
                    <v:fill color2="white"/>
                    <v:stroke linestyle="single" endarrow="block" endarrowwidth="narrow"/>
                    <o:lock v:ext="edit" aspectratio="f"/>
                    <v:textbox style="layout-flow:horizontal">
                      <w:txbxContent>
                        <w:p>
                          <w:pPr>
                            <w:jc w:val="center"/>
                            <w:rPr>
                              <w:rFonts w:eastAsia="宋体" w:hint="eastAsia"/>
                            </w:rPr>
                          </w:pPr>
                          <w:r>
                            <w:rPr>
                              <w:rFonts w:hint="eastAsia"/>
                              <w:lang w:eastAsia="zh-CN"/>
                            </w:rPr>
                            <w:t>原矿卸矿</w:t>
                          </w:r>
                        </w:p>
                      </w:txbxContent>
                    </v:textbox>
                  </v:shape>
                  <v:shape id="文本框 2121" o:spid="_x0000_s1075" type="#_x0000_t202" style="width:685800;height:292100;left:2463800;mso-wrap-style:square;position:absolute;top:90868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粗碎</w:t>
                          </w:r>
                        </w:p>
                      </w:txbxContent>
                    </v:textbox>
                  </v:shape>
                  <v:shape id="文本框 2122" o:spid="_x0000_s1076" type="#_x0000_t202" style="width:813435;height:292100;left:2395220;mso-wrap-style:square;position:absolute;top:155448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一次筛分</w:t>
                          </w:r>
                        </w:p>
                      </w:txbxContent>
                    </v:textbox>
                  </v:shape>
                  <v:shape id="文本框 2123" o:spid="_x0000_s1077" type="#_x0000_t202" style="width:685800;height:292100;left:2461260;mso-wrap-style:square;position:absolute;top:215900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中碎</w:t>
                          </w:r>
                        </w:p>
                      </w:txbxContent>
                    </v:textbox>
                  </v:shape>
                  <v:shape id="文本框 2124" o:spid="_x0000_s1078" type="#_x0000_t202" style="width:823595;height:292100;left:2395855;mso-wrap-style:square;position:absolute;top:273494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二次筛分</w:t>
                          </w:r>
                        </w:p>
                      </w:txbxContent>
                    </v:textbox>
                  </v:shape>
                  <v:shape id="文本框 2125" o:spid="_x0000_s1079" type="#_x0000_t202" style="width:685800;height:292100;left:2461895;mso-wrap-style:square;position:absolute;top:331216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细碎</w:t>
                          </w:r>
                        </w:p>
                      </w:txbxContent>
                    </v:textbox>
                  </v:shape>
                  <v:shape id="文本框 2126" o:spid="_x0000_s1080" type="#_x0000_t202" style="width:869315;height:292100;left:2369185;mso-wrap-style:square;position:absolute;top:391604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成品筛分</w:t>
                          </w:r>
                        </w:p>
                      </w:txbxContent>
                    </v:textbox>
                  </v:shape>
                  <v:shape id="自选图形 2128" o:spid="_x0000_s1081" type="#_x0000_t32" style="width:4445;height:353695;left:2802255;mso-wrap-style:square;position:absolute;top:554990" filled="t" stroked="t" strokeweight="1.5pt">
                    <v:stroke linestyle="single" endarrow="open" endarrowwidth="narrow"/>
                    <v:path arrowok="t" fillok="f"/>
                    <o:lock v:ext="edit" aspectratio="f"/>
                  </v:shape>
                  <v:shape id="自选图形 2129" o:spid="_x0000_s1082" type="#_x0000_t32" style="width:4445;height:353695;flip:x;left:2802255;mso-wrap-style:square;position:absolute;top:1200785" filled="f" stroked="t" strokeweight="1.5pt">
                    <v:fill o:detectmouseclick="t"/>
                    <v:stroke linestyle="single" endarrow="open" endarrowwidth="narrow"/>
                    <v:shadow color="gray"/>
                    <v:path arrowok="t" fillok="f"/>
                    <o:lock v:ext="edit" aspectratio="f"/>
                  </v:shape>
                  <v:shape id="自选图形 2130" o:spid="_x0000_s1083" type="#_x0000_t32" style="width:1905;height:312420;left:2802255;mso-wrap-style:square;position:absolute;top:1846580" filled="t" stroked="t" strokeweight="1.5pt">
                    <v:stroke linestyle="single" endarrow="open" endarrowwidth="narrow"/>
                    <v:path arrowok="t" fillok="f"/>
                    <o:lock v:ext="edit" aspectratio="f"/>
                  </v:shape>
                  <v:shape id="自选图形 2131" o:spid="_x0000_s1084" type="#_x0000_t32" style="width:3810;height:283845;left:2804160;mso-wrap-style:square;position:absolute;top:2451100" filled="t" stroked="t" strokeweight="1.5pt">
                    <v:stroke linestyle="single" endarrow="open" endarrowwidth="narrow"/>
                    <v:path arrowok="t" fillok="f"/>
                    <o:lock v:ext="edit" aspectratio="f"/>
                  </v:shape>
                  <v:shape id="自选图形 2132" o:spid="_x0000_s1085" type="#_x0000_t32" style="width:3175;height:285115;flip:x;left:2804795;mso-wrap-style:square;position:absolute;top:3027045" filled="t" stroked="t" strokeweight="1.5pt">
                    <v:stroke linestyle="single" endarrow="open" endarrowwidth="narrow"/>
                    <v:path arrowok="t" fillok="f"/>
                    <o:lock v:ext="edit" aspectratio="f"/>
                  </v:shape>
                  <v:shape id="自选图形 2133" o:spid="_x0000_s1086" type="#_x0000_t32" style="width:635;height:311785;flip:x;left:2804160;mso-wrap-style:square;position:absolute;top:3604260" filled="t" stroked="t" strokeweight="1.5pt">
                    <v:stroke linestyle="single" endarrow="open" endarrowwidth="narrow"/>
                    <v:path arrowok="t" fillok="f"/>
                    <o:lock v:ext="edit" aspectratio="f"/>
                  </v:shape>
                  <v:shape id="自选图形 2134" o:spid="_x0000_s1087" type="#_x0000_t32" style="width:1270;height:294005;flip:x;left:2802890;mso-wrap-style:square;position:absolute;top:4208145" filled="t" stroked="t" strokeweight="1.5pt">
                    <v:stroke linestyle="single" endarrow="open" endarrowwidth="narrow"/>
                    <v:path arrowok="t" fillok="f"/>
                    <o:lock v:ext="edit" aspectratio="f"/>
                  </v:shape>
                  <v:shape id="文本框 2135" o:spid="_x0000_s1088" type="#_x0000_t202" style="width:931545;height:292100;left:3677920;mso-wrap-style:square;position:absolute;top:913130;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2136" o:spid="_x0000_s1089" type="#_x0000_t32" style="width:528320;height:4445;left:3149600;mso-wrap-style:square;position:absolute;top:1054735" filled="t" stroked="t" strokeweight="1.5pt">
                    <v:stroke dashstyle="dash" linestyle="single" endarrow="open" endarrowwidth="narrow"/>
                    <v:path arrowok="t" fillok="f"/>
                    <o:lock v:ext="edit" aspectratio="f"/>
                  </v:shape>
                  <v:shape id="文本框 2137" o:spid="_x0000_s1090" type="#_x0000_t202" style="width:927100;height:292100;left:3740785;mso-wrap-style:square;position:absolute;top:155384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2138" o:spid="_x0000_s1091" type="#_x0000_t32" style="width:520700;height:0;left:3220085;mso-wrap-style:square;position:absolute;top:1706245" filled="f" stroked="t" strokeweight="1.5pt">
                    <v:fill o:detectmouseclick="t"/>
                    <v:stroke dashstyle="dash" linestyle="single" endarrow="open" endarrowwidth="narrow"/>
                    <v:shadow color="gray"/>
                    <v:path arrowok="t" fillok="f"/>
                    <o:lock v:ext="edit" aspectratio="f"/>
                  </v:shape>
                  <v:shape id="文本框 2139" o:spid="_x0000_s1092" type="#_x0000_t202" style="width:927100;height:292100;left:3676650;mso-wrap-style:square;position:absolute;top:215836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2140" o:spid="_x0000_s1093" type="#_x0000_t32" style="width:520700;height:0;left:3155950;mso-wrap-style:square;position:absolute;top:2310765" filled="f" stroked="t" strokeweight="1.5pt">
                    <v:fill o:detectmouseclick="t"/>
                    <v:stroke dashstyle="dash" linestyle="single" endarrow="open" endarrowwidth="narrow"/>
                    <v:shadow color="gray"/>
                    <v:path arrowok="t" fillok="f"/>
                    <o:lock v:ext="edit" aspectratio="f"/>
                  </v:shape>
                  <v:shape id="文本框 2141" o:spid="_x0000_s1094" type="#_x0000_t202" style="width:927100;height:292100;left:3750310;mso-wrap-style:square;position:absolute;top:273494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2142" o:spid="_x0000_s1095" type="#_x0000_t32" style="width:520700;height:0;left:3229610;mso-wrap-style:square;position:absolute;top:2887345" filled="f" stroked="t" strokeweight="1.5pt">
                    <v:fill o:detectmouseclick="t"/>
                    <v:stroke dashstyle="dash" linestyle="single" endarrow="open" endarrowwidth="narrow"/>
                    <v:shadow color="gray"/>
                    <v:path arrowok="t" fillok="f"/>
                    <o:lock v:ext="edit" aspectratio="f"/>
                  </v:shape>
                  <v:shape id="文本框 2143" o:spid="_x0000_s1096" type="#_x0000_t202" style="width:927100;height:292100;left:3667760;mso-wrap-style:square;position:absolute;top:330263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2144" o:spid="_x0000_s1097" type="#_x0000_t32" style="width:520700;height:0;left:3147060;mso-wrap-style:square;position:absolute;top:3455035" filled="f" stroked="t" strokeweight="1.5pt">
                    <v:fill o:detectmouseclick="t"/>
                    <v:stroke dashstyle="dash" linestyle="single" endarrow="open" endarrowwidth="narrow"/>
                    <v:shadow color="gray"/>
                    <v:path arrowok="t" fillok="f"/>
                    <o:lock v:ext="edit" aspectratio="f"/>
                  </v:shape>
                  <v:shape id="文本框 2145" o:spid="_x0000_s1098" type="#_x0000_t202" style="width:927100;height:292100;left:3778250;mso-wrap-style:square;position:absolute;top:3916680;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2146" o:spid="_x0000_s1099" type="#_x0000_t32" style="width:520700;height:0;left:3257550;mso-wrap-style:square;position:absolute;top:4069080" filled="f" stroked="t" strokeweight="1.5pt">
                    <v:fill o:detectmouseclick="t"/>
                    <v:stroke dashstyle="dash" linestyle="single" endarrow="open" endarrowwidth="narrow"/>
                    <v:shadow color="gray"/>
                    <v:path arrowok="t" fillok="f"/>
                    <o:lock v:ext="edit" aspectratio="f"/>
                  </v:shape>
                  <v:shape id="文本框 33" o:spid="_x0000_s1100" type="#_x0000_t202" style="width:1170940;height:292100;left:720725;mso-wrap-style:square;position:absolute;top:274383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default"/>
                            </w:rPr>
                          </w:pPr>
                          <w:r>
                            <w:rPr>
                              <w:rFonts w:eastAsia="宋体" w:hint="eastAsia"/>
                              <w:lang w:val="en-US" w:eastAsia="zh-CN"/>
                            </w:rPr>
                            <w:t>20~40mm成品</w:t>
                          </w:r>
                        </w:p>
                      </w:txbxContent>
                    </v:textbox>
                  </v:shape>
                  <v:shape id="自选图形 34" o:spid="_x0000_s1101" type="#_x0000_t32" style="width:504190;height:8890;flip:x;left:1891665;mso-wrap-style:square;position:absolute;top:2880995" filled="t" stroked="t" strokeweight="1.5pt">
                    <v:stroke linestyle="single" endarrow="open" endarrowwidth="narrow"/>
                    <v:path arrowok="t" fillok="f"/>
                    <o:lock v:ext="edit" aspectratio="f"/>
                  </v:shape>
                  <v:shape id="自选图形 36" o:spid="_x0000_s1102" type="#_x0000_t32" style="width:495300;height:0;flip:x;left:1870075;mso-wrap-style:square;position:absolute;top:4089400" filled="f" stroked="t" strokeweight="1.5pt">
                    <v:fill o:detectmouseclick="t"/>
                    <v:stroke linestyle="single" endarrow="open" endarrowwidth="narrow"/>
                    <v:shadow color="gray"/>
                    <v:path arrowok="t" fillok="f"/>
                    <o:lock v:ext="edit" aspectratio="f"/>
                  </v:shape>
                  <v:shape id="文本框 37" o:spid="_x0000_s1103" type="#_x0000_t202" style="width:1168400;height:292100;left:702310;mso-wrap-style:square;position:absolute;top:393446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default"/>
                            </w:rPr>
                          </w:pPr>
                          <w:r>
                            <w:rPr>
                              <w:rFonts w:eastAsia="宋体" w:hint="eastAsia"/>
                              <w:lang w:val="en-US" w:eastAsia="zh-CN"/>
                            </w:rPr>
                            <w:t>10~20mm成品</w:t>
                          </w:r>
                        </w:p>
                      </w:txbxContent>
                    </v:textbox>
                  </v:shape>
                  <v:shape id="文本框 38" o:spid="_x0000_s1104" type="#_x0000_t202" style="width:1086485;height:292100;left:2282825;mso-wrap-style:square;position:absolute;top:448119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default"/>
                            </w:rPr>
                          </w:pPr>
                          <w:r>
                            <w:rPr>
                              <w:rFonts w:eastAsia="宋体" w:hint="eastAsia"/>
                              <w:lang w:val="en-US" w:eastAsia="zh-CN"/>
                            </w:rPr>
                            <w:t>0~3mm成品</w:t>
                          </w:r>
                        </w:p>
                      </w:txbxContent>
                    </v:textbox>
                  </v:shape>
                  <w10:anchorlock/>
                </v:group>
              </w:pict>
            </w:r>
          </w:p>
          <w:p>
            <w:pPr>
              <w:pStyle w:val="120"/>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图5-3  冶金熔剂用灰岩矿破碎筛分工艺流程图</w:t>
            </w:r>
          </w:p>
          <w:p>
            <w:pPr>
              <w:autoSpaceDE w:val="0"/>
              <w:autoSpaceDN w:val="0"/>
              <w:adjustRightInd w:val="0"/>
              <w:snapToGrid w:val="0"/>
              <w:spacing w:line="360" w:lineRule="auto"/>
              <w:ind w:firstLine="480" w:firstLineChars="200"/>
              <w:jc w:val="left"/>
              <w:rPr>
                <w:rFonts w:ascii="Times New Roman" w:hAnsi="Times New Roman" w:cs="Times New Roman" w:hint="default"/>
                <w:b/>
                <w:bCs/>
                <w:color w:val="auto"/>
                <w:szCs w:val="24"/>
              </w:rPr>
            </w:pPr>
            <w:r>
              <w:rPr>
                <w:rFonts w:ascii="Times New Roman" w:hAnsi="Times New Roman" w:cs="Times New Roman" w:hint="default"/>
                <w:b/>
                <w:bCs/>
                <w:color w:val="auto"/>
                <w:szCs w:val="24"/>
              </w:rPr>
              <w:t>工艺流程简述：</w:t>
            </w:r>
          </w:p>
          <w:p>
            <w:pPr>
              <w:pStyle w:val="120"/>
              <w:ind w:firstLine="482"/>
              <w:rPr>
                <w:rFonts w:cs="Times New Roman" w:hint="default"/>
                <w:color w:val="auto"/>
                <w:szCs w:val="24"/>
              </w:rPr>
            </w:pPr>
            <w:r>
              <w:rPr>
                <w:rFonts w:ascii="Times New Roman" w:hAnsi="Times New Roman" w:cs="Times New Roman" w:hint="default"/>
                <w:b/>
                <w:bCs/>
                <w:color w:val="auto"/>
                <w:szCs w:val="24"/>
              </w:rPr>
              <w:t>①</w:t>
            </w:r>
            <w:r>
              <w:rPr>
                <w:rFonts w:ascii="Times New Roman" w:hAnsi="Times New Roman" w:cs="Times New Roman" w:hint="default"/>
                <w:b/>
                <w:bCs/>
                <w:color w:val="auto"/>
                <w:szCs w:val="24"/>
              </w:rPr>
              <w:t>卸矿：</w:t>
            </w:r>
            <w:r>
              <w:rPr>
                <w:rFonts w:ascii="Times New Roman" w:hAnsi="Times New Roman" w:cs="Times New Roman" w:hint="default"/>
                <w:color w:val="auto"/>
                <w:szCs w:val="24"/>
              </w:rPr>
              <w:t>从露天采场采出的熔剂用灰岩矿用自卸汽车运送到破碎站卸矿平台受矿仓，受矿仓设有格筛，个别大于850mm的块石用电葫芦吊出，采用液压破碎锤进行二次破碎处理。</w:t>
            </w:r>
          </w:p>
          <w:p>
            <w:pPr>
              <w:pStyle w:val="120"/>
              <w:ind w:firstLine="482"/>
              <w:rPr>
                <w:rFonts w:cs="Times New Roman" w:hint="default"/>
                <w:color w:val="auto"/>
                <w:szCs w:val="24"/>
              </w:rPr>
            </w:pPr>
            <w:r>
              <w:rPr>
                <w:rFonts w:ascii="Times New Roman" w:hAnsi="Times New Roman" w:cs="Times New Roman" w:hint="default"/>
                <w:b/>
                <w:bCs/>
                <w:color w:val="auto"/>
                <w:szCs w:val="24"/>
              </w:rPr>
              <w:t>②</w:t>
            </w:r>
            <w:r>
              <w:rPr>
                <w:rFonts w:ascii="Times New Roman" w:hAnsi="Times New Roman" w:cs="Times New Roman" w:hint="default"/>
                <w:b/>
                <w:bCs/>
                <w:color w:val="auto"/>
                <w:szCs w:val="24"/>
              </w:rPr>
              <w:t>粗碎：</w:t>
            </w:r>
            <w:r>
              <w:rPr>
                <w:rFonts w:ascii="Times New Roman" w:hAnsi="Times New Roman" w:cs="Times New Roman" w:hint="default"/>
                <w:color w:val="auto"/>
                <w:szCs w:val="24"/>
              </w:rPr>
              <w:t>矿石经重型板式给料机送到PE1200</w:t>
            </w:r>
            <w:r>
              <w:rPr>
                <w:rFonts w:ascii="Times New Roman" w:hAnsi="Times New Roman" w:cs="Times New Roman" w:hint="default"/>
                <w:color w:val="auto"/>
                <w:szCs w:val="24"/>
              </w:rPr>
              <w:t>×</w:t>
            </w:r>
            <w:r>
              <w:rPr>
                <w:rFonts w:ascii="Times New Roman" w:hAnsi="Times New Roman" w:cs="Times New Roman" w:hint="default"/>
                <w:color w:val="auto"/>
                <w:szCs w:val="24"/>
              </w:rPr>
              <w:t>1500颚式破碎机破碎，颚式破碎机前设置棒条筛进行脱泥处理，棒条筛筛上块矿直接进入颚式破碎机破碎，排料口设为195mm，粗碎后的物料经皮带运至中间料场。</w:t>
            </w:r>
          </w:p>
          <w:p>
            <w:pPr>
              <w:pStyle w:val="120"/>
              <w:ind w:firstLine="482"/>
              <w:rPr>
                <w:rFonts w:cs="Times New Roman" w:hint="default"/>
                <w:color w:val="auto"/>
                <w:szCs w:val="24"/>
              </w:rPr>
            </w:pPr>
            <w:r>
              <w:rPr>
                <w:rFonts w:ascii="Times New Roman" w:hAnsi="Times New Roman" w:cs="Times New Roman" w:hint="default"/>
                <w:b/>
                <w:bCs/>
                <w:color w:val="auto"/>
                <w:szCs w:val="24"/>
              </w:rPr>
              <w:t>③</w:t>
            </w:r>
            <w:r>
              <w:rPr>
                <w:rFonts w:ascii="Times New Roman" w:hAnsi="Times New Roman" w:cs="Times New Roman" w:hint="default"/>
                <w:b/>
                <w:bCs/>
                <w:color w:val="auto"/>
                <w:szCs w:val="24"/>
              </w:rPr>
              <w:t>一次筛分：</w:t>
            </w:r>
            <w:r>
              <w:rPr>
                <w:rFonts w:ascii="Times New Roman" w:hAnsi="Times New Roman" w:cs="Times New Roman" w:hint="default"/>
                <w:color w:val="auto"/>
                <w:szCs w:val="24"/>
              </w:rPr>
              <w:t>棒条筛筛下产物通过皮带机输送至YA1848圆振筛筛分，筛上产物与粗碎产物合并后经皮带输送至中间料场，筛下产物为尾泥。</w:t>
            </w:r>
          </w:p>
        </w:tc>
      </w:tr>
    </w:tbl>
    <w:p>
      <w:pPr>
        <w:sectPr>
          <w:footerReference w:type="even" r:id="rId65"/>
          <w:footerReference w:type="default" r:id="rId66"/>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8"/>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2311"/>
        </w:trPr>
        <w:tc>
          <w:tcPr>
            <w:tcW w:w="5000" w:type="pct"/>
          </w:tcPr>
          <w:p>
            <w:pPr>
              <w:pStyle w:val="120"/>
              <w:ind w:firstLine="482"/>
              <w:rPr>
                <w:rFonts w:cs="Times New Roman" w:hint="default"/>
                <w:color w:val="auto"/>
                <w:szCs w:val="24"/>
              </w:rPr>
            </w:pPr>
            <w:r>
              <w:rPr>
                <w:rFonts w:ascii="Times New Roman" w:hAnsi="Times New Roman" w:cs="Times New Roman" w:hint="default"/>
                <w:b/>
                <w:bCs/>
                <w:color w:val="auto"/>
                <w:szCs w:val="24"/>
              </w:rPr>
              <w:t>④</w:t>
            </w:r>
            <w:r>
              <w:rPr>
                <w:rFonts w:ascii="Times New Roman" w:hAnsi="Times New Roman" w:cs="Times New Roman" w:hint="default"/>
                <w:b/>
                <w:bCs/>
                <w:color w:val="auto"/>
                <w:szCs w:val="24"/>
              </w:rPr>
              <w:t>中碎：</w:t>
            </w:r>
            <w:r>
              <w:rPr>
                <w:rFonts w:ascii="Times New Roman" w:hAnsi="Times New Roman" w:cs="Times New Roman" w:hint="default"/>
                <w:color w:val="auto"/>
                <w:szCs w:val="24"/>
              </w:rPr>
              <w:t>中间料场的物料用电动给矿机给入胶带输送机输送至PYB2200标准圆锥破碎机进行中碎，排料口设为40mm。</w:t>
            </w:r>
          </w:p>
          <w:p>
            <w:pPr>
              <w:pStyle w:val="120"/>
              <w:ind w:firstLine="482"/>
              <w:rPr>
                <w:rFonts w:cs="Times New Roman" w:hint="default"/>
                <w:color w:val="auto"/>
                <w:szCs w:val="24"/>
              </w:rPr>
            </w:pPr>
            <w:r>
              <w:rPr>
                <w:rFonts w:ascii="Times New Roman" w:hAnsi="Times New Roman" w:cs="Times New Roman" w:hint="default"/>
                <w:b/>
                <w:bCs/>
                <w:color w:val="auto"/>
                <w:szCs w:val="24"/>
              </w:rPr>
              <w:t>⑤</w:t>
            </w:r>
            <w:r>
              <w:rPr>
                <w:rFonts w:ascii="Times New Roman" w:hAnsi="Times New Roman" w:cs="Times New Roman" w:hint="default"/>
                <w:b/>
                <w:bCs/>
                <w:color w:val="auto"/>
                <w:szCs w:val="24"/>
              </w:rPr>
              <w:t>二次筛分、细碎：</w:t>
            </w:r>
            <w:r>
              <w:rPr>
                <w:rFonts w:ascii="Times New Roman" w:hAnsi="Times New Roman" w:cs="Times New Roman" w:hint="default"/>
                <w:color w:val="auto"/>
                <w:szCs w:val="24"/>
              </w:rPr>
              <w:t>中碎后物料经皮带输送机输送至2YA2148圆振筛进行分级，+40mm粒级产品进入PYZ2200圆锥破碎机进行细碎，排料口设为30mm，细碎后物料再返回2YA2148圆振筛分级。</w:t>
            </w:r>
          </w:p>
          <w:p>
            <w:pPr>
              <w:pStyle w:val="120"/>
              <w:ind w:firstLine="482"/>
              <w:rPr>
                <w:rFonts w:cs="Times New Roman" w:hint="default"/>
                <w:color w:val="auto"/>
                <w:szCs w:val="24"/>
              </w:rPr>
            </w:pPr>
            <w:r>
              <w:rPr>
                <w:rFonts w:ascii="Times New Roman" w:hAnsi="Times New Roman" w:cs="Times New Roman" w:hint="default"/>
                <w:b/>
                <w:bCs/>
                <w:color w:val="auto"/>
                <w:szCs w:val="24"/>
              </w:rPr>
              <w:t>⑥</w:t>
            </w:r>
            <w:r>
              <w:rPr>
                <w:rFonts w:ascii="Times New Roman" w:hAnsi="Times New Roman" w:cs="Times New Roman" w:hint="default"/>
                <w:b/>
                <w:bCs/>
                <w:color w:val="auto"/>
                <w:szCs w:val="24"/>
              </w:rPr>
              <w:t>成品筛分：</w:t>
            </w:r>
            <w:r>
              <w:rPr>
                <w:rFonts w:ascii="Times New Roman" w:hAnsi="Times New Roman" w:cs="Times New Roman" w:hint="default"/>
                <w:color w:val="auto"/>
                <w:szCs w:val="24"/>
              </w:rPr>
              <w:t>+20～40mm粒级作为最终产品用胶带输送机运至产品堆场；-20mm粒级用胶带输送机送至下一级2YA2148圆振筛进行分级，+3～10mm粒级产品进入短头圆锥破碎机PYZ1200进行粉碎，排料口设为3mm，粉碎后物料再返回2YA2148圆振筛分级。+10～20mm、0～3mm粒级作为最终产品用胶带输送机运至产品堆场，各产品分别用胶带输送机运至各成品堆场。</w:t>
            </w:r>
          </w:p>
          <w:p>
            <w:pPr>
              <w:pStyle w:val="120"/>
              <w:ind w:firstLine="482"/>
              <w:rPr>
                <w:rFonts w:cs="Times New Roman" w:hint="default"/>
                <w:b/>
                <w:bCs/>
                <w:color w:val="auto"/>
                <w:szCs w:val="24"/>
              </w:rPr>
            </w:pPr>
            <w:r>
              <w:rPr>
                <w:rFonts w:ascii="Times New Roman" w:hAnsi="Times New Roman" w:cs="Times New Roman" w:hint="default"/>
                <w:b/>
                <w:bCs/>
                <w:color w:val="auto"/>
                <w:szCs w:val="24"/>
              </w:rPr>
              <w:t>（3）建筑用灰岩矿破碎筛分工艺流程</w:t>
            </w:r>
          </w:p>
          <w:p>
            <w:pPr>
              <w:pStyle w:val="120"/>
              <w:ind w:firstLine="0" w:firstLineChars="0"/>
              <w:jc w:val="center"/>
              <w:rPr>
                <w:rFonts w:cs="Times New Roman" w:hint="default"/>
                <w:b/>
                <w:bCs/>
                <w:color w:val="auto"/>
                <w:szCs w:val="24"/>
              </w:rPr>
            </w:pPr>
            <w:r>
              <w:rPr>
                <w:rFonts w:ascii="Times New Roman" w:hAnsi="Times New Roman" w:cs="Times New Roman" w:hint="default"/>
                <w:color w:val="auto"/>
                <w:sz w:val="24"/>
              </w:rPr>
              <w:pict>
                <v:group id="画布 39" o:spid="_x0000_i1105" editas="canvas" style="width:6in;height:380pt" coordorigin="0,0" coordsize="5486400,4825999">
                  <o:lock v:ext="edit" aspectratio="f"/>
                  <o:diagram v:ext="edit" dgmstyle="0" dgmscalex="0" dgmscaley="0" reverse="f"/>
                  <v:shape id="_x0000_s1106" type="#_x0000_t75" editas="canvas" style="width:5486400;height:4825999;mso-wrap-style:square;position:absolute;v-text-anchor:top" filled="f" stroked="f">
                    <v:fill o:detectmouseclick="t"/>
                    <v:stroke linestyle="single"/>
                    <v:shadow color="gray"/>
                    <o:lock v:ext="edit" aspectratio="f"/>
                    <o:diagram v:ext="edit" dgmstyle="0" dgmscalex="0" dgmscaley="0" reverse="f"/>
                  </v:shape>
                  <v:shape id="文本框 41" o:spid="_x0000_s1107" type="#_x0000_t202" style="width:815340;height:297815;left:2394585;mso-wrap-style:square;position:absolute;top:25717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原矿卸矿</w:t>
                          </w:r>
                        </w:p>
                      </w:txbxContent>
                    </v:textbox>
                  </v:shape>
                  <v:shape id="文本框 42" o:spid="_x0000_s1108" type="#_x0000_t202" style="width:685800;height:292100;left:2463800;mso-wrap-style:square;position:absolute;top:90868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粗碎</w:t>
                          </w:r>
                        </w:p>
                      </w:txbxContent>
                    </v:textbox>
                  </v:shape>
                  <v:shape id="文本框 43" o:spid="_x0000_s1109" type="#_x0000_t202" style="width:813435;height:292100;left:2395220;mso-wrap-style:square;position:absolute;top:155448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一次筛分</w:t>
                          </w:r>
                        </w:p>
                      </w:txbxContent>
                    </v:textbox>
                  </v:shape>
                  <v:shape id="文本框 44" o:spid="_x0000_s1110" type="#_x0000_t202" style="width:685800;height:292100;left:2461260;mso-wrap-style:square;position:absolute;top:215900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中碎</w:t>
                          </w:r>
                        </w:p>
                      </w:txbxContent>
                    </v:textbox>
                  </v:shape>
                  <v:shape id="文本框 45" o:spid="_x0000_s1111" type="#_x0000_t202" style="width:823595;height:292100;left:2395855;mso-wrap-style:square;position:absolute;top:273494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二次筛分</w:t>
                          </w:r>
                        </w:p>
                      </w:txbxContent>
                    </v:textbox>
                  </v:shape>
                  <v:shape id="文本框 46" o:spid="_x0000_s1112" type="#_x0000_t202" style="width:685800;height:292100;left:2461895;mso-wrap-style:square;position:absolute;top:331216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细碎</w:t>
                          </w:r>
                        </w:p>
                      </w:txbxContent>
                    </v:textbox>
                  </v:shape>
                  <v:shape id="文本框 47" o:spid="_x0000_s1113" type="#_x0000_t202" style="width:869315;height:292100;left:2369185;mso-wrap-style:square;position:absolute;top:391604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eastAsia"/>
                            </w:rPr>
                          </w:pPr>
                          <w:r>
                            <w:rPr>
                              <w:rFonts w:hint="eastAsia"/>
                              <w:lang w:eastAsia="zh-CN"/>
                            </w:rPr>
                            <w:t>成品筛分</w:t>
                          </w:r>
                        </w:p>
                      </w:txbxContent>
                    </v:textbox>
                  </v:shape>
                  <v:shape id="自选图形 48" o:spid="_x0000_s1114" type="#_x0000_t32" style="width:4445;height:353695;left:2802255;mso-wrap-style:square;position:absolute;top:554990" filled="f" stroked="t" strokeweight="1.5pt">
                    <v:fill o:detectmouseclick="t"/>
                    <v:stroke linestyle="single" endarrow="open" endarrowwidth="narrow"/>
                    <v:shadow color="gray"/>
                    <v:path arrowok="t" fillok="f"/>
                    <o:lock v:ext="edit" aspectratio="f"/>
                  </v:shape>
                  <v:shape id="自选图形 49" o:spid="_x0000_s1115" type="#_x0000_t32" style="width:4445;height:353695;flip:x;left:2802255;mso-wrap-style:square;position:absolute;top:1200785" filled="f" stroked="t" strokeweight="1.5pt">
                    <v:fill o:detectmouseclick="t"/>
                    <v:stroke linestyle="single" endarrow="open" endarrowwidth="narrow"/>
                    <v:shadow color="gray"/>
                    <v:path arrowok="t" fillok="f"/>
                    <o:lock v:ext="edit" aspectratio="f"/>
                  </v:shape>
                  <v:shape id="自选图形 50" o:spid="_x0000_s1116" type="#_x0000_t32" style="width:1905;height:312420;left:2802255;mso-wrap-style:square;position:absolute;top:1846580" filled="f" stroked="t" strokeweight="1.5pt">
                    <v:fill o:detectmouseclick="t"/>
                    <v:stroke linestyle="single" endarrow="open" endarrowwidth="narrow"/>
                    <v:shadow color="gray"/>
                    <v:path arrowok="t" fillok="f"/>
                    <o:lock v:ext="edit" aspectratio="f"/>
                  </v:shape>
                  <v:shape id="自选图形 51" o:spid="_x0000_s1117" type="#_x0000_t32" style="width:3810;height:283845;left:2804160;mso-wrap-style:square;position:absolute;top:2451100" filled="f" stroked="t" strokeweight="1.5pt">
                    <v:fill o:detectmouseclick="t"/>
                    <v:stroke linestyle="single" endarrow="open" endarrowwidth="narrow"/>
                    <v:shadow color="gray"/>
                    <v:path arrowok="t" fillok="f"/>
                    <o:lock v:ext="edit" aspectratio="f"/>
                  </v:shape>
                  <v:shape id="自选图形 52" o:spid="_x0000_s1118" type="#_x0000_t32" style="width:3175;height:285115;flip:x;left:2804795;mso-wrap-style:square;position:absolute;top:3027045" filled="f" stroked="t" strokeweight="1.5pt">
                    <v:fill o:detectmouseclick="t"/>
                    <v:stroke linestyle="single" endarrow="open" endarrowwidth="narrow"/>
                    <v:shadow color="gray"/>
                    <v:path arrowok="t" fillok="f"/>
                    <o:lock v:ext="edit" aspectratio="f"/>
                  </v:shape>
                  <v:shape id="自选图形 53" o:spid="_x0000_s1119" type="#_x0000_t32" style="width:635;height:311785;flip:x;left:2804160;mso-wrap-style:square;position:absolute;top:3604260" filled="f" stroked="t" strokeweight="1.5pt">
                    <v:fill o:detectmouseclick="t"/>
                    <v:stroke linestyle="single" endarrow="open" endarrowwidth="narrow"/>
                    <v:shadow color="gray"/>
                    <v:path arrowok="t" fillok="f"/>
                    <o:lock v:ext="edit" aspectratio="f"/>
                  </v:shape>
                  <v:shape id="自选图形 54" o:spid="_x0000_s1120" type="#_x0000_t32" style="width:1270;height:294005;flip:x;left:2802890;mso-wrap-style:square;position:absolute;top:4208145" filled="f" stroked="t" strokeweight="1.5pt">
                    <v:fill o:detectmouseclick="t"/>
                    <v:stroke linestyle="single" endarrow="open" endarrowwidth="narrow"/>
                    <v:shadow color="gray"/>
                    <v:path arrowok="t" fillok="f"/>
                    <o:lock v:ext="edit" aspectratio="f"/>
                  </v:shape>
                  <v:shape id="文本框 55" o:spid="_x0000_s1121" type="#_x0000_t202" style="width:931545;height:292100;left:3677920;mso-wrap-style:square;position:absolute;top:913130;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56" o:spid="_x0000_s1122" type="#_x0000_t32" style="width:528320;height:4445;left:3149600;mso-wrap-style:square;position:absolute;top:1054735" filled="f" stroked="t" strokeweight="1.5pt">
                    <v:fill o:detectmouseclick="t"/>
                    <v:stroke dashstyle="dash" linestyle="single" endarrow="open" endarrowwidth="narrow"/>
                    <v:shadow color="gray"/>
                    <v:path arrowok="t" fillok="f"/>
                    <o:lock v:ext="edit" aspectratio="f"/>
                  </v:shape>
                  <v:shape id="文本框 57" o:spid="_x0000_s1123" type="#_x0000_t202" style="width:927100;height:292100;left:3740785;mso-wrap-style:square;position:absolute;top:155384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58" o:spid="_x0000_s1124" type="#_x0000_t32" style="width:520700;height:0;left:3220085;mso-wrap-style:square;position:absolute;top:1706245" filled="f" stroked="t" strokeweight="1.5pt">
                    <v:fill o:detectmouseclick="t"/>
                    <v:stroke dashstyle="dash" linestyle="single" endarrow="open" endarrowwidth="narrow"/>
                    <v:shadow color="gray"/>
                    <v:path arrowok="t" fillok="f"/>
                    <o:lock v:ext="edit" aspectratio="f"/>
                  </v:shape>
                  <v:shape id="文本框 59" o:spid="_x0000_s1125" type="#_x0000_t202" style="width:927100;height:292100;left:3676650;mso-wrap-style:square;position:absolute;top:215836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60" o:spid="_x0000_s1126" type="#_x0000_t32" style="width:520700;height:0;left:3155950;mso-wrap-style:square;position:absolute;top:2310765" filled="f" stroked="t" strokeweight="1.5pt">
                    <v:fill o:detectmouseclick="t"/>
                    <v:stroke dashstyle="dash" linestyle="single" endarrow="open" endarrowwidth="narrow"/>
                    <v:shadow color="gray"/>
                    <v:path arrowok="t" fillok="f"/>
                    <o:lock v:ext="edit" aspectratio="f"/>
                  </v:shape>
                  <v:shape id="文本框 61" o:spid="_x0000_s1127" type="#_x0000_t202" style="width:927100;height:292100;left:3750310;mso-wrap-style:square;position:absolute;top:273494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62" o:spid="_x0000_s1128" type="#_x0000_t32" style="width:520700;height:0;left:3229610;mso-wrap-style:square;position:absolute;top:2887345" filled="f" stroked="t" strokeweight="1.5pt">
                    <v:fill o:detectmouseclick="t"/>
                    <v:stroke dashstyle="dash" linestyle="single" endarrow="open" endarrowwidth="narrow"/>
                    <v:shadow color="gray"/>
                    <v:path arrowok="t" fillok="f"/>
                    <o:lock v:ext="edit" aspectratio="f"/>
                  </v:shape>
                  <v:shape id="文本框 63" o:spid="_x0000_s1129" type="#_x0000_t202" style="width:927100;height:292100;left:3667760;mso-wrap-style:square;position:absolute;top:3302635;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64" o:spid="_x0000_s1130" type="#_x0000_t32" style="width:520700;height:0;left:3147060;mso-wrap-style:square;position:absolute;top:3455035" filled="f" stroked="t" strokeweight="1.5pt">
                    <v:fill o:detectmouseclick="t"/>
                    <v:stroke dashstyle="dash" linestyle="single" endarrow="open" endarrowwidth="narrow"/>
                    <v:shadow color="gray"/>
                    <v:path arrowok="t" fillok="f"/>
                    <o:lock v:ext="edit" aspectratio="f"/>
                  </v:shape>
                  <v:shape id="文本框 65" o:spid="_x0000_s1131" type="#_x0000_t202" style="width:927100;height:292100;left:3778250;mso-wrap-style:square;position:absolute;top:3916680;v-text-anchor:top" filled="t" fillcolor="white" stroked="t" strokeweight="0.5pt">
                    <v:fill color2="white"/>
                    <v:stroke joinstyle="miter" dashstyle="dash" linestyle="single" endarrow="block" endarrowwidth="narrow"/>
                    <v:shadow color="gray"/>
                    <o:lock v:ext="edit" aspectratio="f"/>
                    <v:textbox style="layout-flow:horizontal">
                      <w:txbxContent>
                        <w:p>
                          <w:pPr>
                            <w:jc w:val="center"/>
                            <w:rPr>
                              <w:rFonts w:eastAsia="宋体" w:hint="eastAsia"/>
                            </w:rPr>
                          </w:pPr>
                          <w:r>
                            <w:rPr>
                              <w:rFonts w:hint="eastAsia"/>
                              <w:lang w:eastAsia="zh-CN"/>
                            </w:rPr>
                            <w:t>粉尘、噪声</w:t>
                          </w:r>
                        </w:p>
                      </w:txbxContent>
                    </v:textbox>
                  </v:shape>
                  <v:shape id="自选图形 66" o:spid="_x0000_s1132" type="#_x0000_t32" style="width:520700;height:0;left:3257550;mso-wrap-style:square;position:absolute;top:4069080" filled="f" stroked="t" strokeweight="1.5pt">
                    <v:fill o:detectmouseclick="t"/>
                    <v:stroke dashstyle="dash" linestyle="single" endarrow="open" endarrowwidth="narrow"/>
                    <v:shadow color="gray"/>
                    <v:path arrowok="t" fillok="f"/>
                    <o:lock v:ext="edit" aspectratio="f"/>
                  </v:shape>
                  <v:shape id="文本框 67" o:spid="_x0000_s1133" type="#_x0000_t202" style="width:1170940;height:292100;left:720725;mso-wrap-style:square;position:absolute;top:274383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default"/>
                            </w:rPr>
                          </w:pPr>
                          <w:r>
                            <w:rPr>
                              <w:rFonts w:eastAsia="宋体" w:hint="eastAsia"/>
                              <w:lang w:val="en-US" w:eastAsia="zh-CN"/>
                            </w:rPr>
                            <w:t>20~30mm成品</w:t>
                          </w:r>
                        </w:p>
                      </w:txbxContent>
                    </v:textbox>
                  </v:shape>
                  <v:shape id="自选图形 68" o:spid="_x0000_s1134" type="#_x0000_t32" style="width:504190;height:8890;flip:x;left:1891665;mso-wrap-style:square;position:absolute;top:2880995" filled="f" stroked="t" strokeweight="1.5pt">
                    <v:fill o:detectmouseclick="t"/>
                    <v:stroke linestyle="single" endarrow="open" endarrowwidth="narrow"/>
                    <v:shadow color="gray"/>
                    <v:path arrowok="t" fillok="f"/>
                    <o:lock v:ext="edit" aspectratio="f"/>
                  </v:shape>
                  <v:shape id="自选图形 69" o:spid="_x0000_s1135" type="#_x0000_t32" style="width:495300;height:0;flip:x;left:1870075;mso-wrap-style:square;position:absolute;top:4089400" filled="f" stroked="t" strokeweight="1.5pt">
                    <v:fill o:detectmouseclick="t"/>
                    <v:stroke linestyle="single" endarrow="open" endarrowwidth="narrow"/>
                    <v:shadow color="gray"/>
                    <v:path arrowok="t" fillok="f"/>
                    <o:lock v:ext="edit" aspectratio="f"/>
                  </v:shape>
                  <v:shape id="文本框 70" o:spid="_x0000_s1136" type="#_x0000_t202" style="width:1168400;height:292100;left:702310;mso-wrap-style:square;position:absolute;top:3934460;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default"/>
                            </w:rPr>
                          </w:pPr>
                          <w:r>
                            <w:rPr>
                              <w:rFonts w:eastAsia="宋体" w:hint="eastAsia"/>
                              <w:lang w:val="en-US" w:eastAsia="zh-CN"/>
                            </w:rPr>
                            <w:t>10~20mm成品</w:t>
                          </w:r>
                        </w:p>
                      </w:txbxContent>
                    </v:textbox>
                  </v:shape>
                  <v:shape id="文本框 71" o:spid="_x0000_s1137" type="#_x0000_t202" style="width:1086485;height:292100;left:2282825;mso-wrap-style:square;position:absolute;top:4481195;v-text-anchor:top" filled="t" fillcolor="white" stroked="t" strokeweight="0.5pt">
                    <v:fill color2="white"/>
                    <v:stroke joinstyle="miter" linestyle="single" endarrow="block" endarrowwidth="narrow"/>
                    <v:shadow color="gray"/>
                    <o:lock v:ext="edit" aspectratio="f"/>
                    <v:textbox style="layout-flow:horizontal">
                      <w:txbxContent>
                        <w:p>
                          <w:pPr>
                            <w:jc w:val="center"/>
                            <w:rPr>
                              <w:rFonts w:eastAsia="宋体" w:hint="default"/>
                            </w:rPr>
                          </w:pPr>
                          <w:r>
                            <w:rPr>
                              <w:rFonts w:eastAsia="宋体" w:hint="eastAsia"/>
                              <w:lang w:val="en-US" w:eastAsia="zh-CN"/>
                            </w:rPr>
                            <w:t>0~10mm成品</w:t>
                          </w:r>
                        </w:p>
                      </w:txbxContent>
                    </v:textbox>
                  </v:shape>
                  <w10:anchorlock/>
                </v:group>
              </w:pict>
            </w:r>
          </w:p>
          <w:p>
            <w:pPr>
              <w:pStyle w:val="120"/>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图5-4  建筑用灰岩矿破碎筛分工艺流程</w:t>
            </w:r>
          </w:p>
          <w:p>
            <w:pPr>
              <w:autoSpaceDE w:val="0"/>
              <w:autoSpaceDN w:val="0"/>
              <w:adjustRightInd w:val="0"/>
              <w:snapToGrid w:val="0"/>
              <w:spacing w:line="360" w:lineRule="auto"/>
              <w:ind w:firstLine="480" w:firstLineChars="200"/>
              <w:jc w:val="left"/>
              <w:rPr>
                <w:rFonts w:ascii="Times New Roman" w:hAnsi="Times New Roman" w:cs="Times New Roman" w:hint="default"/>
                <w:b/>
                <w:bCs/>
                <w:color w:val="auto"/>
                <w:szCs w:val="24"/>
              </w:rPr>
            </w:pPr>
            <w:r>
              <w:rPr>
                <w:rFonts w:ascii="Times New Roman" w:hAnsi="Times New Roman" w:cs="Times New Roman" w:hint="default"/>
                <w:b/>
                <w:bCs/>
                <w:color w:val="auto"/>
                <w:szCs w:val="24"/>
              </w:rPr>
              <w:t>工艺流程简述：</w:t>
            </w:r>
          </w:p>
          <w:p>
            <w:pPr>
              <w:pStyle w:val="120"/>
              <w:spacing w:after="0"/>
              <w:ind w:firstLine="482"/>
              <w:rPr>
                <w:rFonts w:cs="Times New Roman" w:hint="default"/>
                <w:color w:val="auto"/>
                <w:szCs w:val="24"/>
              </w:rPr>
            </w:pPr>
            <w:r>
              <w:rPr>
                <w:rFonts w:ascii="Times New Roman" w:hAnsi="Times New Roman" w:cs="Times New Roman" w:hint="default"/>
                <w:b/>
                <w:bCs/>
                <w:color w:val="auto"/>
                <w:szCs w:val="24"/>
              </w:rPr>
              <w:t>①</w:t>
            </w:r>
            <w:r>
              <w:rPr>
                <w:rFonts w:ascii="Times New Roman" w:hAnsi="Times New Roman" w:cs="Times New Roman" w:hint="default"/>
                <w:b/>
                <w:bCs/>
                <w:color w:val="auto"/>
                <w:szCs w:val="24"/>
              </w:rPr>
              <w:t>卸矿：</w:t>
            </w:r>
          </w:p>
        </w:tc>
      </w:tr>
    </w:tbl>
    <w:p>
      <w:pPr>
        <w:sectPr>
          <w:footerReference w:type="even" r:id="rId67"/>
          <w:footerReference w:type="default" r:id="rId6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29"/>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2311"/>
        </w:trPr>
        <w:tc>
          <w:tcPr>
            <w:tcW w:w="5000" w:type="pct"/>
          </w:tcPr>
          <w:p>
            <w:pPr>
              <w:pStyle w:val="120"/>
              <w:spacing w:before="0"/>
              <w:ind w:firstLine="482"/>
              <w:rPr>
                <w:rFonts w:cs="Times New Roman" w:hint="default"/>
                <w:color w:val="auto"/>
                <w:szCs w:val="24"/>
              </w:rPr>
            </w:pPr>
            <w:r>
              <w:rPr>
                <w:rFonts w:ascii="Times New Roman" w:hAnsi="Times New Roman" w:cs="Times New Roman" w:hint="default"/>
                <w:color w:val="auto"/>
                <w:szCs w:val="24"/>
              </w:rPr>
              <w:t>从露天采场采出的建筑用灰岩矿用自卸汽车运送到破碎站卸矿平台受矿仓，受矿仓设有格筛，个别大于850mm的块石用电葫芦吊出，采用液压破碎锤进行二次破碎处理。</w:t>
            </w:r>
          </w:p>
          <w:p>
            <w:pPr>
              <w:pStyle w:val="120"/>
              <w:ind w:firstLine="482"/>
              <w:rPr>
                <w:rFonts w:cs="Times New Roman" w:hint="default"/>
                <w:color w:val="auto"/>
                <w:szCs w:val="24"/>
              </w:rPr>
            </w:pPr>
            <w:r>
              <w:rPr>
                <w:rFonts w:ascii="Times New Roman" w:hAnsi="Times New Roman" w:cs="Times New Roman" w:hint="default"/>
                <w:b/>
                <w:bCs/>
                <w:color w:val="auto"/>
                <w:szCs w:val="24"/>
              </w:rPr>
              <w:t>②</w:t>
            </w:r>
            <w:r>
              <w:rPr>
                <w:rFonts w:ascii="Times New Roman" w:hAnsi="Times New Roman" w:cs="Times New Roman" w:hint="default"/>
                <w:b/>
                <w:bCs/>
                <w:color w:val="auto"/>
                <w:szCs w:val="24"/>
              </w:rPr>
              <w:t>粗碎：</w:t>
            </w:r>
            <w:r>
              <w:rPr>
                <w:rFonts w:ascii="Times New Roman" w:hAnsi="Times New Roman" w:cs="Times New Roman" w:hint="default"/>
                <w:color w:val="auto"/>
                <w:szCs w:val="24"/>
              </w:rPr>
              <w:t>矿石经重型板式给料机送到PE1200</w:t>
            </w:r>
            <w:r>
              <w:rPr>
                <w:rFonts w:ascii="Times New Roman" w:hAnsi="Times New Roman" w:cs="Times New Roman" w:hint="default"/>
                <w:color w:val="auto"/>
                <w:szCs w:val="24"/>
              </w:rPr>
              <w:t>×</w:t>
            </w:r>
            <w:r>
              <w:rPr>
                <w:rFonts w:ascii="Times New Roman" w:hAnsi="Times New Roman" w:cs="Times New Roman" w:hint="default"/>
                <w:color w:val="auto"/>
                <w:szCs w:val="24"/>
              </w:rPr>
              <w:t>1500颚式破碎机破碎，颚式破碎机前设置棒条筛进行脱泥处理，棒条筛筛上块矿直接进入颚式破碎机破碎，排料口设为195mm，粗碎后的物料经皮带运至中间料场。</w:t>
            </w:r>
          </w:p>
          <w:p>
            <w:pPr>
              <w:pStyle w:val="120"/>
              <w:ind w:firstLine="482"/>
              <w:rPr>
                <w:rFonts w:cs="Times New Roman" w:hint="default"/>
                <w:color w:val="auto"/>
                <w:szCs w:val="24"/>
              </w:rPr>
            </w:pPr>
            <w:r>
              <w:rPr>
                <w:rFonts w:ascii="Times New Roman" w:hAnsi="Times New Roman" w:cs="Times New Roman" w:hint="default"/>
                <w:b/>
                <w:bCs/>
                <w:color w:val="auto"/>
                <w:szCs w:val="24"/>
              </w:rPr>
              <w:t>③</w:t>
            </w:r>
            <w:r>
              <w:rPr>
                <w:rFonts w:ascii="Times New Roman" w:hAnsi="Times New Roman" w:cs="Times New Roman" w:hint="default"/>
                <w:b/>
                <w:bCs/>
                <w:color w:val="auto"/>
                <w:szCs w:val="24"/>
              </w:rPr>
              <w:t>一次筛分：</w:t>
            </w:r>
            <w:r>
              <w:rPr>
                <w:rFonts w:ascii="Times New Roman" w:hAnsi="Times New Roman" w:cs="Times New Roman" w:hint="default"/>
                <w:color w:val="auto"/>
                <w:szCs w:val="24"/>
              </w:rPr>
              <w:t>棒条筛筛下产物通过皮带机输送至YA1848圆振筛筛分，筛上产物与粗碎产物合并后经皮带输送至中间料场，筛下产物为尾泥。</w:t>
            </w:r>
          </w:p>
          <w:p>
            <w:pPr>
              <w:pStyle w:val="120"/>
              <w:ind w:firstLine="482"/>
              <w:rPr>
                <w:rFonts w:cs="Times New Roman" w:hint="default"/>
                <w:color w:val="auto"/>
                <w:szCs w:val="24"/>
              </w:rPr>
            </w:pPr>
            <w:r>
              <w:rPr>
                <w:rFonts w:ascii="Times New Roman" w:hAnsi="Times New Roman" w:cs="Times New Roman" w:hint="default"/>
                <w:b/>
                <w:bCs/>
                <w:color w:val="auto"/>
                <w:szCs w:val="24"/>
              </w:rPr>
              <w:t>④</w:t>
            </w:r>
            <w:r>
              <w:rPr>
                <w:rFonts w:ascii="Times New Roman" w:hAnsi="Times New Roman" w:cs="Times New Roman" w:hint="default"/>
                <w:b/>
                <w:bCs/>
                <w:color w:val="auto"/>
                <w:szCs w:val="24"/>
              </w:rPr>
              <w:t>中碎：</w:t>
            </w:r>
            <w:r>
              <w:rPr>
                <w:rFonts w:ascii="Times New Roman" w:hAnsi="Times New Roman" w:cs="Times New Roman" w:hint="default"/>
                <w:color w:val="auto"/>
                <w:szCs w:val="24"/>
              </w:rPr>
              <w:t>中间料场的物料用电动给矿机给入胶带输送机输送至PYB2200标准圆锥破碎机进行中碎，排料口设为40mm。</w:t>
            </w:r>
          </w:p>
          <w:p>
            <w:pPr>
              <w:pStyle w:val="120"/>
              <w:ind w:firstLine="482"/>
              <w:rPr>
                <w:rFonts w:cs="Times New Roman" w:hint="default"/>
                <w:color w:val="auto"/>
                <w:szCs w:val="24"/>
              </w:rPr>
            </w:pPr>
            <w:r>
              <w:rPr>
                <w:rFonts w:ascii="Times New Roman" w:hAnsi="Times New Roman" w:cs="Times New Roman" w:hint="default"/>
                <w:b/>
                <w:bCs/>
                <w:color w:val="auto"/>
                <w:szCs w:val="24"/>
              </w:rPr>
              <w:t>⑤</w:t>
            </w:r>
            <w:r>
              <w:rPr>
                <w:rFonts w:ascii="Times New Roman" w:hAnsi="Times New Roman" w:cs="Times New Roman" w:hint="default"/>
                <w:b/>
                <w:bCs/>
                <w:color w:val="auto"/>
                <w:szCs w:val="24"/>
              </w:rPr>
              <w:t>二次筛分、细碎：</w:t>
            </w:r>
            <w:r>
              <w:rPr>
                <w:rFonts w:ascii="Times New Roman" w:hAnsi="Times New Roman" w:cs="Times New Roman" w:hint="default"/>
                <w:color w:val="auto"/>
                <w:szCs w:val="24"/>
              </w:rPr>
              <w:t>中碎后物料经皮带输送机输送至2YA2148圆振筛进行分级，+40mm粒级产品进入PYZ2200圆锥破碎机进行细碎，排料口设为30mm，细碎后物料再返回2YA2148圆振筛分级。</w:t>
            </w:r>
          </w:p>
          <w:p>
            <w:pPr>
              <w:pStyle w:val="120"/>
              <w:ind w:firstLine="482"/>
              <w:rPr>
                <w:rFonts w:cs="Times New Roman" w:hint="default"/>
                <w:color w:val="auto"/>
                <w:szCs w:val="24"/>
              </w:rPr>
            </w:pPr>
            <w:r>
              <w:rPr>
                <w:rFonts w:ascii="Times New Roman" w:hAnsi="Times New Roman" w:cs="Times New Roman" w:hint="default"/>
                <w:b/>
                <w:bCs/>
                <w:color w:val="auto"/>
                <w:szCs w:val="24"/>
              </w:rPr>
              <w:t>⑥</w:t>
            </w:r>
            <w:r>
              <w:rPr>
                <w:rFonts w:ascii="Times New Roman" w:hAnsi="Times New Roman" w:cs="Times New Roman" w:hint="default"/>
                <w:b/>
                <w:bCs/>
                <w:color w:val="auto"/>
                <w:szCs w:val="24"/>
              </w:rPr>
              <w:t>成品：</w:t>
            </w:r>
            <w:r>
              <w:rPr>
                <w:rFonts w:ascii="Times New Roman" w:hAnsi="Times New Roman" w:cs="Times New Roman" w:hint="default"/>
                <w:color w:val="auto"/>
                <w:szCs w:val="24"/>
              </w:rPr>
              <w:t>+20～40mm粒级作为最终产品用胶带输送机运至产品堆场；-20mm粒级用胶带输送机送至下一级2YA2148圆振筛进行分级，+3～10mm粒级产品进入短头圆锥破碎机PYZ1200进行粉碎，排料口设为3mm，粉碎后物料再返回2YA2148圆振筛分级。+10～20mm、0～3mm粒级作为最终产品用胶带输送机运至产品堆场，各产品分别用胶带输送机运至各成品堆场。</w:t>
            </w:r>
          </w:p>
          <w:p>
            <w:pPr>
              <w:pStyle w:val="120"/>
              <w:rPr>
                <w:rFonts w:cs="Times New Roman" w:hint="default"/>
                <w:color w:val="auto"/>
                <w:szCs w:val="24"/>
              </w:rPr>
            </w:pPr>
            <w:r>
              <w:rPr>
                <w:rFonts w:ascii="Times New Roman" w:hAnsi="Times New Roman" w:cs="Times New Roman" w:hint="default"/>
                <w:color w:val="auto"/>
                <w:szCs w:val="24"/>
              </w:rPr>
              <w:t>项目内熔剂用灰岩矿和建筑用灰岩矿加工过程物料平衡见表5-1和表5-2。</w:t>
            </w:r>
          </w:p>
          <w:p>
            <w:pPr>
              <w:pStyle w:val="120"/>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表5-1  熔剂用灰岩矿加工物料平衡表</w:t>
            </w: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CellMar>
                <w:top w:w="0" w:type="dxa"/>
                <w:left w:w="0" w:type="dxa"/>
                <w:bottom w:w="0" w:type="dxa"/>
                <w:right w:w="0" w:type="dxa"/>
              </w:tblCellMar>
              <w:tblLook w:val="0000"/>
            </w:tblPr>
            <w:tblGrid>
              <w:gridCol w:w="845"/>
              <w:gridCol w:w="1977"/>
              <w:gridCol w:w="1591"/>
              <w:gridCol w:w="889"/>
              <w:gridCol w:w="2275"/>
              <w:gridCol w:w="1593"/>
            </w:tblGrid>
            <w:tr>
              <w:tblPrEx>
                <w:tblW w:w="0" w:type="auto"/>
                <w:tblInd w:w="8"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CellMar>
                  <w:top w:w="0" w:type="dxa"/>
                  <w:left w:w="0" w:type="dxa"/>
                  <w:bottom w:w="0" w:type="dxa"/>
                  <w:right w:w="0" w:type="dxa"/>
                </w:tblCellMar>
                <w:tblLook w:val="0000"/>
              </w:tblPrEx>
              <w:trPr>
                <w:trHeight w:val="23"/>
              </w:trPr>
              <w:tc>
                <w:tcPr>
                  <w:tcW w:w="4413" w:type="dxa"/>
                  <w:gridSpan w:val="3"/>
                </w:tcPr>
                <w:p>
                  <w:pPr>
                    <w:pStyle w:val="TableParagraph"/>
                    <w:ind w:left="1922" w:right="1908"/>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投入</w:t>
                  </w:r>
                </w:p>
              </w:tc>
              <w:tc>
                <w:tcPr>
                  <w:tcW w:w="4757" w:type="dxa"/>
                  <w:gridSpan w:val="3"/>
                </w:tcPr>
                <w:p>
                  <w:pPr>
                    <w:pStyle w:val="TableParagraph"/>
                    <w:ind w:left="2086" w:right="2082"/>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产出</w:t>
                  </w:r>
                </w:p>
              </w:tc>
            </w:tr>
            <w:tr>
              <w:tblPrEx>
                <w:tblW w:w="0" w:type="auto"/>
                <w:tblInd w:w="8" w:type="dxa"/>
                <w:tblCellMar>
                  <w:top w:w="0" w:type="dxa"/>
                  <w:left w:w="0" w:type="dxa"/>
                  <w:bottom w:w="0" w:type="dxa"/>
                  <w:right w:w="0" w:type="dxa"/>
                </w:tblCellMar>
                <w:tblLook w:val="0000"/>
              </w:tblPrEx>
              <w:trPr>
                <w:trHeight w:val="23"/>
              </w:trPr>
              <w:tc>
                <w:tcPr>
                  <w:tcW w:w="845" w:type="dxa"/>
                </w:tcPr>
                <w:p>
                  <w:pPr>
                    <w:pStyle w:val="TableParagraph"/>
                    <w:ind w:left="156" w:right="142"/>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序号</w:t>
                  </w:r>
                </w:p>
              </w:tc>
              <w:tc>
                <w:tcPr>
                  <w:tcW w:w="1977" w:type="dxa"/>
                </w:tcPr>
                <w:p>
                  <w:pPr>
                    <w:pStyle w:val="TableParagraph"/>
                    <w:ind w:left="120" w:right="115"/>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物料名称</w:t>
                  </w:r>
                </w:p>
              </w:tc>
              <w:tc>
                <w:tcPr>
                  <w:tcW w:w="1591" w:type="dxa"/>
                </w:tcPr>
                <w:p>
                  <w:pPr>
                    <w:pStyle w:val="TableParagraph"/>
                    <w:ind w:left="146" w:right="136"/>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用量（t/a）</w:t>
                  </w:r>
                </w:p>
              </w:tc>
              <w:tc>
                <w:tcPr>
                  <w:tcW w:w="889" w:type="dxa"/>
                </w:tcPr>
                <w:p>
                  <w:pPr>
                    <w:pStyle w:val="TableParagraph"/>
                    <w:ind w:left="175" w:right="166"/>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序号</w:t>
                  </w:r>
                </w:p>
              </w:tc>
              <w:tc>
                <w:tcPr>
                  <w:tcW w:w="2275" w:type="dxa"/>
                </w:tcPr>
                <w:p>
                  <w:pPr>
                    <w:pStyle w:val="TableParagraph"/>
                    <w:ind w:left="272" w:right="259"/>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名称</w:t>
                  </w:r>
                </w:p>
              </w:tc>
              <w:tc>
                <w:tcPr>
                  <w:tcW w:w="1593" w:type="dxa"/>
                </w:tcPr>
                <w:p>
                  <w:pPr>
                    <w:pStyle w:val="TableParagraph"/>
                    <w:ind w:left="145" w:right="137"/>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产量（t/a）</w:t>
                  </w:r>
                </w:p>
              </w:tc>
            </w:tr>
            <w:tr>
              <w:tblPrEx>
                <w:tblW w:w="0" w:type="auto"/>
                <w:tblInd w:w="8" w:type="dxa"/>
                <w:tblCellMar>
                  <w:top w:w="0" w:type="dxa"/>
                  <w:left w:w="0" w:type="dxa"/>
                  <w:bottom w:w="0" w:type="dxa"/>
                  <w:right w:w="0" w:type="dxa"/>
                </w:tblCellMar>
                <w:tblLook w:val="0000"/>
              </w:tblPrEx>
              <w:trPr>
                <w:trHeight w:val="23"/>
              </w:trPr>
              <w:tc>
                <w:tcPr>
                  <w:tcW w:w="845" w:type="dxa"/>
                </w:tcPr>
                <w:p>
                  <w:pPr>
                    <w:pStyle w:val="TableParagraph"/>
                    <w:ind w:left="10"/>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w:t>
                  </w:r>
                </w:p>
              </w:tc>
              <w:tc>
                <w:tcPr>
                  <w:tcW w:w="1977" w:type="dxa"/>
                </w:tcPr>
                <w:p>
                  <w:pPr>
                    <w:pStyle w:val="TableParagraph"/>
                    <w:ind w:left="122" w:right="115"/>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熔剂用灰岩矿</w:t>
                  </w:r>
                </w:p>
              </w:tc>
              <w:tc>
                <w:tcPr>
                  <w:tcW w:w="1591" w:type="dxa"/>
                </w:tcPr>
                <w:p>
                  <w:pPr>
                    <w:pStyle w:val="TableParagraph"/>
                    <w:ind w:left="146" w:right="131"/>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500000</w:t>
                  </w:r>
                </w:p>
              </w:tc>
              <w:tc>
                <w:tcPr>
                  <w:tcW w:w="889" w:type="dxa"/>
                </w:tcPr>
                <w:p>
                  <w:pPr>
                    <w:pStyle w:val="TableParagraph"/>
                    <w:ind w:left="4"/>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w:t>
                  </w:r>
                </w:p>
              </w:tc>
              <w:tc>
                <w:tcPr>
                  <w:tcW w:w="2275" w:type="dxa"/>
                </w:tcPr>
                <w:p>
                  <w:pPr>
                    <w:pStyle w:val="TableParagraph"/>
                    <w:ind w:left="272" w:right="259"/>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碎石</w:t>
                  </w:r>
                </w:p>
              </w:tc>
              <w:tc>
                <w:tcPr>
                  <w:tcW w:w="1593" w:type="dxa"/>
                  <w:vAlign w:val="center"/>
                </w:tcPr>
                <w:p>
                  <w:pPr>
                    <w:pStyle w:val="TableParagraph"/>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385000</w:t>
                  </w:r>
                </w:p>
              </w:tc>
            </w:tr>
            <w:tr>
              <w:tblPrEx>
                <w:tblW w:w="0" w:type="auto"/>
                <w:tblInd w:w="8" w:type="dxa"/>
                <w:tblCellMar>
                  <w:top w:w="0" w:type="dxa"/>
                  <w:left w:w="0" w:type="dxa"/>
                  <w:bottom w:w="0" w:type="dxa"/>
                  <w:right w:w="0" w:type="dxa"/>
                </w:tblCellMar>
                <w:tblLook w:val="0000"/>
              </w:tblPrEx>
              <w:trPr>
                <w:trHeight w:val="23"/>
              </w:trPr>
              <w:tc>
                <w:tcPr>
                  <w:tcW w:w="845" w:type="dxa"/>
                </w:tcPr>
                <w:p>
                  <w:pPr>
                    <w:pStyle w:val="TableParagraph"/>
                    <w:ind w:left="10"/>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w:t>
                  </w:r>
                </w:p>
              </w:tc>
              <w:tc>
                <w:tcPr>
                  <w:tcW w:w="1977" w:type="dxa"/>
                </w:tcPr>
                <w:p>
                  <w:pPr>
                    <w:pStyle w:val="TableParagraph"/>
                    <w:ind w:left="115" w:right="115"/>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w:t>
                  </w:r>
                </w:p>
              </w:tc>
              <w:tc>
                <w:tcPr>
                  <w:tcW w:w="1591" w:type="dxa"/>
                </w:tcPr>
                <w:p>
                  <w:pPr>
                    <w:pStyle w:val="TableParagraph"/>
                    <w:ind w:left="146" w:right="131"/>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w:t>
                  </w:r>
                </w:p>
              </w:tc>
              <w:tc>
                <w:tcPr>
                  <w:tcW w:w="889" w:type="dxa"/>
                </w:tcPr>
                <w:p>
                  <w:pPr>
                    <w:pStyle w:val="TableParagraph"/>
                    <w:ind w:left="4"/>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2</w:t>
                  </w:r>
                </w:p>
              </w:tc>
              <w:tc>
                <w:tcPr>
                  <w:tcW w:w="2275" w:type="dxa"/>
                </w:tcPr>
                <w:p>
                  <w:pPr>
                    <w:pStyle w:val="TableParagraph"/>
                    <w:ind w:left="272" w:right="259"/>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石粉</w:t>
                  </w:r>
                </w:p>
              </w:tc>
              <w:tc>
                <w:tcPr>
                  <w:tcW w:w="1593" w:type="dxa"/>
                  <w:vAlign w:val="center"/>
                </w:tcPr>
                <w:p>
                  <w:pPr>
                    <w:pStyle w:val="TableParagraph"/>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115000</w:t>
                  </w:r>
                </w:p>
              </w:tc>
            </w:tr>
            <w:tr>
              <w:tblPrEx>
                <w:tblW w:w="0" w:type="auto"/>
                <w:tblInd w:w="8" w:type="dxa"/>
                <w:tblCellMar>
                  <w:top w:w="0" w:type="dxa"/>
                  <w:left w:w="0" w:type="dxa"/>
                  <w:bottom w:w="0" w:type="dxa"/>
                  <w:right w:w="0" w:type="dxa"/>
                </w:tblCellMar>
                <w:tblLook w:val="0000"/>
              </w:tblPrEx>
              <w:trPr>
                <w:trHeight w:val="23"/>
              </w:trPr>
              <w:tc>
                <w:tcPr>
                  <w:tcW w:w="2822" w:type="dxa"/>
                  <w:gridSpan w:val="2"/>
                </w:tcPr>
                <w:p>
                  <w:pPr>
                    <w:pStyle w:val="TableParagraph"/>
                    <w:ind w:left="1141" w:right="1127"/>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合计</w:t>
                  </w:r>
                </w:p>
              </w:tc>
              <w:tc>
                <w:tcPr>
                  <w:tcW w:w="1591" w:type="dxa"/>
                </w:tcPr>
                <w:p>
                  <w:pPr>
                    <w:pStyle w:val="TableParagraph"/>
                    <w:ind w:left="146" w:right="131"/>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500000</w:t>
                  </w:r>
                </w:p>
              </w:tc>
              <w:tc>
                <w:tcPr>
                  <w:tcW w:w="3164" w:type="dxa"/>
                  <w:gridSpan w:val="2"/>
                </w:tcPr>
                <w:p>
                  <w:pPr>
                    <w:pStyle w:val="TableParagraph"/>
                    <w:ind w:left="1304" w:right="1290"/>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合计</w:t>
                  </w:r>
                </w:p>
              </w:tc>
              <w:tc>
                <w:tcPr>
                  <w:tcW w:w="1593" w:type="dxa"/>
                  <w:vAlign w:val="center"/>
                </w:tcPr>
                <w:p>
                  <w:pPr>
                    <w:pStyle w:val="TableParagraph"/>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500000</w:t>
                  </w:r>
                </w:p>
              </w:tc>
            </w:tr>
          </w:tbl>
          <w:p>
            <w:pPr>
              <w:pStyle w:val="120"/>
              <w:keepNext w:val="0"/>
              <w:keepLines w:val="0"/>
              <w:pageBreakBefore w:val="0"/>
              <w:widowControl w:val="0"/>
              <w:kinsoku/>
              <w:wordWrap/>
              <w:overflowPunct/>
              <w:topLinePunct w:val="0"/>
              <w:autoSpaceDE/>
              <w:autoSpaceDN/>
              <w:bidi w:val="0"/>
              <w:adjustRightInd w:val="0"/>
              <w:snapToGrid/>
              <w:spacing w:before="156" w:beforeLines="50"/>
              <w:ind w:firstLine="0" w:firstLineChars="0"/>
              <w:jc w:val="center"/>
              <w:textAlignment w:val="baseline"/>
              <w:rPr>
                <w:rFonts w:cs="Times New Roman" w:hint="default"/>
                <w:b/>
                <w:bCs/>
                <w:color w:val="auto"/>
                <w:sz w:val="21"/>
                <w:szCs w:val="21"/>
              </w:rPr>
            </w:pPr>
            <w:r>
              <w:rPr>
                <w:rFonts w:ascii="Times New Roman" w:hAnsi="Times New Roman" w:cs="Times New Roman" w:hint="default"/>
                <w:b/>
                <w:bCs/>
                <w:color w:val="auto"/>
                <w:sz w:val="21"/>
                <w:szCs w:val="21"/>
              </w:rPr>
              <w:t>表5-2  建筑用灰岩矿加工物料平衡表</w:t>
            </w: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CellMar>
                <w:top w:w="0" w:type="dxa"/>
                <w:left w:w="0" w:type="dxa"/>
                <w:bottom w:w="0" w:type="dxa"/>
                <w:right w:w="0" w:type="dxa"/>
              </w:tblCellMar>
              <w:tblLook w:val="0000"/>
            </w:tblPr>
            <w:tblGrid>
              <w:gridCol w:w="845"/>
              <w:gridCol w:w="1977"/>
              <w:gridCol w:w="1591"/>
              <w:gridCol w:w="889"/>
              <w:gridCol w:w="2275"/>
              <w:gridCol w:w="1593"/>
            </w:tblGrid>
            <w:tr>
              <w:tblPrEx>
                <w:tblW w:w="0" w:type="auto"/>
                <w:tblInd w:w="8"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CellMar>
                  <w:top w:w="0" w:type="dxa"/>
                  <w:left w:w="0" w:type="dxa"/>
                  <w:bottom w:w="0" w:type="dxa"/>
                  <w:right w:w="0" w:type="dxa"/>
                </w:tblCellMar>
                <w:tblLook w:val="0000"/>
              </w:tblPrEx>
              <w:trPr>
                <w:trHeight w:val="23"/>
              </w:trPr>
              <w:tc>
                <w:tcPr>
                  <w:tcW w:w="4413" w:type="dxa"/>
                  <w:gridSpan w:val="3"/>
                </w:tcPr>
                <w:p>
                  <w:pPr>
                    <w:pStyle w:val="TableParagraph"/>
                    <w:ind w:left="1922" w:right="1908"/>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投入</w:t>
                  </w:r>
                </w:p>
              </w:tc>
              <w:tc>
                <w:tcPr>
                  <w:tcW w:w="4757" w:type="dxa"/>
                  <w:gridSpan w:val="3"/>
                </w:tcPr>
                <w:p>
                  <w:pPr>
                    <w:pStyle w:val="TableParagraph"/>
                    <w:ind w:left="2086" w:right="2082"/>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产出</w:t>
                  </w:r>
                </w:p>
              </w:tc>
            </w:tr>
            <w:tr>
              <w:tblPrEx>
                <w:tblW w:w="0" w:type="auto"/>
                <w:tblInd w:w="8" w:type="dxa"/>
                <w:tblCellMar>
                  <w:top w:w="0" w:type="dxa"/>
                  <w:left w:w="0" w:type="dxa"/>
                  <w:bottom w:w="0" w:type="dxa"/>
                  <w:right w:w="0" w:type="dxa"/>
                </w:tblCellMar>
                <w:tblLook w:val="0000"/>
              </w:tblPrEx>
              <w:trPr>
                <w:trHeight w:val="23"/>
              </w:trPr>
              <w:tc>
                <w:tcPr>
                  <w:tcW w:w="845" w:type="dxa"/>
                </w:tcPr>
                <w:p>
                  <w:pPr>
                    <w:pStyle w:val="TableParagraph"/>
                    <w:ind w:left="156" w:right="142"/>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序号</w:t>
                  </w:r>
                </w:p>
              </w:tc>
              <w:tc>
                <w:tcPr>
                  <w:tcW w:w="1977" w:type="dxa"/>
                </w:tcPr>
                <w:p>
                  <w:pPr>
                    <w:pStyle w:val="TableParagraph"/>
                    <w:ind w:left="120" w:right="115"/>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物料名称</w:t>
                  </w:r>
                </w:p>
              </w:tc>
              <w:tc>
                <w:tcPr>
                  <w:tcW w:w="1591" w:type="dxa"/>
                </w:tcPr>
                <w:p>
                  <w:pPr>
                    <w:pStyle w:val="TableParagraph"/>
                    <w:ind w:left="146" w:right="136"/>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用量（t/a）</w:t>
                  </w:r>
                </w:p>
              </w:tc>
              <w:tc>
                <w:tcPr>
                  <w:tcW w:w="889" w:type="dxa"/>
                </w:tcPr>
                <w:p>
                  <w:pPr>
                    <w:pStyle w:val="TableParagraph"/>
                    <w:ind w:left="175" w:right="166"/>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序号</w:t>
                  </w:r>
                </w:p>
              </w:tc>
              <w:tc>
                <w:tcPr>
                  <w:tcW w:w="2275" w:type="dxa"/>
                </w:tcPr>
                <w:p>
                  <w:pPr>
                    <w:pStyle w:val="TableParagraph"/>
                    <w:ind w:left="272" w:right="259"/>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名称</w:t>
                  </w:r>
                </w:p>
              </w:tc>
              <w:tc>
                <w:tcPr>
                  <w:tcW w:w="1593" w:type="dxa"/>
                </w:tcPr>
                <w:p>
                  <w:pPr>
                    <w:pStyle w:val="TableParagraph"/>
                    <w:ind w:left="145" w:right="137"/>
                    <w:rPr>
                      <w:rFonts w:eastAsia="宋体" w:cs="Times New Roman" w:hint="default"/>
                      <w:b/>
                      <w:bCs/>
                      <w:color w:val="auto"/>
                      <w:sz w:val="21"/>
                      <w:szCs w:val="21"/>
                      <w:lang w:eastAsia="zh-CN"/>
                    </w:rPr>
                  </w:pPr>
                  <w:r>
                    <w:rPr>
                      <w:rFonts w:ascii="Times New Roman" w:eastAsia="宋体" w:hAnsi="Times New Roman" w:cs="Times New Roman" w:hint="default"/>
                      <w:b/>
                      <w:bCs/>
                      <w:color w:val="auto"/>
                      <w:sz w:val="21"/>
                      <w:szCs w:val="21"/>
                      <w:lang w:eastAsia="zh-CN"/>
                    </w:rPr>
                    <w:t>产量（t/a）</w:t>
                  </w:r>
                </w:p>
              </w:tc>
            </w:tr>
            <w:tr>
              <w:tblPrEx>
                <w:tblW w:w="0" w:type="auto"/>
                <w:tblInd w:w="8" w:type="dxa"/>
                <w:tblCellMar>
                  <w:top w:w="0" w:type="dxa"/>
                  <w:left w:w="0" w:type="dxa"/>
                  <w:bottom w:w="0" w:type="dxa"/>
                  <w:right w:w="0" w:type="dxa"/>
                </w:tblCellMar>
                <w:tblLook w:val="0000"/>
              </w:tblPrEx>
              <w:trPr>
                <w:trHeight w:val="23"/>
              </w:trPr>
              <w:tc>
                <w:tcPr>
                  <w:tcW w:w="845" w:type="dxa"/>
                </w:tcPr>
                <w:p>
                  <w:pPr>
                    <w:pStyle w:val="TableParagraph"/>
                    <w:ind w:left="10"/>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w:t>
                  </w:r>
                </w:p>
              </w:tc>
              <w:tc>
                <w:tcPr>
                  <w:tcW w:w="1977" w:type="dxa"/>
                </w:tcPr>
                <w:p>
                  <w:pPr>
                    <w:pStyle w:val="TableParagraph"/>
                    <w:ind w:left="122" w:right="115"/>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建筑用灰岩矿</w:t>
                  </w:r>
                </w:p>
              </w:tc>
              <w:tc>
                <w:tcPr>
                  <w:tcW w:w="1591" w:type="dxa"/>
                </w:tcPr>
                <w:p>
                  <w:pPr>
                    <w:pStyle w:val="TableParagraph"/>
                    <w:ind w:left="146" w:right="131"/>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550000</w:t>
                  </w:r>
                </w:p>
              </w:tc>
              <w:tc>
                <w:tcPr>
                  <w:tcW w:w="889" w:type="dxa"/>
                </w:tcPr>
                <w:p>
                  <w:pPr>
                    <w:pStyle w:val="TableParagraph"/>
                    <w:ind w:left="4"/>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w:t>
                  </w:r>
                </w:p>
              </w:tc>
              <w:tc>
                <w:tcPr>
                  <w:tcW w:w="2275" w:type="dxa"/>
                </w:tcPr>
                <w:p>
                  <w:pPr>
                    <w:pStyle w:val="TableParagraph"/>
                    <w:ind w:left="272" w:right="259"/>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碎石</w:t>
                  </w:r>
                </w:p>
              </w:tc>
              <w:tc>
                <w:tcPr>
                  <w:tcW w:w="1593" w:type="dxa"/>
                  <w:vAlign w:val="center"/>
                </w:tcPr>
                <w:p>
                  <w:pPr>
                    <w:pStyle w:val="TableParagraph"/>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423000</w:t>
                  </w:r>
                </w:p>
              </w:tc>
            </w:tr>
            <w:tr>
              <w:tblPrEx>
                <w:tblW w:w="0" w:type="auto"/>
                <w:tblInd w:w="8" w:type="dxa"/>
                <w:tblCellMar>
                  <w:top w:w="0" w:type="dxa"/>
                  <w:left w:w="0" w:type="dxa"/>
                  <w:bottom w:w="0" w:type="dxa"/>
                  <w:right w:w="0" w:type="dxa"/>
                </w:tblCellMar>
                <w:tblLook w:val="0000"/>
              </w:tblPrEx>
              <w:trPr>
                <w:trHeight w:val="23"/>
              </w:trPr>
              <w:tc>
                <w:tcPr>
                  <w:tcW w:w="845" w:type="dxa"/>
                </w:tcPr>
                <w:p>
                  <w:pPr>
                    <w:pStyle w:val="TableParagraph"/>
                    <w:ind w:left="10"/>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w:t>
                  </w:r>
                </w:p>
              </w:tc>
              <w:tc>
                <w:tcPr>
                  <w:tcW w:w="1977" w:type="dxa"/>
                </w:tcPr>
                <w:p>
                  <w:pPr>
                    <w:pStyle w:val="TableParagraph"/>
                    <w:ind w:left="115" w:right="115"/>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w:t>
                  </w:r>
                </w:p>
              </w:tc>
              <w:tc>
                <w:tcPr>
                  <w:tcW w:w="1591" w:type="dxa"/>
                </w:tcPr>
                <w:p>
                  <w:pPr>
                    <w:pStyle w:val="TableParagraph"/>
                    <w:ind w:left="146" w:right="131"/>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w:t>
                  </w:r>
                </w:p>
              </w:tc>
              <w:tc>
                <w:tcPr>
                  <w:tcW w:w="889" w:type="dxa"/>
                </w:tcPr>
                <w:p>
                  <w:pPr>
                    <w:pStyle w:val="TableParagraph"/>
                    <w:ind w:left="4"/>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2</w:t>
                  </w:r>
                </w:p>
              </w:tc>
              <w:tc>
                <w:tcPr>
                  <w:tcW w:w="2275" w:type="dxa"/>
                </w:tcPr>
                <w:p>
                  <w:pPr>
                    <w:pStyle w:val="TableParagraph"/>
                    <w:ind w:left="272" w:right="259"/>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石粉</w:t>
                  </w:r>
                </w:p>
              </w:tc>
              <w:tc>
                <w:tcPr>
                  <w:tcW w:w="1593" w:type="dxa"/>
                  <w:vAlign w:val="center"/>
                </w:tcPr>
                <w:p>
                  <w:pPr>
                    <w:pStyle w:val="TableParagraph"/>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127000</w:t>
                  </w:r>
                </w:p>
              </w:tc>
            </w:tr>
            <w:tr>
              <w:tblPrEx>
                <w:tblW w:w="0" w:type="auto"/>
                <w:tblInd w:w="8" w:type="dxa"/>
                <w:tblCellMar>
                  <w:top w:w="0" w:type="dxa"/>
                  <w:left w:w="0" w:type="dxa"/>
                  <w:bottom w:w="0" w:type="dxa"/>
                  <w:right w:w="0" w:type="dxa"/>
                </w:tblCellMar>
                <w:tblLook w:val="0000"/>
              </w:tblPrEx>
              <w:trPr>
                <w:trHeight w:val="23"/>
              </w:trPr>
              <w:tc>
                <w:tcPr>
                  <w:tcW w:w="2822" w:type="dxa"/>
                  <w:gridSpan w:val="2"/>
                </w:tcPr>
                <w:p>
                  <w:pPr>
                    <w:pStyle w:val="TableParagraph"/>
                    <w:ind w:left="1141" w:right="1127"/>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合计</w:t>
                  </w:r>
                </w:p>
              </w:tc>
              <w:tc>
                <w:tcPr>
                  <w:tcW w:w="1591" w:type="dxa"/>
                </w:tcPr>
                <w:p>
                  <w:pPr>
                    <w:pStyle w:val="TableParagraph"/>
                    <w:ind w:left="146" w:right="131"/>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550000</w:t>
                  </w:r>
                </w:p>
              </w:tc>
              <w:tc>
                <w:tcPr>
                  <w:tcW w:w="3164" w:type="dxa"/>
                  <w:gridSpan w:val="2"/>
                </w:tcPr>
                <w:p>
                  <w:pPr>
                    <w:pStyle w:val="TableParagraph"/>
                    <w:ind w:left="1304" w:right="1290"/>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合计</w:t>
                  </w:r>
                </w:p>
              </w:tc>
              <w:tc>
                <w:tcPr>
                  <w:tcW w:w="1593" w:type="dxa"/>
                  <w:vAlign w:val="center"/>
                </w:tcPr>
                <w:p>
                  <w:pPr>
                    <w:pStyle w:val="TableParagraph"/>
                    <w:rPr>
                      <w:rFonts w:eastAsia="宋体" w:cs="Times New Roman" w:hint="default"/>
                      <w:color w:val="auto"/>
                      <w:sz w:val="21"/>
                      <w:szCs w:val="21"/>
                      <w:lang w:eastAsia="zh-CN"/>
                    </w:rPr>
                  </w:pPr>
                  <w:r>
                    <w:rPr>
                      <w:rFonts w:ascii="Times New Roman" w:eastAsia="宋体" w:hAnsi="Times New Roman" w:cs="Times New Roman" w:hint="default"/>
                      <w:color w:val="auto"/>
                      <w:sz w:val="21"/>
                      <w:szCs w:val="21"/>
                      <w:lang w:eastAsia="zh-CN"/>
                    </w:rPr>
                    <w:t>550000</w:t>
                  </w:r>
                </w:p>
              </w:tc>
            </w:tr>
          </w:tbl>
          <w:p>
            <w:pPr>
              <w:pStyle w:val="120"/>
              <w:keepNext w:val="0"/>
              <w:keepLines w:val="0"/>
              <w:pageBreakBefore w:val="0"/>
              <w:widowControl w:val="0"/>
              <w:kinsoku/>
              <w:wordWrap/>
              <w:overflowPunct/>
              <w:topLinePunct w:val="0"/>
              <w:autoSpaceDE/>
              <w:autoSpaceDN/>
              <w:bidi w:val="0"/>
              <w:adjustRightInd w:val="0"/>
              <w:snapToGrid/>
              <w:spacing w:before="156" w:beforeLines="50"/>
              <w:ind w:left="120" w:leftChars="50"/>
              <w:textAlignment w:val="baseline"/>
              <w:rPr>
                <w:rFonts w:cs="Times New Roman" w:hint="default"/>
                <w:color w:val="auto"/>
                <w:sz w:val="21"/>
                <w:szCs w:val="21"/>
              </w:rPr>
            </w:pPr>
            <w:r>
              <w:rPr>
                <w:rFonts w:ascii="Times New Roman" w:hAnsi="Times New Roman" w:cs="Times New Roman" w:hint="default"/>
                <w:color w:val="auto"/>
                <w:szCs w:val="24"/>
              </w:rPr>
              <w:t>根据项目的建设内容，项目营运期主要污染源分布情况见表5-3。</w:t>
            </w:r>
          </w:p>
          <w:p>
            <w:pPr>
              <w:pStyle w:val="22"/>
              <w:ind w:firstLine="0"/>
              <w:rPr>
                <w:rFonts w:ascii="Times New Roman" w:hAnsi="Times New Roman" w:cs="Times New Roman" w:hint="default"/>
                <w:color w:val="auto"/>
                <w:sz w:val="21"/>
                <w:szCs w:val="21"/>
              </w:rPr>
            </w:pPr>
          </w:p>
          <w:p>
            <w:pPr>
              <w:pStyle w:val="22"/>
              <w:ind w:firstLine="0"/>
              <w:rPr>
                <w:rFonts w:ascii="Times New Roman" w:hAnsi="Times New Roman" w:cs="Times New Roman" w:hint="default"/>
                <w:color w:val="auto"/>
                <w:sz w:val="21"/>
                <w:szCs w:val="21"/>
              </w:rPr>
            </w:pPr>
          </w:p>
          <w:p>
            <w:pPr>
              <w:pStyle w:val="22"/>
              <w:ind w:firstLine="0"/>
              <w:rPr>
                <w:rFonts w:ascii="Times New Roman" w:hAnsi="Times New Roman" w:cs="Times New Roman" w:hint="default"/>
                <w:color w:val="auto"/>
                <w:sz w:val="21"/>
                <w:szCs w:val="21"/>
              </w:rPr>
            </w:pPr>
          </w:p>
        </w:tc>
      </w:tr>
    </w:tbl>
    <w:p>
      <w:pPr>
        <w:sectPr>
          <w:footerReference w:type="even" r:id="rId69"/>
          <w:footerReference w:type="default" r:id="rId70"/>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0"/>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2311"/>
        </w:trPr>
        <w:tc>
          <w:tcPr>
            <w:tcW w:w="5000" w:type="pct"/>
          </w:tcPr>
          <w:p>
            <w:pPr>
              <w:pStyle w:val="22"/>
              <w:ind w:firstLine="0"/>
              <w:rPr>
                <w:rFonts w:ascii="Times New Roman" w:hAnsi="Times New Roman" w:cs="Times New Roman" w:hint="default"/>
                <w:color w:val="auto"/>
                <w:sz w:val="21"/>
                <w:szCs w:val="21"/>
              </w:rPr>
            </w:pPr>
          </w:p>
          <w:p>
            <w:pPr>
              <w:pStyle w:val="22"/>
              <w:ind w:firstLine="0"/>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表5-3  营运期主要污染源分布情况</w:t>
            </w:r>
          </w:p>
          <w:tbl>
            <w:tblPr>
              <w:tblStyle w:val="TableNormal"/>
              <w:tblW w:w="0" w:type="auto"/>
              <w:jc w:val="center"/>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008"/>
              <w:gridCol w:w="1296"/>
              <w:gridCol w:w="1726"/>
              <w:gridCol w:w="1849"/>
              <w:gridCol w:w="3174"/>
            </w:tblGrid>
            <w:tr>
              <w:tblPrEx>
                <w:tblW w:w="0" w:type="auto"/>
                <w:jc w:val="center"/>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1021" w:type="dxa"/>
                  <w:vAlign w:val="center"/>
                </w:tcPr>
                <w:p>
                  <w:pPr>
                    <w:pStyle w:val="111"/>
                    <w:spacing w:line="240" w:lineRule="auto"/>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污染源分类</w:t>
                  </w:r>
                </w:p>
              </w:tc>
              <w:tc>
                <w:tcPr>
                  <w:tcW w:w="1313" w:type="dxa"/>
                  <w:vAlign w:val="center"/>
                </w:tcPr>
                <w:p>
                  <w:pPr>
                    <w:pStyle w:val="111"/>
                    <w:spacing w:line="240" w:lineRule="auto"/>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污染物</w:t>
                  </w:r>
                </w:p>
              </w:tc>
              <w:tc>
                <w:tcPr>
                  <w:tcW w:w="1748" w:type="dxa"/>
                  <w:vAlign w:val="center"/>
                </w:tcPr>
                <w:p>
                  <w:pPr>
                    <w:pStyle w:val="111"/>
                    <w:spacing w:line="240" w:lineRule="auto"/>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分布情况</w:t>
                  </w:r>
                </w:p>
              </w:tc>
              <w:tc>
                <w:tcPr>
                  <w:tcW w:w="1873" w:type="dxa"/>
                  <w:vAlign w:val="center"/>
                </w:tcPr>
                <w:p>
                  <w:pPr>
                    <w:pStyle w:val="111"/>
                    <w:spacing w:line="240" w:lineRule="auto"/>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主要污染物</w:t>
                  </w:r>
                </w:p>
              </w:tc>
              <w:tc>
                <w:tcPr>
                  <w:tcW w:w="3214" w:type="dxa"/>
                  <w:vAlign w:val="center"/>
                </w:tcPr>
                <w:p>
                  <w:pPr>
                    <w:pStyle w:val="111"/>
                    <w:spacing w:line="240" w:lineRule="auto"/>
                    <w:rPr>
                      <w:rFonts w:ascii="Times New Roman" w:hAnsi="Times New Roman" w:cs="Times New Roman" w:hint="default"/>
                      <w:b/>
                      <w:color w:val="auto"/>
                      <w:sz w:val="21"/>
                      <w:szCs w:val="21"/>
                    </w:rPr>
                  </w:pPr>
                  <w:r>
                    <w:rPr>
                      <w:rFonts w:ascii="Times New Roman" w:hAnsi="Times New Roman" w:cs="Times New Roman" w:hint="default"/>
                      <w:b/>
                      <w:color w:val="auto"/>
                      <w:sz w:val="21"/>
                      <w:szCs w:val="21"/>
                    </w:rPr>
                    <w:t>治理措施</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restart"/>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废水</w:t>
                  </w: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生活污水</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办公室产生的生活污水</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COD</w:t>
                  </w:r>
                  <w:r>
                    <w:rPr>
                      <w:rFonts w:ascii="Times New Roman" w:hAnsi="Times New Roman" w:cs="Times New Roman" w:hint="default"/>
                      <w:color w:val="auto"/>
                      <w:sz w:val="21"/>
                      <w:szCs w:val="21"/>
                      <w:vertAlign w:val="subscript"/>
                    </w:rPr>
                    <w:t>cr</w:t>
                  </w:r>
                  <w:r>
                    <w:rPr>
                      <w:rFonts w:ascii="Times New Roman" w:hAnsi="Times New Roman" w:cs="Times New Roman" w:hint="default"/>
                      <w:color w:val="auto"/>
                      <w:sz w:val="21"/>
                      <w:szCs w:val="21"/>
                    </w:rPr>
                    <w:t>、BOD</w:t>
                  </w:r>
                  <w:r>
                    <w:rPr>
                      <w:rFonts w:ascii="Times New Roman" w:hAnsi="Times New Roman" w:cs="Times New Roman" w:hint="default"/>
                      <w:color w:val="auto"/>
                      <w:sz w:val="21"/>
                      <w:szCs w:val="21"/>
                      <w:vertAlign w:val="subscript"/>
                    </w:rPr>
                    <w:t>5</w:t>
                  </w:r>
                  <w:r>
                    <w:rPr>
                      <w:rFonts w:ascii="Times New Roman" w:hAnsi="Times New Roman" w:cs="Times New Roman" w:hint="default"/>
                      <w:color w:val="auto"/>
                      <w:sz w:val="21"/>
                      <w:szCs w:val="21"/>
                    </w:rPr>
                    <w:t>、氨氮、SS</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经三级化粪池</w:t>
                  </w:r>
                  <w:r>
                    <w:rPr>
                      <w:rFonts w:ascii="Times New Roman" w:hAnsi="Times New Roman" w:cs="Times New Roman" w:hint="default"/>
                      <w:color w:val="auto"/>
                      <w:sz w:val="21"/>
                      <w:szCs w:val="21"/>
                      <w:lang w:eastAsia="zh-CN"/>
                    </w:rPr>
                    <w:t>、隔油隔渣池</w:t>
                  </w:r>
                  <w:r>
                    <w:rPr>
                      <w:rFonts w:ascii="Times New Roman" w:hAnsi="Times New Roman" w:cs="Times New Roman" w:hint="default"/>
                      <w:color w:val="auto"/>
                      <w:sz w:val="21"/>
                      <w:szCs w:val="21"/>
                    </w:rPr>
                    <w:t>和一体式生化处理设施处理后用于项目内绿化浇灌用水</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喷淋废水</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加工场</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SS</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经三级沉淀池处理后全部回用于项目内喷淋降尘用水，不外排</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初期雨水</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开采区、矿石堆场、临时排土场</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主要含SS</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经沉砂池处理后回用于项目内洒水抑尘，不外排</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restart"/>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废气</w:t>
                  </w:r>
                </w:p>
              </w:tc>
              <w:tc>
                <w:tcPr>
                  <w:tcW w:w="1313" w:type="dxa"/>
                  <w:vMerge w:val="restart"/>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扬尘</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爆破</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NOx、CO、颗粒物</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在挖掘的同时采用洒水抑尘</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ign w:val="center"/>
                </w:tcPr>
                <w:p>
                  <w:pPr>
                    <w:pStyle w:val="111"/>
                    <w:spacing w:line="240" w:lineRule="auto"/>
                    <w:rPr>
                      <w:rFonts w:ascii="Times New Roman" w:hAnsi="Times New Roman" w:cs="Times New Roman" w:hint="default"/>
                      <w:color w:val="auto"/>
                      <w:sz w:val="21"/>
                      <w:szCs w:val="21"/>
                    </w:rPr>
                  </w:pP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挖掘</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颗粒物</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在挖掘的同时采用洒水抑尘</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ign w:val="center"/>
                </w:tcPr>
                <w:p>
                  <w:pPr>
                    <w:pStyle w:val="111"/>
                    <w:spacing w:line="240" w:lineRule="auto"/>
                    <w:rPr>
                      <w:rFonts w:ascii="Times New Roman" w:hAnsi="Times New Roman" w:cs="Times New Roman" w:hint="default"/>
                      <w:color w:val="auto"/>
                      <w:sz w:val="21"/>
                      <w:szCs w:val="21"/>
                    </w:rPr>
                  </w:pP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汽车运输</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颗粒物</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安排洒水车对路面进行洒水抑尘</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ign w:val="center"/>
                </w:tcPr>
                <w:p>
                  <w:pPr>
                    <w:pStyle w:val="111"/>
                    <w:spacing w:line="240" w:lineRule="auto"/>
                    <w:rPr>
                      <w:rFonts w:ascii="Times New Roman" w:hAnsi="Times New Roman" w:cs="Times New Roman" w:hint="default"/>
                      <w:color w:val="auto"/>
                      <w:sz w:val="21"/>
                      <w:szCs w:val="21"/>
                    </w:rPr>
                  </w:pP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堆矿场</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颗粒物</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定期洒水抑尘</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ign w:val="center"/>
                </w:tcPr>
                <w:p>
                  <w:pPr>
                    <w:pStyle w:val="111"/>
                    <w:spacing w:line="240" w:lineRule="auto"/>
                    <w:rPr>
                      <w:rFonts w:ascii="Times New Roman" w:hAnsi="Times New Roman" w:cs="Times New Roman" w:hint="default"/>
                      <w:color w:val="auto"/>
                      <w:sz w:val="21"/>
                      <w:szCs w:val="21"/>
                    </w:rPr>
                  </w:pP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临时排土场</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颗粒物</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对排土场内剥离表土进行压实，覆盖防尘网，定期洒水抑尘</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ign w:val="center"/>
                </w:tcPr>
                <w:p>
                  <w:pPr>
                    <w:pStyle w:val="111"/>
                    <w:spacing w:line="240" w:lineRule="auto"/>
                    <w:rPr>
                      <w:rFonts w:ascii="Times New Roman" w:hAnsi="Times New Roman" w:cs="Times New Roman" w:hint="default"/>
                      <w:color w:val="auto"/>
                      <w:sz w:val="21"/>
                      <w:szCs w:val="21"/>
                    </w:rPr>
                  </w:pP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破碎</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颗粒物</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设置喷水雾装置，洒水抑尘</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燃油废气</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挖掘机、汽车等</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NOx、CO等</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Align w:val="center"/>
                </w:tcPr>
                <w:p>
                  <w:pPr>
                    <w:pStyle w:val="111"/>
                    <w:spacing w:line="240" w:lineRule="auto"/>
                    <w:rPr>
                      <w:rFonts w:ascii="Times New Roman" w:eastAsia="宋体" w:hAnsi="Times New Roman" w:cs="Times New Roman" w:hint="default"/>
                      <w:color w:val="auto"/>
                      <w:sz w:val="21"/>
                      <w:szCs w:val="21"/>
                      <w:lang w:eastAsia="zh-CN"/>
                    </w:rPr>
                  </w:pPr>
                  <w:r>
                    <w:rPr>
                      <w:rFonts w:ascii="Times New Roman" w:hAnsi="Times New Roman" w:cs="Times New Roman" w:hint="default"/>
                      <w:color w:val="auto"/>
                      <w:sz w:val="21"/>
                      <w:szCs w:val="21"/>
                      <w:lang w:eastAsia="zh-CN"/>
                    </w:rPr>
                    <w:t>厨房油烟</w:t>
                  </w:r>
                </w:p>
              </w:tc>
              <w:tc>
                <w:tcPr>
                  <w:tcW w:w="1748" w:type="dxa"/>
                  <w:vAlign w:val="center"/>
                </w:tcPr>
                <w:p>
                  <w:pPr>
                    <w:pStyle w:val="111"/>
                    <w:spacing w:line="240" w:lineRule="auto"/>
                    <w:rPr>
                      <w:rFonts w:ascii="Times New Roman" w:eastAsia="宋体" w:hAnsi="Times New Roman" w:cs="Times New Roman" w:hint="default"/>
                      <w:color w:val="auto"/>
                      <w:sz w:val="21"/>
                      <w:szCs w:val="21"/>
                      <w:lang w:eastAsia="zh-CN"/>
                    </w:rPr>
                  </w:pPr>
                  <w:r>
                    <w:rPr>
                      <w:rFonts w:ascii="Times New Roman" w:hAnsi="Times New Roman" w:cs="Times New Roman" w:hint="default"/>
                      <w:color w:val="auto"/>
                      <w:sz w:val="21"/>
                      <w:szCs w:val="21"/>
                      <w:lang w:eastAsia="zh-CN"/>
                    </w:rPr>
                    <w:t>食堂</w:t>
                  </w:r>
                </w:p>
              </w:tc>
              <w:tc>
                <w:tcPr>
                  <w:tcW w:w="1873" w:type="dxa"/>
                  <w:vAlign w:val="center"/>
                </w:tcPr>
                <w:p>
                  <w:pPr>
                    <w:pStyle w:val="111"/>
                    <w:spacing w:line="240" w:lineRule="auto"/>
                    <w:rPr>
                      <w:rFonts w:ascii="Times New Roman" w:eastAsia="宋体" w:hAnsi="Times New Roman" w:cs="Times New Roman" w:hint="default"/>
                      <w:color w:val="auto"/>
                      <w:sz w:val="21"/>
                      <w:szCs w:val="21"/>
                      <w:lang w:eastAsia="zh-CN"/>
                    </w:rPr>
                  </w:pPr>
                  <w:r>
                    <w:rPr>
                      <w:rFonts w:ascii="Times New Roman" w:hAnsi="Times New Roman" w:cs="Times New Roman" w:hint="default"/>
                      <w:color w:val="auto"/>
                      <w:sz w:val="21"/>
                      <w:szCs w:val="21"/>
                      <w:lang w:eastAsia="zh-CN"/>
                    </w:rPr>
                    <w:t>油烟</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经静电除油烟设备处理后引至天面排放</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噪声</w:t>
                  </w: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设备噪声</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矿区、生产车间</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噪声</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对高噪声设备进行减震、降噪，放置位置尽量远离厂界</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restart"/>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固体废物</w:t>
                  </w: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生活垃圾</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办公室</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一般固废</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委托环卫部门清运处理</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restart"/>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生产固废</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三级沉淀池</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污泥</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堆放在临时排土场内，用于复垦绿化</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Merge/>
                  <w:vAlign w:val="center"/>
                </w:tcPr>
                <w:p>
                  <w:pPr>
                    <w:pStyle w:val="111"/>
                    <w:spacing w:line="240" w:lineRule="auto"/>
                    <w:rPr>
                      <w:rFonts w:ascii="Times New Roman" w:hAnsi="Times New Roman" w:cs="Times New Roman" w:hint="default"/>
                      <w:color w:val="auto"/>
                      <w:sz w:val="21"/>
                      <w:szCs w:val="21"/>
                    </w:rPr>
                  </w:pP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生活污水处理设施</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污泥</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委托环卫部门清运处理</w:t>
                  </w:r>
                </w:p>
              </w:tc>
            </w:tr>
            <w:tr>
              <w:tblPrEx>
                <w:tblW w:w="0" w:type="auto"/>
                <w:jc w:val="center"/>
                <w:tblInd w:w="116" w:type="dxa"/>
                <w:tblCellMar>
                  <w:top w:w="0" w:type="dxa"/>
                  <w:left w:w="108" w:type="dxa"/>
                  <w:bottom w:w="0" w:type="dxa"/>
                  <w:right w:w="108" w:type="dxa"/>
                </w:tblCellMar>
                <w:tblLook w:val="0000"/>
              </w:tblPrEx>
              <w:trPr>
                <w:trHeight w:val="340"/>
                <w:jc w:val="center"/>
              </w:trPr>
              <w:tc>
                <w:tcPr>
                  <w:tcW w:w="1021" w:type="dxa"/>
                  <w:vMerge/>
                  <w:vAlign w:val="center"/>
                </w:tcPr>
                <w:p>
                  <w:pPr>
                    <w:pStyle w:val="111"/>
                    <w:spacing w:line="240" w:lineRule="auto"/>
                    <w:rPr>
                      <w:rFonts w:ascii="Times New Roman" w:hAnsi="Times New Roman" w:cs="Times New Roman" w:hint="default"/>
                      <w:color w:val="auto"/>
                      <w:sz w:val="21"/>
                      <w:szCs w:val="21"/>
                    </w:rPr>
                  </w:pPr>
                </w:p>
              </w:tc>
              <w:tc>
                <w:tcPr>
                  <w:tcW w:w="131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危险废物</w:t>
                  </w:r>
                </w:p>
              </w:tc>
              <w:tc>
                <w:tcPr>
                  <w:tcW w:w="1748"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机修过程</w:t>
                  </w:r>
                </w:p>
              </w:tc>
              <w:tc>
                <w:tcPr>
                  <w:tcW w:w="1873"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废机油、含油废抹布</w:t>
                  </w:r>
                </w:p>
              </w:tc>
              <w:tc>
                <w:tcPr>
                  <w:tcW w:w="3214" w:type="dxa"/>
                  <w:vAlign w:val="center"/>
                </w:tcPr>
                <w:p>
                  <w:pPr>
                    <w:pStyle w:val="111"/>
                    <w:spacing w:line="240" w:lineRule="auto"/>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委托有资质的单位回收处理</w:t>
                  </w:r>
                </w:p>
              </w:tc>
            </w:tr>
          </w:tbl>
          <w:p>
            <w:pPr>
              <w:pStyle w:val="Heading2"/>
              <w:keepLines w:val="0"/>
              <w:numPr>
                <w:ilvl w:val="0"/>
                <w:numId w:val="0"/>
              </w:numPr>
              <w:spacing w:before="0" w:after="0" w:line="360" w:lineRule="auto"/>
              <w:rPr>
                <w:rFonts w:ascii="Times New Roman" w:eastAsia="宋体" w:hAnsi="Times New Roman" w:cs="Times New Roman" w:hint="default"/>
                <w:color w:val="auto"/>
                <w:sz w:val="24"/>
                <w:szCs w:val="24"/>
              </w:rPr>
            </w:pPr>
          </w:p>
          <w:p>
            <w:pPr>
              <w:pStyle w:val="NormalIndent"/>
              <w:spacing w:line="360" w:lineRule="auto"/>
              <w:rPr>
                <w:rFonts w:ascii="Times New Roman" w:hAnsi="Times New Roman" w:cs="Times New Roman" w:hint="default"/>
                <w:color w:val="auto"/>
                <w:szCs w:val="24"/>
              </w:rPr>
            </w:pPr>
          </w:p>
          <w:p>
            <w:pPr>
              <w:pStyle w:val="NormalIndent"/>
              <w:spacing w:line="360" w:lineRule="auto"/>
              <w:rPr>
                <w:rFonts w:ascii="Times New Roman" w:hAnsi="Times New Roman" w:cs="Times New Roman" w:hint="default"/>
                <w:color w:val="auto"/>
                <w:szCs w:val="24"/>
              </w:rPr>
            </w:pPr>
          </w:p>
        </w:tc>
      </w:tr>
    </w:tbl>
    <w:p>
      <w:pPr>
        <w:rPr>
          <w:rFonts w:ascii="Times New Roman" w:hAnsi="Times New Roman" w:cs="Times New Roman" w:hint="default"/>
          <w:vanish/>
          <w:color w:val="auto"/>
        </w:rPr>
        <w:sectPr>
          <w:footerReference w:type="even" r:id="rId71"/>
          <w:footerReference w:type="default" r:id="rId72"/>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1"/>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spacing w:line="360" w:lineRule="auto"/>
              <w:ind w:firstLine="118" w:firstLineChars="49"/>
              <w:rPr>
                <w:rFonts w:ascii="Times New Roman" w:hAnsi="Times New Roman" w:cs="Times New Roman" w:hint="default"/>
                <w:b/>
                <w:color w:val="auto"/>
                <w:szCs w:val="24"/>
              </w:rPr>
            </w:pPr>
            <w:r>
              <w:rPr>
                <w:rFonts w:ascii="Times New Roman" w:hAnsi="Times New Roman" w:cs="Times New Roman" w:hint="default"/>
                <w:b/>
                <w:color w:val="auto"/>
                <w:szCs w:val="24"/>
              </w:rPr>
              <w:t>二、主要污染工序</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 xml:space="preserve">1、施工期 </w:t>
            </w:r>
          </w:p>
          <w:p>
            <w:pPr>
              <w:adjustRightInd w:val="0"/>
              <w:snapToGrid w:val="0"/>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（1）施工期大气污染源分析</w:t>
            </w:r>
          </w:p>
          <w:p>
            <w:pPr>
              <w:spacing w:line="360" w:lineRule="auto"/>
              <w:ind w:firstLine="480"/>
              <w:rPr>
                <w:rFonts w:ascii="Times New Roman" w:hAnsi="Times New Roman" w:cs="Times New Roman" w:hint="default"/>
                <w:color w:val="auto"/>
                <w:szCs w:val="24"/>
              </w:rPr>
            </w:pPr>
            <w:r>
              <w:rPr>
                <w:rFonts w:ascii="Times New Roman" w:hAnsi="Times New Roman" w:cs="Times New Roman" w:hint="default"/>
                <w:color w:val="auto"/>
                <w:szCs w:val="24"/>
              </w:rPr>
              <w:t>施工施工产生的大气污染物主要为扬尘，来源于场地平整、扰动原地貌等，扬尘污染会造成大气中TSP值增高，根据类比资料，施工扬尘的起尘量与许多因素有关。影响起尘量的因素包括：基础开挖起尘量、施工渣土堆场起尘量、进出车辆夹带泥砂量、水泥搬运量、弃土外运装载起尘量以及起尘高度、采取的防护措施、空气湿度、风速等因素有关。类比同类工程，源强处扬尘浓度为10mg/m</w:t>
            </w:r>
            <w:r>
              <w:rPr>
                <w:rFonts w:ascii="Times New Roman" w:hAnsi="Times New Roman" w:cs="Times New Roman" w:hint="default"/>
                <w:color w:val="auto"/>
                <w:szCs w:val="24"/>
                <w:vertAlign w:val="superscript"/>
              </w:rPr>
              <w:t>3</w:t>
            </w:r>
            <w:r>
              <w:rPr>
                <w:rFonts w:ascii="Times New Roman" w:hAnsi="Times New Roman" w:cs="Times New Roman" w:hint="default"/>
                <w:color w:val="auto"/>
                <w:szCs w:val="24"/>
              </w:rPr>
              <w:t>，距离扬尘点25m处扬尘浓度范围在0.37-1.10mg/m</w:t>
            </w:r>
            <w:r>
              <w:rPr>
                <w:rFonts w:ascii="Times New Roman" w:hAnsi="Times New Roman" w:cs="Times New Roman" w:hint="default"/>
                <w:color w:val="auto"/>
                <w:szCs w:val="24"/>
                <w:vertAlign w:val="superscript"/>
              </w:rPr>
              <w:t>3</w:t>
            </w:r>
            <w:r>
              <w:rPr>
                <w:rFonts w:ascii="Times New Roman" w:hAnsi="Times New Roman" w:cs="Times New Roman" w:hint="default"/>
                <w:color w:val="auto"/>
                <w:szCs w:val="24"/>
              </w:rPr>
              <w:t>，距扬尘点50m处扬尘浓度范围在0.31-0.98mg/m</w:t>
            </w:r>
            <w:r>
              <w:rPr>
                <w:rFonts w:ascii="Times New Roman" w:hAnsi="Times New Roman" w:cs="Times New Roman" w:hint="default"/>
                <w:color w:val="auto"/>
                <w:szCs w:val="24"/>
                <w:vertAlign w:val="superscript"/>
              </w:rPr>
              <w:t>3</w:t>
            </w:r>
            <w:r>
              <w:rPr>
                <w:rFonts w:ascii="Times New Roman" w:hAnsi="Times New Roman" w:cs="Times New Roman" w:hint="default"/>
                <w:color w:val="auto"/>
                <w:szCs w:val="24"/>
              </w:rPr>
              <w:t>。</w:t>
            </w:r>
          </w:p>
          <w:p>
            <w:pPr>
              <w:spacing w:line="360" w:lineRule="auto"/>
              <w:ind w:firstLine="480"/>
              <w:rPr>
                <w:rFonts w:ascii="Times New Roman" w:hAnsi="Times New Roman" w:cs="Times New Roman" w:hint="default"/>
                <w:color w:val="auto"/>
                <w:szCs w:val="24"/>
              </w:rPr>
            </w:pPr>
            <w:r>
              <w:rPr>
                <w:rFonts w:ascii="Times New Roman" w:hAnsi="Times New Roman" w:cs="Times New Roman" w:hint="default"/>
                <w:color w:val="auto"/>
                <w:szCs w:val="24"/>
              </w:rPr>
              <w:t>施工过程中需要使用挖掘机、推土机等大型机械设备；建筑材料运输过程中会使用各种大型机动车辆，这些设备和车辆均使用柴油发动机或使用柴油发动机临时供电，因此，这些车辆及设备在运行时会排放一定量的 CO、NO</w:t>
            </w:r>
            <w:r>
              <w:rPr>
                <w:rFonts w:ascii="Times New Roman" w:hAnsi="Times New Roman" w:cs="Times New Roman" w:hint="default"/>
                <w:color w:val="auto"/>
                <w:szCs w:val="24"/>
                <w:vertAlign w:val="subscript"/>
              </w:rPr>
              <w:t>x</w:t>
            </w:r>
            <w:r>
              <w:rPr>
                <w:rFonts w:ascii="Times New Roman" w:hAnsi="Times New Roman" w:cs="Times New Roman" w:hint="default"/>
                <w:color w:val="auto"/>
                <w:szCs w:val="24"/>
              </w:rPr>
              <w:t>以及未完全燃烧的碳氢化物、非甲烷总烃等大气污染物，会对环境产生一定的影响。</w:t>
            </w:r>
          </w:p>
          <w:p>
            <w:pPr>
              <w:spacing w:line="360" w:lineRule="auto"/>
              <w:ind w:firstLine="480"/>
              <w:rPr>
                <w:rFonts w:ascii="Times New Roman" w:hAnsi="Times New Roman" w:cs="Times New Roman" w:hint="default"/>
                <w:b/>
                <w:bCs/>
                <w:color w:val="auto"/>
                <w:szCs w:val="24"/>
              </w:rPr>
            </w:pPr>
            <w:r>
              <w:rPr>
                <w:rFonts w:ascii="Times New Roman" w:hAnsi="Times New Roman" w:cs="Times New Roman" w:hint="default"/>
                <w:b/>
                <w:bCs/>
                <w:color w:val="auto"/>
                <w:szCs w:val="24"/>
              </w:rPr>
              <w:t>（2）施工期水污染源分析</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施工期废水包括施工废水和施工人员生活污水。</w:t>
            </w:r>
          </w:p>
          <w:p>
            <w:pPr>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①</w:t>
            </w:r>
            <w:r>
              <w:rPr>
                <w:rFonts w:ascii="Times New Roman" w:hAnsi="Times New Roman" w:cs="Times New Roman" w:hint="default"/>
                <w:b/>
                <w:bCs/>
                <w:color w:val="auto"/>
                <w:szCs w:val="24"/>
              </w:rPr>
              <w:t>施工废水</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项目施工过程中，废水主要来源于暴雨的地表径流、地下水、施工废水。暴雨地表径流冲刷浮土、建筑砂石、垃圾、弃土等，不但会夹带大量泥沙，而且会携带水泥、油类等各种污染物；地下水主要指开挖断面含水地层的排水；施工废水包括开挖和钻孔产生的泥浆水、机械设备运转的冷却水、混凝土运输车及输送系统冲洗废水。</w:t>
            </w:r>
          </w:p>
          <w:p>
            <w:pPr>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②</w:t>
            </w:r>
            <w:r>
              <w:rPr>
                <w:rFonts w:ascii="Times New Roman" w:hAnsi="Times New Roman" w:cs="Times New Roman" w:hint="default"/>
                <w:b/>
                <w:bCs/>
                <w:color w:val="auto"/>
                <w:szCs w:val="24"/>
              </w:rPr>
              <w:t>施工人员生活污水</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施工人员生活污水主要源自施工人员日常生活，主要污染物是COD</w:t>
            </w:r>
            <w:r>
              <w:rPr>
                <w:rFonts w:ascii="Times New Roman" w:hAnsi="Times New Roman" w:cs="Times New Roman" w:hint="default"/>
                <w:color w:val="auto"/>
                <w:szCs w:val="24"/>
                <w:vertAlign w:val="subscript"/>
              </w:rPr>
              <w:t>cr</w:t>
            </w:r>
            <w:r>
              <w:rPr>
                <w:rFonts w:ascii="Times New Roman" w:hAnsi="Times New Roman" w:cs="Times New Roman" w:hint="default"/>
                <w:color w:val="auto"/>
                <w:szCs w:val="24"/>
              </w:rPr>
              <w:t>、BOD</w:t>
            </w:r>
            <w:r>
              <w:rPr>
                <w:rFonts w:ascii="Times New Roman" w:hAnsi="Times New Roman" w:cs="Times New Roman" w:hint="default"/>
                <w:color w:val="auto"/>
                <w:szCs w:val="24"/>
                <w:vertAlign w:val="subscript"/>
              </w:rPr>
              <w:t>5</w:t>
            </w:r>
            <w:r>
              <w:rPr>
                <w:rFonts w:ascii="Times New Roman" w:hAnsi="Times New Roman" w:cs="Times New Roman" w:hint="default"/>
                <w:color w:val="auto"/>
                <w:szCs w:val="24"/>
              </w:rPr>
              <w:t>、SS和氨氮。施工期平均施工人员为30人，均不在施工场地居住，参照广东省地方标准《广东省用水定额》（DB44/T1461-2014），施工人员每天生活用水以40L/人</w:t>
            </w:r>
            <w:r>
              <w:rPr>
                <w:rFonts w:ascii="Times New Roman" w:hAnsi="Times New Roman" w:cs="Times New Roman" w:hint="default"/>
                <w:color w:val="auto"/>
                <w:szCs w:val="24"/>
              </w:rPr>
              <w:t>•</w:t>
            </w:r>
            <w:r>
              <w:rPr>
                <w:rFonts w:ascii="Times New Roman" w:hAnsi="Times New Roman" w:cs="Times New Roman" w:hint="default"/>
                <w:color w:val="auto"/>
                <w:szCs w:val="24"/>
              </w:rPr>
              <w:t>天计，施工期约12个月（365天），则施工期施工人员生活用水量为438t，排污系数为0.8，则施工人员生活污水产生量为350.4t。类比典型生活污水，施工期生活污水主要污染物产生浓度和产生量详见下表。</w:t>
            </w:r>
          </w:p>
          <w:p>
            <w:pPr>
              <w:pStyle w:val="Subtitle"/>
              <w:spacing w:line="360" w:lineRule="auto"/>
              <w:rPr>
                <w:rFonts w:ascii="Times New Roman" w:hAnsi="Times New Roman" w:cs="Times New Roman" w:hint="default"/>
                <w:color w:val="auto"/>
                <w:szCs w:val="21"/>
              </w:rPr>
            </w:pPr>
            <w:r>
              <w:rPr>
                <w:rFonts w:ascii="Times New Roman" w:hAnsi="Times New Roman" w:cs="Times New Roman" w:hint="default"/>
                <w:color w:val="auto"/>
                <w:szCs w:val="21"/>
              </w:rPr>
              <w:t>表5-4 施工期生活污水产排情况表</w:t>
            </w:r>
          </w:p>
          <w:tbl>
            <w:tblPr>
              <w:tblStyle w:val="TableNormal"/>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998"/>
              <w:gridCol w:w="1453"/>
              <w:gridCol w:w="1451"/>
              <w:gridCol w:w="1284"/>
              <w:gridCol w:w="1490"/>
              <w:gridCol w:w="1490"/>
            </w:tblGrid>
            <w:tr>
              <w:tblPrEx>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090" w:type="pct"/>
                  <w:vAlign w:val="center"/>
                </w:tcPr>
                <w:p>
                  <w:pPr>
                    <w:pStyle w:val="PlainText"/>
                    <w:jc w:val="center"/>
                    <w:rPr>
                      <w:rFonts w:ascii="Times New Roman" w:hAnsi="Times New Roman" w:cs="Times New Roman" w:hint="default"/>
                      <w:b/>
                      <w:color w:val="auto"/>
                      <w:sz w:val="21"/>
                    </w:rPr>
                  </w:pPr>
                  <w:r>
                    <w:rPr>
                      <w:rFonts w:ascii="Times New Roman" w:hAnsi="Times New Roman" w:cs="Times New Roman" w:hint="default"/>
                      <w:b/>
                      <w:color w:val="auto"/>
                      <w:sz w:val="21"/>
                    </w:rPr>
                    <w:t>污染物</w:t>
                  </w:r>
                </w:p>
              </w:tc>
              <w:tc>
                <w:tcPr>
                  <w:tcW w:w="792" w:type="pct"/>
                  <w:vAlign w:val="center"/>
                </w:tcPr>
                <w:p>
                  <w:pPr>
                    <w:pStyle w:val="PlainText"/>
                    <w:jc w:val="center"/>
                    <w:rPr>
                      <w:rFonts w:ascii="Times New Roman" w:hAnsi="Times New Roman" w:cs="Times New Roman" w:hint="default"/>
                      <w:b/>
                      <w:color w:val="auto"/>
                      <w:sz w:val="21"/>
                    </w:rPr>
                  </w:pPr>
                  <w:r>
                    <w:rPr>
                      <w:rFonts w:ascii="Times New Roman" w:hAnsi="Times New Roman" w:cs="Times New Roman" w:hint="default"/>
                      <w:b/>
                      <w:color w:val="auto"/>
                      <w:sz w:val="21"/>
                    </w:rPr>
                    <w:t>废水量</w:t>
                  </w:r>
                </w:p>
              </w:tc>
              <w:tc>
                <w:tcPr>
                  <w:tcW w:w="791" w:type="pct"/>
                  <w:vAlign w:val="center"/>
                </w:tcPr>
                <w:p>
                  <w:pPr>
                    <w:pStyle w:val="PlainText"/>
                    <w:jc w:val="center"/>
                    <w:rPr>
                      <w:rFonts w:ascii="Times New Roman" w:hAnsi="Times New Roman" w:cs="Times New Roman" w:hint="default"/>
                      <w:b/>
                      <w:color w:val="auto"/>
                      <w:sz w:val="21"/>
                      <w:vertAlign w:val="subscript"/>
                    </w:rPr>
                  </w:pPr>
                  <w:r>
                    <w:rPr>
                      <w:rFonts w:ascii="Times New Roman" w:hAnsi="Times New Roman" w:cs="Times New Roman" w:hint="default"/>
                      <w:b/>
                      <w:color w:val="auto"/>
                      <w:sz w:val="21"/>
                    </w:rPr>
                    <w:t>COD</w:t>
                  </w:r>
                  <w:r>
                    <w:rPr>
                      <w:rFonts w:ascii="Times New Roman" w:hAnsi="Times New Roman" w:cs="Times New Roman" w:hint="default"/>
                      <w:b/>
                      <w:color w:val="auto"/>
                      <w:sz w:val="21"/>
                      <w:vertAlign w:val="subscript"/>
                    </w:rPr>
                    <w:t>cr</w:t>
                  </w:r>
                </w:p>
              </w:tc>
              <w:tc>
                <w:tcPr>
                  <w:tcW w:w="700" w:type="pct"/>
                  <w:vAlign w:val="center"/>
                </w:tcPr>
                <w:p>
                  <w:pPr>
                    <w:pStyle w:val="PlainText"/>
                    <w:jc w:val="center"/>
                    <w:rPr>
                      <w:rFonts w:ascii="Times New Roman" w:hAnsi="Times New Roman" w:cs="Times New Roman" w:hint="default"/>
                      <w:b/>
                      <w:color w:val="auto"/>
                      <w:sz w:val="21"/>
                      <w:vertAlign w:val="subscript"/>
                    </w:rPr>
                  </w:pPr>
                  <w:r>
                    <w:rPr>
                      <w:rFonts w:ascii="Times New Roman" w:hAnsi="Times New Roman" w:cs="Times New Roman" w:hint="default"/>
                      <w:b/>
                      <w:color w:val="auto"/>
                      <w:sz w:val="21"/>
                    </w:rPr>
                    <w:t>BOD</w:t>
                  </w:r>
                  <w:r>
                    <w:rPr>
                      <w:rFonts w:ascii="Times New Roman" w:hAnsi="Times New Roman" w:cs="Times New Roman" w:hint="default"/>
                      <w:b/>
                      <w:color w:val="auto"/>
                      <w:sz w:val="21"/>
                      <w:vertAlign w:val="subscript"/>
                    </w:rPr>
                    <w:t>5</w:t>
                  </w:r>
                </w:p>
              </w:tc>
              <w:tc>
                <w:tcPr>
                  <w:tcW w:w="812" w:type="pct"/>
                  <w:vAlign w:val="center"/>
                </w:tcPr>
                <w:p>
                  <w:pPr>
                    <w:pStyle w:val="PlainText"/>
                    <w:jc w:val="center"/>
                    <w:rPr>
                      <w:rFonts w:ascii="Times New Roman" w:hAnsi="Times New Roman" w:cs="Times New Roman" w:hint="default"/>
                      <w:b/>
                      <w:color w:val="auto"/>
                      <w:sz w:val="21"/>
                    </w:rPr>
                  </w:pPr>
                  <w:r>
                    <w:rPr>
                      <w:rFonts w:ascii="Times New Roman" w:hAnsi="Times New Roman" w:cs="Times New Roman" w:hint="default"/>
                      <w:b/>
                      <w:color w:val="auto"/>
                      <w:sz w:val="21"/>
                    </w:rPr>
                    <w:t>SS</w:t>
                  </w:r>
                </w:p>
              </w:tc>
              <w:tc>
                <w:tcPr>
                  <w:tcW w:w="812" w:type="pct"/>
                  <w:vAlign w:val="center"/>
                </w:tcPr>
                <w:p>
                  <w:pPr>
                    <w:pStyle w:val="PlainText"/>
                    <w:jc w:val="center"/>
                    <w:rPr>
                      <w:rFonts w:ascii="Times New Roman" w:hAnsi="Times New Roman" w:cs="Times New Roman" w:hint="default"/>
                      <w:b/>
                      <w:color w:val="auto"/>
                      <w:sz w:val="21"/>
                    </w:rPr>
                  </w:pPr>
                  <w:r>
                    <w:rPr>
                      <w:rFonts w:ascii="Times New Roman" w:hAnsi="Times New Roman" w:cs="Times New Roman" w:hint="default"/>
                      <w:b/>
                      <w:color w:val="auto"/>
                      <w:sz w:val="21"/>
                    </w:rPr>
                    <w:t>氨氮</w:t>
                  </w:r>
                </w:p>
              </w:tc>
            </w:tr>
            <w:tr>
              <w:tblPrEx>
                <w:tblW w:w="4998" w:type="pct"/>
                <w:tblInd w:w="116" w:type="dxa"/>
                <w:tblCellMar>
                  <w:top w:w="0" w:type="dxa"/>
                  <w:left w:w="108" w:type="dxa"/>
                  <w:bottom w:w="0" w:type="dxa"/>
                  <w:right w:w="108" w:type="dxa"/>
                </w:tblCellMar>
                <w:tblLook w:val="0000"/>
              </w:tblPrEx>
              <w:tc>
                <w:tcPr>
                  <w:tcW w:w="109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产生浓度（mg/L）</w:t>
                  </w:r>
                </w:p>
              </w:tc>
              <w:tc>
                <w:tcPr>
                  <w:tcW w:w="79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w:t>
                  </w:r>
                </w:p>
              </w:tc>
              <w:tc>
                <w:tcPr>
                  <w:tcW w:w="791"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300</w:t>
                  </w:r>
                </w:p>
              </w:tc>
              <w:tc>
                <w:tcPr>
                  <w:tcW w:w="70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220</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200</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30</w:t>
                  </w:r>
                </w:p>
              </w:tc>
            </w:tr>
            <w:tr>
              <w:tblPrEx>
                <w:tblW w:w="4998" w:type="pct"/>
                <w:tblInd w:w="116" w:type="dxa"/>
                <w:tblCellMar>
                  <w:top w:w="0" w:type="dxa"/>
                  <w:left w:w="108" w:type="dxa"/>
                  <w:bottom w:w="0" w:type="dxa"/>
                  <w:right w:w="108" w:type="dxa"/>
                </w:tblCellMar>
                <w:tblLook w:val="0000"/>
              </w:tblPrEx>
              <w:tc>
                <w:tcPr>
                  <w:tcW w:w="109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产生量（t）</w:t>
                  </w:r>
                </w:p>
              </w:tc>
              <w:tc>
                <w:tcPr>
                  <w:tcW w:w="79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350.4</w:t>
                  </w:r>
                </w:p>
              </w:tc>
              <w:tc>
                <w:tcPr>
                  <w:tcW w:w="791"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0.105</w:t>
                  </w:r>
                </w:p>
              </w:tc>
              <w:tc>
                <w:tcPr>
                  <w:tcW w:w="70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0.077</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0.070</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0.011</w:t>
                  </w:r>
                </w:p>
              </w:tc>
            </w:tr>
            <w:tr>
              <w:tblPrEx>
                <w:tblW w:w="4998" w:type="pct"/>
                <w:tblInd w:w="116" w:type="dxa"/>
                <w:tblCellMar>
                  <w:top w:w="0" w:type="dxa"/>
                  <w:left w:w="108" w:type="dxa"/>
                  <w:bottom w:w="0" w:type="dxa"/>
                  <w:right w:w="108" w:type="dxa"/>
                </w:tblCellMar>
                <w:tblLook w:val="0000"/>
              </w:tblPrEx>
              <w:tc>
                <w:tcPr>
                  <w:tcW w:w="109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回用浓度（mg/L）</w:t>
                  </w:r>
                </w:p>
              </w:tc>
              <w:tc>
                <w:tcPr>
                  <w:tcW w:w="79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w:t>
                  </w:r>
                </w:p>
              </w:tc>
              <w:tc>
                <w:tcPr>
                  <w:tcW w:w="791"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200</w:t>
                  </w:r>
                </w:p>
              </w:tc>
              <w:tc>
                <w:tcPr>
                  <w:tcW w:w="70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100</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100</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20</w:t>
                  </w:r>
                </w:p>
              </w:tc>
            </w:tr>
          </w:tbl>
          <w:p/>
        </w:tc>
      </w:tr>
    </w:tbl>
    <w:p>
      <w:pPr>
        <w:sectPr>
          <w:footerReference w:type="even" r:id="rId73"/>
          <w:footerReference w:type="default" r:id="rId74"/>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2"/>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tbl>
            <w:tblPr>
              <w:tblStyle w:val="TableNormal"/>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998"/>
              <w:gridCol w:w="1453"/>
              <w:gridCol w:w="1451"/>
              <w:gridCol w:w="1284"/>
              <w:gridCol w:w="1490"/>
              <w:gridCol w:w="1490"/>
            </w:tblGrid>
            <w:tr>
              <w:tblPrEx>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09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回用量（t）</w:t>
                  </w:r>
                </w:p>
              </w:tc>
              <w:tc>
                <w:tcPr>
                  <w:tcW w:w="79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350.4</w:t>
                  </w:r>
                </w:p>
              </w:tc>
              <w:tc>
                <w:tcPr>
                  <w:tcW w:w="791"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0.070</w:t>
                  </w:r>
                </w:p>
              </w:tc>
              <w:tc>
                <w:tcPr>
                  <w:tcW w:w="700"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0.035</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0.035</w:t>
                  </w:r>
                </w:p>
              </w:tc>
              <w:tc>
                <w:tcPr>
                  <w:tcW w:w="812" w:type="pct"/>
                  <w:vAlign w:val="center"/>
                </w:tcPr>
                <w:p>
                  <w:pPr>
                    <w:pStyle w:val="PlainText"/>
                    <w:jc w:val="center"/>
                    <w:rPr>
                      <w:rFonts w:ascii="Times New Roman" w:hAnsi="Times New Roman" w:cs="Times New Roman" w:hint="default"/>
                      <w:color w:val="auto"/>
                      <w:sz w:val="21"/>
                    </w:rPr>
                  </w:pPr>
                  <w:r>
                    <w:rPr>
                      <w:rFonts w:ascii="Times New Roman" w:hAnsi="Times New Roman" w:cs="Times New Roman" w:hint="default"/>
                      <w:color w:val="auto"/>
                      <w:sz w:val="21"/>
                    </w:rPr>
                    <w:t>0.007</w:t>
                  </w:r>
                </w:p>
              </w:tc>
            </w:tr>
          </w:tbl>
          <w:p>
            <w:pPr>
              <w:spacing w:line="360" w:lineRule="auto"/>
              <w:ind w:firstLine="480"/>
              <w:rPr>
                <w:rFonts w:ascii="Times New Roman" w:hAnsi="Times New Roman" w:cs="Times New Roman" w:hint="default"/>
                <w:color w:val="auto"/>
                <w:szCs w:val="24"/>
              </w:rPr>
            </w:pPr>
            <w:r>
              <w:rPr>
                <w:rFonts w:ascii="Times New Roman" w:hAnsi="Times New Roman" w:cs="Times New Roman" w:hint="default"/>
                <w:color w:val="auto"/>
                <w:szCs w:val="24"/>
              </w:rPr>
              <w:t>施工期生活污水经三级化粪池和一体式生化处理设施处理，达到《农田灌溉水质标准》（GB5084-2005）表1</w:t>
            </w:r>
            <w:r>
              <w:rPr>
                <w:rFonts w:ascii="Times New Roman" w:hAnsi="Times New Roman" w:cs="Times New Roman" w:hint="default"/>
                <w:color w:val="auto"/>
                <w:szCs w:val="24"/>
              </w:rPr>
              <w:t>“</w:t>
            </w:r>
            <w:r>
              <w:rPr>
                <w:rFonts w:ascii="Times New Roman" w:hAnsi="Times New Roman" w:cs="Times New Roman" w:hint="default"/>
                <w:color w:val="auto"/>
                <w:szCs w:val="24"/>
              </w:rPr>
              <w:t>旱作</w:t>
            </w:r>
            <w:r>
              <w:rPr>
                <w:rFonts w:ascii="Times New Roman" w:hAnsi="Times New Roman" w:cs="Times New Roman" w:hint="default"/>
                <w:color w:val="auto"/>
                <w:szCs w:val="24"/>
              </w:rPr>
              <w:t>”</w:t>
            </w:r>
            <w:r>
              <w:rPr>
                <w:rFonts w:ascii="Times New Roman" w:hAnsi="Times New Roman" w:cs="Times New Roman" w:hint="default"/>
                <w:color w:val="auto"/>
                <w:szCs w:val="24"/>
              </w:rPr>
              <w:t>标准后，用于项目内绿化灌溉，不外排。</w:t>
            </w:r>
          </w:p>
          <w:p>
            <w:pPr>
              <w:spacing w:line="360" w:lineRule="auto"/>
              <w:ind w:firstLine="480"/>
              <w:rPr>
                <w:rFonts w:ascii="Times New Roman" w:hAnsi="Times New Roman" w:cs="Times New Roman" w:hint="default"/>
                <w:color w:val="auto"/>
                <w:szCs w:val="24"/>
              </w:rPr>
            </w:pPr>
            <w:r>
              <w:rPr>
                <w:rFonts w:ascii="Times New Roman" w:hAnsi="Times New Roman" w:cs="Times New Roman" w:hint="default"/>
                <w:b/>
                <w:bCs/>
                <w:color w:val="auto"/>
                <w:szCs w:val="24"/>
              </w:rPr>
              <w:t>（3）施工期噪声污染源分析</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施工期噪声主要来自施工机械噪声、施工作业噪声和运输车辆噪声。施工机械噪声由施工机械产生，如推土机、挖掘机等，多为点声源；施工作业噪声主要指一些零星的敲打声、装卸建材的撞击声、施工人员的吆喝声、拆装模板的撞击声等，多为瞬间噪声；运输车辆的噪声属于交通噪声。在这些施工噪声中对声环境影响最大的是施工机械噪声。</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本项目施工噪声主要为施工机械设备噪声，在70-90dB(A)左右，预计在施工场界噪声在65-80dB(A)左右，施工场地外50m外可降低到65dB(A)以下。</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本项目施工期运输车辆一般为大型载重车，噪声值在80-90dB(A)之间。对此，在施工期间向周围排放噪声必须按照《中华人民共和国环境噪声污染防治法》规定，严格按《建筑施工场界环境噪声排放标准》（GB12523-2011）进行控制。施工期高噪声设备应合理安排施工时间，夜间禁止使用高噪声机械设备，杜绝深夜施工噪声扰民。</w:t>
            </w:r>
          </w:p>
          <w:p>
            <w:pPr>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（4）施工期固体废物污染源分析</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施工期产生的固体废物主要为施工人员生活垃圾和施工时所产生的建筑垃圾。</w:t>
            </w:r>
          </w:p>
          <w:p>
            <w:pPr>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①</w:t>
            </w:r>
            <w:r>
              <w:rPr>
                <w:rFonts w:ascii="Times New Roman" w:hAnsi="Times New Roman" w:cs="Times New Roman" w:hint="default"/>
                <w:b/>
                <w:bCs/>
                <w:color w:val="auto"/>
                <w:szCs w:val="24"/>
              </w:rPr>
              <w:t>生活垃圾</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本项目施工期施工人员为30人，生活垃圾产生量按0.5kg/人</w:t>
            </w:r>
            <w:r>
              <w:rPr>
                <w:rFonts w:ascii="Times New Roman" w:hAnsi="Times New Roman" w:cs="Times New Roman" w:hint="default"/>
                <w:color w:val="auto"/>
                <w:szCs w:val="24"/>
              </w:rPr>
              <w:t>•</w:t>
            </w:r>
            <w:r>
              <w:rPr>
                <w:rFonts w:ascii="Times New Roman" w:hAnsi="Times New Roman" w:cs="Times New Roman" w:hint="default"/>
                <w:color w:val="auto"/>
                <w:szCs w:val="24"/>
              </w:rPr>
              <w:t>d 计，则施工期生活垃圾产生总量5.5t，统一收集后委托环卫部门统一清运。</w:t>
            </w:r>
          </w:p>
          <w:p>
            <w:pPr>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②</w:t>
            </w:r>
            <w:r>
              <w:rPr>
                <w:rFonts w:ascii="Times New Roman" w:hAnsi="Times New Roman" w:cs="Times New Roman" w:hint="default"/>
                <w:b/>
                <w:bCs/>
                <w:color w:val="auto"/>
                <w:szCs w:val="24"/>
              </w:rPr>
              <w:t>弃土石</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根据本项目水保方案，施工期开采区上层剥离共产生土石方3.2万m</w:t>
            </w:r>
            <w:r>
              <w:rPr>
                <w:rFonts w:ascii="Times New Roman" w:hAnsi="Times New Roman" w:cs="Times New Roman" w:hint="default"/>
                <w:color w:val="auto"/>
                <w:szCs w:val="24"/>
                <w:vertAlign w:val="superscript"/>
              </w:rPr>
              <w:t>3</w:t>
            </w:r>
            <w:r>
              <w:rPr>
                <w:rFonts w:ascii="Times New Roman" w:hAnsi="Times New Roman" w:cs="Times New Roman" w:hint="default"/>
                <w:color w:val="auto"/>
                <w:szCs w:val="24"/>
              </w:rPr>
              <w:t>，其中</w:t>
            </w:r>
            <w:r>
              <w:rPr>
                <w:rFonts w:ascii="Times New Roman" w:hAnsi="Times New Roman" w:cs="Times New Roman" w:hint="default"/>
                <w:color w:val="auto"/>
              </w:rPr>
              <w:t>0.72万m</w:t>
            </w:r>
            <w:r>
              <w:rPr>
                <w:rFonts w:ascii="Times New Roman" w:hAnsi="Times New Roman" w:cs="Times New Roman" w:hint="default"/>
                <w:color w:val="auto"/>
                <w:vertAlign w:val="superscript"/>
              </w:rPr>
              <w:t>3</w:t>
            </w:r>
            <w:r>
              <w:rPr>
                <w:rFonts w:ascii="Times New Roman" w:hAnsi="Times New Roman" w:cs="Times New Roman" w:hint="default"/>
                <w:color w:val="auto"/>
              </w:rPr>
              <w:t>石方调用于道路的路面回填，2.08万m</w:t>
            </w:r>
            <w:r>
              <w:rPr>
                <w:rFonts w:ascii="Times New Roman" w:hAnsi="Times New Roman" w:cs="Times New Roman" w:hint="default"/>
                <w:color w:val="auto"/>
                <w:vertAlign w:val="superscript"/>
              </w:rPr>
              <w:t>3</w:t>
            </w:r>
            <w:r>
              <w:rPr>
                <w:rFonts w:ascii="Times New Roman" w:hAnsi="Times New Roman" w:cs="Times New Roman" w:hint="default"/>
                <w:color w:val="auto"/>
              </w:rPr>
              <w:t>石方调用于生产区场地填筑，剩余0.4万m</w:t>
            </w:r>
            <w:r>
              <w:rPr>
                <w:rFonts w:ascii="Times New Roman" w:hAnsi="Times New Roman" w:cs="Times New Roman" w:hint="default"/>
                <w:color w:val="auto"/>
                <w:vertAlign w:val="superscript"/>
              </w:rPr>
              <w:t>3</w:t>
            </w:r>
            <w:r>
              <w:rPr>
                <w:rFonts w:ascii="Times New Roman" w:hAnsi="Times New Roman" w:cs="Times New Roman" w:hint="default"/>
                <w:color w:val="auto"/>
              </w:rPr>
              <w:t>无法回用。生产区剥离表土产生量为0.63万m</w:t>
            </w:r>
            <w:r>
              <w:rPr>
                <w:rFonts w:ascii="Times New Roman" w:hAnsi="Times New Roman" w:cs="Times New Roman" w:hint="default"/>
                <w:color w:val="auto"/>
                <w:vertAlign w:val="superscript"/>
              </w:rPr>
              <w:t>3</w:t>
            </w:r>
            <w:r>
              <w:rPr>
                <w:rFonts w:ascii="Times New Roman" w:hAnsi="Times New Roman" w:cs="Times New Roman" w:hint="default"/>
                <w:color w:val="auto"/>
              </w:rPr>
              <w:t>，综合服务区剥离表土产生量为0.17万m</w:t>
            </w:r>
            <w:r>
              <w:rPr>
                <w:rFonts w:ascii="Times New Roman" w:hAnsi="Times New Roman" w:cs="Times New Roman" w:hint="default"/>
                <w:color w:val="auto"/>
                <w:vertAlign w:val="superscript"/>
              </w:rPr>
              <w:t>3</w:t>
            </w:r>
            <w:r>
              <w:rPr>
                <w:rFonts w:ascii="Times New Roman" w:hAnsi="Times New Roman" w:cs="Times New Roman" w:hint="default"/>
                <w:color w:val="auto"/>
              </w:rPr>
              <w:t>。</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则施工期弃土石方产生量合计约为1.2万m</w:t>
            </w:r>
            <w:r>
              <w:rPr>
                <w:rFonts w:ascii="Times New Roman" w:hAnsi="Times New Roman" w:cs="Times New Roman" w:hint="default"/>
                <w:color w:val="auto"/>
                <w:szCs w:val="24"/>
                <w:vertAlign w:val="superscript"/>
              </w:rPr>
              <w:t>3</w:t>
            </w:r>
            <w:r>
              <w:rPr>
                <w:rFonts w:ascii="Times New Roman" w:hAnsi="Times New Roman" w:cs="Times New Roman" w:hint="default"/>
                <w:color w:val="auto"/>
                <w:szCs w:val="24"/>
              </w:rPr>
              <w:t>。产生的剥离表土均堆放在位于</w:t>
            </w:r>
            <w:r>
              <w:rPr>
                <w:rFonts w:ascii="Times New Roman" w:hAnsi="Times New Roman" w:cs="Times New Roman" w:hint="default"/>
                <w:bCs/>
                <w:color w:val="auto"/>
              </w:rPr>
              <w:t>紧邻矿区东侧边界的山坳处的临时排土场中，用于矿山边开采边复绿以及服务期满后的生态修复过程。</w:t>
            </w:r>
          </w:p>
          <w:p>
            <w:pPr>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（5）施工期水土流失和生态保护</w:t>
            </w:r>
          </w:p>
          <w:p>
            <w:pPr>
              <w:pStyle w:val="PlainText"/>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1）施工期生态环境影响分析</w:t>
            </w:r>
          </w:p>
          <w:p>
            <w:pPr>
              <w:pStyle w:val="PlainText"/>
              <w:spacing w:after="0" w:line="360" w:lineRule="auto"/>
              <w:ind w:firstLine="480" w:firstLineChars="200"/>
              <w:rPr>
                <w:rFonts w:ascii="Times New Roman" w:hAnsi="Times New Roman" w:cs="Times New Roman" w:hint="default"/>
                <w:color w:val="auto"/>
                <w:szCs w:val="24"/>
              </w:rPr>
            </w:pPr>
          </w:p>
        </w:tc>
      </w:tr>
    </w:tbl>
    <w:p>
      <w:pPr>
        <w:sectPr>
          <w:footerReference w:type="even" r:id="rId75"/>
          <w:footerReference w:type="default" r:id="rId76"/>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3"/>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pStyle w:val="PlainText"/>
              <w:spacing w:before="0"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项目施工期，由于施工人员和交通活动的干扰可影响到周边生态系统，造成生态破坏；由于开挖土石方、土地平整和清理场地等活动会造成裸露地表，在一定程度上影响区域景观的和谐。本项目周围区域生态环境受人类活动影响较小，因此施工期会对生态环境造成一定影响。</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根据现场调查发现，项目内无珍稀、濒危动植物及古、大、珍、奇树木，无需保护珍稀动植物。施工期结束后建设单位应尽快对裸露地表进行铺装或绿化，多植树种草，以减小对生态环境的影响。</w:t>
            </w:r>
          </w:p>
          <w:p>
            <w:pPr>
              <w:pStyle w:val="PlainText"/>
              <w:spacing w:line="360" w:lineRule="auto"/>
              <w:ind w:firstLine="480" w:firstLineChars="200"/>
              <w:rPr>
                <w:rFonts w:ascii="Times New Roman" w:hAnsi="Times New Roman" w:cs="Times New Roman" w:hint="default"/>
                <w:b/>
                <w:bCs/>
                <w:color w:val="auto"/>
                <w:szCs w:val="24"/>
              </w:rPr>
            </w:pPr>
            <w:r>
              <w:rPr>
                <w:rFonts w:ascii="Times New Roman" w:hAnsi="Times New Roman" w:cs="Times New Roman" w:hint="default"/>
                <w:b/>
                <w:bCs/>
                <w:color w:val="auto"/>
                <w:szCs w:val="24"/>
              </w:rPr>
              <w:t>2）施工期水土流失影响分析</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水土流失发生于工程施工期，其影响将持续至运行初期，建设工程土石方开挖，场地平整使原地表植被、地面组成物质以及地形地貌受到扰动，表层土壤裸露，失去原有植被的防冲、固土能力，使其自然状态受到破坏。施工结束后将及时进行绿化恢复，可以有效减小水土流失的影响。环评建议施工阶段采取以下措施防止水土流失：</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①</w:t>
            </w:r>
            <w:r>
              <w:rPr>
                <w:rFonts w:ascii="Times New Roman" w:hAnsi="Times New Roman" w:cs="Times New Roman" w:hint="default"/>
                <w:color w:val="auto"/>
                <w:szCs w:val="24"/>
              </w:rPr>
              <w:t>基础开挖场地平整等工作不在雨季施工，从而减少扰动地表，同时备齐防雨的设施，如篷布等防雨设施；</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②</w:t>
            </w:r>
            <w:r>
              <w:rPr>
                <w:rFonts w:ascii="Times New Roman" w:hAnsi="Times New Roman" w:cs="Times New Roman" w:hint="default"/>
                <w:color w:val="auto"/>
                <w:szCs w:val="24"/>
              </w:rPr>
              <w:t>采取先挡后弃的原则，保证基建及工程场地的安全；</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③</w:t>
            </w:r>
            <w:r>
              <w:rPr>
                <w:rFonts w:ascii="Times New Roman" w:hAnsi="Times New Roman" w:cs="Times New Roman" w:hint="default"/>
                <w:color w:val="auto"/>
                <w:szCs w:val="24"/>
              </w:rPr>
              <w:t>加强边坡的维护防止塌方发生；</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④</w:t>
            </w:r>
            <w:r>
              <w:rPr>
                <w:rFonts w:ascii="Times New Roman" w:hAnsi="Times New Roman" w:cs="Times New Roman" w:hint="default"/>
                <w:color w:val="auto"/>
                <w:szCs w:val="24"/>
              </w:rPr>
              <w:t>施工期应及时对扰动地表进行铺装以控制水土流失状况；</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⑤</w:t>
            </w:r>
            <w:r>
              <w:rPr>
                <w:rFonts w:ascii="Times New Roman" w:hAnsi="Times New Roman" w:cs="Times New Roman" w:hint="default"/>
                <w:color w:val="auto"/>
                <w:szCs w:val="24"/>
              </w:rPr>
              <w:t>施工期应对部分已经建设完毕的场地采取绿化措施，以截留部分雨水从而减少水土流失；</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⑥</w:t>
            </w:r>
            <w:r>
              <w:rPr>
                <w:rFonts w:ascii="Times New Roman" w:hAnsi="Times New Roman" w:cs="Times New Roman" w:hint="default"/>
                <w:color w:val="auto"/>
                <w:szCs w:val="24"/>
              </w:rPr>
              <w:t>表土剥离及防护。场地表土实行分层剥离，表层土单独存放，使用篷布遮盖避风避雨，分层回填并绿化；考虑降雨冲刷会扩大水土流失的范围，准备一定数量的彩条布，覆盖在临时存放的表土堆上，同时需在四周修建临时排水沟，排水沟宽 0.3m，深 0.4m，内外边坡均为1：1，沟内用粘土拍实并覆盖彩条布在临时排水沟出水口处于场地排水设施顺接；</w:t>
            </w:r>
          </w:p>
          <w:p>
            <w:pPr>
              <w:pStyle w:val="PlainText"/>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⑦</w:t>
            </w:r>
            <w:r>
              <w:rPr>
                <w:rFonts w:ascii="Times New Roman" w:hAnsi="Times New Roman" w:cs="Times New Roman" w:hint="default"/>
                <w:color w:val="auto"/>
                <w:szCs w:val="24"/>
              </w:rPr>
              <w:t>项目建设区在工程施工结束后需对场地裸露面进行植被覆盖。</w:t>
            </w:r>
          </w:p>
          <w:p>
            <w:pPr>
              <w:adjustRightInd w:val="0"/>
              <w:snapToGrid w:val="0"/>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Cs w:val="24"/>
              </w:rPr>
              <w:t>项目建成后，建设单位通过采取上述措施后，施工期造成的水土流失问题不明显。</w:t>
            </w:r>
          </w:p>
          <w:p>
            <w:pPr>
              <w:adjustRightInd w:val="0"/>
              <w:snapToGrid w:val="0"/>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2、运营期</w:t>
            </w:r>
          </w:p>
          <w:p>
            <w:pPr>
              <w:pStyle w:val="120"/>
              <w:rPr>
                <w:rFonts w:cs="Times New Roman" w:hint="default"/>
                <w:color w:val="auto"/>
              </w:rPr>
            </w:pPr>
            <w:r>
              <w:rPr>
                <w:rFonts w:ascii="Times New Roman" w:hAnsi="Times New Roman" w:cs="Times New Roman" w:hint="default"/>
                <w:color w:val="auto"/>
              </w:rPr>
              <w:t>项目产生的主要污染物有废水、废气、噪声和固体废弃物。</w:t>
            </w:r>
          </w:p>
          <w:p>
            <w:pPr>
              <w:pStyle w:val="120"/>
              <w:ind w:firstLine="482"/>
              <w:rPr>
                <w:rFonts w:cs="Times New Roman" w:hint="default"/>
                <w:b/>
                <w:color w:val="auto"/>
              </w:rPr>
            </w:pPr>
            <w:r>
              <w:rPr>
                <w:rFonts w:ascii="Times New Roman" w:hAnsi="Times New Roman" w:cs="Times New Roman" w:hint="default"/>
                <w:b/>
                <w:color w:val="auto"/>
              </w:rPr>
              <w:t>（1）水污染源</w:t>
            </w:r>
          </w:p>
          <w:p>
            <w:pPr>
              <w:pStyle w:val="120"/>
              <w:rPr>
                <w:rFonts w:cs="Times New Roman" w:hint="default"/>
                <w:color w:val="auto"/>
              </w:rPr>
            </w:pPr>
            <w:r>
              <w:rPr>
                <w:rFonts w:ascii="Times New Roman" w:hAnsi="Times New Roman" w:cs="Times New Roman" w:hint="default"/>
                <w:color w:val="auto"/>
              </w:rPr>
              <w:t>扩建后项目产生的废水主要为生活污水、喷淋废水和初期雨水。</w:t>
            </w:r>
          </w:p>
          <w:p>
            <w:pPr>
              <w:pStyle w:val="120"/>
              <w:ind w:firstLine="482"/>
              <w:rPr>
                <w:rFonts w:cs="Times New Roman" w:hint="default"/>
                <w:b/>
                <w:color w:val="auto"/>
              </w:rPr>
            </w:pPr>
            <w:r>
              <w:rPr>
                <w:rFonts w:ascii="Times New Roman" w:hAnsi="Times New Roman" w:cs="Times New Roman" w:hint="default"/>
                <w:b/>
                <w:color w:val="auto"/>
              </w:rPr>
              <w:t>1）生活污水</w:t>
            </w:r>
          </w:p>
          <w:p>
            <w:pPr>
              <w:pStyle w:val="120"/>
              <w:spacing w:after="0"/>
              <w:rPr>
                <w:rFonts w:cs="Times New Roman" w:hint="default"/>
                <w:color w:val="auto"/>
              </w:rPr>
            </w:pPr>
          </w:p>
        </w:tc>
      </w:tr>
    </w:tbl>
    <w:p>
      <w:pPr>
        <w:sectPr>
          <w:footerReference w:type="even" r:id="rId77"/>
          <w:footerReference w:type="default" r:id="rId7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4"/>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pStyle w:val="120"/>
              <w:spacing w:before="0"/>
              <w:rPr>
                <w:rFonts w:cs="Times New Roman" w:hint="default"/>
                <w:color w:val="auto"/>
              </w:rPr>
            </w:pPr>
            <w:r>
              <w:rPr>
                <w:rFonts w:ascii="Times New Roman" w:hAnsi="Times New Roman" w:cs="Times New Roman" w:hint="default"/>
                <w:color w:val="auto"/>
              </w:rPr>
              <w:t>项目运营期员工人数为70人，员工均在项目内用餐，不在场内住宿。用水主要为员工办公生活用水和食堂用水等，根据《广东省用水定额》（DB44/T1461-2014）表5居民生活用水定额表中</w:t>
            </w:r>
            <w:r>
              <w:rPr>
                <w:rFonts w:ascii="Times New Roman" w:hAnsi="Times New Roman" w:cs="Times New Roman" w:hint="default"/>
                <w:color w:val="auto"/>
              </w:rPr>
              <w:t>“</w:t>
            </w:r>
            <w:r>
              <w:rPr>
                <w:rFonts w:ascii="Times New Roman" w:hAnsi="Times New Roman" w:cs="Times New Roman" w:hint="default"/>
                <w:color w:val="auto"/>
              </w:rPr>
              <w:t>中等城镇</w:t>
            </w:r>
            <w:r>
              <w:rPr>
                <w:rFonts w:ascii="Times New Roman" w:hAnsi="Times New Roman" w:cs="Times New Roman" w:hint="default"/>
                <w:color w:val="auto"/>
              </w:rPr>
              <w:t>”</w:t>
            </w:r>
            <w:r>
              <w:rPr>
                <w:rFonts w:ascii="Times New Roman" w:hAnsi="Times New Roman" w:cs="Times New Roman" w:hint="default"/>
                <w:color w:val="auto"/>
              </w:rPr>
              <w:t>的数值，员工用水量按40L/（人</w:t>
            </w:r>
            <w:r>
              <w:rPr>
                <w:rFonts w:ascii="Times New Roman" w:hAnsi="Times New Roman" w:cs="Times New Roman" w:hint="default"/>
                <w:color w:val="auto"/>
              </w:rPr>
              <w:t>·</w:t>
            </w:r>
            <w:r>
              <w:rPr>
                <w:rFonts w:ascii="Times New Roman" w:hAnsi="Times New Roman" w:cs="Times New Roman" w:hint="default"/>
                <w:color w:val="auto"/>
              </w:rPr>
              <w:t>日）计，则项目总用生活水量为2.8m</w:t>
            </w:r>
            <w:r>
              <w:rPr>
                <w:rFonts w:ascii="Times New Roman" w:hAnsi="Times New Roman" w:cs="Times New Roman" w:hint="default"/>
                <w:color w:val="auto"/>
                <w:vertAlign w:val="superscript"/>
              </w:rPr>
              <w:t>3</w:t>
            </w:r>
            <w:r>
              <w:rPr>
                <w:rFonts w:ascii="Times New Roman" w:hAnsi="Times New Roman" w:cs="Times New Roman" w:hint="default"/>
                <w:color w:val="auto"/>
              </w:rPr>
              <w:t>/d（784m</w:t>
            </w:r>
            <w:r>
              <w:rPr>
                <w:rFonts w:ascii="Times New Roman" w:hAnsi="Times New Roman" w:cs="Times New Roman" w:hint="default"/>
                <w:color w:val="auto"/>
                <w:vertAlign w:val="superscript"/>
              </w:rPr>
              <w:t>3</w:t>
            </w:r>
            <w:r>
              <w:rPr>
                <w:rFonts w:ascii="Times New Roman" w:hAnsi="Times New Roman" w:cs="Times New Roman" w:hint="default"/>
                <w:color w:val="auto"/>
              </w:rPr>
              <w:t>/a），生活污水排放系数以90%计，则本项目运营期污水量为2.52m</w:t>
            </w:r>
            <w:r>
              <w:rPr>
                <w:rFonts w:ascii="Times New Roman" w:hAnsi="Times New Roman" w:cs="Times New Roman" w:hint="default"/>
                <w:color w:val="auto"/>
                <w:vertAlign w:val="superscript"/>
              </w:rPr>
              <w:t>3</w:t>
            </w:r>
            <w:r>
              <w:rPr>
                <w:rFonts w:ascii="Times New Roman" w:hAnsi="Times New Roman" w:cs="Times New Roman" w:hint="default"/>
                <w:color w:val="auto"/>
              </w:rPr>
              <w:t>/d（706m</w:t>
            </w:r>
            <w:r>
              <w:rPr>
                <w:rFonts w:ascii="Times New Roman" w:hAnsi="Times New Roman" w:cs="Times New Roman" w:hint="default"/>
                <w:color w:val="auto"/>
                <w:vertAlign w:val="superscript"/>
              </w:rPr>
              <w:t>3</w:t>
            </w:r>
            <w:r>
              <w:rPr>
                <w:rFonts w:ascii="Times New Roman" w:hAnsi="Times New Roman" w:cs="Times New Roman" w:hint="default"/>
                <w:color w:val="auto"/>
              </w:rPr>
              <w:t>/a）。</w:t>
            </w:r>
          </w:p>
          <w:p>
            <w:pPr>
              <w:pStyle w:val="120"/>
              <w:rPr>
                <w:rFonts w:cs="Times New Roman" w:hint="default"/>
                <w:color w:val="auto"/>
                <w:szCs w:val="24"/>
              </w:rPr>
            </w:pPr>
            <w:r>
              <w:rPr>
                <w:rFonts w:ascii="Times New Roman" w:hAnsi="Times New Roman" w:cs="Times New Roman" w:hint="default"/>
                <w:color w:val="auto"/>
              </w:rPr>
              <w:t>生活污水</w:t>
            </w:r>
            <w:r>
              <w:rPr>
                <w:rFonts w:ascii="Times New Roman" w:hAnsi="Times New Roman" w:cs="Times New Roman" w:hint="default"/>
                <w:bCs/>
                <w:color w:val="auto"/>
                <w:szCs w:val="24"/>
              </w:rPr>
              <w:t>经三级化粪池</w:t>
            </w:r>
            <w:r>
              <w:rPr>
                <w:rFonts w:ascii="Times New Roman" w:hAnsi="Times New Roman" w:cs="Times New Roman" w:hint="default"/>
                <w:bCs/>
                <w:color w:val="auto"/>
                <w:szCs w:val="24"/>
                <w:lang w:eastAsia="zh-CN"/>
              </w:rPr>
              <w:t>和隔油隔渣池处理后，一同进入项目内自建</w:t>
            </w:r>
            <w:r>
              <w:rPr>
                <w:rFonts w:ascii="Times New Roman" w:hAnsi="Times New Roman" w:cs="Times New Roman" w:hint="default"/>
                <w:bCs/>
                <w:color w:val="auto"/>
                <w:szCs w:val="24"/>
              </w:rPr>
              <w:t>一体式生化处理设施处理</w:t>
            </w:r>
            <w:r>
              <w:rPr>
                <w:rFonts w:ascii="Times New Roman" w:hAnsi="Times New Roman" w:cs="Times New Roman" w:hint="default"/>
                <w:color w:val="auto"/>
              </w:rPr>
              <w:t>，达到</w:t>
            </w:r>
            <w:r>
              <w:rPr>
                <w:rFonts w:ascii="Times New Roman" w:hAnsi="Times New Roman" w:cs="Times New Roman" w:hint="default"/>
                <w:color w:val="auto"/>
                <w:szCs w:val="24"/>
              </w:rPr>
              <w:t>《农田灌溉水质标准》（GB5084-2005）旱作标准后全部用于项目内绿化浇灌用水，不外排。生活污水中各污染物产排情况见下表。</w:t>
            </w:r>
          </w:p>
          <w:p>
            <w:pPr>
              <w:pStyle w:val="22"/>
              <w:ind w:firstLine="0"/>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表5-5  生活污水污染物产排情况一览表</w:t>
            </w:r>
          </w:p>
          <w:tbl>
            <w:tblPr>
              <w:tblStyle w:val="TableNormal"/>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528"/>
              <w:gridCol w:w="1528"/>
              <w:gridCol w:w="1528"/>
              <w:gridCol w:w="1528"/>
              <w:gridCol w:w="1529"/>
              <w:gridCol w:w="1529"/>
            </w:tblGrid>
            <w:tr>
              <w:tblPrEx>
                <w:tblW w:w="5000"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90"/>
              </w:trPr>
              <w:tc>
                <w:tcPr>
                  <w:tcW w:w="833"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废水类型</w:t>
                  </w:r>
                </w:p>
              </w:tc>
              <w:tc>
                <w:tcPr>
                  <w:tcW w:w="833"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污染物名称</w:t>
                  </w:r>
                </w:p>
              </w:tc>
              <w:tc>
                <w:tcPr>
                  <w:tcW w:w="833"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产生浓度（mg/L）</w:t>
                  </w:r>
                </w:p>
              </w:tc>
              <w:tc>
                <w:tcPr>
                  <w:tcW w:w="833"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产生量</w:t>
                  </w:r>
                </w:p>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（t/a）</w:t>
                  </w:r>
                </w:p>
              </w:tc>
              <w:tc>
                <w:tcPr>
                  <w:tcW w:w="833"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回用浓度（mg/L）</w:t>
                  </w:r>
                </w:p>
              </w:tc>
              <w:tc>
                <w:tcPr>
                  <w:tcW w:w="833" w:type="pct"/>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回用量（t/a）</w:t>
                  </w:r>
                </w:p>
              </w:tc>
            </w:tr>
            <w:tr>
              <w:tblPrEx>
                <w:tblW w:w="5000" w:type="pct"/>
                <w:tblInd w:w="116" w:type="dxa"/>
                <w:tblCellMar>
                  <w:top w:w="0" w:type="dxa"/>
                  <w:left w:w="108" w:type="dxa"/>
                  <w:bottom w:w="0" w:type="dxa"/>
                  <w:right w:w="108" w:type="dxa"/>
                </w:tblCellMar>
                <w:tblLook w:val="0000"/>
              </w:tblPrEx>
              <w:tc>
                <w:tcPr>
                  <w:tcW w:w="833" w:type="pct"/>
                  <w:vMerge w:val="restar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生活污水</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706m</w:t>
                  </w:r>
                  <w:r>
                    <w:rPr>
                      <w:rFonts w:ascii="Times New Roman" w:hAnsi="Times New Roman" w:cs="Times New Roman" w:hint="default"/>
                      <w:color w:val="auto"/>
                      <w:sz w:val="21"/>
                      <w:szCs w:val="21"/>
                      <w:vertAlign w:val="superscript"/>
                    </w:rPr>
                    <w:t>3</w:t>
                  </w:r>
                  <w:r>
                    <w:rPr>
                      <w:rFonts w:ascii="Times New Roman" w:hAnsi="Times New Roman" w:cs="Times New Roman" w:hint="default"/>
                      <w:color w:val="auto"/>
                      <w:sz w:val="21"/>
                      <w:szCs w:val="21"/>
                    </w:rPr>
                    <w:t>/a</w:t>
                  </w:r>
                </w:p>
              </w:tc>
              <w:tc>
                <w:tcPr>
                  <w:tcW w:w="833" w:type="pct"/>
                  <w:vAlign w:val="center"/>
                </w:tcPr>
                <w:p>
                  <w:pPr>
                    <w:pStyle w:val="120"/>
                    <w:spacing w:line="240" w:lineRule="auto"/>
                    <w:ind w:firstLine="0" w:firstLineChars="0"/>
                    <w:jc w:val="center"/>
                    <w:rPr>
                      <w:rFonts w:cs="Times New Roman" w:hint="default"/>
                      <w:color w:val="auto"/>
                      <w:sz w:val="21"/>
                      <w:szCs w:val="21"/>
                      <w:vertAlign w:val="subscript"/>
                    </w:rPr>
                  </w:pPr>
                  <w:r>
                    <w:rPr>
                      <w:rFonts w:ascii="Times New Roman" w:hAnsi="Times New Roman" w:cs="Times New Roman" w:hint="default"/>
                      <w:color w:val="auto"/>
                      <w:sz w:val="21"/>
                      <w:szCs w:val="21"/>
                    </w:rPr>
                    <w:t>COD</w:t>
                  </w:r>
                  <w:r>
                    <w:rPr>
                      <w:rFonts w:ascii="Times New Roman" w:hAnsi="Times New Roman" w:cs="Times New Roman" w:hint="default"/>
                      <w:color w:val="auto"/>
                      <w:sz w:val="21"/>
                      <w:szCs w:val="21"/>
                      <w:vertAlign w:val="subscript"/>
                    </w:rPr>
                    <w:t>cr</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350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0.247</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200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0.141</w:t>
                  </w:r>
                </w:p>
              </w:tc>
            </w:tr>
            <w:tr>
              <w:tblPrEx>
                <w:tblW w:w="5000" w:type="pct"/>
                <w:tblInd w:w="116" w:type="dxa"/>
                <w:tblCellMar>
                  <w:top w:w="0" w:type="dxa"/>
                  <w:left w:w="108" w:type="dxa"/>
                  <w:bottom w:w="0" w:type="dxa"/>
                  <w:right w:w="108" w:type="dxa"/>
                </w:tblCellMar>
                <w:tblLook w:val="0000"/>
              </w:tblPrEx>
              <w:tc>
                <w:tcPr>
                  <w:tcW w:w="833" w:type="pct"/>
                  <w:vMerge/>
                  <w:vAlign w:val="center"/>
                </w:tcPr>
                <w:p>
                  <w:pPr>
                    <w:pStyle w:val="120"/>
                    <w:spacing w:line="240" w:lineRule="auto"/>
                    <w:ind w:firstLine="0" w:firstLineChars="0"/>
                    <w:jc w:val="center"/>
                    <w:rPr>
                      <w:rFonts w:cs="Times New Roman" w:hint="default"/>
                      <w:color w:val="auto"/>
                      <w:sz w:val="21"/>
                      <w:szCs w:val="21"/>
                    </w:rPr>
                  </w:pPr>
                </w:p>
              </w:tc>
              <w:tc>
                <w:tcPr>
                  <w:tcW w:w="833" w:type="pct"/>
                  <w:vAlign w:val="center"/>
                </w:tcPr>
                <w:p>
                  <w:pPr>
                    <w:pStyle w:val="120"/>
                    <w:spacing w:line="240" w:lineRule="auto"/>
                    <w:ind w:firstLine="0" w:firstLineChars="0"/>
                    <w:jc w:val="center"/>
                    <w:rPr>
                      <w:rFonts w:cs="Times New Roman" w:hint="default"/>
                      <w:color w:val="auto"/>
                      <w:sz w:val="21"/>
                      <w:szCs w:val="21"/>
                      <w:vertAlign w:val="subscript"/>
                    </w:rPr>
                  </w:pPr>
                  <w:r>
                    <w:rPr>
                      <w:rFonts w:ascii="Times New Roman" w:hAnsi="Times New Roman" w:cs="Times New Roman" w:hint="default"/>
                      <w:color w:val="auto"/>
                      <w:sz w:val="21"/>
                      <w:szCs w:val="21"/>
                    </w:rPr>
                    <w:t>BOD</w:t>
                  </w:r>
                  <w:r>
                    <w:rPr>
                      <w:rFonts w:ascii="Times New Roman" w:hAnsi="Times New Roman" w:cs="Times New Roman" w:hint="default"/>
                      <w:color w:val="auto"/>
                      <w:sz w:val="21"/>
                      <w:szCs w:val="21"/>
                      <w:vertAlign w:val="subscript"/>
                    </w:rPr>
                    <w:t>5</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200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0.141</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100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0.071</w:t>
                  </w:r>
                </w:p>
              </w:tc>
            </w:tr>
            <w:tr>
              <w:tblPrEx>
                <w:tblW w:w="5000" w:type="pct"/>
                <w:tblInd w:w="116" w:type="dxa"/>
                <w:tblCellMar>
                  <w:top w:w="0" w:type="dxa"/>
                  <w:left w:w="108" w:type="dxa"/>
                  <w:bottom w:w="0" w:type="dxa"/>
                  <w:right w:w="108" w:type="dxa"/>
                </w:tblCellMar>
                <w:tblLook w:val="0000"/>
              </w:tblPrEx>
              <w:tc>
                <w:tcPr>
                  <w:tcW w:w="833" w:type="pct"/>
                  <w:vMerge/>
                  <w:vAlign w:val="center"/>
                </w:tcPr>
                <w:p>
                  <w:pPr>
                    <w:pStyle w:val="120"/>
                    <w:spacing w:line="240" w:lineRule="auto"/>
                    <w:ind w:firstLine="0" w:firstLineChars="0"/>
                    <w:jc w:val="center"/>
                    <w:rPr>
                      <w:rFonts w:cs="Times New Roman" w:hint="default"/>
                      <w:color w:val="auto"/>
                      <w:sz w:val="21"/>
                      <w:szCs w:val="21"/>
                    </w:rPr>
                  </w:pP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氨氮</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30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0.021</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20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0.014</w:t>
                  </w:r>
                </w:p>
              </w:tc>
            </w:tr>
            <w:tr>
              <w:tblPrEx>
                <w:tblW w:w="5000" w:type="pct"/>
                <w:tblInd w:w="116" w:type="dxa"/>
                <w:tblCellMar>
                  <w:top w:w="0" w:type="dxa"/>
                  <w:left w:w="108" w:type="dxa"/>
                  <w:bottom w:w="0" w:type="dxa"/>
                  <w:right w:w="108" w:type="dxa"/>
                </w:tblCellMar>
                <w:tblLook w:val="0000"/>
              </w:tblPrEx>
              <w:tc>
                <w:tcPr>
                  <w:tcW w:w="833" w:type="pct"/>
                  <w:vMerge/>
                  <w:vAlign w:val="center"/>
                </w:tcPr>
                <w:p>
                  <w:pPr>
                    <w:pStyle w:val="120"/>
                    <w:spacing w:line="240" w:lineRule="auto"/>
                    <w:ind w:firstLine="0" w:firstLineChars="0"/>
                    <w:jc w:val="center"/>
                    <w:rPr>
                      <w:rFonts w:cs="Times New Roman" w:hint="default"/>
                      <w:color w:val="auto"/>
                      <w:sz w:val="21"/>
                      <w:szCs w:val="21"/>
                    </w:rPr>
                  </w:pP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SS</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250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0.177</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100</w:t>
                  </w:r>
                </w:p>
              </w:tc>
              <w:tc>
                <w:tcPr>
                  <w:tcW w:w="833" w:type="pct"/>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0.071</w:t>
                  </w:r>
                </w:p>
              </w:tc>
            </w:tr>
          </w:tbl>
          <w:p>
            <w:pPr>
              <w:spacing w:line="360" w:lineRule="auto"/>
              <w:ind w:left="480" w:leftChars="200"/>
              <w:rPr>
                <w:rFonts w:ascii="Times New Roman" w:hAnsi="Times New Roman" w:cs="Times New Roman" w:hint="default"/>
                <w:b/>
                <w:color w:val="auto"/>
                <w:szCs w:val="24"/>
              </w:rPr>
            </w:pPr>
            <w:r>
              <w:rPr>
                <w:rFonts w:ascii="Times New Roman" w:hAnsi="Times New Roman" w:cs="Times New Roman" w:hint="default"/>
                <w:b/>
                <w:color w:val="auto"/>
                <w:szCs w:val="24"/>
              </w:rPr>
              <w:t>2）喷淋废水</w:t>
            </w:r>
          </w:p>
          <w:p>
            <w:pPr>
              <w:pStyle w:val="120"/>
              <w:rPr>
                <w:rFonts w:cs="Times New Roman" w:hint="default"/>
                <w:bCs/>
                <w:color w:val="auto"/>
              </w:rPr>
            </w:pPr>
            <w:r>
              <w:rPr>
                <w:rFonts w:ascii="Times New Roman" w:hAnsi="Times New Roman" w:cs="Times New Roman" w:hint="default"/>
                <w:bCs/>
                <w:color w:val="auto"/>
              </w:rPr>
              <w:t>项目破碎、筛分过程均采用水喷淋除尘，因此会有喷淋废水产生。根据建设单位提供的资料，喷淋用水量为</w:t>
            </w:r>
            <w:r>
              <w:rPr>
                <w:rFonts w:ascii="Times New Roman" w:hAnsi="Times New Roman" w:cs="Times New Roman" w:hint="default"/>
                <w:bCs/>
                <w:color w:val="auto"/>
                <w:lang w:val="en-US" w:eastAsia="zh-CN"/>
              </w:rPr>
              <w:t>2</w:t>
            </w:r>
            <w:r>
              <w:rPr>
                <w:rFonts w:ascii="Times New Roman" w:hAnsi="Times New Roman" w:cs="Times New Roman" w:hint="default"/>
                <w:bCs/>
                <w:color w:val="auto"/>
                <w:lang w:val="en-US" w:eastAsia="zh-CN"/>
              </w:rPr>
              <w:t>5</w:t>
            </w:r>
            <w:r>
              <w:rPr>
                <w:rFonts w:ascii="Times New Roman" w:hAnsi="Times New Roman" w:cs="Times New Roman" w:hint="default"/>
                <w:bCs/>
                <w:color w:val="auto"/>
              </w:rPr>
              <w:t>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/d，</w:t>
            </w:r>
            <w:r>
              <w:rPr>
                <w:rFonts w:ascii="Times New Roman" w:hAnsi="Times New Roman" w:cs="Times New Roman" w:hint="default"/>
                <w:bCs/>
                <w:color w:val="auto"/>
                <w:lang w:val="en-US" w:eastAsia="zh-CN"/>
              </w:rPr>
              <w:t>7</w:t>
            </w:r>
            <w:r>
              <w:rPr>
                <w:rFonts w:ascii="Times New Roman" w:hAnsi="Times New Roman" w:cs="Times New Roman" w:hint="default"/>
                <w:bCs/>
                <w:color w:val="auto"/>
                <w:lang w:val="en-US" w:eastAsia="zh-CN"/>
              </w:rPr>
              <w:t>0</w:t>
            </w:r>
            <w:r>
              <w:rPr>
                <w:rFonts w:ascii="Times New Roman" w:hAnsi="Times New Roman" w:cs="Times New Roman" w:hint="default"/>
                <w:bCs/>
                <w:color w:val="auto"/>
              </w:rPr>
              <w:t>00m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/a。喷淋废水中主要污染物为SS，</w:t>
            </w:r>
            <w:r>
              <w:rPr>
                <w:rFonts w:ascii="Times New Roman" w:hAnsi="Times New Roman" w:cs="Times New Roman" w:hint="default"/>
                <w:bCs/>
                <w:color w:val="auto"/>
                <w:lang w:eastAsia="zh-CN"/>
              </w:rPr>
              <w:t>其浓度在</w:t>
            </w:r>
            <w:r>
              <w:rPr>
                <w:rFonts w:ascii="Times New Roman" w:hAnsi="Times New Roman" w:cs="Times New Roman" w:hint="default"/>
                <w:bCs/>
                <w:color w:val="auto"/>
              </w:rPr>
              <w:t>800mg/L左右。生产过程由于产品带出或蒸发等原因，喷淋废水会有水量损耗，损耗量约为20%，则废水排放量为2</w:t>
            </w:r>
            <w:r>
              <w:rPr>
                <w:rFonts w:ascii="Times New Roman" w:hAnsi="Times New Roman" w:cs="Times New Roman" w:hint="default"/>
                <w:bCs/>
                <w:color w:val="auto"/>
                <w:lang w:val="en-US" w:eastAsia="zh-CN"/>
              </w:rPr>
              <w:t>0</w:t>
            </w:r>
            <w:r>
              <w:rPr>
                <w:rFonts w:ascii="Times New Roman" w:hAnsi="Times New Roman" w:cs="Times New Roman" w:hint="default"/>
                <w:bCs/>
                <w:color w:val="auto"/>
              </w:rPr>
              <w:t>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/d，</w:t>
            </w:r>
            <w:r>
              <w:rPr>
                <w:rFonts w:ascii="Times New Roman" w:hAnsi="Times New Roman" w:cs="Times New Roman" w:hint="default"/>
                <w:bCs/>
                <w:color w:val="auto"/>
                <w:lang w:val="en-US" w:eastAsia="zh-CN"/>
              </w:rPr>
              <w:t>5</w:t>
            </w:r>
            <w:r>
              <w:rPr>
                <w:rFonts w:ascii="Times New Roman" w:hAnsi="Times New Roman" w:cs="Times New Roman" w:hint="default"/>
                <w:bCs/>
                <w:color w:val="auto"/>
                <w:lang w:val="en-US" w:eastAsia="zh-CN"/>
              </w:rPr>
              <w:t>60</w:t>
            </w:r>
            <w:r>
              <w:rPr>
                <w:rFonts w:ascii="Times New Roman" w:hAnsi="Times New Roman" w:cs="Times New Roman" w:hint="default"/>
                <w:bCs/>
                <w:color w:val="auto"/>
              </w:rPr>
              <w:t>0m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/a。喷淋废水经污水管道收集后进入三级沉淀池中进行沉淀处理，达标后全部回用作喷淋用水，不外排。</w:t>
            </w:r>
          </w:p>
          <w:p>
            <w:pPr>
              <w:spacing w:line="360" w:lineRule="auto"/>
              <w:ind w:left="480" w:leftChars="200"/>
              <w:rPr>
                <w:rFonts w:ascii="Times New Roman" w:hAnsi="Times New Roman" w:cs="Times New Roman" w:hint="default"/>
                <w:b/>
                <w:color w:val="auto"/>
                <w:szCs w:val="24"/>
              </w:rPr>
            </w:pPr>
            <w:r>
              <w:rPr>
                <w:rFonts w:ascii="Times New Roman" w:hAnsi="Times New Roman" w:cs="Times New Roman" w:hint="default"/>
                <w:b/>
                <w:color w:val="auto"/>
                <w:szCs w:val="24"/>
              </w:rPr>
              <w:t>3）降尘用水</w:t>
            </w:r>
          </w:p>
          <w:p>
            <w:pPr>
              <w:pStyle w:val="Default"/>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为减少生产过程扬尘产生量，建设单位需在开采区、</w:t>
            </w:r>
            <w:r>
              <w:rPr>
                <w:rFonts w:ascii="Times New Roman" w:hAnsi="Times New Roman" w:cs="Times New Roman" w:hint="default"/>
                <w:color w:val="auto"/>
                <w:lang w:eastAsia="zh-CN"/>
              </w:rPr>
              <w:t>矿山内</w:t>
            </w:r>
            <w:r>
              <w:rPr>
                <w:rFonts w:ascii="Times New Roman" w:hAnsi="Times New Roman" w:cs="Times New Roman" w:hint="default"/>
                <w:color w:val="auto"/>
              </w:rPr>
              <w:t>道路、</w:t>
            </w:r>
            <w:r>
              <w:rPr>
                <w:rFonts w:ascii="Times New Roman" w:hAnsi="Times New Roman" w:cs="Times New Roman" w:hint="default"/>
                <w:color w:val="auto"/>
                <w:lang w:eastAsia="zh-CN"/>
              </w:rPr>
              <w:t>原矿堆场、临时排土场、矿石</w:t>
            </w:r>
            <w:r>
              <w:rPr>
                <w:rFonts w:ascii="Times New Roman" w:hAnsi="Times New Roman" w:cs="Times New Roman" w:hint="default"/>
                <w:color w:val="auto"/>
              </w:rPr>
              <w:t>卸料口和传送皮带处进行洒水抑尘，</w:t>
            </w:r>
            <w:r>
              <w:rPr>
                <w:rFonts w:ascii="Times New Roman" w:hAnsi="Times New Roman" w:cs="Times New Roman" w:hint="default"/>
                <w:color w:val="auto"/>
                <w:lang w:eastAsia="zh-CN"/>
              </w:rPr>
              <w:t>以降低生产过程扬尘对周边大气环境的影响。降尘用水主要使用项目内沉砂池处收集到的初期雨水，</w:t>
            </w:r>
            <w:r>
              <w:rPr>
                <w:rFonts w:ascii="Times New Roman" w:hAnsi="Times New Roman" w:cs="Times New Roman" w:hint="default"/>
                <w:color w:val="auto"/>
              </w:rPr>
              <w:t>该部分用水蒸发进入大气，不外排。</w:t>
            </w:r>
          </w:p>
          <w:p>
            <w:pPr>
              <w:pStyle w:val="120"/>
              <w:ind w:firstLine="482"/>
              <w:rPr>
                <w:rFonts w:cs="Times New Roman" w:hint="default"/>
                <w:color w:val="auto"/>
              </w:rPr>
            </w:pPr>
            <w:r>
              <w:rPr>
                <w:rFonts w:ascii="Times New Roman" w:hAnsi="Times New Roman" w:cs="Times New Roman" w:hint="default"/>
                <w:b/>
                <w:color w:val="auto"/>
              </w:rPr>
              <w:t>4）雨水</w:t>
            </w:r>
          </w:p>
          <w:p>
            <w:pPr>
              <w:pStyle w:val="120"/>
              <w:rPr>
                <w:rFonts w:cs="Times New Roman" w:hint="default"/>
                <w:color w:val="auto"/>
                <w:kern w:val="0"/>
                <w:szCs w:val="24"/>
                <w:lang w:bidi="ar"/>
              </w:rPr>
            </w:pPr>
            <w:r>
              <w:rPr>
                <w:rFonts w:ascii="Times New Roman" w:hAnsi="Times New Roman" w:cs="Times New Roman" w:hint="default"/>
                <w:color w:val="auto"/>
                <w:kern w:val="0"/>
                <w:szCs w:val="24"/>
                <w:lang w:bidi="ar"/>
              </w:rPr>
              <w:t>一般强度的降雨很难形成地表径流，雨水通常被蒸发、下渗、吸收等消耗掉，只有大暴雨时，大量雨水短时间内汇集，才会形成地表径流，从而对地表产生冲刷。当遇到暴雨时，地面的泥沙等北雨水冲洗下来，使得径流雨水中含有一定浓度的污染物，其中污染物主要为悬浮物。</w:t>
            </w:r>
          </w:p>
          <w:p>
            <w:pPr>
              <w:pStyle w:val="120"/>
              <w:spacing w:after="0"/>
              <w:rPr>
                <w:rFonts w:cs="Times New Roman" w:hint="default"/>
                <w:color w:val="auto"/>
                <w:kern w:val="0"/>
                <w:szCs w:val="24"/>
                <w:lang w:bidi="ar"/>
              </w:rPr>
            </w:pPr>
            <w:r>
              <w:rPr>
                <w:rFonts w:ascii="Times New Roman" w:hAnsi="Times New Roman" w:cs="Times New Roman" w:hint="default"/>
                <w:color w:val="auto"/>
                <w:kern w:val="0"/>
                <w:szCs w:val="24"/>
                <w:lang w:bidi="ar"/>
              </w:rPr>
              <w:t>本项目划分为</w:t>
            </w:r>
            <w:r>
              <w:rPr>
                <w:rFonts w:ascii="Times New Roman" w:hAnsi="Times New Roman" w:cs="Times New Roman" w:hint="default"/>
                <w:color w:val="auto"/>
              </w:rPr>
              <w:t>开采区、道路区、生产区、综合服务区和临时表土堆场</w:t>
            </w:r>
            <w:r>
              <w:rPr>
                <w:rFonts w:ascii="Times New Roman" w:hAnsi="Times New Roman" w:cs="Times New Roman" w:hint="default"/>
                <w:color w:val="auto"/>
                <w:kern w:val="0"/>
                <w:szCs w:val="24"/>
                <w:lang w:bidi="ar"/>
              </w:rPr>
              <w:t>共5个防治分区。由于综合服务区处主要为办公和设备维修，无生产活动，因此初期雨水主要考虑</w:t>
            </w:r>
            <w:r>
              <w:rPr>
                <w:rFonts w:ascii="Times New Roman" w:hAnsi="Times New Roman" w:cs="Times New Roman" w:hint="default"/>
                <w:color w:val="auto"/>
              </w:rPr>
              <w:t>开采区、道路区、生产区和临时表土堆场四个分区。</w:t>
            </w:r>
            <w:r>
              <w:rPr>
                <w:rFonts w:ascii="Times New Roman" w:hAnsi="Times New Roman" w:cs="Times New Roman" w:hint="default"/>
                <w:bCs/>
                <w:color w:val="auto"/>
              </w:rPr>
              <w:t>根据项目水土保持方案，</w:t>
            </w:r>
          </w:p>
        </w:tc>
      </w:tr>
    </w:tbl>
    <w:p>
      <w:pPr>
        <w:sectPr>
          <w:footerReference w:type="even" r:id="rId79"/>
          <w:footerReference w:type="default" r:id="rId80"/>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5"/>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pStyle w:val="120"/>
              <w:spacing w:before="0"/>
              <w:rPr>
                <w:rFonts w:cs="Times New Roman" w:hint="default"/>
                <w:color w:val="auto"/>
                <w:kern w:val="0"/>
                <w:szCs w:val="24"/>
                <w:lang w:bidi="ar"/>
              </w:rPr>
            </w:pPr>
            <w:r>
              <w:rPr>
                <w:rFonts w:ascii="Times New Roman" w:hAnsi="Times New Roman" w:cs="Times New Roman" w:hint="default"/>
                <w:color w:val="auto"/>
              </w:rPr>
              <w:t>开采区占地面积8.20hm</w:t>
            </w:r>
            <w:r>
              <w:rPr>
                <w:rFonts w:ascii="Times New Roman" w:hAnsi="Times New Roman" w:cs="Times New Roman" w:hint="default"/>
                <w:color w:val="auto"/>
                <w:vertAlign w:val="superscript"/>
              </w:rPr>
              <w:t>2</w:t>
            </w:r>
            <w:r>
              <w:rPr>
                <w:rFonts w:ascii="Times New Roman" w:hAnsi="Times New Roman" w:cs="Times New Roman" w:hint="default"/>
                <w:color w:val="auto"/>
              </w:rPr>
              <w:t>、道路区占地面积2.15hm</w:t>
            </w:r>
            <w:r>
              <w:rPr>
                <w:rFonts w:ascii="Times New Roman" w:hAnsi="Times New Roman" w:cs="Times New Roman" w:hint="default"/>
                <w:color w:val="auto"/>
                <w:vertAlign w:val="superscript"/>
              </w:rPr>
              <w:t>2</w:t>
            </w:r>
            <w:r>
              <w:rPr>
                <w:rFonts w:ascii="Times New Roman" w:hAnsi="Times New Roman" w:cs="Times New Roman" w:hint="default"/>
                <w:color w:val="auto"/>
              </w:rPr>
              <w:t>、生产区占地面积3.00hm</w:t>
            </w:r>
            <w:r>
              <w:rPr>
                <w:rFonts w:ascii="Times New Roman" w:hAnsi="Times New Roman" w:cs="Times New Roman" w:hint="default"/>
                <w:color w:val="auto"/>
                <w:vertAlign w:val="superscript"/>
              </w:rPr>
              <w:t>2</w:t>
            </w:r>
            <w:r>
              <w:rPr>
                <w:rFonts w:ascii="Times New Roman" w:hAnsi="Times New Roman" w:cs="Times New Roman" w:hint="default"/>
                <w:color w:val="auto"/>
              </w:rPr>
              <w:t>，临时表土堆场占地面积0.4hm</w:t>
            </w:r>
            <w:r>
              <w:rPr>
                <w:rFonts w:ascii="Times New Roman" w:hAnsi="Times New Roman" w:cs="Times New Roman" w:hint="default"/>
                <w:color w:val="auto"/>
                <w:vertAlign w:val="superscript"/>
              </w:rPr>
              <w:t>2</w:t>
            </w:r>
            <w:r>
              <w:rPr>
                <w:rFonts w:ascii="Times New Roman" w:hAnsi="Times New Roman" w:cs="Times New Roman" w:hint="default"/>
                <w:color w:val="auto"/>
              </w:rPr>
              <w:t>，总面积合计为13.75hm</w:t>
            </w:r>
            <w:r>
              <w:rPr>
                <w:rFonts w:ascii="Times New Roman" w:hAnsi="Times New Roman" w:cs="Times New Roman" w:hint="default"/>
                <w:color w:val="auto"/>
                <w:vertAlign w:val="superscript"/>
              </w:rPr>
              <w:t>2</w:t>
            </w:r>
            <w:r>
              <w:rPr>
                <w:rFonts w:ascii="Times New Roman" w:hAnsi="Times New Roman" w:cs="Times New Roman" w:hint="default"/>
                <w:color w:val="auto"/>
              </w:rPr>
              <w:t>=137500m</w:t>
            </w:r>
            <w:r>
              <w:rPr>
                <w:rFonts w:ascii="Times New Roman" w:hAnsi="Times New Roman" w:cs="Times New Roman" w:hint="default"/>
                <w:color w:val="auto"/>
                <w:vertAlign w:val="superscript"/>
              </w:rPr>
              <w:t>2</w:t>
            </w:r>
            <w:r>
              <w:rPr>
                <w:rFonts w:ascii="Times New Roman" w:hAnsi="Times New Roman" w:cs="Times New Roman" w:hint="default"/>
                <w:color w:val="auto"/>
              </w:rPr>
              <w:t>。</w: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初期雨水主要为下雨前</w:t>
            </w:r>
            <w:r>
              <w:rPr>
                <w:rFonts w:ascii="Times New Roman" w:hAnsi="Times New Roman" w:cs="Times New Roman" w:hint="default"/>
                <w:color w:val="auto"/>
                <w:lang w:val="en-US" w:eastAsia="zh-CN"/>
              </w:rPr>
              <w:t>15</w:t>
            </w:r>
            <w:r>
              <w:rPr>
                <w:rFonts w:ascii="Times New Roman" w:hAnsi="Times New Roman" w:cs="Times New Roman" w:hint="default"/>
                <w:color w:val="auto"/>
              </w:rPr>
              <w:t>min 冲刷本项目形成的废水，该废水含悬浮物浓度较高，因此，需进行收集处理。初期雨水计算采用中国建筑工业出版社发行的《给水排水设计手册</w:t>
            </w:r>
            <w:r>
              <w:rPr>
                <w:rFonts w:ascii="Times New Roman" w:hAnsi="Times New Roman" w:cs="Times New Roman" w:hint="default"/>
                <w:color w:val="auto"/>
              </w:rPr>
              <w:t>—</w:t>
            </w:r>
            <w:r>
              <w:rPr>
                <w:rFonts w:ascii="Times New Roman" w:hAnsi="Times New Roman" w:cs="Times New Roman" w:hint="default"/>
                <w:color w:val="auto"/>
              </w:rPr>
              <w:t>第五册</w:t>
            </w:r>
            <w:r>
              <w:rPr>
                <w:rFonts w:ascii="Times New Roman" w:hAnsi="Times New Roman" w:cs="Times New Roman" w:hint="default"/>
                <w:color w:val="auto"/>
              </w:rPr>
              <w:t>—</w:t>
            </w:r>
            <w:r>
              <w:rPr>
                <w:rFonts w:ascii="Times New Roman" w:hAnsi="Times New Roman" w:cs="Times New Roman" w:hint="default"/>
                <w:color w:val="auto"/>
              </w:rPr>
              <w:t xml:space="preserve">城市排水》，引用其暴雨强度计算公式： </w:t>
            </w:r>
          </w:p>
          <w:p>
            <w:pPr>
              <w:spacing w:line="360" w:lineRule="auto"/>
              <w:jc w:val="center"/>
              <w:rPr>
                <w:rFonts w:ascii="Times New Roman" w:hAnsi="Times New Roman" w:cs="Times New Roman" w:hint="default"/>
                <w:color w:val="auto"/>
              </w:rPr>
            </w:pPr>
            <w:r>
              <w:rPr>
                <w:rFonts w:ascii="Times New Roman" w:hAnsi="Times New Roman" w:cs="Times New Roman" w:hint="default"/>
                <w:color w:val="auto"/>
              </w:rPr>
              <w:pict>
                <v:shape id="图片 109" o:spid="_x0000_i1138" type="#_x0000_t75" style="width:165.3pt;height:30.84pt;mso-position-horizontal-relative:page;mso-position-vertical-relative:page;mso-wrap-style:square" filled="f" stroked="f">
                  <v:stroke linestyle="single"/>
                  <v:imagedata r:id="rId81" o:title=""/>
                  <v:path o:extrusionok="f"/>
                  <o:lock v:ext="edit" aspectratio="t"/>
                </v:shape>
              </w:pic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其中：t</w:t>
            </w:r>
            <w:r>
              <w:rPr>
                <w:rFonts w:ascii="Times New Roman" w:hAnsi="Times New Roman" w:cs="Times New Roman" w:hint="default"/>
                <w:color w:val="auto"/>
              </w:rPr>
              <w:t>——</w:t>
            </w:r>
            <w:r>
              <w:rPr>
                <w:rFonts w:ascii="Times New Roman" w:hAnsi="Times New Roman" w:cs="Times New Roman" w:hint="default"/>
                <w:color w:val="auto"/>
              </w:rPr>
              <w:t>降雨历时（分钟）；</w: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T</w:t>
            </w:r>
            <w:r>
              <w:rPr>
                <w:rFonts w:ascii="Times New Roman" w:hAnsi="Times New Roman" w:cs="Times New Roman" w:hint="default"/>
                <w:color w:val="auto"/>
              </w:rPr>
              <w:t>——</w:t>
            </w:r>
            <w:r>
              <w:rPr>
                <w:rFonts w:ascii="Times New Roman" w:hAnsi="Times New Roman" w:cs="Times New Roman" w:hint="default"/>
                <w:color w:val="auto"/>
              </w:rPr>
              <w:t>设计降雨重现期（年）；</w: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保守起见，阳春市取t=60分钟、T=1年</w: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计算得到暴雨强度为：136.91升/秒</w:t>
            </w:r>
            <w:r>
              <w:rPr>
                <w:rFonts w:ascii="Times New Roman" w:hAnsi="Times New Roman" w:cs="Times New Roman" w:hint="default"/>
                <w:color w:val="auto"/>
              </w:rPr>
              <w:t>·</w:t>
            </w:r>
            <w:r>
              <w:rPr>
                <w:rFonts w:ascii="Times New Roman" w:hAnsi="Times New Roman" w:cs="Times New Roman" w:hint="default"/>
                <w:color w:val="auto"/>
              </w:rPr>
              <w:t>公顷</w: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集雨量计算公式：</w:t>
            </w:r>
          </w:p>
          <w:p>
            <w:pPr>
              <w:spacing w:line="360" w:lineRule="auto"/>
              <w:jc w:val="center"/>
              <w:rPr>
                <w:rFonts w:ascii="Times New Roman" w:hAnsi="Times New Roman" w:cs="Times New Roman" w:hint="default"/>
                <w:color w:val="auto"/>
              </w:rPr>
            </w:pPr>
            <w:r>
              <w:rPr>
                <w:rFonts w:ascii="Times New Roman" w:hAnsi="Times New Roman" w:cs="Times New Roman" w:hint="default"/>
                <w:color w:val="auto"/>
              </w:rPr>
              <w:t>Q=q</w:t>
            </w:r>
            <w:r>
              <w:rPr>
                <w:rFonts w:ascii="Times New Roman" w:hAnsi="Times New Roman" w:cs="Times New Roman" w:hint="default"/>
                <w:color w:val="auto"/>
              </w:rPr>
              <w:t>φ</w:t>
            </w:r>
            <w:r>
              <w:rPr>
                <w:rFonts w:ascii="Times New Roman" w:hAnsi="Times New Roman" w:cs="Times New Roman" w:hint="default"/>
                <w:color w:val="auto"/>
              </w:rPr>
              <w:t>Ft（m</w:t>
            </w:r>
            <w:r>
              <w:rPr>
                <w:rFonts w:ascii="Times New Roman" w:hAnsi="Times New Roman" w:cs="Times New Roman" w:hint="default"/>
                <w:color w:val="auto"/>
              </w:rPr>
              <w:t>³</w:t>
            </w:r>
            <w:r>
              <w:rPr>
                <w:rFonts w:ascii="Times New Roman" w:hAnsi="Times New Roman" w:cs="Times New Roman" w:hint="default"/>
                <w:color w:val="auto"/>
              </w:rPr>
              <w:t>）</w:t>
            </w:r>
          </w:p>
          <w:p>
            <w:pPr>
              <w:spacing w:line="360" w:lineRule="auto"/>
              <w:ind w:firstLine="480" w:firstLineChars="200"/>
              <w:rPr>
                <w:rFonts w:ascii="Times New Roman" w:hAnsi="Times New Roman" w:cs="Times New Roman" w:hint="default"/>
                <w:color w:val="auto"/>
              </w:rPr>
            </w:pPr>
            <w:r>
              <w:rPr>
                <w:rFonts w:ascii="Times New Roman" w:hAnsi="Times New Roman" w:cs="Times New Roman" w:hint="default"/>
                <w:color w:val="auto"/>
              </w:rPr>
              <w:t>根据《室外排水设计规范》（GB50014-2006），非铺砌土路面径流系数为0.25~0.35，本项目径流系数</w:t>
            </w:r>
            <w:r>
              <w:rPr>
                <w:rFonts w:ascii="Times New Roman" w:hAnsi="Times New Roman" w:cs="Times New Roman" w:hint="default"/>
                <w:color w:val="auto"/>
              </w:rPr>
              <w:t>φ</w:t>
            </w:r>
            <w:r>
              <w:rPr>
                <w:rFonts w:ascii="Times New Roman" w:hAnsi="Times New Roman" w:cs="Times New Roman" w:hint="default"/>
                <w:color w:val="auto"/>
              </w:rPr>
              <w:t>取中间值0.3。F-汇流面积，汇流面积为13.75hm</w:t>
            </w:r>
            <w:r>
              <w:rPr>
                <w:rFonts w:ascii="Times New Roman" w:hAnsi="Times New Roman" w:cs="Times New Roman" w:hint="default"/>
                <w:color w:val="auto"/>
                <w:vertAlign w:val="superscript"/>
              </w:rPr>
              <w:t>2</w:t>
            </w:r>
            <w:r>
              <w:rPr>
                <w:rFonts w:ascii="Times New Roman" w:hAnsi="Times New Roman" w:cs="Times New Roman" w:hint="default"/>
                <w:color w:val="auto"/>
              </w:rPr>
              <w:t>。</w:t>
            </w:r>
          </w:p>
          <w:p>
            <w:pPr>
              <w:spacing w:line="360" w:lineRule="auto"/>
              <w:ind w:firstLine="480" w:firstLineChars="200"/>
              <w:rPr>
                <w:rFonts w:ascii="Times New Roman" w:eastAsia="宋体" w:hAnsi="Times New Roman" w:cs="Times New Roman" w:hint="default"/>
                <w:color w:val="auto"/>
              </w:rPr>
            </w:pPr>
            <w:r>
              <w:rPr>
                <w:rFonts w:ascii="Times New Roman" w:hAnsi="Times New Roman" w:cs="Times New Roman" w:hint="default"/>
                <w:color w:val="auto"/>
              </w:rPr>
              <w:t>则项目初期雨水流量Q=q</w:t>
            </w:r>
            <w:r>
              <w:rPr>
                <w:rFonts w:ascii="Times New Roman" w:hAnsi="Times New Roman" w:cs="Times New Roman" w:hint="default"/>
                <w:color w:val="auto"/>
              </w:rPr>
              <w:t>×</w:t>
            </w:r>
            <w:r>
              <w:rPr>
                <w:rFonts w:ascii="Times New Roman" w:hAnsi="Times New Roman" w:cs="Times New Roman" w:hint="default"/>
                <w:color w:val="auto"/>
              </w:rPr>
              <w:t>F</w:t>
            </w:r>
            <w:r>
              <w:rPr>
                <w:rFonts w:ascii="Times New Roman" w:hAnsi="Times New Roman" w:cs="Times New Roman" w:hint="default"/>
                <w:color w:val="auto"/>
              </w:rPr>
              <w:t>×ψ</w:t>
            </w:r>
            <w:r>
              <w:rPr>
                <w:rFonts w:ascii="Times New Roman" w:hAnsi="Times New Roman" w:cs="Times New Roman" w:hint="default"/>
                <w:color w:val="auto"/>
              </w:rPr>
              <w:t>=136.91</w:t>
            </w:r>
            <w:r>
              <w:rPr>
                <w:rFonts w:ascii="Times New Roman" w:hAnsi="Times New Roman" w:cs="Times New Roman" w:hint="default"/>
                <w:color w:val="auto"/>
              </w:rPr>
              <w:t>×</w:t>
            </w:r>
            <w:r>
              <w:rPr>
                <w:rFonts w:ascii="Times New Roman" w:hAnsi="Times New Roman" w:cs="Times New Roman" w:hint="default"/>
                <w:color w:val="auto"/>
              </w:rPr>
              <w:t>13.75</w:t>
            </w:r>
            <w:r>
              <w:rPr>
                <w:rFonts w:ascii="Times New Roman" w:hAnsi="Times New Roman" w:cs="Times New Roman" w:hint="default"/>
                <w:color w:val="auto"/>
              </w:rPr>
              <w:t>×</w:t>
            </w:r>
            <w:r>
              <w:rPr>
                <w:rFonts w:ascii="Times New Roman" w:hAnsi="Times New Roman" w:cs="Times New Roman" w:hint="default"/>
                <w:color w:val="auto"/>
              </w:rPr>
              <w:t>0.3=564.75L/s，初期雨水量为 Q=564.75L/s</w:t>
            </w:r>
            <w:r>
              <w:rPr>
                <w:rFonts w:ascii="Times New Roman" w:hAnsi="Times New Roman" w:cs="Times New Roman" w:hint="default"/>
                <w:color w:val="auto"/>
              </w:rPr>
              <w:t>×</w:t>
            </w:r>
            <w:r>
              <w:rPr>
                <w:rFonts w:ascii="Times New Roman" w:hAnsi="Times New Roman" w:cs="Times New Roman" w:hint="default"/>
                <w:color w:val="auto"/>
                <w:lang w:val="en-US" w:eastAsia="zh-CN"/>
              </w:rPr>
              <w:t>9</w:t>
            </w:r>
            <w:r>
              <w:rPr>
                <w:rFonts w:ascii="Times New Roman" w:hAnsi="Times New Roman" w:cs="Times New Roman" w:hint="default"/>
                <w:color w:val="auto"/>
              </w:rPr>
              <w:t>00s/1000=</w:t>
            </w:r>
            <w:r>
              <w:rPr>
                <w:rFonts w:ascii="Times New Roman" w:hAnsi="Times New Roman" w:cs="Times New Roman" w:hint="default"/>
                <w:color w:val="auto"/>
                <w:lang w:val="en-US" w:eastAsia="zh-CN"/>
              </w:rPr>
              <w:t>511</w:t>
            </w:r>
            <w:r>
              <w:rPr>
                <w:rFonts w:ascii="Times New Roman" w:hAnsi="Times New Roman" w:cs="Times New Roman" w:hint="default"/>
                <w:color w:val="auto"/>
              </w:rPr>
              <w:t>m</w:t>
            </w:r>
            <w:r>
              <w:rPr>
                <w:rFonts w:ascii="Times New Roman" w:hAnsi="Times New Roman" w:cs="Times New Roman" w:hint="default"/>
                <w:color w:val="auto"/>
                <w:vertAlign w:val="superscript"/>
              </w:rPr>
              <w:t>3</w:t>
            </w:r>
            <w:r>
              <w:rPr>
                <w:rFonts w:ascii="Times New Roman" w:hAnsi="Times New Roman" w:cs="Times New Roman" w:hint="default"/>
                <w:color w:val="auto"/>
              </w:rPr>
              <w:t>/次。根据有关气象资料，阳春市年降雨天数约200天，年暴雨次约为25次/年，则初期废水产生量约为</w:t>
            </w:r>
            <w:r>
              <w:rPr>
                <w:rFonts w:ascii="Times New Roman" w:hAnsi="Times New Roman" w:cs="Times New Roman" w:hint="default"/>
                <w:color w:val="auto"/>
                <w:lang w:val="en-US" w:eastAsia="zh-CN"/>
              </w:rPr>
              <w:t>12775</w:t>
            </w:r>
            <w:r>
              <w:rPr>
                <w:rFonts w:ascii="Times New Roman" w:hAnsi="Times New Roman" w:cs="Times New Roman" w:hint="default"/>
                <w:color w:val="auto"/>
              </w:rPr>
              <w:t>m</w:t>
            </w:r>
            <w:r>
              <w:rPr>
                <w:rFonts w:ascii="Times New Roman" w:hAnsi="Times New Roman" w:cs="Times New Roman" w:hint="default"/>
                <w:color w:val="auto"/>
                <w:vertAlign w:val="superscript"/>
              </w:rPr>
              <w:t>3</w:t>
            </w:r>
            <w:r>
              <w:rPr>
                <w:rFonts w:ascii="Times New Roman" w:hAnsi="Times New Roman" w:cs="Times New Roman" w:hint="default"/>
                <w:color w:val="auto"/>
              </w:rPr>
              <w:t>/a，初期雨水主要污染物为SS</w:t>
            </w:r>
            <w:r>
              <w:rPr>
                <w:rFonts w:ascii="Times New Roman" w:hAnsi="Times New Roman" w:cs="Times New Roman" w:hint="default"/>
                <w:color w:val="auto"/>
                <w:lang w:eastAsia="zh-CN"/>
              </w:rPr>
              <w:t>。</w:t>
            </w:r>
          </w:p>
          <w:p>
            <w:pPr>
              <w:pStyle w:val="120"/>
              <w:rPr>
                <w:rFonts w:cs="Times New Roman" w:hint="default"/>
                <w:bCs/>
                <w:color w:val="auto"/>
              </w:rPr>
            </w:pPr>
            <w:r>
              <w:rPr>
                <w:rFonts w:ascii="Times New Roman" w:hAnsi="Times New Roman" w:cs="Times New Roman" w:hint="default"/>
                <w:bCs/>
                <w:color w:val="auto"/>
              </w:rPr>
              <w:t>为避免初期雨水对周边地表水环境造成影响，建设单位需在项目内设置完善的雨水截排水沟，对雨水进行妥善收集。雨水经项目内截排水沟收集后分别流入项目内沉砂池进行处理，项目内拟设置沉砂池12个，其中开采区内设有3个沉砂池，1个尺寸为20m</w:t>
            </w:r>
            <w:r>
              <w:rPr>
                <w:rFonts w:ascii="Times New Roman" w:hAnsi="Times New Roman" w:cs="Times New Roman" w:hint="default"/>
                <w:bCs/>
                <w:color w:val="auto"/>
              </w:rPr>
              <w:t>×</w:t>
            </w:r>
            <w:r>
              <w:rPr>
                <w:rFonts w:ascii="Times New Roman" w:hAnsi="Times New Roman" w:cs="Times New Roman" w:hint="default"/>
                <w:bCs/>
                <w:color w:val="auto"/>
              </w:rPr>
              <w:t>10m</w:t>
            </w:r>
            <w:r>
              <w:rPr>
                <w:rFonts w:ascii="Times New Roman" w:hAnsi="Times New Roman" w:cs="Times New Roman" w:hint="default"/>
                <w:bCs/>
                <w:color w:val="auto"/>
              </w:rPr>
              <w:t>×</w:t>
            </w:r>
            <w:r>
              <w:rPr>
                <w:rFonts w:ascii="Times New Roman" w:hAnsi="Times New Roman" w:cs="Times New Roman" w:hint="default"/>
                <w:bCs/>
                <w:color w:val="auto"/>
              </w:rPr>
              <w:t>1.5m，容积300m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，2个尺寸为5m</w:t>
            </w:r>
            <w:r>
              <w:rPr>
                <w:rFonts w:ascii="Times New Roman" w:hAnsi="Times New Roman" w:cs="Times New Roman" w:hint="default"/>
                <w:bCs/>
                <w:color w:val="auto"/>
              </w:rPr>
              <w:t>×</w:t>
            </w:r>
            <w:r>
              <w:rPr>
                <w:rFonts w:ascii="Times New Roman" w:hAnsi="Times New Roman" w:cs="Times New Roman" w:hint="default"/>
                <w:bCs/>
                <w:color w:val="auto"/>
              </w:rPr>
              <w:t>3m</w:t>
            </w:r>
            <w:r>
              <w:rPr>
                <w:rFonts w:ascii="Times New Roman" w:hAnsi="Times New Roman" w:cs="Times New Roman" w:hint="default"/>
                <w:bCs/>
                <w:color w:val="auto"/>
              </w:rPr>
              <w:t>×</w:t>
            </w:r>
            <w:r>
              <w:rPr>
                <w:rFonts w:ascii="Times New Roman" w:hAnsi="Times New Roman" w:cs="Times New Roman" w:hint="default"/>
                <w:bCs/>
                <w:color w:val="auto"/>
              </w:rPr>
              <w:t>1.5m，单个池体容积22.5m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。道路区设有8个沉砂池，尺寸均为5m</w:t>
            </w:r>
            <w:r>
              <w:rPr>
                <w:rFonts w:ascii="Times New Roman" w:hAnsi="Times New Roman" w:cs="Times New Roman" w:hint="default"/>
                <w:bCs/>
                <w:color w:val="auto"/>
              </w:rPr>
              <w:t>×</w:t>
            </w:r>
            <w:r>
              <w:rPr>
                <w:rFonts w:ascii="Times New Roman" w:hAnsi="Times New Roman" w:cs="Times New Roman" w:hint="default"/>
                <w:bCs/>
                <w:color w:val="auto"/>
              </w:rPr>
              <w:t>3m</w:t>
            </w:r>
            <w:r>
              <w:rPr>
                <w:rFonts w:ascii="Times New Roman" w:hAnsi="Times New Roman" w:cs="Times New Roman" w:hint="default"/>
                <w:bCs/>
                <w:color w:val="auto"/>
              </w:rPr>
              <w:t>×</w:t>
            </w:r>
            <w:r>
              <w:rPr>
                <w:rFonts w:ascii="Times New Roman" w:hAnsi="Times New Roman" w:cs="Times New Roman" w:hint="default"/>
                <w:bCs/>
                <w:color w:val="auto"/>
              </w:rPr>
              <w:t>1.5m，单个池体容积22.5m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。临时表土堆场设置1个沉砂池，其规格为5m</w:t>
            </w:r>
            <w:r>
              <w:rPr>
                <w:rFonts w:ascii="Times New Roman" w:hAnsi="Times New Roman" w:cs="Times New Roman" w:hint="default"/>
                <w:bCs/>
                <w:color w:val="auto"/>
              </w:rPr>
              <w:t>×</w:t>
            </w:r>
            <w:r>
              <w:rPr>
                <w:rFonts w:ascii="Times New Roman" w:hAnsi="Times New Roman" w:cs="Times New Roman" w:hint="default"/>
                <w:bCs/>
                <w:color w:val="auto"/>
              </w:rPr>
              <w:t>3m</w:t>
            </w:r>
            <w:r>
              <w:rPr>
                <w:rFonts w:ascii="Times New Roman" w:hAnsi="Times New Roman" w:cs="Times New Roman" w:hint="default"/>
                <w:bCs/>
                <w:color w:val="auto"/>
              </w:rPr>
              <w:t>×</w:t>
            </w:r>
            <w:r>
              <w:rPr>
                <w:rFonts w:ascii="Times New Roman" w:hAnsi="Times New Roman" w:cs="Times New Roman" w:hint="default"/>
                <w:bCs/>
                <w:color w:val="auto"/>
              </w:rPr>
              <w:t>1.5m，容积22.5m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。则项目内沉砂池总容积为547.5m</w:t>
            </w:r>
            <w:r>
              <w:rPr>
                <w:rFonts w:ascii="Times New Roman" w:hAnsi="Times New Roman" w:cs="Times New Roman" w:hint="default"/>
                <w:bCs/>
                <w:color w:val="auto"/>
                <w:vertAlign w:val="superscript"/>
              </w:rPr>
              <w:t>3</w:t>
            </w:r>
            <w:r>
              <w:rPr>
                <w:rFonts w:ascii="Times New Roman" w:hAnsi="Times New Roman" w:cs="Times New Roman" w:hint="default"/>
                <w:color w:val="auto"/>
              </w:rPr>
              <w:t>＞</w:t>
            </w:r>
            <w:r>
              <w:rPr>
                <w:rFonts w:ascii="Times New Roman" w:hAnsi="Times New Roman" w:cs="Times New Roman" w:hint="default"/>
                <w:color w:val="auto"/>
                <w:lang w:val="en-US" w:eastAsia="zh-CN"/>
              </w:rPr>
              <w:t>511</w:t>
            </w:r>
            <w:r>
              <w:rPr>
                <w:rFonts w:ascii="Times New Roman" w:hAnsi="Times New Roman" w:cs="Times New Roman" w:hint="default"/>
                <w:color w:val="auto"/>
              </w:rPr>
              <w:t>m</w:t>
            </w:r>
            <w:r>
              <w:rPr>
                <w:rFonts w:ascii="Times New Roman" w:hAnsi="Times New Roman" w:cs="Times New Roman" w:hint="default"/>
                <w:color w:val="auto"/>
                <w:vertAlign w:val="superscript"/>
              </w:rPr>
              <w:t>3</w:t>
            </w:r>
            <w:r>
              <w:rPr>
                <w:rFonts w:ascii="Times New Roman" w:hAnsi="Times New Roman" w:cs="Times New Roman" w:hint="default"/>
                <w:color w:val="auto"/>
              </w:rPr>
              <w:t>（初期雨水单次产生量），因此项目内沉砂池能够完全容纳暴雨时产生的初期雨水。</w:t>
            </w:r>
          </w:p>
          <w:p>
            <w:pPr>
              <w:pStyle w:val="120"/>
              <w:rPr>
                <w:rFonts w:cs="Times New Roman" w:hint="default"/>
                <w:color w:val="auto"/>
              </w:rPr>
            </w:pPr>
            <w:r>
              <w:rPr>
                <w:rFonts w:ascii="Times New Roman" w:hAnsi="Times New Roman" w:cs="Times New Roman" w:hint="default"/>
                <w:color w:val="auto"/>
                <w:lang w:eastAsia="zh-CN"/>
              </w:rPr>
              <w:t>参考</w:t>
            </w:r>
            <w:r>
              <w:rPr>
                <w:rFonts w:ascii="Times New Roman" w:hAnsi="Times New Roman" w:cs="Times New Roman" w:hint="default"/>
                <w:color w:val="auto"/>
                <w:lang w:val="en-US" w:eastAsia="zh-CN"/>
              </w:rPr>
              <w:t>2020年7月</w:t>
            </w:r>
            <w:r>
              <w:rPr>
                <w:rFonts w:ascii="Times New Roman" w:hAnsi="Times New Roman" w:cs="Times New Roman" w:hint="default"/>
                <w:color w:val="auto"/>
                <w:lang w:eastAsia="zh-CN"/>
              </w:rPr>
              <w:t>阳江市生态环境局批复的《阳春市双滘镇蒲竹石英矿扩建项目》</w:t>
            </w:r>
            <w:r>
              <w:rPr>
                <w:rFonts w:ascii="Times New Roman" w:hAnsi="Times New Roman" w:cs="Times New Roman" w:hint="default"/>
                <w:color w:val="auto"/>
              </w:rPr>
              <w:t>，初期雨水中SS浓度约为300mg/L。初期雨水经收集后在雨水沉砂池内经过沉淀处理，</w:t>
            </w:r>
            <w:r>
              <w:rPr>
                <w:rFonts w:ascii="Times New Roman" w:hAnsi="Times New Roman" w:cs="Times New Roman" w:hint="default"/>
                <w:color w:val="auto"/>
                <w:lang w:eastAsia="zh-CN"/>
              </w:rPr>
              <w:t>其</w:t>
            </w:r>
            <w:r>
              <w:rPr>
                <w:rFonts w:ascii="Times New Roman" w:hAnsi="Times New Roman" w:cs="Times New Roman" w:hint="default"/>
                <w:color w:val="auto"/>
              </w:rPr>
              <w:t>处理效率可达85%以上。当停雨后，初期雨水全部用于项目内降尘用水，不外排，</w:t>
            </w:r>
            <w:r>
              <w:rPr>
                <w:rFonts w:ascii="Times New Roman" w:hAnsi="Times New Roman" w:cs="Times New Roman" w:hint="default"/>
                <w:bCs/>
                <w:color w:val="auto"/>
              </w:rPr>
              <w:t>不会对周边地表水环境造成影响。建设单位应定期清理沉砂池内污泥，确保沉砂池处理效率。</w:t>
            </w:r>
          </w:p>
          <w:p>
            <w:pPr>
              <w:pStyle w:val="120"/>
              <w:rPr>
                <w:rFonts w:cs="Times New Roman" w:hint="default"/>
                <w:color w:val="auto"/>
                <w:sz w:val="21"/>
                <w:szCs w:val="21"/>
              </w:rPr>
            </w:pPr>
            <w:r>
              <w:rPr>
                <w:rFonts w:ascii="Times New Roman" w:hAnsi="Times New Roman" w:cs="Times New Roman" w:hint="default"/>
                <w:bCs/>
                <w:color w:val="auto"/>
              </w:rPr>
              <w:t>则项目内生产废水及初期雨水</w:t>
            </w:r>
            <w:r>
              <w:rPr>
                <w:rFonts w:ascii="Times New Roman" w:hAnsi="Times New Roman" w:cs="Times New Roman" w:hint="default"/>
                <w:bCs/>
                <w:color w:val="auto"/>
                <w:lang w:eastAsia="zh-CN"/>
              </w:rPr>
              <w:t>、综合</w:t>
            </w:r>
            <w:r>
              <w:rPr>
                <w:rFonts w:ascii="Times New Roman" w:hAnsi="Times New Roman" w:cs="Times New Roman" w:hint="default"/>
                <w:bCs/>
                <w:color w:val="auto"/>
              </w:rPr>
              <w:t>废</w:t>
            </w:r>
            <w:r>
              <w:rPr>
                <w:rFonts w:ascii="Times New Roman" w:hAnsi="Times New Roman" w:cs="Times New Roman" w:hint="default"/>
                <w:bCs/>
                <w:color w:val="auto"/>
              </w:rPr>
              <w:t>水产排情况汇总见表5-</w:t>
            </w:r>
            <w:r>
              <w:rPr>
                <w:rFonts w:ascii="Times New Roman" w:hAnsi="Times New Roman" w:cs="Times New Roman" w:hint="default"/>
                <w:bCs/>
                <w:color w:val="auto"/>
                <w:lang w:val="en-US" w:eastAsia="zh-CN"/>
              </w:rPr>
              <w:t>6</w:t>
            </w:r>
            <w:r>
              <w:rPr>
                <w:rFonts w:ascii="Times New Roman" w:hAnsi="Times New Roman" w:cs="Times New Roman" w:hint="default"/>
                <w:bCs/>
                <w:color w:val="auto"/>
              </w:rPr>
              <w:t>。</w:t>
            </w:r>
          </w:p>
          <w:p>
            <w:pPr>
              <w:pStyle w:val="22"/>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表5-6  生产废水污染物产排情况一览表</w:t>
            </w:r>
          </w:p>
        </w:tc>
      </w:tr>
    </w:tbl>
    <w:p>
      <w:pPr>
        <w:sectPr>
          <w:footerReference w:type="even" r:id="rId82"/>
          <w:footerReference w:type="default" r:id="rId83"/>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6"/>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508"/>
              <w:gridCol w:w="1509"/>
              <w:gridCol w:w="1509"/>
              <w:gridCol w:w="1509"/>
              <w:gridCol w:w="1509"/>
              <w:gridCol w:w="1509"/>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1521"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废水类型</w:t>
                  </w:r>
                </w:p>
              </w:tc>
              <w:tc>
                <w:tcPr>
                  <w:tcW w:w="1522"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污染物名称</w:t>
                  </w:r>
                </w:p>
              </w:tc>
              <w:tc>
                <w:tcPr>
                  <w:tcW w:w="1522"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产生浓度（mg/L）</w:t>
                  </w:r>
                </w:p>
              </w:tc>
              <w:tc>
                <w:tcPr>
                  <w:tcW w:w="1522"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产生量</w:t>
                  </w:r>
                </w:p>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（t/a）</w:t>
                  </w:r>
                </w:p>
              </w:tc>
              <w:tc>
                <w:tcPr>
                  <w:tcW w:w="1522"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回用浓度（mg/L）</w:t>
                  </w:r>
                </w:p>
              </w:tc>
              <w:tc>
                <w:tcPr>
                  <w:tcW w:w="1522" w:type="dxa"/>
                  <w:vAlign w:val="center"/>
                </w:tcPr>
                <w:p>
                  <w:pPr>
                    <w:pStyle w:val="120"/>
                    <w:spacing w:line="240" w:lineRule="auto"/>
                    <w:ind w:firstLine="0" w:firstLineChars="0"/>
                    <w:jc w:val="center"/>
                    <w:rPr>
                      <w:rFonts w:cs="Times New Roman" w:hint="default"/>
                      <w:b/>
                      <w:bCs/>
                      <w:color w:val="auto"/>
                      <w:sz w:val="21"/>
                      <w:szCs w:val="21"/>
                    </w:rPr>
                  </w:pPr>
                  <w:r>
                    <w:rPr>
                      <w:rFonts w:ascii="Times New Roman" w:hAnsi="Times New Roman" w:cs="Times New Roman" w:hint="default"/>
                      <w:b/>
                      <w:bCs/>
                      <w:color w:val="auto"/>
                      <w:sz w:val="21"/>
                      <w:szCs w:val="21"/>
                    </w:rPr>
                    <w:t>回用量（t/a）</w:t>
                  </w:r>
                </w:p>
              </w:tc>
            </w:tr>
            <w:tr>
              <w:tblPrEx>
                <w:tblW w:w="0" w:type="auto"/>
                <w:tblInd w:w="116" w:type="dxa"/>
                <w:tblCellMar>
                  <w:top w:w="0" w:type="dxa"/>
                  <w:left w:w="108" w:type="dxa"/>
                  <w:bottom w:w="0" w:type="dxa"/>
                  <w:right w:w="108" w:type="dxa"/>
                </w:tblCellMar>
                <w:tblLook w:val="0000"/>
              </w:tblPrEx>
              <w:tc>
                <w:tcPr>
                  <w:tcW w:w="152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喷淋废水</w:t>
                  </w:r>
                </w:p>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5600m</w:t>
                  </w:r>
                  <w:r>
                    <w:rPr>
                      <w:rFonts w:ascii="Times New Roman" w:hAnsi="Times New Roman" w:cs="Times New Roman" w:hint="default"/>
                      <w:color w:val="auto"/>
                      <w:sz w:val="21"/>
                      <w:szCs w:val="21"/>
                      <w:vertAlign w:val="superscript"/>
                    </w:rPr>
                    <w:t>3</w:t>
                  </w:r>
                  <w:r>
                    <w:rPr>
                      <w:rFonts w:ascii="Times New Roman" w:hAnsi="Times New Roman" w:cs="Times New Roman" w:hint="default"/>
                      <w:color w:val="auto"/>
                      <w:sz w:val="21"/>
                      <w:szCs w:val="21"/>
                    </w:rPr>
                    <w:t>/a</w:t>
                  </w:r>
                </w:p>
              </w:tc>
              <w:tc>
                <w:tcPr>
                  <w:tcW w:w="1522" w:type="dxa"/>
                  <w:vAlign w:val="center"/>
                </w:tcPr>
                <w:p>
                  <w:pPr>
                    <w:pStyle w:val="120"/>
                    <w:spacing w:line="240" w:lineRule="auto"/>
                    <w:ind w:firstLine="0" w:firstLineChars="0"/>
                    <w:jc w:val="center"/>
                    <w:rPr>
                      <w:rFonts w:cs="Times New Roman" w:hint="default"/>
                      <w:color w:val="auto"/>
                      <w:sz w:val="21"/>
                      <w:szCs w:val="21"/>
                      <w:vertAlign w:val="subscript"/>
                    </w:rPr>
                  </w:pPr>
                  <w:r>
                    <w:rPr>
                      <w:rFonts w:ascii="Times New Roman" w:hAnsi="Times New Roman" w:cs="Times New Roman" w:hint="default"/>
                      <w:color w:val="auto"/>
                      <w:sz w:val="21"/>
                      <w:szCs w:val="21"/>
                    </w:rPr>
                    <w:t>SS</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800</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4.480</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45</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0.252</w:t>
                  </w:r>
                </w:p>
              </w:tc>
            </w:tr>
            <w:tr>
              <w:tblPrEx>
                <w:tblW w:w="0" w:type="auto"/>
                <w:tblInd w:w="116" w:type="dxa"/>
                <w:tblCellMar>
                  <w:top w:w="0" w:type="dxa"/>
                  <w:left w:w="108" w:type="dxa"/>
                  <w:bottom w:w="0" w:type="dxa"/>
                  <w:right w:w="108" w:type="dxa"/>
                </w:tblCellMar>
                <w:tblLook w:val="0000"/>
              </w:tblPrEx>
              <w:tc>
                <w:tcPr>
                  <w:tcW w:w="152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初期雨水</w:t>
                  </w:r>
                  <w:r>
                    <w:rPr>
                      <w:rFonts w:ascii="Times New Roman" w:hAnsi="Times New Roman" w:cs="Times New Roman" w:hint="default"/>
                      <w:color w:val="auto"/>
                      <w:sz w:val="21"/>
                      <w:szCs w:val="21"/>
                      <w:lang w:val="en-US" w:eastAsia="zh-CN"/>
                    </w:rPr>
                    <w:t>12775</w:t>
                  </w:r>
                  <w:r>
                    <w:rPr>
                      <w:rFonts w:ascii="Times New Roman" w:hAnsi="Times New Roman" w:cs="Times New Roman" w:hint="default"/>
                      <w:color w:val="auto"/>
                      <w:sz w:val="21"/>
                      <w:szCs w:val="21"/>
                    </w:rPr>
                    <w:t>m</w:t>
                  </w:r>
                  <w:r>
                    <w:rPr>
                      <w:rFonts w:ascii="Times New Roman" w:hAnsi="Times New Roman" w:cs="Times New Roman" w:hint="default"/>
                      <w:color w:val="auto"/>
                      <w:sz w:val="21"/>
                      <w:szCs w:val="21"/>
                      <w:vertAlign w:val="superscript"/>
                    </w:rPr>
                    <w:t>3</w:t>
                  </w:r>
                  <w:r>
                    <w:rPr>
                      <w:rFonts w:ascii="Times New Roman" w:hAnsi="Times New Roman" w:cs="Times New Roman" w:hint="default"/>
                      <w:color w:val="auto"/>
                      <w:sz w:val="21"/>
                      <w:szCs w:val="21"/>
                    </w:rPr>
                    <w:t>/a</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SS</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300</w:t>
                  </w:r>
                </w:p>
              </w:tc>
              <w:tc>
                <w:tcPr>
                  <w:tcW w:w="1522" w:type="dxa"/>
                  <w:vAlign w:val="center"/>
                </w:tcPr>
                <w:p>
                  <w:pPr>
                    <w:pStyle w:val="120"/>
                    <w:spacing w:line="240" w:lineRule="auto"/>
                    <w:ind w:firstLine="0" w:firstLineChars="0"/>
                    <w:jc w:val="center"/>
                    <w:rPr>
                      <w:rFonts w:eastAsia="宋体" w:cs="Times New Roman" w:hint="default"/>
                      <w:color w:val="auto"/>
                      <w:sz w:val="21"/>
                      <w:szCs w:val="21"/>
                      <w:lang w:val="en-US" w:eastAsia="zh-CN"/>
                    </w:rPr>
                  </w:pPr>
                  <w:r>
                    <w:rPr>
                      <w:rFonts w:ascii="Times New Roman" w:hAnsi="Times New Roman" w:cs="Times New Roman" w:hint="default"/>
                      <w:color w:val="auto"/>
                      <w:sz w:val="21"/>
                      <w:szCs w:val="21"/>
                      <w:lang w:val="en-US" w:eastAsia="zh-CN"/>
                    </w:rPr>
                    <w:t>3.833</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45</w:t>
                  </w:r>
                </w:p>
              </w:tc>
              <w:tc>
                <w:tcPr>
                  <w:tcW w:w="1522" w:type="dxa"/>
                  <w:vAlign w:val="center"/>
                </w:tcPr>
                <w:p>
                  <w:pPr>
                    <w:pStyle w:val="120"/>
                    <w:spacing w:line="240" w:lineRule="auto"/>
                    <w:ind w:firstLine="0" w:firstLineChars="0"/>
                    <w:jc w:val="center"/>
                    <w:rPr>
                      <w:rFonts w:eastAsia="宋体" w:cs="Times New Roman" w:hint="default"/>
                      <w:color w:val="auto"/>
                      <w:sz w:val="21"/>
                      <w:szCs w:val="21"/>
                      <w:lang w:val="en-US" w:eastAsia="zh-CN"/>
                    </w:rPr>
                  </w:pPr>
                  <w:r>
                    <w:rPr>
                      <w:rFonts w:ascii="Times New Roman" w:hAnsi="Times New Roman" w:cs="Times New Roman" w:hint="default"/>
                      <w:color w:val="auto"/>
                      <w:sz w:val="21"/>
                      <w:szCs w:val="21"/>
                      <w:lang w:val="en-US" w:eastAsia="zh-CN"/>
                    </w:rPr>
                    <w:t>0.575</w:t>
                  </w:r>
                </w:p>
              </w:tc>
            </w:tr>
            <w:tr>
              <w:tblPrEx>
                <w:tblW w:w="0" w:type="auto"/>
                <w:tblInd w:w="116" w:type="dxa"/>
                <w:tblCellMar>
                  <w:top w:w="0" w:type="dxa"/>
                  <w:left w:w="108" w:type="dxa"/>
                  <w:bottom w:w="0" w:type="dxa"/>
                  <w:right w:w="108" w:type="dxa"/>
                </w:tblCellMar>
                <w:tblLook w:val="0000"/>
              </w:tblPrEx>
              <w:tc>
                <w:tcPr>
                  <w:tcW w:w="1521"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综合废水</w:t>
                  </w:r>
                  <w:r>
                    <w:rPr>
                      <w:rFonts w:ascii="Times New Roman" w:hAnsi="Times New Roman" w:cs="Times New Roman" w:hint="default"/>
                      <w:color w:val="auto"/>
                      <w:sz w:val="21"/>
                      <w:szCs w:val="21"/>
                      <w:lang w:val="en-US" w:eastAsia="zh-CN"/>
                    </w:rPr>
                    <w:t>18375</w:t>
                  </w:r>
                  <w:r>
                    <w:rPr>
                      <w:rFonts w:ascii="Times New Roman" w:hAnsi="Times New Roman" w:cs="Times New Roman" w:hint="default"/>
                      <w:color w:val="auto"/>
                      <w:sz w:val="21"/>
                      <w:szCs w:val="21"/>
                    </w:rPr>
                    <w:t>m</w:t>
                  </w:r>
                  <w:r>
                    <w:rPr>
                      <w:rFonts w:ascii="Times New Roman" w:hAnsi="Times New Roman" w:cs="Times New Roman" w:hint="default"/>
                      <w:color w:val="auto"/>
                      <w:sz w:val="21"/>
                      <w:szCs w:val="21"/>
                      <w:vertAlign w:val="superscript"/>
                    </w:rPr>
                    <w:t>3</w:t>
                  </w:r>
                  <w:r>
                    <w:rPr>
                      <w:rFonts w:ascii="Times New Roman" w:hAnsi="Times New Roman" w:cs="Times New Roman" w:hint="default"/>
                      <w:color w:val="auto"/>
                      <w:sz w:val="21"/>
                      <w:szCs w:val="21"/>
                    </w:rPr>
                    <w:t>/a</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SS</w:t>
                  </w:r>
                </w:p>
              </w:tc>
              <w:tc>
                <w:tcPr>
                  <w:tcW w:w="1522" w:type="dxa"/>
                  <w:vAlign w:val="center"/>
                </w:tcPr>
                <w:p>
                  <w:pPr>
                    <w:pStyle w:val="120"/>
                    <w:spacing w:line="240" w:lineRule="auto"/>
                    <w:ind w:firstLine="0" w:firstLineChars="0"/>
                    <w:jc w:val="center"/>
                    <w:rPr>
                      <w:rFonts w:eastAsia="宋体" w:cs="Times New Roman" w:hint="default"/>
                      <w:color w:val="auto"/>
                      <w:sz w:val="21"/>
                      <w:szCs w:val="21"/>
                      <w:lang w:val="en-US" w:eastAsia="zh-CN"/>
                    </w:rPr>
                  </w:pPr>
                  <w:r>
                    <w:rPr>
                      <w:rFonts w:ascii="Times New Roman" w:hAnsi="Times New Roman" w:cs="Times New Roman" w:hint="default"/>
                      <w:color w:val="auto"/>
                      <w:sz w:val="21"/>
                      <w:szCs w:val="21"/>
                      <w:lang w:val="en-US" w:eastAsia="zh-CN"/>
                    </w:rPr>
                    <w:t>452</w:t>
                  </w:r>
                </w:p>
              </w:tc>
              <w:tc>
                <w:tcPr>
                  <w:tcW w:w="1522" w:type="dxa"/>
                  <w:vAlign w:val="center"/>
                </w:tcPr>
                <w:p>
                  <w:pPr>
                    <w:pStyle w:val="120"/>
                    <w:spacing w:line="240" w:lineRule="auto"/>
                    <w:ind w:firstLine="0" w:firstLineChars="0"/>
                    <w:jc w:val="center"/>
                    <w:rPr>
                      <w:rFonts w:eastAsia="宋体" w:cs="Times New Roman" w:hint="default"/>
                      <w:color w:val="auto"/>
                      <w:sz w:val="21"/>
                      <w:szCs w:val="21"/>
                      <w:lang w:val="en-US" w:eastAsia="zh-CN"/>
                    </w:rPr>
                  </w:pPr>
                  <w:r>
                    <w:rPr>
                      <w:rFonts w:ascii="Times New Roman" w:hAnsi="Times New Roman" w:cs="Times New Roman" w:hint="default"/>
                      <w:color w:val="auto"/>
                      <w:sz w:val="21"/>
                      <w:szCs w:val="21"/>
                      <w:lang w:val="en-US" w:eastAsia="zh-CN"/>
                    </w:rPr>
                    <w:t>8.313</w:t>
                  </w:r>
                </w:p>
              </w:tc>
              <w:tc>
                <w:tcPr>
                  <w:tcW w:w="1522" w:type="dxa"/>
                  <w:vAlign w:val="center"/>
                </w:tcPr>
                <w:p>
                  <w:pPr>
                    <w:pStyle w:val="120"/>
                    <w:spacing w:line="240" w:lineRule="auto"/>
                    <w:ind w:firstLine="0" w:firstLineChars="0"/>
                    <w:jc w:val="center"/>
                    <w:rPr>
                      <w:rFonts w:cs="Times New Roman" w:hint="default"/>
                      <w:color w:val="auto"/>
                      <w:sz w:val="21"/>
                      <w:szCs w:val="21"/>
                    </w:rPr>
                  </w:pPr>
                  <w:r>
                    <w:rPr>
                      <w:rFonts w:ascii="Times New Roman" w:hAnsi="Times New Roman" w:cs="Times New Roman" w:hint="default"/>
                      <w:color w:val="auto"/>
                      <w:sz w:val="21"/>
                      <w:szCs w:val="21"/>
                    </w:rPr>
                    <w:t>45</w:t>
                  </w:r>
                </w:p>
              </w:tc>
              <w:tc>
                <w:tcPr>
                  <w:tcW w:w="1522" w:type="dxa"/>
                  <w:vAlign w:val="center"/>
                </w:tcPr>
                <w:p>
                  <w:pPr>
                    <w:pStyle w:val="120"/>
                    <w:spacing w:line="240" w:lineRule="auto"/>
                    <w:ind w:firstLine="0" w:firstLineChars="0"/>
                    <w:jc w:val="center"/>
                    <w:rPr>
                      <w:rFonts w:eastAsia="宋体" w:cs="Times New Roman" w:hint="default"/>
                      <w:color w:val="auto"/>
                      <w:sz w:val="21"/>
                      <w:szCs w:val="21"/>
                      <w:lang w:val="en-US" w:eastAsia="zh-CN"/>
                    </w:rPr>
                  </w:pPr>
                  <w:r>
                    <w:rPr>
                      <w:rFonts w:ascii="Times New Roman" w:hAnsi="Times New Roman" w:cs="Times New Roman" w:hint="default"/>
                      <w:color w:val="auto"/>
                      <w:sz w:val="21"/>
                      <w:szCs w:val="21"/>
                      <w:lang w:val="en-US" w:eastAsia="zh-CN"/>
                    </w:rPr>
                    <w:t>0.827</w:t>
                  </w:r>
                </w:p>
              </w:tc>
            </w:tr>
          </w:tbl>
          <w:p>
            <w:pPr>
              <w:numPr>
                <w:ilvl w:val="0"/>
                <w:numId w:val="9"/>
              </w:numPr>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大气污染源</w:t>
            </w:r>
          </w:p>
          <w:p>
            <w:pPr>
              <w:spacing w:line="360" w:lineRule="auto"/>
              <w:ind w:firstLine="480" w:firstLineChars="200"/>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本项目产生的大气污染物主要是开采、加工过程产生的粉尘、爆破废气、厨房油烟、汽车尾气等。其中粉尘的产生几乎伴随着整个采剥及加工工序，其排放特点是：</w:t>
            </w:r>
            <w:r>
              <w:rPr>
                <w:rFonts w:ascii="Times New Roman" w:hAnsi="Times New Roman" w:cs="Times New Roman" w:hint="default"/>
                <w:snapToGrid w:val="0"/>
                <w:color w:val="auto"/>
                <w:kern w:val="0"/>
              </w:rPr>
              <w:t>①</w:t>
            </w:r>
            <w:r>
              <w:rPr>
                <w:rFonts w:ascii="Times New Roman" w:hAnsi="Times New Roman" w:cs="Times New Roman" w:hint="default"/>
                <w:snapToGrid w:val="0"/>
                <w:color w:val="auto"/>
                <w:kern w:val="0"/>
              </w:rPr>
              <w:t>排放高度低，属于面源污染；</w:t>
            </w:r>
            <w:r>
              <w:rPr>
                <w:rFonts w:ascii="Times New Roman" w:hAnsi="Times New Roman" w:cs="Times New Roman" w:hint="default"/>
                <w:snapToGrid w:val="0"/>
                <w:color w:val="auto"/>
                <w:kern w:val="0"/>
              </w:rPr>
              <w:t>②</w:t>
            </w:r>
            <w:r>
              <w:rPr>
                <w:rFonts w:ascii="Times New Roman" w:hAnsi="Times New Roman" w:cs="Times New Roman" w:hint="default"/>
                <w:snapToGrid w:val="0"/>
                <w:color w:val="auto"/>
                <w:kern w:val="0"/>
              </w:rPr>
              <w:t>排放点多而且分散；</w:t>
            </w:r>
            <w:r>
              <w:rPr>
                <w:rFonts w:ascii="Times New Roman" w:hAnsi="Times New Roman" w:cs="Times New Roman" w:hint="default"/>
                <w:snapToGrid w:val="0"/>
                <w:color w:val="auto"/>
                <w:kern w:val="0"/>
              </w:rPr>
              <w:t>③</w:t>
            </w:r>
            <w:r>
              <w:rPr>
                <w:rFonts w:ascii="Times New Roman" w:hAnsi="Times New Roman" w:cs="Times New Roman" w:hint="default"/>
                <w:snapToGrid w:val="0"/>
                <w:color w:val="auto"/>
                <w:kern w:val="0"/>
              </w:rPr>
              <w:t>排放量受风速和空气湿度影响较大。</w:t>
            </w:r>
          </w:p>
          <w:p>
            <w:pPr>
              <w:pStyle w:val="120"/>
              <w:numPr>
                <w:ilvl w:val="0"/>
                <w:numId w:val="10"/>
              </w:numPr>
              <w:ind w:firstLine="482"/>
              <w:rPr>
                <w:rFonts w:cs="Times New Roman" w:hint="default"/>
                <w:b/>
                <w:bCs/>
                <w:color w:val="auto"/>
              </w:rPr>
            </w:pPr>
            <w:r>
              <w:rPr>
                <w:rFonts w:ascii="Times New Roman" w:hAnsi="Times New Roman" w:cs="Times New Roman" w:hint="default"/>
                <w:b/>
                <w:bCs/>
                <w:color w:val="auto"/>
              </w:rPr>
              <w:t>露天采矿区内大气污染源</w:t>
            </w:r>
          </w:p>
          <w:p>
            <w:pPr>
              <w:pStyle w:val="120"/>
              <w:ind w:firstLine="482"/>
              <w:rPr>
                <w:rFonts w:cs="Times New Roman" w:hint="default"/>
                <w:b/>
                <w:bCs/>
                <w:color w:val="auto"/>
              </w:rPr>
            </w:pPr>
            <w:r>
              <w:rPr>
                <w:rFonts w:ascii="Times New Roman" w:hAnsi="Times New Roman" w:cs="Times New Roman" w:hint="default"/>
                <w:b/>
                <w:bCs/>
                <w:color w:val="auto"/>
              </w:rPr>
              <w:t>①</w:t>
            </w:r>
            <w:r>
              <w:rPr>
                <w:rFonts w:ascii="Times New Roman" w:hAnsi="Times New Roman" w:cs="Times New Roman" w:hint="default"/>
                <w:b/>
                <w:bCs/>
                <w:color w:val="auto"/>
              </w:rPr>
              <w:t>钻孔、爆破粉尘</w:t>
            </w:r>
          </w:p>
          <w:p>
            <w:pPr>
              <w:pStyle w:val="120"/>
              <w:rPr>
                <w:rFonts w:cs="Times New Roman" w:hint="default"/>
                <w:snapToGrid w:val="0"/>
                <w:color w:val="auto"/>
                <w:kern w:val="0"/>
              </w:rPr>
            </w:pPr>
            <w:r>
              <w:rPr>
                <w:rFonts w:ascii="Times New Roman" w:hAnsi="Times New Roman" w:cs="Times New Roman" w:hint="default"/>
                <w:snapToGrid w:val="0"/>
                <w:color w:val="auto"/>
                <w:kern w:val="0"/>
              </w:rPr>
              <w:t>项目采用</w:t>
            </w:r>
            <w:r>
              <w:rPr>
                <w:rFonts w:ascii="Times New Roman" w:hAnsi="Times New Roman" w:cs="Times New Roman" w:hint="default"/>
                <w:color w:val="auto"/>
                <w:szCs w:val="24"/>
              </w:rPr>
              <w:t>深孔台阶微差爆破</w:t>
            </w:r>
            <w:r>
              <w:rPr>
                <w:rFonts w:ascii="Times New Roman" w:hAnsi="Times New Roman" w:cs="Times New Roman" w:hint="default"/>
                <w:snapToGrid w:val="0"/>
                <w:color w:val="auto"/>
                <w:kern w:val="0"/>
              </w:rPr>
              <w:t>，使用潜孔钻机进行钻孔。根据《逸散性工业粉尘控制技术》（中国环境科学出版社），钻孔、爆破作业时粉尘排放系数为0.004kg/t（矿石）。本项目</w:t>
            </w:r>
            <w:r>
              <w:rPr>
                <w:rFonts w:ascii="Times New Roman" w:hAnsi="Times New Roman" w:cs="Times New Roman" w:hint="default"/>
                <w:color w:val="auto"/>
              </w:rPr>
              <w:t>熔剂用灰岩矿开采规模为50万t/a，建筑用灰岩矿开采规模为55万t/a，合计开采规模105万t/a</w:t>
            </w:r>
            <w:r>
              <w:rPr>
                <w:rFonts w:ascii="Times New Roman" w:hAnsi="Times New Roman" w:cs="Times New Roman" w:hint="default"/>
                <w:snapToGrid w:val="0"/>
                <w:color w:val="auto"/>
                <w:kern w:val="0"/>
              </w:rPr>
              <w:t>，则钻孔和爆破过程粉尘产生量为4.20t/a，排放速率为1.875kg/h。建设单位在钻孔作业时采用喷雾洒水抑尘，除尘效率可达80%，则粉尘排放量为0.84t/a，排放速率为0.375kg/h。</w:t>
            </w:r>
          </w:p>
          <w:p>
            <w:pPr>
              <w:pStyle w:val="120"/>
              <w:ind w:firstLine="482"/>
              <w:rPr>
                <w:rFonts w:cs="Times New Roman" w:hint="default"/>
                <w:b/>
                <w:bCs/>
                <w:color w:val="auto"/>
              </w:rPr>
            </w:pPr>
            <w:r>
              <w:rPr>
                <w:rFonts w:ascii="Times New Roman" w:hAnsi="Times New Roman" w:cs="Times New Roman" w:hint="default"/>
                <w:b/>
                <w:bCs/>
                <w:color w:val="auto"/>
              </w:rPr>
              <w:t>②</w:t>
            </w:r>
            <w:r>
              <w:rPr>
                <w:rFonts w:ascii="Times New Roman" w:hAnsi="Times New Roman" w:cs="Times New Roman" w:hint="default"/>
                <w:b/>
                <w:bCs/>
                <w:color w:val="auto"/>
              </w:rPr>
              <w:t>爆破废气</w:t>
            </w:r>
          </w:p>
          <w:p>
            <w:pPr>
              <w:pStyle w:val="120"/>
              <w:rPr>
                <w:rFonts w:cs="Times New Roman" w:hint="default"/>
                <w:snapToGrid w:val="0"/>
                <w:color w:val="auto"/>
                <w:kern w:val="0"/>
              </w:rPr>
            </w:pPr>
            <w:r>
              <w:rPr>
                <w:rFonts w:ascii="Times New Roman" w:hAnsi="Times New Roman" w:cs="Times New Roman" w:hint="default"/>
                <w:color w:val="auto"/>
              </w:rPr>
              <w:t>本项目爆破采用硝酸铵类炸药，爆破产生的气体主要有CO</w:t>
            </w:r>
            <w:r>
              <w:rPr>
                <w:rFonts w:ascii="Times New Roman" w:hAnsi="Times New Roman" w:cs="Times New Roman" w:hint="default"/>
                <w:color w:val="auto"/>
                <w:vertAlign w:val="subscript"/>
              </w:rPr>
              <w:t>2</w:t>
            </w:r>
            <w:r>
              <w:rPr>
                <w:rFonts w:ascii="Times New Roman" w:hAnsi="Times New Roman" w:cs="Times New Roman" w:hint="default"/>
                <w:color w:val="auto"/>
              </w:rPr>
              <w:t>、H</w:t>
            </w:r>
            <w:r>
              <w:rPr>
                <w:rFonts w:ascii="Times New Roman" w:hAnsi="Times New Roman" w:cs="Times New Roman" w:hint="default"/>
                <w:color w:val="auto"/>
                <w:vertAlign w:val="subscript"/>
              </w:rPr>
              <w:t>2</w:t>
            </w:r>
            <w:r>
              <w:rPr>
                <w:rFonts w:ascii="Times New Roman" w:hAnsi="Times New Roman" w:cs="Times New Roman" w:hint="default"/>
                <w:color w:val="auto"/>
              </w:rPr>
              <w:t>O、CO、NO</w:t>
            </w:r>
            <w:r>
              <w:rPr>
                <w:rFonts w:ascii="Times New Roman" w:hAnsi="Times New Roman" w:cs="Times New Roman" w:hint="default"/>
                <w:color w:val="auto"/>
                <w:vertAlign w:val="subscript"/>
              </w:rPr>
              <w:t>2</w:t>
            </w:r>
            <w:r>
              <w:rPr>
                <w:rFonts w:ascii="Times New Roman" w:hAnsi="Times New Roman" w:cs="Times New Roman" w:hint="default"/>
                <w:color w:val="auto"/>
              </w:rPr>
              <w:t>、NO、N</w:t>
            </w:r>
            <w:r>
              <w:rPr>
                <w:rFonts w:ascii="Times New Roman" w:hAnsi="Times New Roman" w:cs="Times New Roman" w:hint="default"/>
                <w:color w:val="auto"/>
                <w:vertAlign w:val="subscript"/>
              </w:rPr>
              <w:t>2</w:t>
            </w:r>
            <w:r>
              <w:rPr>
                <w:rFonts w:ascii="Times New Roman" w:hAnsi="Times New Roman" w:cs="Times New Roman" w:hint="default"/>
                <w:color w:val="auto"/>
              </w:rPr>
              <w:t>等，其中CO、NO</w:t>
            </w:r>
            <w:r>
              <w:rPr>
                <w:rFonts w:ascii="Times New Roman" w:hAnsi="Times New Roman" w:cs="Times New Roman" w:hint="default"/>
                <w:color w:val="auto"/>
                <w:vertAlign w:val="subscript"/>
              </w:rPr>
              <w:t>2</w:t>
            </w:r>
            <w:r>
              <w:rPr>
                <w:rFonts w:ascii="Times New Roman" w:hAnsi="Times New Roman" w:cs="Times New Roman" w:hint="default"/>
                <w:color w:val="auto"/>
              </w:rPr>
              <w:t>、NO为有害气体。根据《工程爆破中灾害及其控制》（黄忆龙，西部探矿工程，2002年第2期），炸药爆破过程中的产污系数为：CO 6.3g/kg、NOx</w:t>
            </w:r>
            <w:r>
              <w:rPr>
                <w:rFonts w:ascii="Times New Roman" w:hAnsi="Times New Roman" w:cs="Times New Roman" w:hint="default"/>
                <w:color w:val="auto"/>
                <w:vertAlign w:val="subscript"/>
              </w:rPr>
              <w:t xml:space="preserve"> </w:t>
            </w:r>
            <w:r>
              <w:rPr>
                <w:rFonts w:ascii="Times New Roman" w:hAnsi="Times New Roman" w:cs="Times New Roman" w:hint="default"/>
                <w:color w:val="auto"/>
              </w:rPr>
              <w:t>14.6g/kg。根据开发利用方案，爆破炸药年用量约为195t，则爆破过程污染物排放量为CO：1.229t/a、NO</w:t>
            </w:r>
            <w:r>
              <w:rPr>
                <w:rFonts w:ascii="Times New Roman" w:hAnsi="Times New Roman" w:cs="Times New Roman" w:hint="default"/>
                <w:color w:val="auto"/>
                <w:vertAlign w:val="subscript"/>
              </w:rPr>
              <w:t>x</w:t>
            </w:r>
            <w:r>
              <w:rPr>
                <w:rFonts w:ascii="Times New Roman" w:hAnsi="Times New Roman" w:cs="Times New Roman" w:hint="default"/>
                <w:color w:val="auto"/>
              </w:rPr>
              <w:t>：2.847t/a。矿山采用深孔爆破方案，爆破废气瞬时产生且为间断性排放。采场周围地势相对较高，扩散条件较好，爆破气体可迅速扩散，因此，爆破废气经扩散后对周围环境空气质量影响较小。</w:t>
            </w:r>
          </w:p>
          <w:p>
            <w:pPr>
              <w:pStyle w:val="120"/>
              <w:ind w:firstLine="482"/>
              <w:rPr>
                <w:rFonts w:cs="Times New Roman" w:hint="default"/>
                <w:b/>
                <w:bCs/>
                <w:color w:val="auto"/>
              </w:rPr>
            </w:pPr>
            <w:r>
              <w:rPr>
                <w:rFonts w:ascii="Times New Roman" w:hAnsi="Times New Roman" w:cs="Times New Roman" w:hint="default"/>
                <w:b/>
                <w:bCs/>
                <w:color w:val="auto"/>
              </w:rPr>
              <w:t>③</w:t>
            </w:r>
            <w:r>
              <w:rPr>
                <w:rFonts w:ascii="Times New Roman" w:hAnsi="Times New Roman" w:cs="Times New Roman" w:hint="default"/>
                <w:b/>
                <w:bCs/>
                <w:color w:val="auto"/>
              </w:rPr>
              <w:t>矿石装卸扬尘</w:t>
            </w:r>
          </w:p>
          <w:p>
            <w:pPr>
              <w:autoSpaceDE w:val="0"/>
              <w:autoSpaceDN w:val="0"/>
              <w:adjustRightInd w:val="0"/>
              <w:snapToGrid w:val="0"/>
              <w:spacing w:line="360" w:lineRule="auto"/>
              <w:ind w:firstLine="480" w:firstLineChars="200"/>
              <w:jc w:val="left"/>
              <w:rPr>
                <w:rFonts w:ascii="Times New Roman" w:hAnsi="Times New Roman" w:cs="Times New Roman" w:hint="default"/>
                <w:color w:val="auto"/>
              </w:rPr>
            </w:pPr>
            <w:r>
              <w:rPr>
                <w:rFonts w:ascii="Times New Roman" w:hAnsi="Times New Roman" w:cs="Times New Roman" w:hint="default"/>
                <w:color w:val="auto"/>
                <w:szCs w:val="22"/>
              </w:rPr>
              <w:t>项目采用挖掘机、铲车</w:t>
            </w:r>
            <w:r>
              <w:rPr>
                <w:rFonts w:ascii="Times New Roman" w:hAnsi="Times New Roman" w:cs="Times New Roman" w:hint="default"/>
                <w:color w:val="auto"/>
              </w:rPr>
              <w:t>进行采装矿石至汽车外运，产品在采装过程中将会产生一定量的扬尘，采装扬尘量采用清华大学装卸扬尘公式计算：</w:t>
            </w:r>
          </w:p>
          <w:p>
            <w:pPr>
              <w:autoSpaceDE w:val="0"/>
              <w:autoSpaceDN w:val="0"/>
              <w:adjustRightInd w:val="0"/>
              <w:snapToGrid w:val="0"/>
              <w:spacing w:line="360" w:lineRule="auto"/>
              <w:jc w:val="center"/>
              <w:rPr>
                <w:rFonts w:ascii="Times New Roman" w:hAnsi="Times New Roman" w:cs="Times New Roman" w:hint="default"/>
                <w:color w:val="auto"/>
                <w:szCs w:val="22"/>
              </w:rPr>
            </w:pPr>
            <w:r>
              <w:rPr>
                <w:rFonts w:ascii="Times New Roman" w:hAnsi="Times New Roman" w:cs="Times New Roman" w:hint="default"/>
                <w:color w:val="auto"/>
              </w:rPr>
              <w:pict>
                <v:shape id="图片 1" o:spid="_x0000_i1139" type="#_x0000_t75" style="width:168.75pt;height:37.49pt;mso-position-horizontal-relative:page;mso-position-vertical-relative:page;mso-wrap-style:square" filled="f" stroked="f">
                  <v:stroke linestyle="single"/>
                  <v:imagedata r:id="rId84" o:title=""/>
                  <v:path o:extrusionok="f"/>
                  <o:lock v:ext="edit" aspectratio="t"/>
                </v:shape>
              </w:pic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式中：Q</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扬尘，g/次；</w:t>
            </w:r>
          </w:p>
        </w:tc>
      </w:tr>
    </w:tbl>
    <w:p>
      <w:pPr>
        <w:sectPr>
          <w:footerReference w:type="even" r:id="rId85"/>
          <w:footerReference w:type="default" r:id="rId86"/>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7"/>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U</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风速，取0.7m/s；</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W</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物料湿度，1取1%；</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M</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车辆吨位，30t；</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H</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装卸高度，1.5m。</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通过使用上式计算可得，矿石每次采装时产生的粉尘约为101.32g/次。根据矿石产量，矿山采装量为105万t/a，经计算，采装扬尘量为3.546t/a。铲装时产生的粉尘，拟采用在物料上洒水，保持一定的湿度，可有效抑制粉尘产生。根据《逸散性工业粉尘控制技术》（中国环境科学出版社）中关于采石场逸散粉尘控制技术、效率的分析可知，采取喷雾洒水抑尘，除尘效率可达80%，则粉尘排放量为0.709t/a，排放速率为0.317kg/h。</w:t>
            </w:r>
          </w:p>
          <w:p>
            <w:pPr>
              <w:pStyle w:val="120"/>
              <w:ind w:firstLine="482"/>
              <w:rPr>
                <w:rFonts w:cs="Times New Roman" w:hint="default"/>
                <w:b/>
                <w:bCs/>
                <w:snapToGrid w:val="0"/>
                <w:color w:val="auto"/>
                <w:kern w:val="0"/>
              </w:rPr>
            </w:pPr>
            <w:r>
              <w:rPr>
                <w:rFonts w:ascii="Times New Roman" w:hAnsi="Times New Roman" w:cs="Times New Roman" w:hint="default"/>
                <w:b/>
                <w:bCs/>
                <w:snapToGrid w:val="0"/>
                <w:color w:val="auto"/>
                <w:kern w:val="0"/>
              </w:rPr>
              <w:t>④</w:t>
            </w:r>
            <w:r>
              <w:rPr>
                <w:rFonts w:ascii="Times New Roman" w:hAnsi="Times New Roman" w:cs="Times New Roman" w:hint="default"/>
                <w:b/>
                <w:bCs/>
                <w:snapToGrid w:val="0"/>
                <w:color w:val="auto"/>
                <w:kern w:val="0"/>
              </w:rPr>
              <w:t>场内运输道路扬尘</w:t>
            </w:r>
          </w:p>
          <w:p>
            <w:pPr>
              <w:pStyle w:val="120"/>
              <w:rPr>
                <w:rFonts w:cs="Times New Roman" w:hint="default"/>
                <w:snapToGrid w:val="0"/>
                <w:color w:val="auto"/>
                <w:kern w:val="0"/>
              </w:rPr>
            </w:pPr>
            <w:r>
              <w:rPr>
                <w:rFonts w:ascii="Times New Roman" w:hAnsi="Times New Roman" w:cs="Times New Roman" w:hint="default"/>
                <w:snapToGrid w:val="0"/>
                <w:color w:val="auto"/>
                <w:kern w:val="0"/>
              </w:rPr>
              <w:t>根据矿山的年生产能力及道路的行车密度，矿区道路采用泥结碎石路面，路面宽6m，路基宽8m，最小平曲线半径15m，选用30t自卸汽车3辆。</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本项目开采出的</w:t>
            </w:r>
            <w:r>
              <w:rPr>
                <w:rFonts w:ascii="Times New Roman" w:hAnsi="Times New Roman" w:cs="Times New Roman" w:hint="default"/>
                <w:color w:val="auto"/>
              </w:rPr>
              <w:t>熔剂用灰岩矿和建筑用灰岩矿先运往矿石堆场分别堆放，再根据生产需要，安排汽车运至加工场内进行加工。</w:t>
            </w:r>
            <w:r>
              <w:rPr>
                <w:rFonts w:ascii="Times New Roman" w:hAnsi="Times New Roman" w:cs="Times New Roman" w:hint="default"/>
                <w:snapToGrid w:val="0"/>
                <w:color w:val="auto"/>
                <w:kern w:val="0"/>
              </w:rPr>
              <w:t>汽车载有散状物料的道路上行驶的扬尘，选用上海港环境保护中心和武汉水运工程学院提出的经验公式估算，经验公式为：</w:t>
            </w:r>
          </w:p>
          <w:p>
            <w:pPr>
              <w:autoSpaceDE w:val="0"/>
              <w:autoSpaceDN w:val="0"/>
              <w:adjustRightInd w:val="0"/>
              <w:snapToGrid w:val="0"/>
              <w:spacing w:line="360" w:lineRule="auto"/>
              <w:ind w:firstLine="480" w:firstLineChars="200"/>
              <w:jc w:val="center"/>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pict>
                <v:shape id="图片 38" o:spid="_x0000_i1140" type="#_x0000_t75" alt="1528335029(1)" style="width:257.91pt;height:35.62pt;mso-position-horizontal-relative:page;mso-position-vertical-relative:page;mso-wrap-style:square" o:preferrelative="t" filled="f" stroked="f">
                  <v:fill o:detectmouseclick="t"/>
                  <v:stroke linestyle="single"/>
                  <v:imagedata r:id="rId87" o:title="1528335029(1)"/>
                  <v:path o:extrusionok="f"/>
                  <o:lock v:ext="edit" aspectratio="t"/>
                </v:shape>
              </w:pic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式中：Q</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汽车行驶的起尘量，(kg/辆)；</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V一汽车行驶速度，km/h；</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M</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汽车载重量，t；</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P</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道路表面物料量，取0.06kg/m</w:t>
            </w:r>
            <w:r>
              <w:rPr>
                <w:rFonts w:ascii="Times New Roman" w:hAnsi="Times New Roman" w:cs="Times New Roman" w:hint="default"/>
                <w:snapToGrid w:val="0"/>
                <w:color w:val="auto"/>
                <w:kern w:val="0"/>
                <w:vertAlign w:val="superscript"/>
              </w:rPr>
              <w:t>2</w:t>
            </w:r>
            <w:r>
              <w:rPr>
                <w:rFonts w:ascii="Times New Roman" w:hAnsi="Times New Roman" w:cs="Times New Roman" w:hint="default"/>
                <w:snapToGrid w:val="0"/>
                <w:color w:val="auto"/>
                <w:kern w:val="0"/>
              </w:rPr>
              <w:t>；</w:t>
            </w:r>
          </w:p>
          <w:p>
            <w:pPr>
              <w:autoSpaceDE w:val="0"/>
              <w:autoSpaceDN w:val="0"/>
              <w:adjustRightInd w:val="0"/>
              <w:snapToGrid w:val="0"/>
              <w:spacing w:line="360" w:lineRule="auto"/>
              <w:ind w:firstLine="1200" w:firstLineChars="5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L</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道路长度，取平均运距1.6km。</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根据调查，自卸汽车重量空载、负载分别为3t/辆、30t/辆，汽车平均运速15km/h，道路表面积尘量以0.06kg/m</w:t>
            </w:r>
            <w:r>
              <w:rPr>
                <w:rFonts w:ascii="Times New Roman" w:hAnsi="Times New Roman" w:cs="Times New Roman" w:hint="default"/>
                <w:snapToGrid w:val="0"/>
                <w:color w:val="auto"/>
                <w:kern w:val="0"/>
                <w:vertAlign w:val="superscript"/>
              </w:rPr>
              <w:t>2</w:t>
            </w:r>
            <w:r>
              <w:rPr>
                <w:rFonts w:ascii="Times New Roman" w:hAnsi="Times New Roman" w:cs="Times New Roman" w:hint="default"/>
                <w:snapToGrid w:val="0"/>
                <w:color w:val="auto"/>
                <w:kern w:val="0"/>
              </w:rPr>
              <w:t>计，则道路扬尘量在空载与负载情况下分别为0.025kg/辆、0.18kg/辆。</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按105万t/a的生产能力，每日产矿石约3750吨，用载重量30吨/车计，平均每天运输约125辆次。经计算，年产生扬尘量约为7.175t/a。为减轻道路扬尘对环境的影响，建设单位应加强管理，指派专人专车，负责对矿区道路进行洒水抑尘，同时运有石料的车辆采用棚布遮盖。采取相应措施后，道路扬尘的产生量可减少90%，则本项目运输过程扬尘排放量为0.718t/a，排放速率为0.321kg/h。</w:t>
            </w:r>
          </w:p>
        </w:tc>
      </w:tr>
    </w:tbl>
    <w:p>
      <w:pPr>
        <w:sectPr>
          <w:footerReference w:type="even" r:id="rId88"/>
          <w:footerReference w:type="default" r:id="rId89"/>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8"/>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autoSpaceDE w:val="0"/>
              <w:autoSpaceDN w:val="0"/>
              <w:adjustRightInd w:val="0"/>
              <w:snapToGrid w:val="0"/>
              <w:spacing w:line="360" w:lineRule="auto"/>
              <w:ind w:firstLine="480" w:firstLineChars="200"/>
              <w:jc w:val="left"/>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⑤</w:t>
            </w:r>
            <w:r>
              <w:rPr>
                <w:rFonts w:ascii="Times New Roman" w:hAnsi="Times New Roman" w:cs="Times New Roman" w:hint="default"/>
                <w:b/>
                <w:bCs/>
                <w:snapToGrid w:val="0"/>
                <w:color w:val="auto"/>
                <w:kern w:val="0"/>
              </w:rPr>
              <w:t>燃油废气</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本项目开挖及装卸自动化水平较高，均用各种机械，在采矿工业场地，主要使用挖掘机、装载机、自卸汽车等大型柴油设备，这些柴油设备由于其发动机在工作时将产生燃油废气，废气中的污染物为SO</w:t>
            </w:r>
            <w:r>
              <w:rPr>
                <w:rFonts w:ascii="Times New Roman" w:hAnsi="Times New Roman" w:cs="Times New Roman" w:hint="default"/>
                <w:snapToGrid w:val="0"/>
                <w:color w:val="auto"/>
                <w:kern w:val="0"/>
                <w:vertAlign w:val="subscript"/>
              </w:rPr>
              <w:t>2</w:t>
            </w:r>
            <w:r>
              <w:rPr>
                <w:rFonts w:ascii="Times New Roman" w:hAnsi="Times New Roman" w:cs="Times New Roman" w:hint="default"/>
                <w:snapToGrid w:val="0"/>
                <w:color w:val="auto"/>
                <w:kern w:val="0"/>
              </w:rPr>
              <w:t>、CO、NOx、C</w:t>
            </w:r>
            <w:r>
              <w:rPr>
                <w:rFonts w:ascii="Times New Roman" w:hAnsi="Times New Roman" w:cs="Times New Roman" w:hint="default"/>
                <w:snapToGrid w:val="0"/>
                <w:color w:val="auto"/>
                <w:kern w:val="0"/>
                <w:vertAlign w:val="subscript"/>
              </w:rPr>
              <w:t>n</w:t>
            </w:r>
            <w:r>
              <w:rPr>
                <w:rFonts w:ascii="Times New Roman" w:hAnsi="Times New Roman" w:cs="Times New Roman" w:hint="default"/>
                <w:snapToGrid w:val="0"/>
                <w:color w:val="auto"/>
                <w:kern w:val="0"/>
              </w:rPr>
              <w:t>H</w:t>
            </w:r>
            <w:r>
              <w:rPr>
                <w:rFonts w:ascii="Times New Roman" w:hAnsi="Times New Roman" w:cs="Times New Roman" w:hint="default"/>
                <w:snapToGrid w:val="0"/>
                <w:color w:val="auto"/>
                <w:kern w:val="0"/>
                <w:vertAlign w:val="subscript"/>
              </w:rPr>
              <w:t>m</w:t>
            </w:r>
            <w:r>
              <w:rPr>
                <w:rFonts w:ascii="Times New Roman" w:hAnsi="Times New Roman" w:cs="Times New Roman" w:hint="default"/>
                <w:snapToGrid w:val="0"/>
                <w:color w:val="auto"/>
                <w:kern w:val="0"/>
              </w:rPr>
              <w:t>等，参照《污染物排污系数手册》，以柴油为燃料的机动车排污系数见下表5-</w:t>
            </w:r>
            <w:r>
              <w:rPr>
                <w:rFonts w:ascii="Times New Roman" w:hAnsi="Times New Roman" w:cs="Times New Roman" w:hint="default"/>
                <w:snapToGrid w:val="0"/>
                <w:color w:val="auto"/>
                <w:kern w:val="0"/>
                <w:lang w:val="en-US" w:eastAsia="zh-CN"/>
              </w:rPr>
              <w:t>7</w:t>
            </w:r>
            <w:r>
              <w:rPr>
                <w:rFonts w:ascii="Times New Roman" w:hAnsi="Times New Roman" w:cs="Times New Roman" w:hint="default"/>
                <w:snapToGrid w:val="0"/>
                <w:color w:val="auto"/>
                <w:kern w:val="0"/>
              </w:rPr>
              <w:t>。</w:t>
            </w:r>
          </w:p>
          <w:p>
            <w:pPr>
              <w:autoSpaceDE w:val="0"/>
              <w:autoSpaceDN w:val="0"/>
              <w:adjustRightInd w:val="0"/>
              <w:snapToGrid w:val="0"/>
              <w:spacing w:line="360" w:lineRule="auto"/>
              <w:jc w:val="center"/>
              <w:rPr>
                <w:rFonts w:ascii="Times New Roman" w:hAnsi="Times New Roman" w:cs="Times New Roman" w:hint="default"/>
                <w:b/>
                <w:bCs/>
                <w:snapToGrid w:val="0"/>
                <w:color w:val="auto"/>
                <w:kern w:val="0"/>
                <w:sz w:val="21"/>
                <w:szCs w:val="13"/>
              </w:rPr>
            </w:pPr>
            <w:r>
              <w:rPr>
                <w:rFonts w:ascii="Times New Roman" w:hAnsi="Times New Roman" w:cs="Times New Roman" w:hint="default"/>
                <w:b/>
                <w:bCs/>
                <w:snapToGrid w:val="0"/>
                <w:color w:val="auto"/>
                <w:kern w:val="0"/>
                <w:sz w:val="21"/>
                <w:szCs w:val="13"/>
              </w:rPr>
              <w:t>表 5-</w:t>
            </w:r>
            <w:r>
              <w:rPr>
                <w:rFonts w:ascii="Times New Roman" w:hAnsi="Times New Roman" w:cs="Times New Roman" w:hint="default"/>
                <w:b/>
                <w:bCs/>
                <w:snapToGrid w:val="0"/>
                <w:color w:val="auto"/>
                <w:kern w:val="0"/>
                <w:sz w:val="21"/>
                <w:szCs w:val="13"/>
                <w:lang w:val="en-US" w:eastAsia="zh-CN"/>
              </w:rPr>
              <w:t>7</w:t>
            </w:r>
            <w:r>
              <w:rPr>
                <w:rFonts w:ascii="Times New Roman" w:hAnsi="Times New Roman" w:cs="Times New Roman" w:hint="default"/>
                <w:b/>
                <w:bCs/>
                <w:snapToGrid w:val="0"/>
                <w:color w:val="auto"/>
                <w:kern w:val="0"/>
                <w:sz w:val="21"/>
                <w:szCs w:val="13"/>
              </w:rPr>
              <w:t xml:space="preserve">    机</w:t>
            </w:r>
            <w:r>
              <w:rPr>
                <w:rFonts w:ascii="Times New Roman" w:hAnsi="Times New Roman" w:cs="Times New Roman" w:hint="default"/>
                <w:b/>
                <w:bCs/>
                <w:snapToGrid w:val="0"/>
                <w:color w:val="auto"/>
                <w:kern w:val="0"/>
                <w:sz w:val="21"/>
                <w:szCs w:val="13"/>
                <w:lang w:eastAsia="zh-CN"/>
              </w:rPr>
              <w:t>动</w:t>
            </w:r>
            <w:r>
              <w:rPr>
                <w:rFonts w:ascii="Times New Roman" w:hAnsi="Times New Roman" w:cs="Times New Roman" w:hint="default"/>
                <w:b/>
                <w:bCs/>
                <w:snapToGrid w:val="0"/>
                <w:color w:val="auto"/>
                <w:kern w:val="0"/>
                <w:sz w:val="21"/>
                <w:szCs w:val="13"/>
              </w:rPr>
              <w:t>车消耗单位燃料大气污染物排放系数（g/L）</w:t>
            </w:r>
          </w:p>
          <w:tbl>
            <w:tblPr>
              <w:tblStyle w:val="TableNormal"/>
              <w:tblW w:w="0" w:type="auto"/>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812"/>
              <w:gridCol w:w="1812"/>
              <w:gridCol w:w="1812"/>
              <w:gridCol w:w="1812"/>
              <w:gridCol w:w="1812"/>
            </w:tblGrid>
            <w:tr>
              <w:tblPrEx>
                <w:tblW w:w="0" w:type="auto"/>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污染物</w:t>
                  </w:r>
                </w:p>
              </w:tc>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CO</w:t>
                  </w:r>
                </w:p>
              </w:tc>
              <w:tc>
                <w:tcPr>
                  <w:tcW w:w="1834" w:type="dxa"/>
                  <w:vAlign w:val="center"/>
                </w:tcPr>
                <w:p>
                  <w:pPr>
                    <w:pStyle w:val="Default"/>
                    <w:jc w:val="center"/>
                    <w:rPr>
                      <w:rFonts w:ascii="Times New Roman" w:hAnsi="Times New Roman" w:cs="Times New Roman" w:hint="default"/>
                      <w:color w:val="auto"/>
                      <w:sz w:val="21"/>
                      <w:szCs w:val="21"/>
                      <w:vertAlign w:val="subscript"/>
                    </w:rPr>
                  </w:pPr>
                  <w:r>
                    <w:rPr>
                      <w:rFonts w:ascii="Times New Roman" w:hAnsi="Times New Roman" w:cs="Times New Roman" w:hint="default"/>
                      <w:color w:val="auto"/>
                      <w:sz w:val="21"/>
                      <w:szCs w:val="21"/>
                    </w:rPr>
                    <w:t>C</w:t>
                  </w:r>
                  <w:r>
                    <w:rPr>
                      <w:rFonts w:ascii="Times New Roman" w:hAnsi="Times New Roman" w:cs="Times New Roman" w:hint="default"/>
                      <w:color w:val="auto"/>
                      <w:sz w:val="21"/>
                      <w:szCs w:val="21"/>
                      <w:vertAlign w:val="subscript"/>
                    </w:rPr>
                    <w:t>n</w:t>
                  </w:r>
                  <w:r>
                    <w:rPr>
                      <w:rFonts w:ascii="Times New Roman" w:hAnsi="Times New Roman" w:cs="Times New Roman" w:hint="default"/>
                      <w:color w:val="auto"/>
                      <w:sz w:val="21"/>
                      <w:szCs w:val="21"/>
                    </w:rPr>
                    <w:t>H</w:t>
                  </w:r>
                  <w:r>
                    <w:rPr>
                      <w:rFonts w:ascii="Times New Roman" w:hAnsi="Times New Roman" w:cs="Times New Roman" w:hint="default"/>
                      <w:color w:val="auto"/>
                      <w:sz w:val="21"/>
                      <w:szCs w:val="21"/>
                      <w:vertAlign w:val="subscript"/>
                    </w:rPr>
                    <w:t>m</w:t>
                  </w:r>
                </w:p>
              </w:tc>
              <w:tc>
                <w:tcPr>
                  <w:tcW w:w="1834" w:type="dxa"/>
                  <w:vAlign w:val="center"/>
                </w:tcPr>
                <w:p>
                  <w:pPr>
                    <w:pStyle w:val="Default"/>
                    <w:jc w:val="center"/>
                    <w:rPr>
                      <w:rFonts w:ascii="Times New Roman" w:hAnsi="Times New Roman" w:cs="Times New Roman" w:hint="default"/>
                      <w:color w:val="auto"/>
                      <w:sz w:val="21"/>
                      <w:szCs w:val="21"/>
                      <w:vertAlign w:val="subscript"/>
                    </w:rPr>
                  </w:pPr>
                  <w:r>
                    <w:rPr>
                      <w:rFonts w:ascii="Times New Roman" w:hAnsi="Times New Roman" w:cs="Times New Roman" w:hint="default"/>
                      <w:color w:val="auto"/>
                      <w:sz w:val="21"/>
                      <w:szCs w:val="21"/>
                    </w:rPr>
                    <w:t>NO</w:t>
                  </w:r>
                  <w:r>
                    <w:rPr>
                      <w:rFonts w:ascii="Times New Roman" w:hAnsi="Times New Roman" w:cs="Times New Roman" w:hint="default"/>
                      <w:color w:val="auto"/>
                      <w:sz w:val="21"/>
                      <w:szCs w:val="21"/>
                      <w:vertAlign w:val="subscript"/>
                    </w:rPr>
                    <w:t>x</w:t>
                  </w:r>
                </w:p>
              </w:tc>
              <w:tc>
                <w:tcPr>
                  <w:tcW w:w="1834" w:type="dxa"/>
                  <w:vAlign w:val="center"/>
                </w:tcPr>
                <w:p>
                  <w:pPr>
                    <w:pStyle w:val="Default"/>
                    <w:jc w:val="center"/>
                    <w:rPr>
                      <w:rFonts w:ascii="Times New Roman" w:hAnsi="Times New Roman" w:cs="Times New Roman" w:hint="default"/>
                      <w:color w:val="auto"/>
                      <w:sz w:val="21"/>
                      <w:szCs w:val="21"/>
                      <w:vertAlign w:val="subscript"/>
                    </w:rPr>
                  </w:pPr>
                  <w:r>
                    <w:rPr>
                      <w:rFonts w:ascii="Times New Roman" w:hAnsi="Times New Roman" w:cs="Times New Roman" w:hint="default"/>
                      <w:color w:val="auto"/>
                      <w:sz w:val="21"/>
                      <w:szCs w:val="21"/>
                    </w:rPr>
                    <w:t>SO</w:t>
                  </w:r>
                  <w:r>
                    <w:rPr>
                      <w:rFonts w:ascii="Times New Roman" w:hAnsi="Times New Roman" w:cs="Times New Roman" w:hint="default"/>
                      <w:color w:val="auto"/>
                      <w:sz w:val="21"/>
                      <w:szCs w:val="21"/>
                      <w:vertAlign w:val="subscript"/>
                    </w:rPr>
                    <w:t>2</w:t>
                  </w:r>
                </w:p>
              </w:tc>
            </w:tr>
            <w:tr>
              <w:tblPrEx>
                <w:tblW w:w="0" w:type="auto"/>
                <w:jc w:val="center"/>
                <w:tblInd w:w="115" w:type="dxa"/>
                <w:tblCellMar>
                  <w:top w:w="0" w:type="dxa"/>
                  <w:left w:w="108" w:type="dxa"/>
                  <w:bottom w:w="0" w:type="dxa"/>
                  <w:right w:w="108" w:type="dxa"/>
                </w:tblCellMar>
                <w:tblLook w:val="0000"/>
              </w:tblPrEx>
              <w:trPr>
                <w:jc w:val="center"/>
              </w:trPr>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载重车（用柴油）</w:t>
                  </w:r>
                </w:p>
              </w:tc>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27.0</w:t>
                  </w:r>
                </w:p>
              </w:tc>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4.44</w:t>
                  </w:r>
                </w:p>
              </w:tc>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44.4</w:t>
                  </w:r>
                </w:p>
              </w:tc>
              <w:tc>
                <w:tcPr>
                  <w:tcW w:w="1834" w:type="dxa"/>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3.24</w:t>
                  </w:r>
                </w:p>
              </w:tc>
            </w:tr>
          </w:tbl>
          <w:p>
            <w:pPr>
              <w:autoSpaceDE w:val="0"/>
              <w:autoSpaceDN w:val="0"/>
              <w:adjustRightInd w:val="0"/>
              <w:snapToGrid w:val="0"/>
              <w:spacing w:line="360" w:lineRule="auto"/>
              <w:ind w:firstLine="480" w:firstLineChars="200"/>
              <w:jc w:val="left"/>
              <w:rPr>
                <w:rFonts w:ascii="Times New Roman" w:hAnsi="Times New Roman" w:cs="Times New Roman" w:hint="default"/>
                <w:color w:val="auto"/>
              </w:rPr>
            </w:pPr>
            <w:r>
              <w:rPr>
                <w:rFonts w:ascii="Times New Roman" w:hAnsi="Times New Roman" w:cs="Times New Roman" w:hint="default"/>
                <w:snapToGrid w:val="0"/>
                <w:color w:val="auto"/>
                <w:kern w:val="0"/>
              </w:rPr>
              <w:t>项目年耗柴油</w:t>
            </w:r>
            <w:r>
              <w:rPr>
                <w:rFonts w:ascii="Times New Roman" w:hAnsi="Times New Roman" w:cs="Times New Roman" w:hint="default"/>
                <w:snapToGrid w:val="0"/>
                <w:color w:val="auto"/>
                <w:kern w:val="0"/>
                <w:lang w:val="en-US" w:eastAsia="zh-CN"/>
              </w:rPr>
              <w:t>400m</w:t>
            </w:r>
            <w:r>
              <w:rPr>
                <w:rFonts w:ascii="Times New Roman" w:hAnsi="Times New Roman" w:cs="Times New Roman" w:hint="default"/>
                <w:snapToGrid w:val="0"/>
                <w:color w:val="auto"/>
                <w:kern w:val="0"/>
                <w:vertAlign w:val="superscript"/>
                <w:lang w:val="en-US" w:eastAsia="zh-CN"/>
              </w:rPr>
              <w:t>3</w:t>
            </w:r>
            <w:r>
              <w:rPr>
                <w:rFonts w:ascii="Times New Roman" w:hAnsi="Times New Roman" w:cs="Times New Roman" w:hint="default"/>
                <w:snapToGrid w:val="0"/>
                <w:color w:val="auto"/>
                <w:kern w:val="0"/>
                <w:vertAlign w:val="baseline"/>
                <w:lang w:val="en-US" w:eastAsia="zh-CN"/>
              </w:rPr>
              <w:t>=400000L</w:t>
            </w:r>
            <w:r>
              <w:rPr>
                <w:rFonts w:ascii="Times New Roman" w:hAnsi="Times New Roman" w:cs="Times New Roman" w:hint="default"/>
                <w:snapToGrid w:val="0"/>
                <w:color w:val="auto"/>
                <w:kern w:val="0"/>
              </w:rPr>
              <w:t>，则项目内各机械设备燃烧柴油时废气污染物排放量分别为CO：</w:t>
            </w:r>
            <w:r>
              <w:rPr>
                <w:rFonts w:ascii="Times New Roman" w:hAnsi="Times New Roman" w:cs="Times New Roman" w:hint="default"/>
                <w:snapToGrid w:val="0"/>
                <w:color w:val="auto"/>
                <w:kern w:val="0"/>
                <w:lang w:val="en-US" w:eastAsia="zh-CN"/>
              </w:rPr>
              <w:t>10.80</w:t>
            </w:r>
            <w:r>
              <w:rPr>
                <w:rFonts w:ascii="Times New Roman" w:hAnsi="Times New Roman" w:cs="Times New Roman" w:hint="default"/>
                <w:snapToGrid w:val="0"/>
                <w:color w:val="auto"/>
                <w:kern w:val="0"/>
              </w:rPr>
              <w:t>t/a、C</w:t>
            </w:r>
            <w:r>
              <w:rPr>
                <w:rFonts w:ascii="Times New Roman" w:hAnsi="Times New Roman" w:cs="Times New Roman" w:hint="default"/>
                <w:snapToGrid w:val="0"/>
                <w:color w:val="auto"/>
                <w:kern w:val="0"/>
                <w:vertAlign w:val="subscript"/>
              </w:rPr>
              <w:t>n</w:t>
            </w:r>
            <w:r>
              <w:rPr>
                <w:rFonts w:ascii="Times New Roman" w:hAnsi="Times New Roman" w:cs="Times New Roman" w:hint="default"/>
                <w:snapToGrid w:val="0"/>
                <w:color w:val="auto"/>
                <w:kern w:val="0"/>
              </w:rPr>
              <w:t>H</w:t>
            </w:r>
            <w:r>
              <w:rPr>
                <w:rFonts w:ascii="Times New Roman" w:hAnsi="Times New Roman" w:cs="Times New Roman" w:hint="default"/>
                <w:snapToGrid w:val="0"/>
                <w:color w:val="auto"/>
                <w:kern w:val="0"/>
                <w:vertAlign w:val="subscript"/>
              </w:rPr>
              <w:t>m</w:t>
            </w:r>
            <w:r>
              <w:rPr>
                <w:rFonts w:ascii="Times New Roman" w:hAnsi="Times New Roman" w:cs="Times New Roman" w:hint="default"/>
                <w:snapToGrid w:val="0"/>
                <w:color w:val="auto"/>
                <w:kern w:val="0"/>
              </w:rPr>
              <w:t>：1.</w:t>
            </w:r>
            <w:r>
              <w:rPr>
                <w:rFonts w:ascii="Times New Roman" w:hAnsi="Times New Roman" w:cs="Times New Roman" w:hint="default"/>
                <w:snapToGrid w:val="0"/>
                <w:color w:val="auto"/>
                <w:kern w:val="0"/>
                <w:lang w:val="en-US" w:eastAsia="zh-CN"/>
              </w:rPr>
              <w:t>776</w:t>
            </w:r>
            <w:r>
              <w:rPr>
                <w:rFonts w:ascii="Times New Roman" w:hAnsi="Times New Roman" w:cs="Times New Roman" w:hint="default"/>
                <w:snapToGrid w:val="0"/>
                <w:color w:val="auto"/>
                <w:kern w:val="0"/>
              </w:rPr>
              <w:t>t/a、NOx：</w:t>
            </w:r>
            <w:r>
              <w:rPr>
                <w:rFonts w:ascii="Times New Roman" w:hAnsi="Times New Roman" w:cs="Times New Roman" w:hint="default"/>
                <w:snapToGrid w:val="0"/>
                <w:color w:val="auto"/>
                <w:kern w:val="0"/>
                <w:lang w:val="en-US" w:eastAsia="zh-CN"/>
              </w:rPr>
              <w:t>17.76</w:t>
            </w:r>
            <w:r>
              <w:rPr>
                <w:rFonts w:ascii="Times New Roman" w:hAnsi="Times New Roman" w:cs="Times New Roman" w:hint="default"/>
                <w:snapToGrid w:val="0"/>
                <w:color w:val="auto"/>
                <w:kern w:val="0"/>
              </w:rPr>
              <w:t>t/a、SO</w:t>
            </w:r>
            <w:r>
              <w:rPr>
                <w:rFonts w:ascii="Times New Roman" w:hAnsi="Times New Roman" w:cs="Times New Roman" w:hint="default"/>
                <w:snapToGrid w:val="0"/>
                <w:color w:val="auto"/>
                <w:kern w:val="0"/>
                <w:vertAlign w:val="subscript"/>
              </w:rPr>
              <w:t>2</w:t>
            </w:r>
            <w:r>
              <w:rPr>
                <w:rFonts w:ascii="Times New Roman" w:hAnsi="Times New Roman" w:cs="Times New Roman" w:hint="default"/>
                <w:snapToGrid w:val="0"/>
                <w:color w:val="auto"/>
                <w:kern w:val="0"/>
              </w:rPr>
              <w:t>：0.</w:t>
            </w:r>
            <w:r>
              <w:rPr>
                <w:rFonts w:ascii="Times New Roman" w:hAnsi="Times New Roman" w:cs="Times New Roman" w:hint="default"/>
                <w:snapToGrid w:val="0"/>
                <w:color w:val="auto"/>
                <w:kern w:val="0"/>
                <w:lang w:val="en-US" w:eastAsia="zh-CN"/>
              </w:rPr>
              <w:t>124</w:t>
            </w:r>
            <w:r>
              <w:rPr>
                <w:rFonts w:ascii="Times New Roman" w:hAnsi="Times New Roman" w:cs="Times New Roman" w:hint="default"/>
                <w:snapToGrid w:val="0"/>
                <w:color w:val="auto"/>
                <w:kern w:val="0"/>
              </w:rPr>
              <w:t>t/a。</w:t>
            </w:r>
          </w:p>
          <w:p>
            <w:pPr>
              <w:autoSpaceDE w:val="0"/>
              <w:autoSpaceDN w:val="0"/>
              <w:adjustRightInd w:val="0"/>
              <w:snapToGrid w:val="0"/>
              <w:spacing w:line="360" w:lineRule="auto"/>
              <w:ind w:firstLine="480" w:firstLineChars="200"/>
              <w:jc w:val="left"/>
              <w:rPr>
                <w:rFonts w:ascii="Times New Roman" w:eastAsia="宋体" w:hAnsi="Times New Roman" w:cs="Times New Roman" w:hint="default"/>
                <w:snapToGrid w:val="0"/>
                <w:color w:val="auto"/>
                <w:kern w:val="0"/>
              </w:rPr>
            </w:pPr>
            <w:r>
              <w:rPr>
                <w:rFonts w:ascii="Times New Roman" w:hAnsi="Times New Roman" w:cs="Times New Roman" w:hint="default"/>
                <w:color w:val="auto"/>
                <w:lang w:eastAsia="zh-CN"/>
              </w:rPr>
              <w:t>为减少项目内柴油设备燃柴油过程产生的燃油废气对周边大气环境的影响，建设单位应尽量优化调整生产计划，尽量避免同一时间内多台柴油设备同时启动运行，同时加强对员工的培训管理，作业完成时关闭各柴油设备，减少燃油废气的排放。</w:t>
            </w:r>
          </w:p>
          <w:p>
            <w:pPr>
              <w:autoSpaceDE w:val="0"/>
              <w:autoSpaceDN w:val="0"/>
              <w:adjustRightInd w:val="0"/>
              <w:snapToGrid w:val="0"/>
              <w:spacing w:line="360" w:lineRule="auto"/>
              <w:ind w:firstLine="480" w:firstLineChars="200"/>
              <w:jc w:val="left"/>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2）矿石堆场无组织废气</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本项目在正常生产时，开采出来的矿石先运至矿石堆场内进行堆放，再根据生产需要运至加工场进行加工，矿石在堆放过程中会产生少量扬尘。无组织排放粉尘主要来自临时矿石堆场的风蚀扬尘。风蚀扬尘主要是表面粒径较小的粉尘在外力作用下扬起，对大气环境造成污染。查阅相关资料，当砂石粒径小于6mm时，才易导致起尘，本项目采出的原矿粒径远大于6mm，因此项目临时对矿场起尘量较少，不进行定量计算，仅进行定性分析。建设单位应定期对临时对矿场进行洒水降尘，以减少其起尘量。</w:t>
            </w:r>
          </w:p>
          <w:p>
            <w:pPr>
              <w:autoSpaceDE w:val="0"/>
              <w:autoSpaceDN w:val="0"/>
              <w:adjustRightInd w:val="0"/>
              <w:snapToGrid w:val="0"/>
              <w:spacing w:line="360" w:lineRule="auto"/>
              <w:ind w:firstLine="480" w:firstLineChars="200"/>
              <w:jc w:val="left"/>
              <w:rPr>
                <w:rFonts w:ascii="Times New Roman" w:hAnsi="Times New Roman" w:cs="Times New Roman" w:hint="default"/>
                <w:b/>
                <w:bCs/>
                <w:snapToGrid w:val="0"/>
                <w:color w:val="auto"/>
                <w:kern w:val="0"/>
              </w:rPr>
            </w:pPr>
            <w:r>
              <w:rPr>
                <w:rFonts w:ascii="Times New Roman" w:hAnsi="Times New Roman" w:cs="Times New Roman" w:hint="default"/>
                <w:b/>
                <w:bCs/>
                <w:snapToGrid w:val="0"/>
                <w:color w:val="auto"/>
                <w:kern w:val="0"/>
              </w:rPr>
              <w:t>3）临时排土场内大气污染源</w:t>
            </w:r>
          </w:p>
          <w:p>
            <w:pPr>
              <w:autoSpaceDE w:val="0"/>
              <w:autoSpaceDN w:val="0"/>
              <w:adjustRightInd w:val="0"/>
              <w:snapToGrid w:val="0"/>
              <w:spacing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临时排土场内的大气污染源主要是堆土场表土在大风条件下的风蚀扬尘，根据矿区特点，项目堆土场位于矿区东南侧、破碎加工场的北侧，最低堆积标高为+66m，最高堆积标高为+70m，最终边坡角为35</w:t>
            </w:r>
            <w:r>
              <w:rPr>
                <w:rFonts w:ascii="Times New Roman" w:hAnsi="Times New Roman" w:cs="Times New Roman" w:hint="default"/>
                <w:snapToGrid w:val="0"/>
                <w:color w:val="auto"/>
                <w:kern w:val="0"/>
              </w:rPr>
              <w:t>°</w:t>
            </w:r>
            <w:r>
              <w:rPr>
                <w:rFonts w:ascii="Times New Roman" w:hAnsi="Times New Roman" w:cs="Times New Roman" w:hint="default"/>
                <w:snapToGrid w:val="0"/>
                <w:color w:val="auto"/>
                <w:kern w:val="0"/>
              </w:rPr>
              <w:t>。临时排土堆场占地面积约0.4万m</w:t>
            </w:r>
            <w:r>
              <w:rPr>
                <w:rFonts w:ascii="Times New Roman" w:hAnsi="Times New Roman" w:cs="Times New Roman" w:hint="default"/>
                <w:snapToGrid w:val="0"/>
                <w:color w:val="auto"/>
                <w:kern w:val="0"/>
                <w:vertAlign w:val="superscript"/>
              </w:rPr>
              <w:t>2</w:t>
            </w:r>
            <w:r>
              <w:rPr>
                <w:rFonts w:ascii="Times New Roman" w:hAnsi="Times New Roman" w:cs="Times New Roman" w:hint="default"/>
                <w:snapToGrid w:val="0"/>
                <w:color w:val="auto"/>
                <w:kern w:val="0"/>
              </w:rPr>
              <w:t>，总容积约1.6万m</w:t>
            </w:r>
            <w:r>
              <w:rPr>
                <w:rFonts w:ascii="Times New Roman" w:hAnsi="Times New Roman" w:cs="Times New Roman" w:hint="default"/>
                <w:snapToGrid w:val="0"/>
                <w:color w:val="auto"/>
                <w:kern w:val="0"/>
                <w:vertAlign w:val="superscript"/>
              </w:rPr>
              <w:t>3</w:t>
            </w:r>
            <w:r>
              <w:rPr>
                <w:rFonts w:ascii="Times New Roman" w:hAnsi="Times New Roman" w:cs="Times New Roman" w:hint="default"/>
                <w:snapToGrid w:val="0"/>
                <w:color w:val="auto"/>
                <w:kern w:val="0"/>
              </w:rPr>
              <w:t>。</w:t>
            </w:r>
          </w:p>
          <w:p>
            <w:pPr>
              <w:pStyle w:val="120"/>
              <w:rPr>
                <w:rFonts w:cs="Times New Roman" w:hint="default"/>
                <w:bCs/>
                <w:color w:val="auto"/>
              </w:rPr>
            </w:pPr>
            <w:r>
              <w:rPr>
                <w:rFonts w:ascii="Times New Roman" w:hAnsi="Times New Roman" w:cs="Times New Roman" w:hint="default"/>
                <w:snapToGrid w:val="0"/>
                <w:color w:val="auto"/>
                <w:kern w:val="0"/>
              </w:rPr>
              <w:t>根据项目开发利用方案，</w:t>
            </w:r>
            <w:r>
              <w:rPr>
                <w:rFonts w:ascii="Times New Roman" w:hAnsi="Times New Roman" w:cs="Times New Roman" w:hint="default"/>
                <w:bCs/>
                <w:color w:val="auto"/>
              </w:rPr>
              <w:t>剥离表土主要由基建期清理矿区表面覆盖土过程及工业场地建设过程产生，其中矿体覆盖层约0.4万m</w:t>
            </w:r>
            <w:r>
              <w:rPr>
                <w:rFonts w:ascii="Times New Roman" w:hAnsi="Times New Roman" w:cs="Times New Roman" w:hint="default"/>
                <w:bCs/>
                <w:color w:val="auto"/>
                <w:vertAlign w:val="superscript"/>
              </w:rPr>
              <w:t>3</w:t>
            </w:r>
            <w:r>
              <w:rPr>
                <w:rFonts w:ascii="Times New Roman" w:hAnsi="Times New Roman" w:cs="Times New Roman" w:hint="default"/>
                <w:bCs/>
                <w:color w:val="auto"/>
              </w:rPr>
              <w:t>，破碎站等工业场地建设需要剥离表土约0.8万m</w:t>
            </w:r>
            <w:r>
              <w:rPr>
                <w:rFonts w:ascii="Times New Roman" w:hAnsi="Times New Roman" w:cs="Times New Roman" w:hint="default"/>
                <w:bCs/>
                <w:color w:val="auto"/>
              </w:rPr>
              <w:t>³</w:t>
            </w:r>
            <w:r>
              <w:rPr>
                <w:rFonts w:ascii="Times New Roman" w:hAnsi="Times New Roman" w:cs="Times New Roman" w:hint="default"/>
                <w:bCs/>
                <w:color w:val="auto"/>
              </w:rPr>
              <w:t>，故基建期需要临时堆存表土量约1.2万m</w:t>
            </w:r>
            <w:r>
              <w:rPr>
                <w:rFonts w:ascii="Times New Roman" w:hAnsi="Times New Roman" w:cs="Times New Roman" w:hint="default"/>
                <w:bCs/>
                <w:color w:val="auto"/>
              </w:rPr>
              <w:t>³</w:t>
            </w:r>
            <w:r>
              <w:rPr>
                <w:rFonts w:ascii="Times New Roman" w:hAnsi="Times New Roman" w:cs="Times New Roman" w:hint="default"/>
                <w:bCs/>
                <w:color w:val="auto"/>
              </w:rPr>
              <w:t>。由于矿区夹石达到建筑用石料要求，因此拟对其进行综合利用，考虑两种矿石资源均衡生产，故开采过程基本无废土石产生。</w:t>
            </w:r>
          </w:p>
          <w:p>
            <w:pPr>
              <w:autoSpaceDE w:val="0"/>
              <w:autoSpaceDN w:val="0"/>
              <w:adjustRightInd w:val="0"/>
              <w:snapToGrid w:val="0"/>
              <w:spacing w:after="0"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snapToGrid w:val="0"/>
                <w:color w:val="auto"/>
                <w:kern w:val="0"/>
              </w:rPr>
              <w:t>拟建项目评价区域各季节风速变化不大，年平均风速为2.2 m/s。</w:t>
            </w:r>
            <w:r>
              <w:rPr>
                <w:rFonts w:ascii="Times New Roman" w:hAnsi="Times New Roman" w:cs="Times New Roman" w:hint="default"/>
                <w:color w:val="auto"/>
                <w:lang w:eastAsia="zh-CN"/>
              </w:rPr>
              <w:t>参考</w:t>
            </w:r>
            <w:r>
              <w:rPr>
                <w:rFonts w:ascii="Times New Roman" w:hAnsi="Times New Roman" w:cs="Times New Roman" w:hint="default"/>
                <w:color w:val="auto"/>
                <w:lang w:val="en-US" w:eastAsia="zh-CN"/>
              </w:rPr>
              <w:t>2020年7月</w:t>
            </w:r>
          </w:p>
        </w:tc>
      </w:tr>
    </w:tbl>
    <w:p>
      <w:pPr>
        <w:sectPr>
          <w:footerReference w:type="even" r:id="rId90"/>
          <w:footerReference w:type="default" r:id="rId91"/>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39"/>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autoSpaceDE w:val="0"/>
              <w:autoSpaceDN w:val="0"/>
              <w:adjustRightInd w:val="0"/>
              <w:snapToGrid w:val="0"/>
              <w:spacing w:before="0" w:line="360" w:lineRule="auto"/>
              <w:ind w:firstLine="480" w:firstLineChars="200"/>
              <w:jc w:val="left"/>
              <w:rPr>
                <w:rFonts w:ascii="Times New Roman" w:hAnsi="Times New Roman" w:cs="Times New Roman" w:hint="default"/>
                <w:snapToGrid w:val="0"/>
                <w:color w:val="auto"/>
                <w:kern w:val="0"/>
              </w:rPr>
            </w:pPr>
            <w:r>
              <w:rPr>
                <w:rFonts w:ascii="Times New Roman" w:hAnsi="Times New Roman" w:cs="Times New Roman" w:hint="default"/>
                <w:color w:val="auto"/>
                <w:lang w:eastAsia="zh-CN"/>
              </w:rPr>
              <w:t>阳江市生态环境局批复的《阳春市双滘镇蒲竹石英矿扩建项目》</w:t>
            </w:r>
            <w:r>
              <w:rPr>
                <w:rFonts w:ascii="Times New Roman" w:hAnsi="Times New Roman" w:cs="Times New Roman" w:hint="default"/>
                <w:color w:val="auto"/>
              </w:rPr>
              <w:t>，</w:t>
            </w:r>
            <w:r>
              <w:rPr>
                <w:rFonts w:ascii="Times New Roman" w:hAnsi="Times New Roman" w:cs="Times New Roman" w:hint="default"/>
                <w:snapToGrid w:val="0"/>
                <w:color w:val="auto"/>
                <w:kern w:val="0"/>
              </w:rPr>
              <w:t>自然含湿（含水率2%）时，粉尘年发生量约为堆土总量的0.0005%。项目堆土总量约8000t（容重按1.5t/m</w:t>
            </w:r>
            <w:r>
              <w:rPr>
                <w:rFonts w:ascii="Times New Roman" w:hAnsi="Times New Roman" w:cs="Times New Roman" w:hint="default"/>
                <w:snapToGrid w:val="0"/>
                <w:color w:val="auto"/>
                <w:kern w:val="0"/>
                <w:vertAlign w:val="superscript"/>
              </w:rPr>
              <w:t>3</w:t>
            </w:r>
            <w:r>
              <w:rPr>
                <w:rFonts w:ascii="Times New Roman" w:hAnsi="Times New Roman" w:cs="Times New Roman" w:hint="default"/>
                <w:snapToGrid w:val="0"/>
                <w:color w:val="auto"/>
                <w:kern w:val="0"/>
              </w:rPr>
              <w:t>计），则发尘量约0.04t/a。为减少临时排土场扬尘量，建设单位将在临时排土场堆土处覆盖防尘网，同时采取洒水抑尘措施，通过采用该措施，抑尘效果可达90%以上，则扬尘量为0.004t/a，排放速率为0.0005kg/h。</w:t>
            </w:r>
          </w:p>
          <w:p>
            <w:pPr>
              <w:autoSpaceDE w:val="0"/>
              <w:autoSpaceDN w:val="0"/>
              <w:adjustRightInd w:val="0"/>
              <w:snapToGrid w:val="0"/>
              <w:spacing w:line="360" w:lineRule="auto"/>
              <w:ind w:firstLine="480" w:firstLineChars="200"/>
              <w:jc w:val="left"/>
              <w:rPr>
                <w:rFonts w:ascii="Times New Roman" w:hAnsi="Times New Roman" w:cs="Times New Roman" w:hint="default"/>
                <w:color w:val="auto"/>
              </w:rPr>
            </w:pPr>
            <w:r>
              <w:rPr>
                <w:rFonts w:ascii="Times New Roman" w:hAnsi="Times New Roman" w:cs="Times New Roman" w:hint="default"/>
                <w:b/>
                <w:bCs/>
                <w:color w:val="auto"/>
                <w:szCs w:val="22"/>
              </w:rPr>
              <w:t>4）矿石加工大气污染源</w:t>
            </w:r>
          </w:p>
          <w:p>
            <w:pPr>
              <w:autoSpaceDE w:val="0"/>
              <w:autoSpaceDN w:val="0"/>
              <w:adjustRightInd w:val="0"/>
              <w:snapToGrid w:val="0"/>
              <w:spacing w:line="360" w:lineRule="auto"/>
              <w:ind w:firstLine="480" w:firstLineChars="200"/>
              <w:jc w:val="left"/>
              <w:rPr>
                <w:rFonts w:ascii="Times New Roman" w:hAnsi="Times New Roman" w:cs="Times New Roman" w:hint="default"/>
                <w:b/>
                <w:bCs/>
                <w:color w:val="auto"/>
                <w:szCs w:val="22"/>
              </w:rPr>
            </w:pPr>
            <w:r>
              <w:rPr>
                <w:rFonts w:ascii="Times New Roman" w:hAnsi="Times New Roman" w:cs="Times New Roman" w:hint="default"/>
                <w:b/>
                <w:bCs/>
                <w:color w:val="auto"/>
                <w:szCs w:val="22"/>
              </w:rPr>
              <w:t>①</w:t>
            </w:r>
            <w:r>
              <w:rPr>
                <w:rFonts w:ascii="Times New Roman" w:hAnsi="Times New Roman" w:cs="Times New Roman" w:hint="default"/>
                <w:b/>
                <w:bCs/>
                <w:color w:val="auto"/>
                <w:szCs w:val="22"/>
              </w:rPr>
              <w:t>卸料口粉尘</w:t>
            </w:r>
          </w:p>
          <w:p>
            <w:pPr>
              <w:autoSpaceDE w:val="0"/>
              <w:autoSpaceDN w:val="0"/>
              <w:adjustRightInd w:val="0"/>
              <w:snapToGrid w:val="0"/>
              <w:spacing w:line="360" w:lineRule="auto"/>
              <w:ind w:firstLine="480" w:firstLineChars="200"/>
              <w:jc w:val="left"/>
              <w:rPr>
                <w:rFonts w:ascii="Times New Roman" w:hAnsi="Times New Roman" w:cs="Times New Roman" w:hint="default"/>
                <w:color w:val="auto"/>
                <w:szCs w:val="22"/>
              </w:rPr>
            </w:pPr>
            <w:r>
              <w:rPr>
                <w:rFonts w:ascii="Times New Roman" w:hAnsi="Times New Roman" w:cs="Times New Roman" w:hint="default"/>
                <w:color w:val="auto"/>
                <w:szCs w:val="22"/>
              </w:rPr>
              <w:t>项目开采的矿石在输送带卸料口下落进入受料仓时会有一定量的粉尘产生。根据《工业污染源核算》（2007）粉尘产污系数为0.005kg/t，项目</w:t>
            </w:r>
            <w:r>
              <w:rPr>
                <w:rFonts w:ascii="Times New Roman" w:hAnsi="Times New Roman" w:cs="Times New Roman" w:hint="default"/>
                <w:color w:val="auto"/>
              </w:rPr>
              <w:t>熔剂用灰岩矿加工量为50万t/a，建筑用灰岩矿加工量为55万t/a，合计加工量105万t/a</w:t>
            </w:r>
            <w:r>
              <w:rPr>
                <w:rFonts w:ascii="Times New Roman" w:hAnsi="Times New Roman" w:cs="Times New Roman" w:hint="default"/>
                <w:color w:val="auto"/>
                <w:szCs w:val="22"/>
              </w:rPr>
              <w:t>，则粉尘产生量约5.25t/a，产生速率为2.344kg/h。建议建设单位在卸料口处安装喷雾洒水装置，减少扬尘产生量，粉尘去除效率按90%计，则经处理后粉尘排放量为0.525t/a，排放速率为0.234kg/h。</w:t>
            </w:r>
          </w:p>
          <w:p>
            <w:pPr>
              <w:spacing w:line="360" w:lineRule="auto"/>
              <w:ind w:firstLine="480" w:firstLineChars="200"/>
              <w:rPr>
                <w:rFonts w:ascii="Times New Roman" w:hAnsi="Times New Roman" w:cs="Times New Roman" w:hint="default"/>
                <w:b/>
                <w:bCs/>
                <w:color w:val="auto"/>
                <w:szCs w:val="22"/>
              </w:rPr>
            </w:pPr>
            <w:r>
              <w:rPr>
                <w:rFonts w:ascii="Times New Roman" w:hAnsi="Times New Roman" w:cs="Times New Roman" w:hint="default"/>
                <w:b/>
                <w:bCs/>
                <w:color w:val="auto"/>
                <w:szCs w:val="22"/>
              </w:rPr>
              <w:t>②</w:t>
            </w:r>
            <w:r>
              <w:rPr>
                <w:rFonts w:ascii="Times New Roman" w:hAnsi="Times New Roman" w:cs="Times New Roman" w:hint="default"/>
                <w:b/>
                <w:bCs/>
                <w:color w:val="auto"/>
                <w:szCs w:val="22"/>
              </w:rPr>
              <w:t>破碎、筛分粉尘</w:t>
            </w:r>
          </w:p>
          <w:p>
            <w:pPr>
              <w:spacing w:line="360" w:lineRule="auto"/>
              <w:ind w:firstLine="480" w:firstLineChars="200"/>
              <w:rPr>
                <w:rFonts w:ascii="Times New Roman" w:hAnsi="Times New Roman" w:cs="Times New Roman" w:hint="default"/>
                <w:color w:val="auto"/>
                <w:szCs w:val="22"/>
              </w:rPr>
            </w:pPr>
            <w:r>
              <w:rPr>
                <w:rFonts w:ascii="Times New Roman" w:hAnsi="Times New Roman" w:cs="Times New Roman" w:hint="default"/>
                <w:color w:val="auto"/>
                <w:szCs w:val="22"/>
              </w:rPr>
              <w:t>项目破碎和筛分工序有一定量的粉尘产生，为减少破碎和筛分过程粉尘排放量，建设单位在传送胶带、振筛机和破碎机上方拟设置水喷淋装置，矿石在胶带上先经水喷淋，减少运输过程起尘量。振筛和破碎过程一直有水流入生产设备内，产生的粉尘随喷淋废水带出，进入三级沉淀池内沉淀，粉尘逸散量极少，不会对周边大气环境造成影响。项目无组织粉尘排放情况详见下表。</w:t>
            </w:r>
          </w:p>
          <w:p>
            <w:pPr>
              <w:spacing w:line="360" w:lineRule="auto"/>
              <w:jc w:val="center"/>
              <w:rPr>
                <w:rFonts w:ascii="Times New Roman" w:hAnsi="Times New Roman" w:cs="Times New Roman" w:hint="default"/>
                <w:snapToGrid w:val="0"/>
                <w:color w:val="auto"/>
                <w:kern w:val="0"/>
                <w:sz w:val="21"/>
                <w:szCs w:val="18"/>
              </w:rPr>
            </w:pPr>
            <w:r>
              <w:rPr>
                <w:rFonts w:ascii="Times New Roman" w:hAnsi="Times New Roman" w:cs="Times New Roman" w:hint="default"/>
                <w:b/>
                <w:bCs/>
                <w:snapToGrid w:val="0"/>
                <w:color w:val="auto"/>
                <w:kern w:val="0"/>
                <w:sz w:val="21"/>
                <w:szCs w:val="18"/>
              </w:rPr>
              <w:t>表 5-</w:t>
            </w:r>
            <w:r>
              <w:rPr>
                <w:rFonts w:ascii="Times New Roman" w:hAnsi="Times New Roman" w:cs="Times New Roman" w:hint="default"/>
                <w:b/>
                <w:bCs/>
                <w:snapToGrid w:val="0"/>
                <w:color w:val="auto"/>
                <w:kern w:val="0"/>
                <w:sz w:val="21"/>
                <w:szCs w:val="18"/>
                <w:lang w:val="en-US" w:eastAsia="zh-CN"/>
              </w:rPr>
              <w:t>8</w:t>
            </w:r>
            <w:r>
              <w:rPr>
                <w:rFonts w:ascii="Times New Roman" w:hAnsi="Times New Roman" w:cs="Times New Roman" w:hint="default"/>
                <w:b/>
                <w:bCs/>
                <w:snapToGrid w:val="0"/>
                <w:color w:val="auto"/>
                <w:kern w:val="0"/>
                <w:sz w:val="21"/>
                <w:szCs w:val="18"/>
              </w:rPr>
              <w:t xml:space="preserve">   项目无组织粉尘产生及排放状况</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514"/>
              <w:gridCol w:w="794"/>
              <w:gridCol w:w="907"/>
              <w:gridCol w:w="860"/>
              <w:gridCol w:w="1033"/>
              <w:gridCol w:w="1279"/>
              <w:gridCol w:w="860"/>
              <w:gridCol w:w="1395"/>
              <w:gridCol w:w="1411"/>
            </w:tblGrid>
            <w:tr>
              <w:tblPrEx>
                <w:tblW w:w="0" w:type="auto"/>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c>
                <w:tcPr>
                  <w:tcW w:w="0" w:type="auto"/>
                  <w:gridSpan w:val="3"/>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污染源</w:t>
                  </w:r>
                </w:p>
              </w:tc>
              <w:tc>
                <w:tcPr>
                  <w:tcW w:w="0" w:type="auto"/>
                  <w:gridSpan w:val="2"/>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产生情况</w:t>
                  </w:r>
                </w:p>
              </w:tc>
              <w:tc>
                <w:tcPr>
                  <w:tcW w:w="0" w:type="auto"/>
                  <w:vMerge w:val="restart"/>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采取</w:t>
                  </w:r>
                </w:p>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措施</w:t>
                  </w:r>
                </w:p>
              </w:tc>
              <w:tc>
                <w:tcPr>
                  <w:tcW w:w="0" w:type="auto"/>
                  <w:gridSpan w:val="2"/>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排放情况</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无组织监控限值</w:t>
                  </w:r>
                </w:p>
              </w:tc>
            </w:tr>
            <w:tr>
              <w:tblPrEx>
                <w:tblW w:w="0" w:type="auto"/>
                <w:tblInd w:w="116" w:type="dxa"/>
                <w:tblCellMar>
                  <w:top w:w="0" w:type="dxa"/>
                  <w:left w:w="108" w:type="dxa"/>
                  <w:bottom w:w="0" w:type="dxa"/>
                  <w:right w:w="108" w:type="dxa"/>
                </w:tblCellMar>
                <w:tblLook w:val="0000"/>
              </w:tblPrEx>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序号</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污染源</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产生工序</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产生量</w:t>
                  </w:r>
                </w:p>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（t/a）</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产生速率</w:t>
                  </w:r>
                </w:p>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（kg/h）</w:t>
                  </w:r>
                </w:p>
              </w:tc>
              <w:tc>
                <w:tcPr>
                  <w:tcW w:w="0" w:type="auto"/>
                  <w:vMerge/>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排放量</w:t>
                  </w:r>
                </w:p>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（t/a）</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排放速率（kg/h）</w:t>
                  </w:r>
                </w:p>
              </w:tc>
              <w:tc>
                <w:tcPr>
                  <w:tcW w:w="0" w:type="auto"/>
                  <w:vAlign w:val="center"/>
                </w:tcPr>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浓度</w:t>
                  </w:r>
                </w:p>
                <w:p>
                  <w:pPr>
                    <w:autoSpaceDE w:val="0"/>
                    <w:autoSpaceDN w:val="0"/>
                    <w:adjustRightInd w:val="0"/>
                    <w:snapToGrid w:val="0"/>
                    <w:jc w:val="center"/>
                    <w:rPr>
                      <w:rFonts w:ascii="Times New Roman" w:hAnsi="Times New Roman" w:cs="Times New Roman" w:hint="default"/>
                      <w:b/>
                      <w:bCs/>
                      <w:snapToGrid w:val="0"/>
                      <w:color w:val="auto"/>
                      <w:kern w:val="0"/>
                      <w:sz w:val="21"/>
                      <w:szCs w:val="21"/>
                    </w:rPr>
                  </w:pPr>
                  <w:r>
                    <w:rPr>
                      <w:rFonts w:ascii="Times New Roman" w:hAnsi="Times New Roman" w:cs="Times New Roman" w:hint="default"/>
                      <w:b/>
                      <w:bCs/>
                      <w:snapToGrid w:val="0"/>
                      <w:color w:val="auto"/>
                      <w:kern w:val="0"/>
                      <w:sz w:val="21"/>
                      <w:szCs w:val="21"/>
                    </w:rPr>
                    <w:t>（mg/m</w:t>
                  </w:r>
                  <w:r>
                    <w:rPr>
                      <w:rFonts w:ascii="Times New Roman" w:hAnsi="Times New Roman" w:cs="Times New Roman" w:hint="default"/>
                      <w:b/>
                      <w:bCs/>
                      <w:snapToGrid w:val="0"/>
                      <w:color w:val="auto"/>
                      <w:kern w:val="0"/>
                      <w:sz w:val="21"/>
                      <w:szCs w:val="21"/>
                    </w:rPr>
                    <w:t>³</w:t>
                  </w:r>
                  <w:r>
                    <w:rPr>
                      <w:rFonts w:ascii="Times New Roman" w:hAnsi="Times New Roman" w:cs="Times New Roman" w:hint="default"/>
                      <w:b/>
                      <w:bCs/>
                      <w:snapToGrid w:val="0"/>
                      <w:color w:val="auto"/>
                      <w:kern w:val="0"/>
                      <w:sz w:val="21"/>
                      <w:szCs w:val="21"/>
                    </w:rPr>
                    <w:t>）</w:t>
                  </w:r>
                </w:p>
              </w:tc>
            </w:tr>
            <w:tr>
              <w:tblPrEx>
                <w:tblW w:w="0" w:type="auto"/>
                <w:tblInd w:w="116" w:type="dxa"/>
                <w:tblCellMar>
                  <w:top w:w="0" w:type="dxa"/>
                  <w:left w:w="108" w:type="dxa"/>
                  <w:bottom w:w="0" w:type="dxa"/>
                  <w:right w:w="108" w:type="dxa"/>
                </w:tblCellMar>
                <w:tblLook w:val="0000"/>
              </w:tblPrEx>
              <w:trPr>
                <w:trHeight w:val="376"/>
              </w:trPr>
              <w:tc>
                <w:tcPr>
                  <w:tcW w:w="0" w:type="auto"/>
                  <w:vMerge w:val="restart"/>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1</w:t>
                  </w:r>
                </w:p>
              </w:tc>
              <w:tc>
                <w:tcPr>
                  <w:tcW w:w="0" w:type="auto"/>
                  <w:vMerge w:val="restart"/>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露天采矿区</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钻孔、爆破</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4.200</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1.875</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洒水</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0.840</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0.375</w:t>
                  </w:r>
                </w:p>
              </w:tc>
              <w:tc>
                <w:tcPr>
                  <w:tcW w:w="0" w:type="auto"/>
                  <w:vMerge w:val="restart"/>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1.0</w:t>
                  </w:r>
                </w:p>
              </w:tc>
            </w:tr>
            <w:tr>
              <w:tblPrEx>
                <w:tblW w:w="0" w:type="auto"/>
                <w:tblInd w:w="116" w:type="dxa"/>
                <w:tblCellMar>
                  <w:top w:w="0" w:type="dxa"/>
                  <w:left w:w="108" w:type="dxa"/>
                  <w:bottom w:w="0" w:type="dxa"/>
                  <w:right w:w="108" w:type="dxa"/>
                </w:tblCellMar>
                <w:tblLook w:val="0000"/>
              </w:tblPrEx>
              <w:trPr>
                <w:trHeight w:val="344"/>
              </w:trPr>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矿石装卸</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3.546</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1.583</w:t>
                  </w:r>
                </w:p>
              </w:tc>
              <w:tc>
                <w:tcPr>
                  <w:tcW w:w="0" w:type="auto"/>
                  <w:vMerge w:val="restart"/>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场地及道路定时洒水</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0.709</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0.317</w:t>
                  </w: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r>
            <w:tr>
              <w:tblPrEx>
                <w:tblW w:w="0" w:type="auto"/>
                <w:tblInd w:w="116" w:type="dxa"/>
                <w:tblCellMar>
                  <w:top w:w="0" w:type="dxa"/>
                  <w:left w:w="108" w:type="dxa"/>
                  <w:bottom w:w="0" w:type="dxa"/>
                  <w:right w:w="108" w:type="dxa"/>
                </w:tblCellMar>
                <w:tblLook w:val="0000"/>
              </w:tblPrEx>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道路运输</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7.175</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3.20</w:t>
                  </w: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0.718</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0.321</w:t>
                  </w: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r>
            <w:tr>
              <w:tblPrEx>
                <w:tblW w:w="0" w:type="auto"/>
                <w:tblInd w:w="116" w:type="dxa"/>
                <w:tblCellMar>
                  <w:top w:w="0" w:type="dxa"/>
                  <w:left w:w="108" w:type="dxa"/>
                  <w:bottom w:w="0" w:type="dxa"/>
                  <w:right w:w="108" w:type="dxa"/>
                </w:tblCellMar>
                <w:tblLook w:val="0000"/>
              </w:tblPrEx>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2</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临时排土场</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堆场扬尘</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0.040</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0.018</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表面压实、洒水</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0.004</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0.001</w:t>
                  </w: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r>
            <w:tr>
              <w:tblPrEx>
                <w:tblW w:w="0" w:type="auto"/>
                <w:tblInd w:w="116" w:type="dxa"/>
                <w:tblCellMar>
                  <w:top w:w="0" w:type="dxa"/>
                  <w:left w:w="108" w:type="dxa"/>
                  <w:bottom w:w="0" w:type="dxa"/>
                  <w:right w:w="108" w:type="dxa"/>
                </w:tblCellMar>
                <w:tblLook w:val="0000"/>
              </w:tblPrEx>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3</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加工场</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卸料</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5.250</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2.344</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喷雾洒水</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0.525</w:t>
                  </w:r>
                </w:p>
              </w:tc>
              <w:tc>
                <w:tcPr>
                  <w:tcW w:w="0" w:type="auto"/>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r>
                    <w:rPr>
                      <w:rFonts w:ascii="Times New Roman" w:hAnsi="Times New Roman" w:cs="Times New Roman" w:hint="default"/>
                      <w:snapToGrid w:val="0"/>
                      <w:color w:val="auto"/>
                      <w:kern w:val="0"/>
                      <w:sz w:val="21"/>
                      <w:szCs w:val="21"/>
                    </w:rPr>
                    <w:t>0.234</w:t>
                  </w:r>
                </w:p>
              </w:tc>
              <w:tc>
                <w:tcPr>
                  <w:tcW w:w="0" w:type="auto"/>
                  <w:vMerge/>
                  <w:vAlign w:val="center"/>
                </w:tcPr>
                <w:p>
                  <w:pPr>
                    <w:autoSpaceDE w:val="0"/>
                    <w:autoSpaceDN w:val="0"/>
                    <w:adjustRightInd w:val="0"/>
                    <w:snapToGrid w:val="0"/>
                    <w:jc w:val="center"/>
                    <w:rPr>
                      <w:rFonts w:ascii="Times New Roman" w:hAnsi="Times New Roman" w:cs="Times New Roman" w:hint="default"/>
                      <w:snapToGrid w:val="0"/>
                      <w:color w:val="auto"/>
                      <w:kern w:val="0"/>
                      <w:sz w:val="21"/>
                      <w:szCs w:val="21"/>
                    </w:rPr>
                  </w:pPr>
                </w:p>
              </w:tc>
            </w:tr>
          </w:tbl>
          <w:p>
            <w:pPr>
              <w:numPr>
                <w:ilvl w:val="0"/>
                <w:numId w:val="19"/>
              </w:numPr>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食堂油烟</w:t>
            </w:r>
          </w:p>
          <w:p>
            <w:pPr>
              <w:spacing w:after="0" w:line="360" w:lineRule="auto"/>
              <w:ind w:firstLine="480" w:firstLineChars="200"/>
              <w:rPr>
                <w:rFonts w:ascii="Times New Roman" w:hAnsi="Times New Roman" w:cs="Times New Roman" w:hint="default"/>
                <w:color w:val="auto"/>
                <w:szCs w:val="22"/>
              </w:rPr>
            </w:pPr>
          </w:p>
        </w:tc>
      </w:tr>
    </w:tbl>
    <w:p>
      <w:pPr>
        <w:sectPr>
          <w:footerReference w:type="even" r:id="rId92"/>
          <w:footerReference w:type="default" r:id="rId93"/>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40"/>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spacing w:before="0" w:line="360" w:lineRule="auto"/>
              <w:ind w:firstLine="480" w:firstLineChars="200"/>
              <w:rPr>
                <w:rFonts w:ascii="Times New Roman" w:hAnsi="Times New Roman" w:cs="Times New Roman" w:hint="default"/>
                <w:color w:val="auto"/>
                <w:szCs w:val="22"/>
              </w:rPr>
            </w:pPr>
            <w:r>
              <w:rPr>
                <w:rFonts w:ascii="Times New Roman" w:hAnsi="Times New Roman" w:cs="Times New Roman" w:hint="default"/>
                <w:color w:val="auto"/>
                <w:szCs w:val="22"/>
              </w:rPr>
              <w:t>项目内设有员工食堂，每天为70名员工提供两餐，根据建设单位提供的资料，厨房设有基准炉头2个，炉头按产生油烟为2000m</w:t>
            </w:r>
            <w:r>
              <w:rPr>
                <w:rFonts w:ascii="Times New Roman" w:hAnsi="Times New Roman" w:cs="Times New Roman" w:hint="default"/>
                <w:color w:val="auto"/>
                <w:szCs w:val="22"/>
                <w:vertAlign w:val="superscript"/>
              </w:rPr>
              <w:t>3</w:t>
            </w:r>
            <w:r>
              <w:rPr>
                <w:rFonts w:ascii="Times New Roman" w:hAnsi="Times New Roman" w:cs="Times New Roman" w:hint="default"/>
                <w:color w:val="auto"/>
                <w:szCs w:val="22"/>
              </w:rPr>
              <w:t>/h，每天使用3小时计，则项目厨房油烟废气产生量为12000m</w:t>
            </w:r>
            <w:r>
              <w:rPr>
                <w:rFonts w:ascii="Times New Roman" w:hAnsi="Times New Roman" w:cs="Times New Roman" w:hint="default"/>
                <w:color w:val="auto"/>
                <w:szCs w:val="22"/>
                <w:vertAlign w:val="superscript"/>
              </w:rPr>
              <w:t>3</w:t>
            </w:r>
            <w:r>
              <w:rPr>
                <w:rFonts w:ascii="Times New Roman" w:hAnsi="Times New Roman" w:cs="Times New Roman" w:hint="default"/>
                <w:color w:val="auto"/>
                <w:szCs w:val="22"/>
              </w:rPr>
              <w:t>/d，324万m</w:t>
            </w:r>
            <w:r>
              <w:rPr>
                <w:rFonts w:ascii="Times New Roman" w:hAnsi="Times New Roman" w:cs="Times New Roman" w:hint="default"/>
                <w:color w:val="auto"/>
                <w:szCs w:val="22"/>
                <w:vertAlign w:val="superscript"/>
              </w:rPr>
              <w:t>3</w:t>
            </w:r>
            <w:r>
              <w:rPr>
                <w:rFonts w:ascii="Times New Roman" w:hAnsi="Times New Roman" w:cs="Times New Roman" w:hint="default"/>
                <w:color w:val="auto"/>
                <w:szCs w:val="22"/>
              </w:rPr>
              <w:t>/a。按处理前油烟浓度12mg/m</w:t>
            </w:r>
            <w:r>
              <w:rPr>
                <w:rFonts w:ascii="Times New Roman" w:hAnsi="Times New Roman" w:cs="Times New Roman" w:hint="default"/>
                <w:color w:val="auto"/>
                <w:szCs w:val="22"/>
                <w:vertAlign w:val="superscript"/>
              </w:rPr>
              <w:t>3</w:t>
            </w:r>
            <w:r>
              <w:rPr>
                <w:rFonts w:ascii="Times New Roman" w:hAnsi="Times New Roman" w:cs="Times New Roman" w:hint="default"/>
                <w:color w:val="auto"/>
                <w:szCs w:val="22"/>
              </w:rPr>
              <w:t>计，则油烟的产生量为0.038t/a，若不经治理直接排放会对周围环境产生一定影响。</w:t>
            </w:r>
          </w:p>
          <w:p>
            <w:pPr>
              <w:spacing w:line="360" w:lineRule="auto"/>
              <w:ind w:firstLine="480" w:firstLineChars="200"/>
              <w:rPr>
                <w:rFonts w:ascii="Times New Roman" w:hAnsi="Times New Roman" w:cs="Times New Roman" w:hint="default"/>
                <w:color w:val="auto"/>
                <w:szCs w:val="22"/>
              </w:rPr>
            </w:pPr>
            <w:r>
              <w:rPr>
                <w:rFonts w:ascii="Times New Roman" w:hAnsi="Times New Roman" w:cs="Times New Roman" w:hint="default"/>
                <w:color w:val="auto"/>
                <w:szCs w:val="22"/>
              </w:rPr>
              <w:t>依据《饮食业环境保护技术规范》（HJ554-2010）、《饮食业油烟排放标准（试行）》（GB18483-2001），建议厨房内安装静电油烟净化器，油烟经处理后通过专用烟道排放。参考同类工程经验，静电油烟净化器处理效率按90%计，油烟净化器处理后，油烟的排放浓度为1.11mg/m</w:t>
            </w:r>
            <w:r>
              <w:rPr>
                <w:rFonts w:ascii="Times New Roman" w:hAnsi="Times New Roman" w:cs="Times New Roman" w:hint="default"/>
                <w:color w:val="auto"/>
                <w:szCs w:val="22"/>
                <w:vertAlign w:val="superscript"/>
              </w:rPr>
              <w:t>3</w:t>
            </w:r>
            <w:r>
              <w:rPr>
                <w:rFonts w:ascii="Times New Roman" w:hAnsi="Times New Roman" w:cs="Times New Roman" w:hint="default"/>
                <w:color w:val="auto"/>
                <w:szCs w:val="22"/>
              </w:rPr>
              <w:t>，油烟排放量为0.004t/a，其具体产排情况见表5-</w:t>
            </w:r>
            <w:r>
              <w:rPr>
                <w:rFonts w:ascii="Times New Roman" w:hAnsi="Times New Roman" w:cs="Times New Roman" w:hint="default"/>
                <w:color w:val="auto"/>
                <w:szCs w:val="22"/>
                <w:lang w:val="en-US" w:eastAsia="zh-CN"/>
              </w:rPr>
              <w:t>9</w:t>
            </w:r>
            <w:r>
              <w:rPr>
                <w:rFonts w:ascii="Times New Roman" w:hAnsi="Times New Roman" w:cs="Times New Roman" w:hint="default"/>
                <w:color w:val="auto"/>
                <w:szCs w:val="22"/>
              </w:rPr>
              <w:t>。</w:t>
            </w:r>
          </w:p>
          <w:p>
            <w:pPr>
              <w:pStyle w:val="a13"/>
              <w:spacing w:line="360" w:lineRule="auto"/>
              <w:rPr>
                <w:rFonts w:cs="Times New Roman" w:hint="default"/>
                <w:color w:val="auto"/>
                <w:sz w:val="21"/>
                <w:szCs w:val="21"/>
              </w:rPr>
            </w:pPr>
            <w:r>
              <w:rPr>
                <w:rFonts w:ascii="Times New Roman" w:hAnsi="Times New Roman" w:cs="Times New Roman" w:hint="default"/>
                <w:color w:val="auto"/>
                <w:sz w:val="21"/>
                <w:szCs w:val="21"/>
              </w:rPr>
              <w:t>表5-</w:t>
            </w:r>
            <w:r>
              <w:rPr>
                <w:rFonts w:ascii="Times New Roman" w:hAnsi="Times New Roman" w:cs="Times New Roman" w:hint="default"/>
                <w:color w:val="auto"/>
                <w:sz w:val="21"/>
                <w:szCs w:val="21"/>
                <w:lang w:val="en-US" w:eastAsia="zh-CN"/>
              </w:rPr>
              <w:t>9</w:t>
            </w:r>
            <w:r>
              <w:rPr>
                <w:rFonts w:ascii="Times New Roman" w:hAnsi="Times New Roman" w:cs="Times New Roman" w:hint="default"/>
                <w:color w:val="auto"/>
                <w:sz w:val="21"/>
                <w:szCs w:val="21"/>
              </w:rPr>
              <w:t xml:space="preserve">  项目厨房油烟产排情况一览表</w:t>
            </w:r>
          </w:p>
          <w:tbl>
            <w:tblPr>
              <w:tblStyle w:val="TableNormal"/>
              <w:tblW w:w="5000" w:type="pct"/>
              <w:jc w:val="center"/>
              <w:tblInd w:w="115"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1245"/>
              <w:gridCol w:w="1320"/>
              <w:gridCol w:w="1320"/>
              <w:gridCol w:w="1320"/>
              <w:gridCol w:w="1321"/>
              <w:gridCol w:w="1321"/>
              <w:gridCol w:w="1323"/>
            </w:tblGrid>
            <w:tr>
              <w:tblPrEx>
                <w:tblW w:w="5000" w:type="pct"/>
                <w:jc w:val="center"/>
                <w:tblInd w:w="115"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679"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项目</w:t>
                  </w:r>
                </w:p>
              </w:tc>
              <w:tc>
                <w:tcPr>
                  <w:tcW w:w="720"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废气产生量（万m</w:t>
                  </w:r>
                  <w:r>
                    <w:rPr>
                      <w:rFonts w:ascii="Times New Roman" w:hAnsi="Times New Roman" w:cs="Times New Roman" w:hint="default"/>
                      <w:b/>
                      <w:bCs/>
                      <w:color w:val="auto"/>
                      <w:sz w:val="21"/>
                      <w:szCs w:val="21"/>
                      <w:vertAlign w:val="superscript"/>
                    </w:rPr>
                    <w:t>3</w:t>
                  </w:r>
                  <w:r>
                    <w:rPr>
                      <w:rFonts w:ascii="Times New Roman" w:hAnsi="Times New Roman" w:cs="Times New Roman" w:hint="default"/>
                      <w:b/>
                      <w:bCs/>
                      <w:color w:val="auto"/>
                      <w:sz w:val="21"/>
                      <w:szCs w:val="21"/>
                    </w:rPr>
                    <w:t>/a）</w:t>
                  </w:r>
                </w:p>
              </w:tc>
              <w:tc>
                <w:tcPr>
                  <w:tcW w:w="720"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产生浓度</w:t>
                  </w:r>
                </w:p>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（mg/m</w:t>
                  </w:r>
                  <w:r>
                    <w:rPr>
                      <w:rFonts w:ascii="Times New Roman" w:hAnsi="Times New Roman" w:cs="Times New Roman" w:hint="default"/>
                      <w:b/>
                      <w:bCs/>
                      <w:color w:val="auto"/>
                      <w:sz w:val="21"/>
                      <w:szCs w:val="21"/>
                      <w:vertAlign w:val="superscript"/>
                    </w:rPr>
                    <w:t>3</w:t>
                  </w:r>
                  <w:r>
                    <w:rPr>
                      <w:rFonts w:ascii="Times New Roman" w:hAnsi="Times New Roman" w:cs="Times New Roman" w:hint="default"/>
                      <w:b/>
                      <w:bCs/>
                      <w:color w:val="auto"/>
                      <w:sz w:val="21"/>
                      <w:szCs w:val="21"/>
                    </w:rPr>
                    <w:t>）</w:t>
                  </w:r>
                </w:p>
              </w:tc>
              <w:tc>
                <w:tcPr>
                  <w:tcW w:w="720"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油烟产生量（t/a）</w:t>
                  </w:r>
                </w:p>
              </w:tc>
              <w:tc>
                <w:tcPr>
                  <w:tcW w:w="720"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排放浓度</w:t>
                  </w:r>
                </w:p>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（mg/m</w:t>
                  </w:r>
                  <w:r>
                    <w:rPr>
                      <w:rFonts w:ascii="Times New Roman" w:hAnsi="Times New Roman" w:cs="Times New Roman" w:hint="default"/>
                      <w:b/>
                      <w:bCs/>
                      <w:color w:val="auto"/>
                      <w:sz w:val="21"/>
                      <w:szCs w:val="21"/>
                      <w:vertAlign w:val="superscript"/>
                    </w:rPr>
                    <w:t>3</w:t>
                  </w:r>
                  <w:r>
                    <w:rPr>
                      <w:rFonts w:ascii="Times New Roman" w:hAnsi="Times New Roman" w:cs="Times New Roman" w:hint="default"/>
                      <w:b/>
                      <w:bCs/>
                      <w:color w:val="auto"/>
                      <w:sz w:val="21"/>
                      <w:szCs w:val="21"/>
                    </w:rPr>
                    <w:t>）</w:t>
                  </w:r>
                </w:p>
              </w:tc>
              <w:tc>
                <w:tcPr>
                  <w:tcW w:w="720"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油烟排放量（t/a）</w:t>
                  </w:r>
                </w:p>
              </w:tc>
              <w:tc>
                <w:tcPr>
                  <w:tcW w:w="721" w:type="pct"/>
                  <w:vAlign w:val="center"/>
                </w:tcPr>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处理效率</w:t>
                  </w:r>
                </w:p>
                <w:p>
                  <w:pPr>
                    <w:pStyle w:val="Default"/>
                    <w:jc w:val="center"/>
                    <w:rPr>
                      <w:rFonts w:ascii="Times New Roman" w:hAnsi="Times New Roman" w:cs="Times New Roman" w:hint="default"/>
                      <w:b/>
                      <w:bCs/>
                      <w:color w:val="auto"/>
                      <w:sz w:val="21"/>
                      <w:szCs w:val="21"/>
                    </w:rPr>
                  </w:pPr>
                  <w:r>
                    <w:rPr>
                      <w:rFonts w:ascii="Times New Roman" w:hAnsi="Times New Roman" w:cs="Times New Roman" w:hint="default"/>
                      <w:b/>
                      <w:bCs/>
                      <w:color w:val="auto"/>
                      <w:sz w:val="21"/>
                      <w:szCs w:val="21"/>
                    </w:rPr>
                    <w:t>（%）</w:t>
                  </w:r>
                </w:p>
              </w:tc>
            </w:tr>
            <w:tr>
              <w:tblPrEx>
                <w:tblW w:w="5000" w:type="pct"/>
                <w:jc w:val="center"/>
                <w:tblInd w:w="115" w:type="dxa"/>
                <w:tblCellMar>
                  <w:top w:w="0" w:type="dxa"/>
                  <w:left w:w="108" w:type="dxa"/>
                  <w:bottom w:w="0" w:type="dxa"/>
                  <w:right w:w="108" w:type="dxa"/>
                </w:tblCellMar>
                <w:tblLook w:val="0000"/>
              </w:tblPrEx>
              <w:trPr>
                <w:jc w:val="center"/>
              </w:trPr>
              <w:tc>
                <w:tcPr>
                  <w:tcW w:w="679"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厨房油烟</w:t>
                  </w:r>
                </w:p>
              </w:tc>
              <w:tc>
                <w:tcPr>
                  <w:tcW w:w="720"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360</w:t>
                  </w:r>
                </w:p>
              </w:tc>
              <w:tc>
                <w:tcPr>
                  <w:tcW w:w="720"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12</w:t>
                  </w:r>
                </w:p>
              </w:tc>
              <w:tc>
                <w:tcPr>
                  <w:tcW w:w="720"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0.038</w:t>
                  </w:r>
                </w:p>
              </w:tc>
              <w:tc>
                <w:tcPr>
                  <w:tcW w:w="720"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1.11</w:t>
                  </w:r>
                </w:p>
              </w:tc>
              <w:tc>
                <w:tcPr>
                  <w:tcW w:w="720"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0.004</w:t>
                  </w:r>
                </w:p>
              </w:tc>
              <w:tc>
                <w:tcPr>
                  <w:tcW w:w="721"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82</w:t>
                  </w:r>
                </w:p>
              </w:tc>
            </w:tr>
          </w:tbl>
          <w:p>
            <w:pPr>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（3）噪声</w:t>
            </w:r>
            <w:r>
              <w:rPr>
                <w:rFonts w:ascii="Times New Roman" w:hAnsi="Times New Roman" w:cs="Times New Roman" w:hint="default"/>
                <w:b/>
                <w:color w:val="auto"/>
                <w:szCs w:val="24"/>
                <w:lang w:eastAsia="zh-CN"/>
              </w:rPr>
              <w:t>和振动</w:t>
            </w:r>
            <w:r>
              <w:rPr>
                <w:rFonts w:ascii="Times New Roman" w:hAnsi="Times New Roman" w:cs="Times New Roman" w:hint="default"/>
                <w:b/>
                <w:color w:val="auto"/>
                <w:szCs w:val="24"/>
              </w:rPr>
              <w:t>污染源</w:t>
            </w:r>
          </w:p>
          <w:p>
            <w:pPr>
              <w:pStyle w:val="120"/>
              <w:rPr>
                <w:rFonts w:cs="Times New Roman" w:hint="default"/>
                <w:b/>
                <w:bCs/>
                <w:color w:val="auto"/>
                <w:lang w:val="en-US" w:eastAsia="zh-CN"/>
              </w:rPr>
            </w:pPr>
            <w:r>
              <w:rPr>
                <w:rFonts w:ascii="Times New Roman" w:hAnsi="Times New Roman" w:cs="Times New Roman" w:hint="default"/>
                <w:b/>
                <w:bCs/>
                <w:color w:val="auto"/>
                <w:lang w:val="en-US" w:eastAsia="zh-CN"/>
              </w:rPr>
              <w:t>1）噪声污染源</w:t>
            </w:r>
          </w:p>
          <w:p>
            <w:pPr>
              <w:pStyle w:val="120"/>
              <w:rPr>
                <w:rFonts w:eastAsia="宋体" w:cs="Times New Roman" w:hint="default"/>
                <w:color w:val="auto"/>
                <w:lang w:eastAsia="zh-CN"/>
              </w:rPr>
            </w:pPr>
            <w:r>
              <w:rPr>
                <w:rFonts w:ascii="Times New Roman" w:hAnsi="Times New Roman" w:cs="Times New Roman" w:hint="default"/>
                <w:color w:val="auto"/>
              </w:rPr>
              <w:t>项目噪声源主要为挖掘机、运输车、装载机、破碎机、振筛机等设备产生的连续噪声。参照 HJ2034-2013《环境噪声与振动控制工程技术导则》附录A</w:t>
            </w:r>
            <w:r>
              <w:rPr>
                <w:rFonts w:ascii="Times New Roman" w:hAnsi="Times New Roman" w:cs="Times New Roman" w:hint="default"/>
                <w:color w:val="auto"/>
              </w:rPr>
              <w:t>“</w:t>
            </w:r>
            <w:r>
              <w:rPr>
                <w:rFonts w:ascii="Times New Roman" w:hAnsi="Times New Roman" w:cs="Times New Roman" w:hint="default"/>
                <w:color w:val="auto"/>
              </w:rPr>
              <w:t>表A.1常见环境噪声污染源及其声功率级</w:t>
            </w:r>
            <w:r>
              <w:rPr>
                <w:rFonts w:ascii="Times New Roman" w:hAnsi="Times New Roman" w:cs="Times New Roman" w:hint="default"/>
                <w:color w:val="auto"/>
              </w:rPr>
              <w:t>”</w:t>
            </w:r>
            <w:r>
              <w:rPr>
                <w:rFonts w:ascii="Times New Roman" w:hAnsi="Times New Roman" w:cs="Times New Roman" w:hint="default"/>
                <w:color w:val="auto"/>
              </w:rPr>
              <w:t>，给出本项目主要产生噪声设备的噪声值，见表 5-1</w:t>
            </w:r>
            <w:r>
              <w:rPr>
                <w:rFonts w:ascii="Times New Roman" w:hAnsi="Times New Roman" w:cs="Times New Roman" w:hint="default"/>
                <w:color w:val="auto"/>
                <w:lang w:val="en-US" w:eastAsia="zh-CN"/>
              </w:rPr>
              <w:t>0</w:t>
            </w:r>
          </w:p>
          <w:p>
            <w:pPr>
              <w:pStyle w:val="22"/>
              <w:ind w:firstLine="0"/>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表5-1</w:t>
            </w:r>
            <w:r>
              <w:rPr>
                <w:rFonts w:ascii="Times New Roman" w:hAnsi="Times New Roman" w:cs="Times New Roman" w:hint="default"/>
                <w:color w:val="auto"/>
                <w:sz w:val="21"/>
                <w:szCs w:val="21"/>
                <w:lang w:val="en-US" w:eastAsia="zh-CN"/>
              </w:rPr>
              <w:t>0</w:t>
            </w:r>
            <w:r>
              <w:rPr>
                <w:rFonts w:ascii="Times New Roman" w:hAnsi="Times New Roman" w:cs="Times New Roman" w:hint="default"/>
                <w:color w:val="auto"/>
                <w:sz w:val="21"/>
                <w:szCs w:val="21"/>
              </w:rPr>
              <w:t xml:space="preserve"> 噪声污染源源强核算结果及相关参数一览表  </w:t>
            </w:r>
          </w:p>
          <w:tbl>
            <w:tblPr>
              <w:tblStyle w:val="TableNormal"/>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
            <w:tblGrid>
              <w:gridCol w:w="817"/>
              <w:gridCol w:w="822"/>
              <w:gridCol w:w="822"/>
              <w:gridCol w:w="822"/>
              <w:gridCol w:w="833"/>
              <w:gridCol w:w="822"/>
              <w:gridCol w:w="1290"/>
              <w:gridCol w:w="822"/>
              <w:gridCol w:w="1290"/>
              <w:gridCol w:w="826"/>
            </w:tblGrid>
            <w:tr>
              <w:tblPrEx>
                <w:tblW w:w="4998" w:type="pct"/>
                <w:tblInd w:w="116"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446" w:type="pct"/>
                  <w:vMerge w:val="restar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工序/生产线</w:t>
                  </w:r>
                </w:p>
              </w:tc>
              <w:tc>
                <w:tcPr>
                  <w:tcW w:w="448" w:type="pct"/>
                  <w:vMerge w:val="restar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噪声源</w:t>
                  </w:r>
                </w:p>
              </w:tc>
              <w:tc>
                <w:tcPr>
                  <w:tcW w:w="448" w:type="pct"/>
                  <w:vMerge w:val="restar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声源类型</w:t>
                  </w:r>
                </w:p>
              </w:tc>
              <w:tc>
                <w:tcPr>
                  <w:tcW w:w="902" w:type="pct"/>
                  <w:gridSpan w:val="2"/>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噪声源强</w:t>
                  </w:r>
                </w:p>
              </w:tc>
              <w:tc>
                <w:tcPr>
                  <w:tcW w:w="1151" w:type="pct"/>
                  <w:gridSpan w:val="2"/>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降噪措施</w:t>
                  </w:r>
                </w:p>
              </w:tc>
              <w:tc>
                <w:tcPr>
                  <w:tcW w:w="1151" w:type="pct"/>
                  <w:gridSpan w:val="2"/>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噪声排放值</w:t>
                  </w:r>
                </w:p>
              </w:tc>
              <w:tc>
                <w:tcPr>
                  <w:tcW w:w="450" w:type="pct"/>
                  <w:vMerge w:val="restar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持续时间/h</w:t>
                  </w: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color w:val="auto"/>
                      <w:sz w:val="21"/>
                      <w:szCs w:val="21"/>
                    </w:rPr>
                  </w:pPr>
                </w:p>
              </w:tc>
              <w:tc>
                <w:tcPr>
                  <w:tcW w:w="448" w:type="pc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核算方法</w:t>
                  </w:r>
                </w:p>
              </w:tc>
              <w:tc>
                <w:tcPr>
                  <w:tcW w:w="454" w:type="pc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噪声值</w:t>
                  </w:r>
                </w:p>
              </w:tc>
              <w:tc>
                <w:tcPr>
                  <w:tcW w:w="448" w:type="pc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工艺</w:t>
                  </w:r>
                </w:p>
              </w:tc>
              <w:tc>
                <w:tcPr>
                  <w:tcW w:w="703" w:type="pc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降噪效果</w:t>
                  </w:r>
                </w:p>
              </w:tc>
              <w:tc>
                <w:tcPr>
                  <w:tcW w:w="448" w:type="pc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核算方法</w:t>
                  </w:r>
                </w:p>
              </w:tc>
              <w:tc>
                <w:tcPr>
                  <w:tcW w:w="703" w:type="pct"/>
                  <w:vAlign w:val="center"/>
                </w:tcPr>
                <w:p>
                  <w:pPr>
                    <w:pStyle w:val="Heading2"/>
                    <w:spacing w:before="0" w:after="0" w:line="240" w:lineRule="auto"/>
                    <w:jc w:val="center"/>
                    <w:rPr>
                      <w:rFonts w:ascii="Times New Roman" w:eastAsia="宋体" w:hAnsi="Times New Roman" w:cs="Times New Roman" w:hint="default"/>
                      <w:color w:val="auto"/>
                      <w:sz w:val="21"/>
                      <w:szCs w:val="21"/>
                    </w:rPr>
                  </w:pPr>
                  <w:r>
                    <w:rPr>
                      <w:rFonts w:ascii="Times New Roman" w:eastAsia="宋体" w:hAnsi="Times New Roman" w:cs="Times New Roman" w:hint="default"/>
                      <w:color w:val="auto"/>
                      <w:sz w:val="21"/>
                      <w:szCs w:val="21"/>
                    </w:rPr>
                    <w:t>噪声值</w:t>
                  </w:r>
                </w:p>
              </w:tc>
              <w:tc>
                <w:tcPr>
                  <w:tcW w:w="450" w:type="pct"/>
                  <w:vMerge/>
                  <w:vAlign w:val="center"/>
                </w:tcPr>
                <w:p>
                  <w:pPr>
                    <w:pStyle w:val="Heading2"/>
                    <w:spacing w:before="0" w:after="0" w:line="240" w:lineRule="auto"/>
                    <w:jc w:val="center"/>
                    <w:rPr>
                      <w:rFonts w:ascii="Times New Roman" w:eastAsia="宋体" w:hAnsi="Times New Roman" w:cs="Times New Roman" w:hint="default"/>
                      <w:color w:val="auto"/>
                      <w:sz w:val="21"/>
                      <w:szCs w:val="21"/>
                    </w:rPr>
                  </w:pPr>
                </w:p>
              </w:tc>
            </w:tr>
            <w:tr>
              <w:tblPrEx>
                <w:tblW w:w="4998" w:type="pct"/>
                <w:tblInd w:w="116" w:type="dxa"/>
                <w:tblCellMar>
                  <w:top w:w="0" w:type="dxa"/>
                  <w:left w:w="108" w:type="dxa"/>
                  <w:bottom w:w="0" w:type="dxa"/>
                  <w:right w:w="108" w:type="dxa"/>
                </w:tblCellMar>
                <w:tblLook w:val="0000"/>
              </w:tblPrEx>
              <w:trPr>
                <w:trHeight w:val="340"/>
              </w:trPr>
              <w:tc>
                <w:tcPr>
                  <w:tcW w:w="446"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开采区</w:t>
                  </w:r>
                </w:p>
              </w:tc>
              <w:tc>
                <w:tcPr>
                  <w:tcW w:w="448" w:type="pct"/>
                  <w:vAlign w:val="center"/>
                </w:tcPr>
                <w:p>
                  <w:pPr>
                    <w:widowControl/>
                    <w:jc w:val="center"/>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爆破噪声</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偶发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lang w:val="en-US" w:eastAsia="zh-CN"/>
                    </w:rPr>
                    <w:t>90</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lang w:val="en-US" w:eastAsia="zh-CN"/>
                    </w:rPr>
                    <w:t>/</w:t>
                  </w:r>
                </w:p>
              </w:tc>
              <w:tc>
                <w:tcPr>
                  <w:tcW w:w="703" w:type="pct"/>
                  <w:vMerge w:val="restart"/>
                  <w:vAlign w:val="center"/>
                </w:tcPr>
                <w:p>
                  <w:pPr>
                    <w:pStyle w:val="Heading2"/>
                    <w:spacing w:before="0" w:after="0" w:line="240" w:lineRule="auto"/>
                    <w:jc w:val="center"/>
                    <w:rPr>
                      <w:rFonts w:ascii="Times New Roman" w:eastAsia="宋体" w:hAnsi="Times New Roman" w:cs="Times New Roman" w:hint="default"/>
                      <w:b w:val="0"/>
                      <w:bCs w:val="0"/>
                      <w:color w:val="auto"/>
                      <w:sz w:val="21"/>
                      <w:szCs w:val="21"/>
                    </w:rPr>
                  </w:pPr>
                  <w:r>
                    <w:rPr>
                      <w:rFonts w:ascii="Times New Roman" w:eastAsia="宋体" w:hAnsi="Times New Roman" w:cs="Times New Roman" w:hint="default"/>
                      <w:b w:val="0"/>
                      <w:bCs w:val="0"/>
                      <w:color w:val="auto"/>
                      <w:sz w:val="21"/>
                      <w:szCs w:val="21"/>
                    </w:rPr>
                    <w:t>降低</w:t>
                  </w:r>
                  <w:r>
                    <w:rPr>
                      <w:rFonts w:ascii="Times New Roman" w:eastAsia="宋体" w:hAnsi="Times New Roman" w:cs="Times New Roman" w:hint="default"/>
                      <w:b w:val="0"/>
                      <w:bCs w:val="0"/>
                      <w:color w:val="auto"/>
                      <w:sz w:val="21"/>
                      <w:szCs w:val="21"/>
                      <w:lang w:val="en-US" w:eastAsia="zh-CN"/>
                    </w:rPr>
                    <w:t>1</w:t>
                  </w:r>
                  <w:r>
                    <w:rPr>
                      <w:rFonts w:ascii="Times New Roman" w:eastAsia="宋体" w:hAnsi="Times New Roman" w:cs="Times New Roman" w:hint="default"/>
                      <w:b w:val="0"/>
                      <w:bCs w:val="0"/>
                      <w:color w:val="auto"/>
                      <w:sz w:val="21"/>
                      <w:szCs w:val="21"/>
                    </w:rPr>
                    <w:t>5~</w:t>
                  </w:r>
                  <w:r>
                    <w:rPr>
                      <w:rFonts w:ascii="Times New Roman" w:eastAsia="宋体" w:hAnsi="Times New Roman" w:cs="Times New Roman" w:hint="default"/>
                      <w:b w:val="0"/>
                      <w:bCs w:val="0"/>
                      <w:color w:val="auto"/>
                      <w:sz w:val="21"/>
                      <w:szCs w:val="21"/>
                      <w:lang w:val="en-US" w:eastAsia="zh-CN"/>
                    </w:rPr>
                    <w:t>20</w:t>
                  </w:r>
                  <w:r>
                    <w:rPr>
                      <w:rFonts w:ascii="Times New Roman" w:eastAsia="宋体" w:hAnsi="Times New Roman" w:cs="Times New Roman" w:hint="default"/>
                      <w:b w:val="0"/>
                      <w:bCs w:val="0"/>
                      <w:color w:val="auto"/>
                      <w:sz w:val="21"/>
                      <w:szCs w:val="21"/>
                    </w:rPr>
                    <w:t>dB(A)</w:t>
                  </w:r>
                </w:p>
              </w:tc>
              <w:tc>
                <w:tcPr>
                  <w:tcW w:w="448"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703"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边界</w:t>
                  </w:r>
                  <w:r>
                    <w:rPr>
                      <w:rFonts w:ascii="Times New Roman" w:eastAsia="宋体" w:hAnsi="Times New Roman" w:cs="Times New Roman" w:hint="default"/>
                      <w:b w:val="0"/>
                      <w:bCs/>
                      <w:color w:val="auto"/>
                      <w:sz w:val="21"/>
                      <w:szCs w:val="21"/>
                    </w:rPr>
                    <w:t>≤</w:t>
                  </w:r>
                  <w:r>
                    <w:rPr>
                      <w:rFonts w:ascii="Times New Roman" w:eastAsia="宋体" w:hAnsi="Times New Roman" w:cs="Times New Roman" w:hint="default"/>
                      <w:b w:val="0"/>
                      <w:bCs/>
                      <w:color w:val="auto"/>
                      <w:sz w:val="21"/>
                      <w:szCs w:val="21"/>
                    </w:rPr>
                    <w:t>60dB(A)；夜间</w:t>
                  </w:r>
                  <w:r>
                    <w:rPr>
                      <w:rFonts w:ascii="Times New Roman" w:eastAsia="宋体" w:hAnsi="Times New Roman" w:cs="Times New Roman" w:hint="default"/>
                      <w:b w:val="0"/>
                      <w:bCs/>
                      <w:color w:val="auto"/>
                      <w:sz w:val="21"/>
                      <w:szCs w:val="21"/>
                    </w:rPr>
                    <w:t>≤</w:t>
                  </w:r>
                  <w:r>
                    <w:rPr>
                      <w:rFonts w:ascii="Times New Roman" w:eastAsia="宋体" w:hAnsi="Times New Roman" w:cs="Times New Roman" w:hint="default"/>
                      <w:b w:val="0"/>
                      <w:bCs/>
                      <w:color w:val="auto"/>
                      <w:sz w:val="21"/>
                      <w:szCs w:val="21"/>
                    </w:rPr>
                    <w:t>50dB(A)</w:t>
                  </w:r>
                </w:p>
              </w:tc>
              <w:tc>
                <w:tcPr>
                  <w:tcW w:w="450"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40</w:t>
                  </w: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widowControl/>
                    <w:jc w:val="center"/>
                    <w:rPr>
                      <w:rFonts w:ascii="Times New Roman" w:hAnsi="Times New Roman" w:cs="Times New Roman" w:hint="default"/>
                      <w:color w:val="auto"/>
                      <w:kern w:val="0"/>
                      <w:sz w:val="21"/>
                      <w:szCs w:val="21"/>
                    </w:rPr>
                  </w:pPr>
                  <w:r>
                    <w:rPr>
                      <w:rFonts w:ascii="Times New Roman" w:hAnsi="Times New Roman" w:cs="Times New Roman" w:hint="default"/>
                      <w:color w:val="auto"/>
                      <w:kern w:val="0"/>
                      <w:sz w:val="21"/>
                      <w:szCs w:val="21"/>
                    </w:rPr>
                    <w:t>钻机</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lang w:val="en-US" w:eastAsia="zh-CN"/>
                    </w:rPr>
                    <w:t>8</w:t>
                  </w:r>
                  <w:r>
                    <w:rPr>
                      <w:rFonts w:ascii="Times New Roman" w:eastAsia="宋体" w:hAnsi="Times New Roman" w:cs="Times New Roman" w:hint="default"/>
                      <w:b w:val="0"/>
                      <w:bCs/>
                      <w:color w:val="auto"/>
                      <w:sz w:val="21"/>
                      <w:szCs w:val="21"/>
                      <w:lang w:val="en-US" w:eastAsia="zh-CN"/>
                    </w:rPr>
                    <w:t>5</w:t>
                  </w:r>
                </w:p>
              </w:tc>
              <w:tc>
                <w:tcPr>
                  <w:tcW w:w="448"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val="0"/>
                      <w:color w:val="auto"/>
                      <w:sz w:val="21"/>
                      <w:szCs w:val="21"/>
                    </w:rPr>
                    <w:t>采用低噪音设备</w:t>
                  </w: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2240</w:t>
                  </w: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widowControl/>
                    <w:jc w:val="center"/>
                    <w:rPr>
                      <w:rFonts w:ascii="Times New Roman" w:hAnsi="Times New Roman" w:cs="Times New Roman" w:hint="default"/>
                      <w:color w:val="auto"/>
                      <w:kern w:val="0"/>
                      <w:sz w:val="21"/>
                      <w:szCs w:val="21"/>
                    </w:rPr>
                  </w:pPr>
                  <w:r>
                    <w:rPr>
                      <w:rFonts w:ascii="Times New Roman" w:hAnsi="Times New Roman" w:cs="Times New Roman" w:hint="default"/>
                      <w:color w:val="auto"/>
                      <w:sz w:val="21"/>
                      <w:szCs w:val="21"/>
                    </w:rPr>
                    <w:t>挖掘机</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85</w:t>
                  </w: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widowControl/>
                    <w:jc w:val="center"/>
                    <w:rPr>
                      <w:rFonts w:ascii="Times New Roman" w:hAnsi="Times New Roman" w:cs="Times New Roman" w:hint="default"/>
                      <w:color w:val="auto"/>
                      <w:sz w:val="21"/>
                      <w:szCs w:val="21"/>
                    </w:rPr>
                  </w:pPr>
                  <w:r>
                    <w:rPr>
                      <w:rFonts w:ascii="Times New Roman" w:hAnsi="Times New Roman" w:cs="Times New Roman" w:hint="default"/>
                      <w:color w:val="auto"/>
                      <w:kern w:val="0"/>
                      <w:sz w:val="21"/>
                      <w:szCs w:val="21"/>
                    </w:rPr>
                    <w:t>空压机</w:t>
                  </w:r>
                </w:p>
              </w:tc>
              <w:tc>
                <w:tcPr>
                  <w:tcW w:w="448" w:type="pct"/>
                  <w:vAlign w:val="center"/>
                </w:tcPr>
                <w:p>
                  <w:pPr>
                    <w:pStyle w:val="Heading2"/>
                    <w:spacing w:before="0" w:after="0" w:line="240" w:lineRule="auto"/>
                    <w:ind w:left="0" w:firstLine="0" w:leftChars="0" w:firstLineChars="0"/>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ind w:left="0" w:firstLine="0" w:leftChars="0" w:firstLineChars="0"/>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ind w:left="0" w:firstLine="0" w:leftChars="0" w:firstLineChars="0"/>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85</w:t>
                  </w: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widowControl/>
                    <w:jc w:val="center"/>
                    <w:rPr>
                      <w:rFonts w:ascii="Times New Roman" w:hAnsi="Times New Roman" w:cs="Times New Roman" w:hint="default"/>
                      <w:color w:val="auto"/>
                      <w:kern w:val="0"/>
                      <w:sz w:val="21"/>
                      <w:szCs w:val="21"/>
                    </w:rPr>
                  </w:pPr>
                  <w:r>
                    <w:rPr>
                      <w:rFonts w:ascii="Times New Roman" w:hAnsi="Times New Roman" w:cs="Times New Roman" w:hint="default"/>
                      <w:color w:val="auto"/>
                      <w:sz w:val="21"/>
                      <w:szCs w:val="21"/>
                    </w:rPr>
                    <w:t>装载机</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85</w:t>
                  </w: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r>
            <w:tr>
              <w:tblPrEx>
                <w:tblW w:w="4998" w:type="pct"/>
                <w:tblInd w:w="116" w:type="dxa"/>
                <w:tblCellMar>
                  <w:top w:w="0" w:type="dxa"/>
                  <w:left w:w="108" w:type="dxa"/>
                  <w:bottom w:w="0" w:type="dxa"/>
                  <w:right w:w="108" w:type="dxa"/>
                </w:tblCellMar>
                <w:tblLook w:val="0000"/>
              </w:tblPrEx>
              <w:trPr>
                <w:trHeight w:val="340"/>
              </w:trPr>
              <w:tc>
                <w:tcPr>
                  <w:tcW w:w="446"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生产车间</w:t>
                  </w:r>
                </w:p>
              </w:tc>
              <w:tc>
                <w:tcPr>
                  <w:tcW w:w="448" w:type="pct"/>
                  <w:vAlign w:val="center"/>
                </w:tcPr>
                <w:p>
                  <w:pPr>
                    <w:widowControl/>
                    <w:jc w:val="center"/>
                    <w:rPr>
                      <w:rFonts w:ascii="Times New Roman" w:hAnsi="Times New Roman" w:cs="Times New Roman" w:hint="default"/>
                      <w:bCs/>
                      <w:color w:val="auto"/>
                      <w:sz w:val="21"/>
                      <w:szCs w:val="21"/>
                    </w:rPr>
                  </w:pPr>
                  <w:r>
                    <w:rPr>
                      <w:rFonts w:ascii="Times New Roman" w:hAnsi="Times New Roman" w:cs="Times New Roman" w:hint="default"/>
                      <w:color w:val="auto"/>
                      <w:sz w:val="21"/>
                      <w:szCs w:val="21"/>
                    </w:rPr>
                    <w:t>破碎机</w:t>
                  </w:r>
                </w:p>
              </w:tc>
              <w:tc>
                <w:tcPr>
                  <w:tcW w:w="448" w:type="pct"/>
                  <w:vAlign w:val="center"/>
                </w:tcPr>
                <w:p>
                  <w:pPr>
                    <w:pStyle w:val="Heading2"/>
                    <w:spacing w:before="0" w:after="0" w:line="240" w:lineRule="auto"/>
                    <w:ind w:left="0" w:firstLine="0" w:leftChars="0" w:firstLineChars="0"/>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ind w:left="0" w:firstLine="0" w:leftChars="0" w:firstLineChars="0"/>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ind w:left="0" w:firstLine="0" w:leftChars="0" w:firstLineChars="0"/>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90</w:t>
                  </w:r>
                </w:p>
              </w:tc>
              <w:tc>
                <w:tcPr>
                  <w:tcW w:w="448"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采用低噪音设备、减震垫</w:t>
                  </w:r>
                </w:p>
              </w:tc>
              <w:tc>
                <w:tcPr>
                  <w:tcW w:w="703"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传至室外，降低25~30dB(A)</w:t>
                  </w:r>
                </w:p>
              </w:tc>
              <w:tc>
                <w:tcPr>
                  <w:tcW w:w="448"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restar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2240</w:t>
                  </w: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振筛机</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90</w:t>
                  </w: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给料机</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80</w:t>
                  </w: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r>
            <w:tr>
              <w:tblPrEx>
                <w:tblW w:w="4998" w:type="pct"/>
                <w:tblInd w:w="116" w:type="dxa"/>
                <w:tblCellMar>
                  <w:top w:w="0" w:type="dxa"/>
                  <w:left w:w="108" w:type="dxa"/>
                  <w:bottom w:w="0" w:type="dxa"/>
                  <w:right w:w="108" w:type="dxa"/>
                </w:tblCellMar>
                <w:tblLook w:val="0000"/>
              </w:tblPrEx>
              <w:trPr>
                <w:trHeight w:val="340"/>
              </w:trPr>
              <w:tc>
                <w:tcPr>
                  <w:tcW w:w="446"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Align w:val="center"/>
                </w:tcPr>
                <w:p>
                  <w:pPr>
                    <w:pStyle w:val="Default"/>
                    <w:jc w:val="center"/>
                    <w:rPr>
                      <w:rFonts w:ascii="Times New Roman" w:hAnsi="Times New Roman" w:cs="Times New Roman" w:hint="default"/>
                      <w:color w:val="auto"/>
                      <w:sz w:val="21"/>
                      <w:szCs w:val="21"/>
                    </w:rPr>
                  </w:pPr>
                  <w:r>
                    <w:rPr>
                      <w:rFonts w:ascii="Times New Roman" w:hAnsi="Times New Roman" w:cs="Times New Roman" w:hint="default"/>
                      <w:color w:val="auto"/>
                      <w:sz w:val="21"/>
                      <w:szCs w:val="21"/>
                    </w:rPr>
                    <w:t>装载机</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频发</w:t>
                  </w:r>
                </w:p>
              </w:tc>
              <w:tc>
                <w:tcPr>
                  <w:tcW w:w="448"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类比法</w:t>
                  </w:r>
                </w:p>
              </w:tc>
              <w:tc>
                <w:tcPr>
                  <w:tcW w:w="454" w:type="pct"/>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r>
                    <w:rPr>
                      <w:rFonts w:ascii="Times New Roman" w:eastAsia="宋体" w:hAnsi="Times New Roman" w:cs="Times New Roman" w:hint="default"/>
                      <w:b w:val="0"/>
                      <w:bCs/>
                      <w:color w:val="auto"/>
                      <w:sz w:val="21"/>
                      <w:szCs w:val="21"/>
                    </w:rPr>
                    <w:t>85</w:t>
                  </w: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48"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703"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c>
                <w:tcPr>
                  <w:tcW w:w="450" w:type="pct"/>
                  <w:vMerge/>
                  <w:vAlign w:val="center"/>
                </w:tcPr>
                <w:p>
                  <w:pPr>
                    <w:pStyle w:val="Heading2"/>
                    <w:spacing w:before="0" w:after="0" w:line="240" w:lineRule="auto"/>
                    <w:jc w:val="center"/>
                    <w:rPr>
                      <w:rFonts w:ascii="Times New Roman" w:eastAsia="宋体" w:hAnsi="Times New Roman" w:cs="Times New Roman" w:hint="default"/>
                      <w:bCs/>
                      <w:color w:val="auto"/>
                      <w:sz w:val="21"/>
                      <w:szCs w:val="21"/>
                    </w:rPr>
                  </w:pPr>
                </w:p>
              </w:tc>
            </w:tr>
          </w:tbl>
          <w:p>
            <w:pPr>
              <w:numPr>
                <w:ilvl w:val="0"/>
                <w:numId w:val="20"/>
              </w:numPr>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lang w:val="en-US" w:eastAsia="zh-CN"/>
              </w:rPr>
              <w:t>振动污染源</w:t>
            </w:r>
          </w:p>
          <w:p>
            <w:pPr>
              <w:numPr>
                <w:ilvl w:val="0"/>
                <w:numId w:val="0"/>
              </w:numPr>
              <w:spacing w:after="0" w:line="360" w:lineRule="auto"/>
              <w:ind w:firstLine="480" w:firstLineChars="200"/>
              <w:rPr>
                <w:rFonts w:ascii="Times New Roman" w:hAnsi="Times New Roman" w:cs="Times New Roman" w:hint="default"/>
                <w:color w:val="auto"/>
                <w:szCs w:val="24"/>
              </w:rPr>
            </w:pPr>
          </w:p>
        </w:tc>
      </w:tr>
    </w:tbl>
    <w:p>
      <w:pPr>
        <w:sectPr>
          <w:footerReference w:type="even" r:id="rId94"/>
          <w:footerReference w:type="default" r:id="rId95"/>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41"/>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4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4091"/>
        </w:trPr>
        <w:tc>
          <w:tcPr>
            <w:tcW w:w="5000" w:type="pct"/>
            <w:tcBorders>
              <w:top w:val="single" w:sz="4" w:space="0" w:color="auto"/>
            </w:tcBorders>
          </w:tcPr>
          <w:p>
            <w:pPr>
              <w:numPr>
                <w:ilvl w:val="0"/>
                <w:numId w:val="0"/>
              </w:numPr>
              <w:spacing w:before="0"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 w:val="24"/>
                <w:szCs w:val="24"/>
              </w:rPr>
              <w:t>项目爆破过程会产生地面振动。在均质、坚固的岩石中当有足够的炸药爆破能量并于演示的爆破性能相匹配，而且还有相应的最小抵抗线等条件下，岩石中的炸药爆炸后，首先在岩体中产生冲击波，对靠近炸药的岩壁产生强烈作用，在炸药附近的岩石会被挤压或被击碎，形成压碎圈和破裂圈。接着冲击波衰减称为应力波，当应力波通过破碎圈后，由于其强度迅速衰减，无法引起岩石的破裂，只能引起岩石质点产生弹性振动。这种弹性振动是以弹性波（即振动波）的形式向外传播，造成地面振动，振动波强度随着远离爆破中心而减弱，直至消失。爆破振动可造成爆破区周边建筑物和构筑物的破坏。</w:t>
            </w:r>
          </w:p>
          <w:p>
            <w:pPr>
              <w:spacing w:line="360" w:lineRule="auto"/>
              <w:ind w:firstLine="480" w:firstLineChars="200"/>
              <w:rPr>
                <w:rFonts w:ascii="Times New Roman" w:hAnsi="Times New Roman" w:cs="Times New Roman" w:hint="default"/>
                <w:color w:val="auto"/>
                <w:szCs w:val="24"/>
              </w:rPr>
            </w:pPr>
            <w:r>
              <w:rPr>
                <w:rFonts w:ascii="Times New Roman" w:hAnsi="Times New Roman" w:cs="Times New Roman" w:hint="default"/>
                <w:color w:val="auto"/>
                <w:sz w:val="24"/>
                <w:szCs w:val="24"/>
              </w:rPr>
              <w:t>本项目矿区爆破采用深孔台阶微差爆破</w:t>
            </w:r>
            <w:r>
              <w:rPr>
                <w:rFonts w:ascii="Times New Roman" w:hAnsi="Times New Roman" w:cs="Times New Roman" w:hint="default"/>
                <w:color w:val="auto"/>
                <w:sz w:val="24"/>
                <w:szCs w:val="24"/>
                <w:lang w:eastAsia="zh-CN"/>
              </w:rPr>
              <w:t>方式</w:t>
            </w:r>
            <w:r>
              <w:rPr>
                <w:rFonts w:ascii="Times New Roman" w:hAnsi="Times New Roman" w:cs="Times New Roman" w:hint="default"/>
                <w:color w:val="auto"/>
                <w:sz w:val="24"/>
                <w:szCs w:val="24"/>
              </w:rPr>
              <w:t>。布孔采用</w:t>
            </w:r>
            <w:r>
              <w:rPr>
                <w:rFonts w:ascii="Times New Roman" w:hAnsi="Times New Roman" w:cs="Times New Roman" w:hint="default"/>
                <w:color w:val="auto"/>
                <w:sz w:val="24"/>
                <w:szCs w:val="24"/>
                <w:lang w:eastAsia="zh-CN"/>
              </w:rPr>
              <w:t>三角形布孔</w:t>
            </w:r>
            <w:r>
              <w:rPr>
                <w:rFonts w:ascii="Times New Roman" w:hAnsi="Times New Roman" w:cs="Times New Roman" w:hint="default"/>
                <w:color w:val="auto"/>
                <w:sz w:val="24"/>
                <w:szCs w:val="24"/>
              </w:rPr>
              <w:t>，起爆网路采用非电毫秒导爆管起爆系统，采用毫秒延时爆破非电毫秒雷管。此方法可改善破碎质量，控制爆破作用方向，降低炸药单耗量，有利于增加爆破量，减少爆破次数。对环境保护方面尤为重要的是它能降低爆破振动效应，这是因为药包以低于15毫秒的时间间隔起爆，先后产生的振动波会相互干扰，应力波的迭加作用和岩块之间的碰撞作用使被爆岩体获得良好的破碎，并减弱振动波强度，从而减少爆破振动对矿区周边环境的破坏作用。</w:t>
            </w:r>
          </w:p>
          <w:p>
            <w:pPr>
              <w:spacing w:line="360" w:lineRule="auto"/>
              <w:ind w:firstLine="480" w:firstLineChars="200"/>
              <w:rPr>
                <w:rFonts w:ascii="Times New Roman" w:eastAsia="宋体" w:hAnsi="Times New Roman" w:cs="Times New Roman" w:hint="default"/>
                <w:b/>
                <w:color w:val="auto"/>
                <w:szCs w:val="24"/>
              </w:rPr>
            </w:pPr>
            <w:r>
              <w:rPr>
                <w:rFonts w:ascii="Times New Roman" w:hAnsi="Times New Roman" w:cs="Times New Roman" w:hint="default"/>
                <w:color w:val="auto"/>
                <w:sz w:val="24"/>
                <w:szCs w:val="24"/>
                <w:lang w:eastAsia="zh-CN"/>
              </w:rPr>
              <w:t>根据相关规定，爆破安全距离为</w:t>
            </w:r>
            <w:r>
              <w:rPr>
                <w:rFonts w:ascii="Times New Roman" w:hAnsi="Times New Roman" w:cs="Times New Roman" w:hint="default"/>
                <w:color w:val="auto"/>
                <w:sz w:val="24"/>
                <w:szCs w:val="24"/>
                <w:lang w:val="en-US" w:eastAsia="zh-CN"/>
              </w:rPr>
              <w:t>300m，因此本</w:t>
            </w:r>
            <w:r>
              <w:rPr>
                <w:rFonts w:ascii="Times New Roman" w:hAnsi="Times New Roman" w:cs="Times New Roman" w:hint="default"/>
                <w:color w:val="auto"/>
                <w:sz w:val="24"/>
                <w:szCs w:val="24"/>
                <w:lang w:eastAsia="zh-CN"/>
              </w:rPr>
              <w:t>项目以开采区边界线为基准外推300m后得出爆破安全警戒线。爆破期间采场要停止生产；爆破工作开始前，必须确定危险区的边界并设置明显的标志，在有关通道上设置路障、警戒标志和岗哨；爆破前必须同时发出音响和视觉信号，使在危险区的人员尤其是工业场地能够听到、看到，所有人员必须撤出危险区，只有在确认爆破危险区无人的情况下，才允许起爆；对于必须设置在爆破危险区的设施，必须有可靠的防爆措施；爆破后，经检查确认安全时，方可发出解除警戒信号。爆破安全警戒线内无环境敏感点，因此本项目爆破作业时对周边环境敏感点产生的振动影响较小。</w:t>
            </w:r>
          </w:p>
          <w:p>
            <w:pPr>
              <w:spacing w:line="360" w:lineRule="auto"/>
              <w:ind w:firstLine="480" w:firstLineChars="200"/>
              <w:rPr>
                <w:rFonts w:ascii="Times New Roman" w:hAnsi="Times New Roman" w:cs="Times New Roman" w:hint="default"/>
                <w:b/>
                <w:color w:val="auto"/>
                <w:szCs w:val="24"/>
              </w:rPr>
            </w:pPr>
            <w:r>
              <w:rPr>
                <w:rFonts w:ascii="Times New Roman" w:hAnsi="Times New Roman" w:cs="Times New Roman" w:hint="default"/>
                <w:b/>
                <w:color w:val="auto"/>
                <w:szCs w:val="24"/>
              </w:rPr>
              <w:t>（4）固体废弃物污染源</w:t>
            </w:r>
          </w:p>
          <w:p>
            <w:pPr>
              <w:pStyle w:val="120"/>
              <w:rPr>
                <w:rFonts w:cs="Times New Roman" w:hint="default"/>
                <w:color w:val="auto"/>
              </w:rPr>
            </w:pPr>
            <w:r>
              <w:rPr>
                <w:rFonts w:ascii="Times New Roman" w:hAnsi="Times New Roman" w:cs="Times New Roman" w:hint="default"/>
                <w:color w:val="auto"/>
              </w:rPr>
              <w:t>营运期项目产生的固体废物种类主要包括生活垃圾、生活污水处理设施污泥、三级沉淀池污泥、废机油、含油废抹布和手套等。</w:t>
            </w:r>
          </w:p>
          <w:p>
            <w:pPr>
              <w:pStyle w:val="120"/>
              <w:ind w:firstLine="482"/>
              <w:rPr>
                <w:rFonts w:cs="Times New Roman" w:hint="default"/>
                <w:b/>
                <w:bCs/>
                <w:color w:val="auto"/>
              </w:rPr>
            </w:pPr>
            <w:r>
              <w:rPr>
                <w:rFonts w:ascii="Times New Roman" w:hAnsi="Times New Roman" w:cs="Times New Roman" w:hint="default"/>
                <w:b/>
                <w:bCs/>
                <w:color w:val="auto"/>
              </w:rPr>
              <w:t>①</w:t>
            </w:r>
            <w:r>
              <w:rPr>
                <w:rFonts w:ascii="Times New Roman" w:hAnsi="Times New Roman" w:cs="Times New Roman" w:hint="default"/>
                <w:b/>
                <w:bCs/>
                <w:color w:val="auto"/>
              </w:rPr>
              <w:t>生活垃圾</w:t>
            </w:r>
          </w:p>
          <w:p>
            <w:pPr>
              <w:pStyle w:val="120"/>
              <w:rPr>
                <w:rFonts w:cs="Times New Roman" w:hint="default"/>
                <w:color w:val="auto"/>
              </w:rPr>
            </w:pPr>
            <w:r>
              <w:rPr>
                <w:rFonts w:ascii="Times New Roman" w:hAnsi="Times New Roman" w:cs="Times New Roman" w:hint="default"/>
                <w:color w:val="auto"/>
              </w:rPr>
              <w:t>项目内有员工70人，</w:t>
            </w:r>
            <w:r>
              <w:rPr>
                <w:rFonts w:ascii="Times New Roman" w:hAnsi="Times New Roman" w:cs="Times New Roman" w:hint="default"/>
                <w:snapToGrid w:val="0"/>
                <w:color w:val="auto"/>
                <w:kern w:val="0"/>
              </w:rPr>
              <w:t>生活垃圾以每人0.5kg/d计，则生活垃圾产生量为35kg/d，年产生量约9.8t/a。建设单位在办公生活区内设置垃圾收集点，并定期委托环卫部门清运处理。</w:t>
            </w:r>
          </w:p>
          <w:p>
            <w:pPr>
              <w:pStyle w:val="120"/>
              <w:ind w:firstLine="482"/>
              <w:rPr>
                <w:rFonts w:cs="Times New Roman" w:hint="default"/>
                <w:b/>
                <w:color w:val="auto"/>
              </w:rPr>
            </w:pPr>
            <w:r>
              <w:rPr>
                <w:rFonts w:ascii="Times New Roman" w:hAnsi="Times New Roman" w:cs="Times New Roman" w:hint="default"/>
                <w:b/>
                <w:color w:val="auto"/>
              </w:rPr>
              <w:t>②</w:t>
            </w:r>
            <w:r>
              <w:rPr>
                <w:rFonts w:ascii="Times New Roman" w:hAnsi="Times New Roman" w:cs="Times New Roman" w:hint="default"/>
                <w:b/>
                <w:color w:val="auto"/>
              </w:rPr>
              <w:t>生活污水处理设施污泥</w:t>
            </w:r>
          </w:p>
          <w:p>
            <w:pPr>
              <w:pStyle w:val="120"/>
              <w:spacing w:after="0"/>
              <w:rPr>
                <w:rFonts w:cs="Times New Roman" w:hint="default"/>
                <w:bCs/>
                <w:color w:val="auto"/>
              </w:rPr>
            </w:pPr>
            <w:r>
              <w:rPr>
                <w:rFonts w:ascii="Times New Roman" w:hAnsi="Times New Roman" w:cs="Times New Roman" w:hint="default"/>
                <w:color w:val="auto"/>
              </w:rPr>
              <w:t>项目污水处理设施运行过程会有一定量的污泥产生，参考《城市污水处理厂污泥的综合利用》中表述，处理废水时污泥的产生量约为废水总重量的</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6" w:history="1">
        <w:r>
          <w:rPr>
            <w:rFonts w:ascii="SimSun" w:eastAsia="SimSun" w:hAnsi="SimSun" w:cs="SimSun"/>
            <w:b/>
            <w:bCs/>
            <w:color w:val="0000EE"/>
            <w:kern w:val="0"/>
            <w:sz w:val="30"/>
            <w:szCs w:val="30"/>
            <w:u w:val="single" w:color="0000EE"/>
          </w:rPr>
          <w:t>https://d.book118.com/578050140042006023</w:t>
        </w:r>
      </w:hyperlink>
    </w:p>
    <w:p/>
    <w:sectPr>
      <w:footerReference w:type="even" r:id="rId97"/>
      <w:footerReference w:type="default" r:id="rId98"/>
      <w:type w:val="nextPage"/>
      <w:pgSz w:w="11906" w:h="16838"/>
      <w:pgMar w:top="1304" w:right="1247" w:bottom="1247" w:left="1474" w:header="851" w:footer="794" w:gutter="0"/>
      <w:pgBorders w:zOrder="front" w:display="allPages" w:offsetFrom="text">
        <w:top w:val="none" w:sz="0" w:space="0" w:color="auto"/>
        <w:left w:val="none" w:sz="0" w:space="0" w:color="auto"/>
        <w:bottom w:val="none" w:sz="0" w:space="0" w:color="auto"/>
        <w:right w:val="none" w:sz="0" w:space="0" w:color="auto"/>
      </w:pgBorders>
      <w:pgNumType w:start="4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0"/>
    <w:family w:val="auto"/>
    <w:pitch w:val="default"/>
    <w:sig w:usb0="E0002EFF" w:usb1="C000785B" w:usb2="00000009" w:usb3="00000000" w:csb0="400201FF" w:csb1="FFFF0000"/>
  </w:font>
  <w:font w:name="宋体">
    <w:panose1 w:val="02010600030101010101"/>
    <w:charset w:val="86"/>
    <w:family w:val="auto"/>
    <w:pitch w:val="default"/>
    <w:sig w:usb0="000002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Roman PS">
    <w:altName w:val="Times New Roman"/>
    <w:panose1 w:val="00000000000000000000"/>
    <w:charset w:val="00"/>
    <w:family w:val="roman"/>
    <w:pitch w:val="default"/>
    <w:sig w:usb0="00000003" w:usb1="00000000" w:usb2="00000000" w:usb3="00000000" w:csb0="00000001" w:csb1="00000000"/>
  </w:font>
  <w:font w:name="楷体_GB2312">
    <w:altName w:val="楷体"/>
    <w:panose1 w:val="00000000000000000000"/>
    <w:charset w:val="86"/>
    <w:family w:val="modern"/>
    <w:pitch w:val="default"/>
    <w:sig w:usb0="00000001" w:usb1="080E0000" w:usb2="00000010" w:usb3="00000000" w:csb0="00040000" w:csb1="00000000"/>
  </w:font>
  <w:font w:name="Arial Unicode MS">
    <w:panose1 w:val="020B0604020202020204"/>
    <w:charset w:val="86"/>
    <w:family w:val="roman"/>
    <w:pitch w:val="default"/>
    <w:sig w:usb0="F7FFAEFF" w:usb1="F9DFFFFF" w:usb2="0000007F" w:usb3="00000000" w:csb0="203F01FF" w:csb1="DFFF0000"/>
  </w:font>
  <w:font w:name="仿宋_GB2312">
    <w:altName w:val="仿宋"/>
    <w:panose1 w:val="00000000000000000000"/>
    <w:charset w:val="86"/>
    <w:family w:val="modern"/>
    <w:pitch w:val="default"/>
    <w:sig w:usb0="00000001" w:usb1="080E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roman"/>
    <w:pitch w:val="default"/>
    <w:sig w:usb0="00000000" w:usb1="00000000" w:usb2="00000010" w:usb3="00000000" w:csb0="00040001"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方正小标宋简体">
    <w:altName w:val="黑体"/>
    <w:panose1 w:val="03000509000000000000"/>
    <w:charset w:val="86"/>
    <w:family w:val="auto"/>
    <w:pitch w:val="default"/>
    <w:sig w:usb0="00000001" w:usb1="080E0000" w:usb2="00000000" w:usb3="00000000" w:csb0="00040000" w:csb1="00000000"/>
  </w:font>
  <w:font w:name="Angsana New">
    <w:altName w:val="Microsoft Sans Serif"/>
    <w:panose1 w:val="02020603050405020304"/>
    <w:charset w:val="DE"/>
    <w:family w:val="roman"/>
    <w:pitch w:val="default"/>
    <w:sig w:usb0="81000003" w:usb1="00000000" w:usb2="00000000" w:usb3="00000000" w:csb0="00010001" w:csb1="00000000"/>
  </w:font>
  <w:font w:name="等线">
    <w:panose1 w:val="02010600030101010101"/>
    <w:charset w:val="86"/>
    <w:family w:val="auto"/>
    <w:pitch w:val="default"/>
    <w:sig w:usb0="A00002BF" w:usb1="38CF7CFA" w:usb2="00000016" w:usb3="00000000" w:csb0="0004000F" w:csb1="00000000"/>
  </w:font>
  <w:font w:name="Times">
    <w:altName w:val="Times New Roman"/>
    <w:panose1 w:val="02020603050405020304"/>
    <w:charset w:val="00"/>
    <w:family w:val="roman"/>
    <w:pitch w:val="default"/>
    <w:sig w:usb0="E0002EFF" w:usb1="C000785B" w:usb2="00000009" w:usb3="00000000" w:csb0="000001FF" w:csb1="00000000"/>
  </w:font>
  <w:font w:name="OCR A Extended">
    <w:panose1 w:val="02010509020102010303"/>
    <w:charset w:val="00"/>
    <w:family w:val="modern"/>
    <w:pitch w:val="default"/>
    <w:sig w:usb0="00000003" w:usb1="00000000" w:usb2="00000000" w:usb3="00000000" w:csb0="20000001" w:csb1="00000000"/>
  </w:font>
  <w:font w:name="Impact">
    <w:panose1 w:val="020B0806030902050204"/>
    <w:charset w:val="00"/>
    <w:family w:val="swiss"/>
    <w:pitch w:val="default"/>
    <w:sig w:usb0="00000287" w:usb1="00000000" w:usb2="00000000" w:usb3="00000000" w:csb0="2000009F" w:csb1="DFD7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49" type="#_x0000_t202" style="width:17.55pt;height:10.35pt;margin-top:0;margin-left:0;mso-position-horizontal:center;mso-position-horizontal-relative:margin;mso-wrap-style:square;position:absolute;z-index:25165926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50" type="#_x0000_t202" style="width:15.55pt;height:10.35pt;margin-top:0;margin-left:0;mso-position-horizontal:center;mso-position-horizontal-relative:margin;mso-wrap-style:square;position:absolute;z-index:25165824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51" type="#_x0000_t202" style="width:17.55pt;height:10.35pt;margin-top:0;margin-left:0;mso-position-horizontal:center;mso-position-horizontal-relative:margin;mso-wrap-style:square;position:absolute;z-index:25166131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52" type="#_x0000_t202" style="width:15.55pt;height:10.35pt;margin-top:0;margin-left:0;mso-position-horizontal:center;mso-position-horizontal-relative:margin;mso-wrap-style:square;position:absolute;z-index:25166028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53" type="#_x0000_t202" style="width:17.55pt;height:10.35pt;margin-top:0;margin-left:0;mso-position-horizontal:center;mso-position-horizontal-relative:margin;mso-wrap-style:square;position:absolute;z-index:25166336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54" type="#_x0000_t202" style="width:15.55pt;height:10.35pt;margin-top:0;margin-left:0;mso-position-horizontal:center;mso-position-horizontal-relative:margin;mso-wrap-style:square;position:absolute;z-index:25166233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55" type="#_x0000_t202" style="width:17.55pt;height:10.35pt;margin-top:0;margin-left:0;mso-position-horizontal:center;mso-position-horizontal-relative:margin;mso-wrap-style:square;position:absolute;z-index:25166540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56" type="#_x0000_t202" style="width:15.55pt;height:10.35pt;margin-top:0;margin-left:0;mso-position-horizontal:center;mso-position-horizontal-relative:margin;mso-wrap-style:square;position:absolute;z-index:25166438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57" type="#_x0000_t202" style="width:17.55pt;height:10.35pt;margin-top:0;margin-left:0;mso-position-horizontal:center;mso-position-horizontal-relative:margin;mso-wrap-style:square;position:absolute;z-index:25166745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58" type="#_x0000_t202" style="width:15.55pt;height:10.35pt;margin-top:0;margin-left:0;mso-position-horizontal:center;mso-position-horizontal-relative:margin;mso-wrap-style:square;position:absolute;z-index:25166643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59" type="#_x0000_t202" style="width:17.55pt;height:10.35pt;margin-top:0;margin-left:0;mso-position-horizontal:center;mso-position-horizontal-relative:margin;mso-wrap-style:square;position:absolute;z-index:25166950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60" type="#_x0000_t202" style="width:15.55pt;height:10.35pt;margin-top:0;margin-left:0;mso-position-horizontal:center;mso-position-horizontal-relative:margin;mso-wrap-style:square;position:absolute;z-index:25166848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61" type="#_x0000_t202" style="width:17.55pt;height:10.35pt;margin-top:0;margin-left:0;mso-position-horizontal:center;mso-position-horizontal-relative:margin;mso-wrap-style:square;position:absolute;z-index:25167155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62" type="#_x0000_t202" style="width:15.55pt;height:10.35pt;margin-top:0;margin-left:0;mso-position-horizontal:center;mso-position-horizontal-relative:margin;mso-wrap-style:square;position:absolute;z-index:25167052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63" type="#_x0000_t202" style="width:17.55pt;height:10.35pt;margin-top:0;margin-left:0;mso-position-horizontal:center;mso-position-horizontal-relative:margin;mso-wrap-style:square;position:absolute;z-index:25167360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64" type="#_x0000_t202" style="width:15.55pt;height:10.35pt;margin-top:0;margin-left:0;mso-position-horizontal:center;mso-position-horizontal-relative:margin;mso-wrap-style:square;position:absolute;z-index:25167257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65" type="#_x0000_t202" style="width:17.55pt;height:10.35pt;margin-top:0;margin-left:0;mso-position-horizontal:center;mso-position-horizontal-relative:margin;mso-wrap-style:square;position:absolute;z-index:25167564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66" type="#_x0000_t202" style="width:15.55pt;height:10.35pt;margin-top:0;margin-left:0;mso-position-horizontal:center;mso-position-horizontal-relative:margin;mso-wrap-style:square;position:absolute;z-index:25167462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67" type="#_x0000_t202" style="width:17.55pt;height:10.35pt;margin-top:0;margin-left:0;mso-position-horizontal:center;mso-position-horizontal-relative:margin;mso-wrap-style:square;position:absolute;z-index:25167769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68" type="#_x0000_t202" style="width:15.55pt;height:10.35pt;margin-top:0;margin-left:0;mso-position-horizontal:center;mso-position-horizontal-relative:margin;mso-wrap-style:square;position:absolute;z-index:25167667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69" type="#_x0000_t202" style="width:17.55pt;height:10.35pt;margin-top:0;margin-left:0;mso-position-horizontal:center;mso-position-horizontal-relative:margin;mso-wrap-style:square;position:absolute;z-index:25167974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70" type="#_x0000_t202" style="width:15.55pt;height:10.35pt;margin-top:0;margin-left:0;mso-position-horizontal:center;mso-position-horizontal-relative:margin;mso-wrap-style:square;position:absolute;z-index:25167872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71" type="#_x0000_t202" style="width:17.55pt;height:10.35pt;margin-top:0;margin-left:0;mso-position-horizontal:center;mso-position-horizontal-relative:margin;mso-wrap-style:square;position:absolute;z-index:25168179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72" type="#_x0000_t202" style="width:15.55pt;height:10.35pt;margin-top:0;margin-left:0;mso-position-horizontal:center;mso-position-horizontal-relative:margin;mso-wrap-style:square;position:absolute;z-index:25168076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73" type="#_x0000_t202" style="width:17.55pt;height:10.35pt;margin-top:0;margin-left:0;mso-position-horizontal:center;mso-position-horizontal-relative:margin;mso-wrap-style:square;position:absolute;z-index:25168384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74" type="#_x0000_t202" style="width:15.55pt;height:10.35pt;margin-top:0;margin-left:0;mso-position-horizontal:center;mso-position-horizontal-relative:margin;mso-wrap-style:square;position:absolute;z-index:25168281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75" type="#_x0000_t202" style="width:17.55pt;height:10.35pt;margin-top:0;margin-left:0;mso-position-horizontal:center;mso-position-horizontal-relative:margin;mso-wrap-style:square;position:absolute;z-index:25168588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76" type="#_x0000_t202" style="width:15.55pt;height:10.35pt;margin-top:0;margin-left:0;mso-position-horizontal:center;mso-position-horizontal-relative:margin;mso-wrap-style:square;position:absolute;z-index:25168486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77" type="#_x0000_t202" style="width:17.55pt;height:10.35pt;margin-top:0;margin-left:0;mso-position-horizontal:center;mso-position-horizontal-relative:margin;mso-wrap-style:square;position:absolute;z-index:25168793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78" type="#_x0000_t202" style="width:15.55pt;height:10.35pt;margin-top:0;margin-left:0;mso-position-horizontal:center;mso-position-horizontal-relative:margin;mso-wrap-style:square;position:absolute;z-index:25168691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79" type="#_x0000_t202" style="width:17.55pt;height:10.35pt;margin-top:0;margin-left:0;mso-position-horizontal:center;mso-position-horizontal-relative:margin;mso-wrap-style:square;position:absolute;z-index:25168998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w10:wrap anchorx="margin"/>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80" type="#_x0000_t202" style="width:15.55pt;height:10.35pt;margin-top:0;margin-left:0;mso-position-horizontal:center;mso-position-horizontal-relative:margin;mso-wrap-style:square;position:absolute;z-index:25168896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81" type="#_x0000_t202" style="width:17.55pt;height:10.35pt;margin-top:0;margin-left:0;mso-position-horizontal:center;mso-position-horizontal-relative:margin;mso-wrap-style:square;position:absolute;z-index:25169203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82" type="#_x0000_t202" style="width:15.55pt;height:10.35pt;margin-top:0;margin-left:0;mso-position-horizontal:center;mso-position-horizontal-relative:margin;mso-wrap-style:square;position:absolute;z-index:25169100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w10:wrap anchorx="margin"/>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83" type="#_x0000_t202" style="width:17.55pt;height:10.35pt;margin-top:0;margin-left:0;mso-position-horizontal:center;mso-position-horizontal-relative:margin;mso-wrap-style:square;position:absolute;z-index:25169408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w10:wrap anchorx="margin"/>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84" type="#_x0000_t202" style="width:15.55pt;height:10.35pt;margin-top:0;margin-left:0;mso-position-horizontal:center;mso-position-horizontal-relative:margin;mso-wrap-style:square;position:absolute;z-index:25169305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85" type="#_x0000_t202" style="width:17.55pt;height:10.35pt;margin-top:0;margin-left:0;mso-position-horizontal:center;mso-position-horizontal-relative:margin;mso-wrap-style:square;position:absolute;z-index:25169612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86" type="#_x0000_t202" style="width:15.55pt;height:10.35pt;margin-top:0;margin-left:0;mso-position-horizontal:center;mso-position-horizontal-relative:margin;mso-wrap-style:square;position:absolute;z-index:25169510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w10:wrap anchorx="margin"/>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87" type="#_x0000_t202" style="width:17.55pt;height:10.35pt;margin-top:0;margin-left:0;mso-position-horizontal:center;mso-position-horizontal-relative:margin;mso-wrap-style:square;position:absolute;z-index:25169817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w10:wrap anchorx="margin"/>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88" type="#_x0000_t202" style="width:15.55pt;height:10.35pt;margin-top:0;margin-left:0;mso-position-horizontal:center;mso-position-horizontal-relative:margin;mso-wrap-style:square;position:absolute;z-index:25169715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89" type="#_x0000_t202" style="width:17.55pt;height:10.35pt;margin-top:0;margin-left:0;mso-position-horizontal:center;mso-position-horizontal-relative:margin;mso-wrap-style:square;position:absolute;z-index:25170022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v:textbox>
          <w10:wrap anchorx="margin"/>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90" type="#_x0000_t202" style="width:15.55pt;height:10.35pt;margin-top:0;margin-left:0;mso-position-horizontal:center;mso-position-horizontal-relative:margin;mso-wrap-style:square;position:absolute;z-index:25169920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w10:wrap anchorx="margin"/>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91" type="#_x0000_t202" style="width:17.55pt;height:10.35pt;margin-top:0;margin-left:0;mso-position-horizontal:center;mso-position-horizontal-relative:margin;mso-wrap-style:square;position:absolute;z-index:25170227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v:textbox>
          <w10:wrap anchorx="margin"/>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92" type="#_x0000_t202" style="width:15.55pt;height:10.35pt;margin-top:0;margin-left:0;mso-position-horizontal:center;mso-position-horizontal-relative:margin;mso-wrap-style:square;position:absolute;z-index:25170124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93" type="#_x0000_t202" style="width:17.55pt;height:10.35pt;margin-top:0;margin-left:0;mso-position-horizontal:center;mso-position-horizontal-relative:margin;mso-wrap-style:square;position:absolute;z-index:25170432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94" type="#_x0000_t202" style="width:15.55pt;height:10.35pt;margin-top:0;margin-left:0;mso-position-horizontal:center;mso-position-horizontal-relative:margin;mso-wrap-style:square;position:absolute;z-index:25170329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95" type="#_x0000_t202" style="width:17.55pt;height:10.35pt;margin-top:0;margin-left:0;mso-position-horizontal:center;mso-position-horizontal-relative:margin;mso-wrap-style:square;position:absolute;z-index:25170636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w10:wrap anchorx="margin"/>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96" type="#_x0000_t202" style="width:15.55pt;height:10.35pt;margin-top:0;margin-left:0;mso-position-horizontal:center;mso-position-horizontal-relative:margin;mso-wrap-style:square;position:absolute;z-index:25170534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97" type="#_x0000_t202" style="width:17.55pt;height:10.35pt;margin-top:0;margin-left:0;mso-position-horizontal:center;mso-position-horizontal-relative:margin;mso-wrap-style:square;position:absolute;z-index:25170841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098" type="#_x0000_t202" style="width:15.55pt;height:10.35pt;margin-top:0;margin-left:0;mso-position-horizontal:center;mso-position-horizontal-relative:margin;mso-wrap-style:square;position:absolute;z-index:25170739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099" type="#_x0000_t202" style="width:17.55pt;height:10.35pt;margin-top:0;margin-left:0;mso-position-horizontal:center;mso-position-horizontal-relative:margin;mso-wrap-style:square;position:absolute;z-index:25171046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v:textbox>
          <w10:wrap anchorx="margin"/>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00" type="#_x0000_t202" style="width:15.55pt;height:10.35pt;margin-top:0;margin-left:0;mso-position-horizontal:center;mso-position-horizontal-relative:margin;mso-wrap-style:square;position:absolute;z-index:25170944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01" type="#_x0000_t202" style="width:17.55pt;height:10.35pt;margin-top:0;margin-left:0;mso-position-horizontal:center;mso-position-horizontal-relative:margin;mso-wrap-style:square;position:absolute;z-index:25171251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02" type="#_x0000_t202" style="width:15.55pt;height:10.35pt;margin-top:0;margin-left:0;mso-position-horizontal:center;mso-position-horizontal-relative:margin;mso-wrap-style:square;position:absolute;z-index:25171148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03" type="#_x0000_t202" style="width:17.55pt;height:10.35pt;margin-top:0;margin-left:0;mso-position-horizontal:center;mso-position-horizontal-relative:margin;mso-wrap-style:square;position:absolute;z-index:25171456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w10:wrap anchorx="margin"/>
        </v:shape>
      </w:pic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04" type="#_x0000_t202" style="width:15.55pt;height:10.35pt;margin-top:0;margin-left:0;mso-position-horizontal:center;mso-position-horizontal-relative:margin;mso-wrap-style:square;position:absolute;z-index:25171353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w10:wrap anchorx="margin"/>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05" type="#_x0000_t202" style="width:17.55pt;height:10.35pt;margin-top:0;margin-left:0;mso-position-horizontal:center;mso-position-horizontal-relative:margin;mso-wrap-style:square;position:absolute;z-index:25171660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06" type="#_x0000_t202" style="width:15.55pt;height:10.35pt;margin-top:0;margin-left:0;mso-position-horizontal:center;mso-position-horizontal-relative:margin;mso-wrap-style:square;position:absolute;z-index:25171558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w10:wrap anchorx="margin"/>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07" type="#_x0000_t202" style="width:17.55pt;height:10.35pt;margin-top:0;margin-left:0;mso-position-horizontal:center;mso-position-horizontal-relative:margin;mso-wrap-style:square;position:absolute;z-index:25171865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w10:wrap anchorx="margin"/>
        </v:shape>
      </w:pic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08" type="#_x0000_t202" style="width:15.55pt;height:10.35pt;margin-top:0;margin-left:0;mso-position-horizontal:center;mso-position-horizontal-relative:margin;mso-wrap-style:square;position:absolute;z-index:25171763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09" type="#_x0000_t202" style="width:17.55pt;height:10.35pt;margin-top:0;margin-left:0;mso-position-horizontal:center;mso-position-horizontal-relative:margin;mso-wrap-style:square;position:absolute;z-index:25172070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10" type="#_x0000_t202" style="width:15.55pt;height:10.35pt;margin-top:0;margin-left:0;mso-position-horizontal:center;mso-position-horizontal-relative:margin;mso-wrap-style:square;position:absolute;z-index:25171968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31</w:t>
                </w:r>
                <w:r>
                  <w:rPr>
                    <w:rFonts w:hint="eastAsia"/>
                  </w:rPr>
                  <w:fldChar w:fldCharType="end"/>
                </w:r>
              </w:p>
            </w:txbxContent>
          </v:textbox>
          <w10:wrap anchorx="margin"/>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11" type="#_x0000_t202" style="width:17.55pt;height:10.35pt;margin-top:0;margin-left:0;mso-position-horizontal:center;mso-position-horizontal-relative:margin;mso-wrap-style:square;position:absolute;z-index:25172275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w10:wrap anchorx="margin"/>
        </v:shape>
      </w:pic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12" type="#_x0000_t202" style="width:15.55pt;height:10.35pt;margin-top:0;margin-left:0;mso-position-horizontal:center;mso-position-horizontal-relative:margin;mso-wrap-style:square;position:absolute;z-index:25172172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13" type="#_x0000_t202" style="width:17.55pt;height:10.35pt;margin-top:0;margin-left:0;mso-position-horizontal:center;mso-position-horizontal-relative:margin;mso-wrap-style:square;position:absolute;z-index:25172480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14" type="#_x0000_t202" style="width:15.55pt;height:10.35pt;margin-top:0;margin-left:0;mso-position-horizontal:center;mso-position-horizontal-relative:margin;mso-wrap-style:square;position:absolute;z-index:25172377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txbxContent>
          </v:textbox>
          <w10:wrap anchorx="margin"/>
        </v:shape>
      </w:pic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15" type="#_x0000_t202" style="width:17.55pt;height:10.35pt;margin-top:0;margin-left:0;mso-position-horizontal:center;mso-position-horizontal-relative:margin;mso-wrap-style:square;position:absolute;z-index:25172684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v:textbox>
          <w10:wrap anchorx="margin"/>
        </v:shape>
      </w:pic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16" type="#_x0000_t202" style="width:15.55pt;height:10.35pt;margin-top:0;margin-left:0;mso-position-horizontal:center;mso-position-horizontal-relative:margin;mso-wrap-style:square;position:absolute;z-index:25172582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w10:wrap anchorx="margin"/>
        </v:shape>
      </w:pic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17" type="#_x0000_t202" style="width:17.55pt;height:10.35pt;margin-top:0;margin-left:0;mso-position-horizontal:center;mso-position-horizontal-relative:margin;mso-wrap-style:square;position:absolute;z-index:25172889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v:textbox>
          <w10:wrap anchorx="margin"/>
        </v:shape>
      </w:pic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18" type="#_x0000_t202" style="width:15.55pt;height:10.35pt;margin-top:0;margin-left:0;mso-position-horizontal:center;mso-position-horizontal-relative:margin;mso-wrap-style:square;position:absolute;z-index:25172787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w10:wrap anchorx="margin"/>
        </v:shape>
      </w:pic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19" type="#_x0000_t202" style="width:17.55pt;height:10.35pt;margin-top:0;margin-left:0;mso-position-horizontal:center;mso-position-horizontal-relative:margin;mso-wrap-style:square;position:absolute;z-index:25173094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v:textbox>
          <w10:wrap anchorx="margin"/>
        </v:shape>
      </w:pic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20" type="#_x0000_t202" style="width:15.55pt;height:10.35pt;margin-top:0;margin-left:0;mso-position-horizontal:center;mso-position-horizontal-relative:margin;mso-wrap-style:square;position:absolute;z-index:25172992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21" type="#_x0000_t202" style="width:17.55pt;height:10.35pt;margin-top:0;margin-left:0;mso-position-horizontal:center;mso-position-horizontal-relative:margin;mso-wrap-style:square;position:absolute;z-index:25173299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22" type="#_x0000_t202" style="width:15.55pt;height:10.35pt;margin-top:0;margin-left:0;mso-position-horizontal:center;mso-position-horizontal-relative:margin;mso-wrap-style:square;position:absolute;z-index:25173196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w10:wrap anchorx="margin"/>
        </v:shape>
      </w:pic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23" type="#_x0000_t202" style="width:17.55pt;height:10.35pt;margin-top:0;margin-left:0;mso-position-horizontal:center;mso-position-horizontal-relative:margin;mso-wrap-style:square;position:absolute;z-index:25173504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v:textbox>
          <w10:wrap anchorx="margin"/>
        </v:shape>
      </w:pict>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24" type="#_x0000_t202" style="width:15.55pt;height:10.35pt;margin-top:0;margin-left:0;mso-position-horizontal:center;mso-position-horizontal-relative:margin;mso-wrap-style:square;position:absolute;z-index:25173401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25" type="#_x0000_t202" style="width:17.55pt;height:10.35pt;margin-top:0;margin-left:0;mso-position-horizontal:center;mso-position-horizontal-relative:margin;mso-wrap-style:square;position:absolute;z-index:25173708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w10:wrap anchorx="margin"/>
        </v:shape>
      </w:pic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26" type="#_x0000_t202" style="width:15.55pt;height:10.35pt;margin-top:0;margin-left:0;mso-position-horizontal:center;mso-position-horizontal-relative:margin;mso-wrap-style:square;position:absolute;z-index:25173606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v:textbox>
          <w10:wrap anchorx="margin"/>
        </v:shape>
      </w:pict>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27" type="#_x0000_t202" style="width:17.55pt;height:10.35pt;margin-top:0;margin-left:0;mso-position-horizontal:center;mso-position-horizontal-relative:margin;mso-wrap-style:square;position:absolute;z-index:251739136"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v:textbox>
          <w10:wrap anchorx="margin"/>
        </v:shape>
      </w:pic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28" type="#_x0000_t202" style="width:15.55pt;height:10.35pt;margin-top:0;margin-left:0;mso-position-horizontal:center;mso-position-horizontal-relative:margin;mso-wrap-style:square;position:absolute;z-index:25173811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w10:wrap anchorx="margin"/>
        </v:shape>
      </w:pict>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29" type="#_x0000_t202" style="width:17.55pt;height:10.35pt;margin-top:0;margin-left:0;mso-position-horizontal:center;mso-position-horizontal-relative:margin;mso-wrap-style:square;position:absolute;z-index:251741184"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v:textbox>
          <w10:wrap anchorx="margin"/>
        </v:shape>
      </w:pict>
    </w: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30" type="#_x0000_t202" style="width:15.55pt;height:10.35pt;margin-top:0;margin-left:0;mso-position-horizontal:center;mso-position-horizontal-relative:margin;mso-wrap-style:square;position:absolute;z-index:251740160"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v:textbox>
          <w10:wrap anchorx="margin"/>
        </v:shape>
      </w:pic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8" o:spid="_x0000_s2131" type="#_x0000_t202" style="width:17.55pt;height:10.35pt;margin-top:0;margin-left:0;mso-position-horizontal:center;mso-position-horizontal-relative:margin;mso-wrap-style:square;position:absolute;z-index:251743232"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v:textbox>
          <w10:wrap anchorx="margin"/>
        </v:shape>
      </w:pict>
    </w: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7" o:spid="_x0000_s2132" type="#_x0000_t202" style="width:15.55pt;height:10.35pt;margin-top:0;margin-left:0;mso-position-horizontal:center;mso-position-horizontal-relative:margin;mso-wrap-style:square;position:absolute;z-index:251742208" filled="f" stroked="f" strokeweight="1.5pt">
          <v:stroke linestyle="single" endarrow="block" endarrowwidth="narrow"/>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600B2B"/>
    <w:multiLevelType w:val="singleLevel"/>
    <w:tmpl w:val="87600B2B"/>
    <w:lvl w:ilvl="0">
      <w:start w:val="1"/>
      <w:numFmt w:val="decimal"/>
      <w:suff w:val="nothing"/>
      <w:lvlText w:val="（%1）"/>
      <w:lvlJc w:val="left"/>
    </w:lvl>
  </w:abstractNum>
  <w:abstractNum w:abstractNumId="1">
    <w:nsid w:val="CC9F4639"/>
    <w:multiLevelType w:val="singleLevel"/>
    <w:tmpl w:val="CC9F4639"/>
    <w:lvl w:ilvl="0">
      <w:start w:val="1"/>
      <w:numFmt w:val="decimal"/>
      <w:suff w:val="nothing"/>
      <w:lvlText w:val="%1）"/>
      <w:lvlJc w:val="left"/>
    </w:lvl>
  </w:abstractNum>
  <w:abstractNum w:abstractNumId="2">
    <w:nsid w:val="EB20E64F"/>
    <w:multiLevelType w:val="singleLevel"/>
    <w:tmpl w:val="EB20E64F"/>
    <w:lvl w:ilvl="0">
      <w:start w:val="2"/>
      <w:numFmt w:val="decimal"/>
      <w:suff w:val="nothing"/>
      <w:lvlText w:val="（%1）"/>
      <w:lvlJc w:val="left"/>
    </w:lvl>
  </w:abstractNum>
  <w:abstractNum w:abstractNumId="3">
    <w:nsid w:val="03E3DC7F"/>
    <w:multiLevelType w:val="singleLevel"/>
    <w:tmpl w:val="87600B2B"/>
    <w:lvl w:ilvl="0">
      <w:start w:val="1"/>
      <w:numFmt w:val="decimal"/>
      <w:suff w:val="nothing"/>
      <w:lvlText w:val="（%1）"/>
      <w:lvlJc w:val="left"/>
    </w:lvl>
  </w:abstractNum>
  <w:abstractNum w:abstractNumId="4">
    <w:nsid w:val="0CB994CB"/>
    <w:multiLevelType w:val="singleLevel"/>
    <w:tmpl w:val="0CB994CB"/>
    <w:lvl w:ilvl="0">
      <w:start w:val="2"/>
      <w:numFmt w:val="decimal"/>
      <w:suff w:val="nothing"/>
      <w:lvlText w:val="%1）"/>
      <w:lvlJc w:val="left"/>
    </w:lvl>
  </w:abstractNum>
  <w:abstractNum w:abstractNumId="5">
    <w:nsid w:val="0EA89CE8"/>
    <w:multiLevelType w:val="singleLevel"/>
    <w:tmpl w:val="0CB994CB"/>
    <w:lvl w:ilvl="0">
      <w:start w:val="2"/>
      <w:numFmt w:val="decimal"/>
      <w:suff w:val="nothing"/>
      <w:lvlText w:val="%1）"/>
      <w:lvlJc w:val="left"/>
    </w:lvl>
  </w:abstractNum>
  <w:abstractNum w:abstractNumId="6">
    <w:nsid w:val="1D4C0F7F"/>
    <w:multiLevelType w:val="singleLevel"/>
    <w:tmpl w:val="373C36CF"/>
    <w:lvl w:ilvl="0">
      <w:start w:val="5"/>
      <w:numFmt w:val="decimal"/>
      <w:suff w:val="nothing"/>
      <w:lvlText w:val="%1）"/>
      <w:lvlJc w:val="left"/>
    </w:lvl>
  </w:abstractNum>
  <w:abstractNum w:abstractNumId="7">
    <w:nsid w:val="28731126"/>
    <w:multiLevelType w:val="multilevel"/>
    <w:tmpl w:val="28731126"/>
    <w:lvl w:ilvl="0">
      <w:start w:val="1"/>
      <w:numFmt w:val="none"/>
      <w:isLgl/>
      <w:suff w:val="space"/>
      <w:lvlJc w:val="center"/>
      <w:pPr>
        <w:ind w:left="0" w:firstLine="288"/>
      </w:pPr>
      <w:rPr>
        <w:rFonts w:hint="eastAsia"/>
      </w:rPr>
    </w:lvl>
    <w:lvl w:ilvl="1">
      <w:start w:val="1"/>
      <w:numFmt w:val="none"/>
      <w:suff w:val="nothing"/>
      <w:lvlJc w:val="left"/>
      <w:pPr>
        <w:ind w:left="0" w:firstLine="0"/>
      </w:pPr>
      <w:rPr>
        <w:rFonts w:hint="eastAsia"/>
      </w:rPr>
    </w:lvl>
    <w:lvl w:ilvl="2">
      <w:start w:val="1"/>
      <w:numFmt w:val="none"/>
      <w:suff w:val="nothing"/>
      <w:lvlJc w:val="left"/>
      <w:pPr>
        <w:ind w:left="0" w:firstLine="0"/>
      </w:pPr>
      <w:rPr>
        <w:rFonts w:hint="eastAsia"/>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2C5F0198"/>
    <w:multiLevelType w:val="multilevel"/>
    <w:tmpl w:val="2C5F0198"/>
    <w:lvl w:ilvl="0">
      <w:start w:val="1"/>
      <w:numFmt w:val="decimal"/>
      <w:lvlText w:val="（%1）"/>
      <w:lvlJc w:val="left"/>
      <w:pPr>
        <w:ind w:left="720" w:hanging="720"/>
      </w:pPr>
      <w:rPr>
        <w:rFonts w:hAnsi="宋体" w:hint="default"/>
      </w:rPr>
    </w:lvl>
    <w:lvl w:ilvl="1">
      <w:start w:val="1"/>
      <w:numFmt w:val="decimalEnclosedCircle"/>
      <w:lvlText w:val="%2"/>
      <w:lvlJc w:val="left"/>
      <w:pPr>
        <w:ind w:left="780" w:hanging="360"/>
      </w:pPr>
      <w:rPr>
        <w:rFonts w:ascii="宋体" w:hAnsi="宋体" w:cs="宋体"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F0F0D32"/>
    <w:multiLevelType w:val="singleLevel"/>
    <w:tmpl w:val="2F0F0D32"/>
    <w:lvl w:ilvl="0">
      <w:start w:val="1"/>
      <w:numFmt w:val="decimal"/>
      <w:suff w:val="nothing"/>
      <w:lvlText w:val="%1、"/>
      <w:lvlJc w:val="left"/>
    </w:lvl>
  </w:abstractNum>
  <w:abstractNum w:abstractNumId="10">
    <w:nsid w:val="373C36CF"/>
    <w:multiLevelType w:val="singleLevel"/>
    <w:tmpl w:val="373C36CF"/>
    <w:lvl w:ilvl="0">
      <w:start w:val="5"/>
      <w:numFmt w:val="decimal"/>
      <w:suff w:val="nothing"/>
      <w:lvlText w:val="%1）"/>
      <w:lvlJc w:val="left"/>
    </w:lvl>
  </w:abstractNum>
  <w:abstractNum w:abstractNumId="11">
    <w:nsid w:val="410E0FD4"/>
    <w:multiLevelType w:val="singleLevel"/>
    <w:tmpl w:val="5CF80D5B"/>
    <w:lvl w:ilvl="0">
      <w:start w:val="4"/>
      <w:numFmt w:val="decimal"/>
      <w:suff w:val="nothing"/>
      <w:lvlText w:val="%1、"/>
      <w:lvlJc w:val="left"/>
    </w:lvl>
  </w:abstractNum>
  <w:abstractNum w:abstractNumId="12">
    <w:nsid w:val="5334DA97"/>
    <w:multiLevelType w:val="singleLevel"/>
    <w:tmpl w:val="5334DA97"/>
    <w:lvl w:ilvl="0">
      <w:start w:val="1"/>
      <w:numFmt w:val="chineseCounting"/>
      <w:suff w:val="nothing"/>
      <w:lvlText w:val="%1、"/>
      <w:lvlJc w:val="left"/>
    </w:lvl>
  </w:abstractNum>
  <w:abstractNum w:abstractNumId="13">
    <w:nsid w:val="5AC331A6"/>
    <w:multiLevelType w:val="singleLevel"/>
    <w:tmpl w:val="5AC331A6"/>
    <w:lvl w:ilvl="0">
      <w:start w:val="1"/>
      <w:numFmt w:val="decimal"/>
      <w:suff w:val="nothing"/>
      <w:lvlText w:val="%1、"/>
      <w:lvlJc w:val="left"/>
    </w:lvl>
  </w:abstractNum>
  <w:abstractNum w:abstractNumId="14">
    <w:nsid w:val="5CF80D5B"/>
    <w:multiLevelType w:val="singleLevel"/>
    <w:tmpl w:val="5CF80D5B"/>
    <w:lvl w:ilvl="0">
      <w:start w:val="4"/>
      <w:numFmt w:val="decimal"/>
      <w:suff w:val="nothing"/>
      <w:lvlText w:val="%1、"/>
      <w:lvlJc w:val="left"/>
    </w:lvl>
  </w:abstractNum>
  <w:abstractNum w:abstractNumId="15">
    <w:nsid w:val="644C9DB2"/>
    <w:multiLevelType w:val="singleLevel"/>
    <w:tmpl w:val="644C9DB2"/>
    <w:lvl w:ilvl="0">
      <w:start w:val="1"/>
      <w:numFmt w:val="decimal"/>
      <w:suff w:val="nothing"/>
      <w:lvlText w:val="%1、"/>
      <w:lvlJc w:val="left"/>
    </w:lvl>
  </w:abstractNum>
  <w:abstractNum w:abstractNumId="16">
    <w:nsid w:val="6D03AAF5"/>
    <w:multiLevelType w:val="singleLevel"/>
    <w:tmpl w:val="6D03AAF5"/>
    <w:lvl w:ilvl="0">
      <w:start w:val="1"/>
      <w:numFmt w:val="decimal"/>
      <w:suff w:val="nothing"/>
      <w:lvlText w:val="%1、"/>
      <w:lvlJc w:val="left"/>
    </w:lvl>
  </w:abstractNum>
  <w:abstractNum w:abstractNumId="17">
    <w:nsid w:val="70845572"/>
    <w:multiLevelType w:val="singleLevel"/>
    <w:tmpl w:val="70845572"/>
    <w:lvl w:ilvl="0">
      <w:start w:val="1"/>
      <w:numFmt w:val="decimal"/>
      <w:suff w:val="nothing"/>
      <w:lvlText w:val="（%1）"/>
      <w:lvlJc w:val="left"/>
    </w:lvl>
  </w:abstractNum>
  <w:abstractNum w:abstractNumId="18">
    <w:nsid w:val="7CBBE016"/>
    <w:multiLevelType w:val="singleLevel"/>
    <w:tmpl w:val="7CBBE016"/>
    <w:lvl w:ilvl="0">
      <w:start w:val="1"/>
      <w:numFmt w:val="decimal"/>
      <w:suff w:val="nothing"/>
      <w:lvlText w:val="（%1）"/>
      <w:lvlJc w:val="left"/>
    </w:lvl>
  </w:abstractNum>
  <w:abstractNum w:abstractNumId="19">
    <w:nsid w:val="7F6C866C"/>
    <w:multiLevelType w:val="singleLevel"/>
    <w:tmpl w:val="6D03AAF5"/>
    <w:lvl w:ilvl="0">
      <w:start w:val="1"/>
      <w:numFmt w:val="decimal"/>
      <w:suff w:val="nothing"/>
      <w:lvlText w:val="%1、"/>
      <w:lvlJc w:val="left"/>
    </w:lvl>
  </w:abstractNum>
  <w:num w:numId="1">
    <w:abstractNumId w:val="7"/>
  </w:num>
  <w:num w:numId="2">
    <w:abstractNumId w:val="16"/>
  </w:num>
  <w:num w:numId="3">
    <w:abstractNumId w:val="17"/>
  </w:num>
  <w:num w:numId="4">
    <w:abstractNumId w:val="13"/>
  </w:num>
  <w:num w:numId="5">
    <w:abstractNumId w:val="14"/>
  </w:num>
  <w:num w:numId="6">
    <w:abstractNumId w:val="0"/>
  </w:num>
  <w:num w:numId="7">
    <w:abstractNumId w:val="15"/>
  </w:num>
  <w:num w:numId="8">
    <w:abstractNumId w:val="9"/>
  </w:num>
  <w:num w:numId="9">
    <w:abstractNumId w:val="2"/>
  </w:num>
  <w:num w:numId="10">
    <w:abstractNumId w:val="1"/>
  </w:num>
  <w:num w:numId="11">
    <w:abstractNumId w:val="10"/>
  </w:num>
  <w:num w:numId="12">
    <w:abstractNumId w:val="4"/>
  </w:num>
  <w:num w:numId="13">
    <w:abstractNumId w:val="8"/>
  </w:num>
  <w:num w:numId="14">
    <w:abstractNumId w:val="18"/>
  </w:num>
  <w:num w:numId="15">
    <w:abstractNumId w:val="12"/>
  </w:num>
  <w:num w:numId="16">
    <w:abstractNumId w:val="19"/>
  </w:num>
  <w:num w:numId="17">
    <w:abstractNumId w:val="11"/>
  </w:num>
  <w:num w:numId="18">
    <w:abstractNumId w:val="3"/>
  </w:num>
  <w:num w:numId="19">
    <w:abstractNumId w:val="6"/>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displayBackgroundShape/>
  <w:stylePaneFormatFilter w:val="3F01"/>
  <w:defaultTabStop w:val="425"/>
  <w:evenAndOddHeaders/>
  <w:drawingGridHorizontalSpacing w:val="1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footnoteLayoutLikeWW8/>
    <w:forgetLastTabAlignment/>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008E"/>
    <w:rsid w:val="00000328"/>
    <w:rsid w:val="00001589"/>
    <w:rsid w:val="00001809"/>
    <w:rsid w:val="000024F4"/>
    <w:rsid w:val="000029BF"/>
    <w:rsid w:val="000030D1"/>
    <w:rsid w:val="000031F8"/>
    <w:rsid w:val="00003B16"/>
    <w:rsid w:val="00003D08"/>
    <w:rsid w:val="000045CC"/>
    <w:rsid w:val="00004CF7"/>
    <w:rsid w:val="00004F04"/>
    <w:rsid w:val="0000535F"/>
    <w:rsid w:val="000058AC"/>
    <w:rsid w:val="00005B32"/>
    <w:rsid w:val="00005D66"/>
    <w:rsid w:val="00006039"/>
    <w:rsid w:val="000066FB"/>
    <w:rsid w:val="0000680E"/>
    <w:rsid w:val="00006E0B"/>
    <w:rsid w:val="00007131"/>
    <w:rsid w:val="00010514"/>
    <w:rsid w:val="00010682"/>
    <w:rsid w:val="00010ACF"/>
    <w:rsid w:val="00011184"/>
    <w:rsid w:val="000115DC"/>
    <w:rsid w:val="00011839"/>
    <w:rsid w:val="000119A3"/>
    <w:rsid w:val="00011ECF"/>
    <w:rsid w:val="00012DF8"/>
    <w:rsid w:val="0001431B"/>
    <w:rsid w:val="0001439C"/>
    <w:rsid w:val="0001492E"/>
    <w:rsid w:val="00014FFB"/>
    <w:rsid w:val="00015754"/>
    <w:rsid w:val="00015DE7"/>
    <w:rsid w:val="00015E40"/>
    <w:rsid w:val="000162BE"/>
    <w:rsid w:val="00016A57"/>
    <w:rsid w:val="00016B66"/>
    <w:rsid w:val="00017030"/>
    <w:rsid w:val="00017CAA"/>
    <w:rsid w:val="0002008E"/>
    <w:rsid w:val="000201EA"/>
    <w:rsid w:val="00020978"/>
    <w:rsid w:val="00020B37"/>
    <w:rsid w:val="00020B60"/>
    <w:rsid w:val="00021387"/>
    <w:rsid w:val="0002213D"/>
    <w:rsid w:val="00022549"/>
    <w:rsid w:val="00023523"/>
    <w:rsid w:val="00023ADF"/>
    <w:rsid w:val="00023D98"/>
    <w:rsid w:val="0002578B"/>
    <w:rsid w:val="0002581F"/>
    <w:rsid w:val="00025EDC"/>
    <w:rsid w:val="00026BFA"/>
    <w:rsid w:val="0002767D"/>
    <w:rsid w:val="0002771F"/>
    <w:rsid w:val="000278B8"/>
    <w:rsid w:val="000279DD"/>
    <w:rsid w:val="00027DA8"/>
    <w:rsid w:val="00030064"/>
    <w:rsid w:val="000305FA"/>
    <w:rsid w:val="00030913"/>
    <w:rsid w:val="00030D27"/>
    <w:rsid w:val="00031698"/>
    <w:rsid w:val="000316E5"/>
    <w:rsid w:val="000325E9"/>
    <w:rsid w:val="000331F5"/>
    <w:rsid w:val="00033443"/>
    <w:rsid w:val="000334CB"/>
    <w:rsid w:val="00033A13"/>
    <w:rsid w:val="000343FF"/>
    <w:rsid w:val="000345A6"/>
    <w:rsid w:val="00034D28"/>
    <w:rsid w:val="00034F5E"/>
    <w:rsid w:val="00035289"/>
    <w:rsid w:val="00035A22"/>
    <w:rsid w:val="00035E09"/>
    <w:rsid w:val="000367C6"/>
    <w:rsid w:val="00036B6F"/>
    <w:rsid w:val="00036DC2"/>
    <w:rsid w:val="00037262"/>
    <w:rsid w:val="000378BC"/>
    <w:rsid w:val="00040849"/>
    <w:rsid w:val="00040C2B"/>
    <w:rsid w:val="00042E43"/>
    <w:rsid w:val="00042E75"/>
    <w:rsid w:val="00043791"/>
    <w:rsid w:val="00043EB7"/>
    <w:rsid w:val="0004471E"/>
    <w:rsid w:val="00044E4E"/>
    <w:rsid w:val="00044F96"/>
    <w:rsid w:val="00045013"/>
    <w:rsid w:val="00045206"/>
    <w:rsid w:val="00045369"/>
    <w:rsid w:val="00045744"/>
    <w:rsid w:val="00045A74"/>
    <w:rsid w:val="00045E90"/>
    <w:rsid w:val="00046597"/>
    <w:rsid w:val="00046743"/>
    <w:rsid w:val="00046A86"/>
    <w:rsid w:val="00047F3A"/>
    <w:rsid w:val="00050630"/>
    <w:rsid w:val="00050A77"/>
    <w:rsid w:val="00050FCF"/>
    <w:rsid w:val="000518A9"/>
    <w:rsid w:val="0005236F"/>
    <w:rsid w:val="000529D0"/>
    <w:rsid w:val="00052CC5"/>
    <w:rsid w:val="000531E1"/>
    <w:rsid w:val="000535C3"/>
    <w:rsid w:val="00053E49"/>
    <w:rsid w:val="0005441D"/>
    <w:rsid w:val="000549AC"/>
    <w:rsid w:val="00054C44"/>
    <w:rsid w:val="00055692"/>
    <w:rsid w:val="00055A8B"/>
    <w:rsid w:val="00055DBA"/>
    <w:rsid w:val="0005612F"/>
    <w:rsid w:val="00056D03"/>
    <w:rsid w:val="00056E4A"/>
    <w:rsid w:val="0005713D"/>
    <w:rsid w:val="00057343"/>
    <w:rsid w:val="000576B1"/>
    <w:rsid w:val="000576C2"/>
    <w:rsid w:val="00057E25"/>
    <w:rsid w:val="00057F34"/>
    <w:rsid w:val="00060740"/>
    <w:rsid w:val="000618C7"/>
    <w:rsid w:val="00061A1B"/>
    <w:rsid w:val="00061C9C"/>
    <w:rsid w:val="00061DEF"/>
    <w:rsid w:val="000625E3"/>
    <w:rsid w:val="00062AD6"/>
    <w:rsid w:val="00062EB4"/>
    <w:rsid w:val="00063294"/>
    <w:rsid w:val="000638FB"/>
    <w:rsid w:val="00064AC0"/>
    <w:rsid w:val="00064CCD"/>
    <w:rsid w:val="000657FD"/>
    <w:rsid w:val="0006622C"/>
    <w:rsid w:val="0006623C"/>
    <w:rsid w:val="000662DB"/>
    <w:rsid w:val="00066E54"/>
    <w:rsid w:val="00067C3F"/>
    <w:rsid w:val="00067D54"/>
    <w:rsid w:val="00070BDB"/>
    <w:rsid w:val="00071160"/>
    <w:rsid w:val="000711A8"/>
    <w:rsid w:val="00072E8E"/>
    <w:rsid w:val="0007317E"/>
    <w:rsid w:val="000734A1"/>
    <w:rsid w:val="0007403B"/>
    <w:rsid w:val="000747B1"/>
    <w:rsid w:val="00076039"/>
    <w:rsid w:val="000762E1"/>
    <w:rsid w:val="00077961"/>
    <w:rsid w:val="00080297"/>
    <w:rsid w:val="0008031B"/>
    <w:rsid w:val="00080768"/>
    <w:rsid w:val="00080D54"/>
    <w:rsid w:val="000814CA"/>
    <w:rsid w:val="000815AE"/>
    <w:rsid w:val="00081698"/>
    <w:rsid w:val="000817C4"/>
    <w:rsid w:val="0008194A"/>
    <w:rsid w:val="00082193"/>
    <w:rsid w:val="000827CA"/>
    <w:rsid w:val="000827E4"/>
    <w:rsid w:val="0008296F"/>
    <w:rsid w:val="00082D7E"/>
    <w:rsid w:val="00083680"/>
    <w:rsid w:val="000839F7"/>
    <w:rsid w:val="00083DBD"/>
    <w:rsid w:val="0008579E"/>
    <w:rsid w:val="000858A4"/>
    <w:rsid w:val="00086F70"/>
    <w:rsid w:val="000872E6"/>
    <w:rsid w:val="00087682"/>
    <w:rsid w:val="00087839"/>
    <w:rsid w:val="00087BE8"/>
    <w:rsid w:val="00087F37"/>
    <w:rsid w:val="00090268"/>
    <w:rsid w:val="00091193"/>
    <w:rsid w:val="00091225"/>
    <w:rsid w:val="00092E51"/>
    <w:rsid w:val="00092EDC"/>
    <w:rsid w:val="00094773"/>
    <w:rsid w:val="0009500A"/>
    <w:rsid w:val="00095828"/>
    <w:rsid w:val="00095BB5"/>
    <w:rsid w:val="00095E99"/>
    <w:rsid w:val="000963AA"/>
    <w:rsid w:val="0009647E"/>
    <w:rsid w:val="00096DA1"/>
    <w:rsid w:val="000976B5"/>
    <w:rsid w:val="00097A22"/>
    <w:rsid w:val="00097F12"/>
    <w:rsid w:val="000A1A01"/>
    <w:rsid w:val="000A1E60"/>
    <w:rsid w:val="000A1E6C"/>
    <w:rsid w:val="000A1F65"/>
    <w:rsid w:val="000A208D"/>
    <w:rsid w:val="000A21AD"/>
    <w:rsid w:val="000A2D16"/>
    <w:rsid w:val="000A3089"/>
    <w:rsid w:val="000A3364"/>
    <w:rsid w:val="000A3584"/>
    <w:rsid w:val="000A35EA"/>
    <w:rsid w:val="000A41DC"/>
    <w:rsid w:val="000A46CB"/>
    <w:rsid w:val="000A4A42"/>
    <w:rsid w:val="000A4FC4"/>
    <w:rsid w:val="000A540E"/>
    <w:rsid w:val="000A5E1C"/>
    <w:rsid w:val="000A61BD"/>
    <w:rsid w:val="000A6B65"/>
    <w:rsid w:val="000A7E5C"/>
    <w:rsid w:val="000B02E3"/>
    <w:rsid w:val="000B09E5"/>
    <w:rsid w:val="000B0E0B"/>
    <w:rsid w:val="000B1314"/>
    <w:rsid w:val="000B15A7"/>
    <w:rsid w:val="000B18DB"/>
    <w:rsid w:val="000B1B5A"/>
    <w:rsid w:val="000B3441"/>
    <w:rsid w:val="000B36D6"/>
    <w:rsid w:val="000B3B80"/>
    <w:rsid w:val="000B3DF6"/>
    <w:rsid w:val="000B3FF8"/>
    <w:rsid w:val="000B47CE"/>
    <w:rsid w:val="000B4882"/>
    <w:rsid w:val="000B4F0C"/>
    <w:rsid w:val="000B63C5"/>
    <w:rsid w:val="000B6A13"/>
    <w:rsid w:val="000B6A7F"/>
    <w:rsid w:val="000B7189"/>
    <w:rsid w:val="000B73B9"/>
    <w:rsid w:val="000B7B59"/>
    <w:rsid w:val="000B7F22"/>
    <w:rsid w:val="000B7F6D"/>
    <w:rsid w:val="000C0279"/>
    <w:rsid w:val="000C05BC"/>
    <w:rsid w:val="000C05C9"/>
    <w:rsid w:val="000C08A6"/>
    <w:rsid w:val="000C0D76"/>
    <w:rsid w:val="000C14AC"/>
    <w:rsid w:val="000C16C5"/>
    <w:rsid w:val="000C3022"/>
    <w:rsid w:val="000C3AB7"/>
    <w:rsid w:val="000C4177"/>
    <w:rsid w:val="000C4204"/>
    <w:rsid w:val="000C474C"/>
    <w:rsid w:val="000C502F"/>
    <w:rsid w:val="000C62AA"/>
    <w:rsid w:val="000C6764"/>
    <w:rsid w:val="000C6889"/>
    <w:rsid w:val="000C6A83"/>
    <w:rsid w:val="000C70F7"/>
    <w:rsid w:val="000C74B1"/>
    <w:rsid w:val="000D06D2"/>
    <w:rsid w:val="000D06F1"/>
    <w:rsid w:val="000D0701"/>
    <w:rsid w:val="000D0CDC"/>
    <w:rsid w:val="000D0FDA"/>
    <w:rsid w:val="000D1359"/>
    <w:rsid w:val="000D1C97"/>
    <w:rsid w:val="000D2000"/>
    <w:rsid w:val="000D21CE"/>
    <w:rsid w:val="000D2BDE"/>
    <w:rsid w:val="000D30F3"/>
    <w:rsid w:val="000D361C"/>
    <w:rsid w:val="000D3C38"/>
    <w:rsid w:val="000D3FAE"/>
    <w:rsid w:val="000D420F"/>
    <w:rsid w:val="000D4C9D"/>
    <w:rsid w:val="000D4EF7"/>
    <w:rsid w:val="000D5ACA"/>
    <w:rsid w:val="000D5C8C"/>
    <w:rsid w:val="000D6123"/>
    <w:rsid w:val="000D734A"/>
    <w:rsid w:val="000D7C96"/>
    <w:rsid w:val="000D7F73"/>
    <w:rsid w:val="000E13C3"/>
    <w:rsid w:val="000E147A"/>
    <w:rsid w:val="000E1565"/>
    <w:rsid w:val="000E198A"/>
    <w:rsid w:val="000E219A"/>
    <w:rsid w:val="000E2566"/>
    <w:rsid w:val="000E288F"/>
    <w:rsid w:val="000E2F6A"/>
    <w:rsid w:val="000E3BA4"/>
    <w:rsid w:val="000E4CB2"/>
    <w:rsid w:val="000E4D05"/>
    <w:rsid w:val="000E4D0C"/>
    <w:rsid w:val="000E4E89"/>
    <w:rsid w:val="000E5E76"/>
    <w:rsid w:val="000E5F2B"/>
    <w:rsid w:val="000E64E2"/>
    <w:rsid w:val="000E68D1"/>
    <w:rsid w:val="000E6B63"/>
    <w:rsid w:val="000E7313"/>
    <w:rsid w:val="000E743D"/>
    <w:rsid w:val="000E76FD"/>
    <w:rsid w:val="000E7C65"/>
    <w:rsid w:val="000F004B"/>
    <w:rsid w:val="000F027D"/>
    <w:rsid w:val="000F03AB"/>
    <w:rsid w:val="000F2E2A"/>
    <w:rsid w:val="000F2E34"/>
    <w:rsid w:val="000F370C"/>
    <w:rsid w:val="000F3D3D"/>
    <w:rsid w:val="000F463A"/>
    <w:rsid w:val="000F555B"/>
    <w:rsid w:val="000F5C99"/>
    <w:rsid w:val="000F64D7"/>
    <w:rsid w:val="000F6B69"/>
    <w:rsid w:val="000F777A"/>
    <w:rsid w:val="0010059E"/>
    <w:rsid w:val="00100D4D"/>
    <w:rsid w:val="001010CD"/>
    <w:rsid w:val="00101166"/>
    <w:rsid w:val="001011BA"/>
    <w:rsid w:val="001018DE"/>
    <w:rsid w:val="00101B19"/>
    <w:rsid w:val="00102DF0"/>
    <w:rsid w:val="00103367"/>
    <w:rsid w:val="001039F2"/>
    <w:rsid w:val="00103DEE"/>
    <w:rsid w:val="00104874"/>
    <w:rsid w:val="001061D4"/>
    <w:rsid w:val="001066C8"/>
    <w:rsid w:val="0010735C"/>
    <w:rsid w:val="00107789"/>
    <w:rsid w:val="0010788D"/>
    <w:rsid w:val="00110189"/>
    <w:rsid w:val="001105C7"/>
    <w:rsid w:val="00111B7C"/>
    <w:rsid w:val="00113AF3"/>
    <w:rsid w:val="00115079"/>
    <w:rsid w:val="00116A20"/>
    <w:rsid w:val="00116AB4"/>
    <w:rsid w:val="00116E9D"/>
    <w:rsid w:val="00117298"/>
    <w:rsid w:val="001172ED"/>
    <w:rsid w:val="00117763"/>
    <w:rsid w:val="00122D98"/>
    <w:rsid w:val="00123027"/>
    <w:rsid w:val="00123CC1"/>
    <w:rsid w:val="00124248"/>
    <w:rsid w:val="00124721"/>
    <w:rsid w:val="00126245"/>
    <w:rsid w:val="0012640D"/>
    <w:rsid w:val="001266C3"/>
    <w:rsid w:val="00126A0B"/>
    <w:rsid w:val="00126E00"/>
    <w:rsid w:val="00127601"/>
    <w:rsid w:val="001277BE"/>
    <w:rsid w:val="00127B78"/>
    <w:rsid w:val="00127EF4"/>
    <w:rsid w:val="00130289"/>
    <w:rsid w:val="0013093F"/>
    <w:rsid w:val="00130996"/>
    <w:rsid w:val="00130F14"/>
    <w:rsid w:val="00131249"/>
    <w:rsid w:val="00133ED9"/>
    <w:rsid w:val="001346CF"/>
    <w:rsid w:val="00134BFA"/>
    <w:rsid w:val="001359E1"/>
    <w:rsid w:val="0013676F"/>
    <w:rsid w:val="001367F7"/>
    <w:rsid w:val="00136CE4"/>
    <w:rsid w:val="00137118"/>
    <w:rsid w:val="001371FB"/>
    <w:rsid w:val="001372EA"/>
    <w:rsid w:val="00137B11"/>
    <w:rsid w:val="001402FD"/>
    <w:rsid w:val="00140391"/>
    <w:rsid w:val="00140766"/>
    <w:rsid w:val="001409EC"/>
    <w:rsid w:val="00140A31"/>
    <w:rsid w:val="00141B85"/>
    <w:rsid w:val="0014291E"/>
    <w:rsid w:val="00142E5A"/>
    <w:rsid w:val="00143B56"/>
    <w:rsid w:val="00143E23"/>
    <w:rsid w:val="001440FE"/>
    <w:rsid w:val="00144A08"/>
    <w:rsid w:val="00144CE5"/>
    <w:rsid w:val="00145A80"/>
    <w:rsid w:val="00146BC5"/>
    <w:rsid w:val="001504FA"/>
    <w:rsid w:val="00150BD7"/>
    <w:rsid w:val="00151755"/>
    <w:rsid w:val="00151BBB"/>
    <w:rsid w:val="00152175"/>
    <w:rsid w:val="00152B8C"/>
    <w:rsid w:val="0015330D"/>
    <w:rsid w:val="001533D0"/>
    <w:rsid w:val="001533E7"/>
    <w:rsid w:val="0015511C"/>
    <w:rsid w:val="001554F6"/>
    <w:rsid w:val="001563C3"/>
    <w:rsid w:val="0015714C"/>
    <w:rsid w:val="00157BDC"/>
    <w:rsid w:val="0016054F"/>
    <w:rsid w:val="0016074D"/>
    <w:rsid w:val="00161973"/>
    <w:rsid w:val="00161B3E"/>
    <w:rsid w:val="00162782"/>
    <w:rsid w:val="00162829"/>
    <w:rsid w:val="00162A0A"/>
    <w:rsid w:val="00162FB7"/>
    <w:rsid w:val="001633C5"/>
    <w:rsid w:val="0016373D"/>
    <w:rsid w:val="00163AB2"/>
    <w:rsid w:val="0016481F"/>
    <w:rsid w:val="00165265"/>
    <w:rsid w:val="0016557C"/>
    <w:rsid w:val="00165D49"/>
    <w:rsid w:val="00166B52"/>
    <w:rsid w:val="00166E13"/>
    <w:rsid w:val="0016719B"/>
    <w:rsid w:val="0017017E"/>
    <w:rsid w:val="00171F4E"/>
    <w:rsid w:val="0017222C"/>
    <w:rsid w:val="00172286"/>
    <w:rsid w:val="00172298"/>
    <w:rsid w:val="00172DF0"/>
    <w:rsid w:val="001737C1"/>
    <w:rsid w:val="00174458"/>
    <w:rsid w:val="001749CF"/>
    <w:rsid w:val="00174D25"/>
    <w:rsid w:val="001752B7"/>
    <w:rsid w:val="0017546C"/>
    <w:rsid w:val="001756CB"/>
    <w:rsid w:val="00175D07"/>
    <w:rsid w:val="00175E3F"/>
    <w:rsid w:val="00176166"/>
    <w:rsid w:val="00177183"/>
    <w:rsid w:val="00177367"/>
    <w:rsid w:val="00177492"/>
    <w:rsid w:val="00177B1E"/>
    <w:rsid w:val="00177DBF"/>
    <w:rsid w:val="0018001C"/>
    <w:rsid w:val="0018048B"/>
    <w:rsid w:val="001807CC"/>
    <w:rsid w:val="00180AC4"/>
    <w:rsid w:val="00181639"/>
    <w:rsid w:val="0018271F"/>
    <w:rsid w:val="00183301"/>
    <w:rsid w:val="00185042"/>
    <w:rsid w:val="0018542E"/>
    <w:rsid w:val="00185520"/>
    <w:rsid w:val="001858F8"/>
    <w:rsid w:val="001862D1"/>
    <w:rsid w:val="001867EB"/>
    <w:rsid w:val="001871D7"/>
    <w:rsid w:val="001873F0"/>
    <w:rsid w:val="00187474"/>
    <w:rsid w:val="001874BE"/>
    <w:rsid w:val="001877E5"/>
    <w:rsid w:val="00187A8C"/>
    <w:rsid w:val="00190C12"/>
    <w:rsid w:val="00191658"/>
    <w:rsid w:val="00192160"/>
    <w:rsid w:val="0019252F"/>
    <w:rsid w:val="00193E3F"/>
    <w:rsid w:val="00194F04"/>
    <w:rsid w:val="00195592"/>
    <w:rsid w:val="0019670C"/>
    <w:rsid w:val="00196872"/>
    <w:rsid w:val="00196BD0"/>
    <w:rsid w:val="00197447"/>
    <w:rsid w:val="001A0A97"/>
    <w:rsid w:val="001A0B85"/>
    <w:rsid w:val="001A0FA3"/>
    <w:rsid w:val="001A1750"/>
    <w:rsid w:val="001A1A41"/>
    <w:rsid w:val="001A1A85"/>
    <w:rsid w:val="001A1E3E"/>
    <w:rsid w:val="001A2C20"/>
    <w:rsid w:val="001A3289"/>
    <w:rsid w:val="001A3DC0"/>
    <w:rsid w:val="001A3E50"/>
    <w:rsid w:val="001A4562"/>
    <w:rsid w:val="001A4989"/>
    <w:rsid w:val="001A4D4F"/>
    <w:rsid w:val="001A4E95"/>
    <w:rsid w:val="001A61ED"/>
    <w:rsid w:val="001A6C48"/>
    <w:rsid w:val="001A6DBB"/>
    <w:rsid w:val="001A7CCA"/>
    <w:rsid w:val="001B013B"/>
    <w:rsid w:val="001B06C0"/>
    <w:rsid w:val="001B07EB"/>
    <w:rsid w:val="001B0A61"/>
    <w:rsid w:val="001B0BC2"/>
    <w:rsid w:val="001B0C02"/>
    <w:rsid w:val="001B1259"/>
    <w:rsid w:val="001B1F31"/>
    <w:rsid w:val="001B20B1"/>
    <w:rsid w:val="001B255E"/>
    <w:rsid w:val="001B2C36"/>
    <w:rsid w:val="001B2F93"/>
    <w:rsid w:val="001B38E0"/>
    <w:rsid w:val="001B4C91"/>
    <w:rsid w:val="001B569F"/>
    <w:rsid w:val="001B69CB"/>
    <w:rsid w:val="001B6C02"/>
    <w:rsid w:val="001B6FE9"/>
    <w:rsid w:val="001B7223"/>
    <w:rsid w:val="001B7386"/>
    <w:rsid w:val="001B774A"/>
    <w:rsid w:val="001B794C"/>
    <w:rsid w:val="001B795D"/>
    <w:rsid w:val="001B7DD6"/>
    <w:rsid w:val="001C06BD"/>
    <w:rsid w:val="001C1052"/>
    <w:rsid w:val="001C113C"/>
    <w:rsid w:val="001C15FA"/>
    <w:rsid w:val="001C1D72"/>
    <w:rsid w:val="001C2338"/>
    <w:rsid w:val="001C2FFF"/>
    <w:rsid w:val="001C30FA"/>
    <w:rsid w:val="001C37BA"/>
    <w:rsid w:val="001C40F3"/>
    <w:rsid w:val="001C4816"/>
    <w:rsid w:val="001C49BC"/>
    <w:rsid w:val="001C4AF7"/>
    <w:rsid w:val="001C685A"/>
    <w:rsid w:val="001C77AF"/>
    <w:rsid w:val="001D0DE6"/>
    <w:rsid w:val="001D15BC"/>
    <w:rsid w:val="001D1A4D"/>
    <w:rsid w:val="001D1AC8"/>
    <w:rsid w:val="001D1AEE"/>
    <w:rsid w:val="001D2B44"/>
    <w:rsid w:val="001D3E8C"/>
    <w:rsid w:val="001D40C7"/>
    <w:rsid w:val="001D40F0"/>
    <w:rsid w:val="001D41BD"/>
    <w:rsid w:val="001D42D6"/>
    <w:rsid w:val="001D4985"/>
    <w:rsid w:val="001D5F48"/>
    <w:rsid w:val="001D62DF"/>
    <w:rsid w:val="001D656D"/>
    <w:rsid w:val="001D65CB"/>
    <w:rsid w:val="001D7F45"/>
    <w:rsid w:val="001D7FEF"/>
    <w:rsid w:val="001E0034"/>
    <w:rsid w:val="001E0739"/>
    <w:rsid w:val="001E1027"/>
    <w:rsid w:val="001E1304"/>
    <w:rsid w:val="001E148F"/>
    <w:rsid w:val="001E19F4"/>
    <w:rsid w:val="001E21CD"/>
    <w:rsid w:val="001E3226"/>
    <w:rsid w:val="001E3C14"/>
    <w:rsid w:val="001E4311"/>
    <w:rsid w:val="001E4666"/>
    <w:rsid w:val="001E498A"/>
    <w:rsid w:val="001E5432"/>
    <w:rsid w:val="001E55F7"/>
    <w:rsid w:val="001E6DD6"/>
    <w:rsid w:val="001E74B3"/>
    <w:rsid w:val="001E7A75"/>
    <w:rsid w:val="001F0276"/>
    <w:rsid w:val="001F0DED"/>
    <w:rsid w:val="001F15B0"/>
    <w:rsid w:val="001F216C"/>
    <w:rsid w:val="001F234F"/>
    <w:rsid w:val="001F279C"/>
    <w:rsid w:val="001F2C2D"/>
    <w:rsid w:val="001F3862"/>
    <w:rsid w:val="001F3FA2"/>
    <w:rsid w:val="001F4139"/>
    <w:rsid w:val="001F42C5"/>
    <w:rsid w:val="001F454E"/>
    <w:rsid w:val="001F489B"/>
    <w:rsid w:val="001F5190"/>
    <w:rsid w:val="001F5974"/>
    <w:rsid w:val="001F647D"/>
    <w:rsid w:val="001F6FEA"/>
    <w:rsid w:val="001F72FC"/>
    <w:rsid w:val="001F77E6"/>
    <w:rsid w:val="001F79BE"/>
    <w:rsid w:val="0020002B"/>
    <w:rsid w:val="00200143"/>
    <w:rsid w:val="002008C7"/>
    <w:rsid w:val="00201EFB"/>
    <w:rsid w:val="0020213B"/>
    <w:rsid w:val="00202B6A"/>
    <w:rsid w:val="00203009"/>
    <w:rsid w:val="002030FA"/>
    <w:rsid w:val="00203608"/>
    <w:rsid w:val="00203A84"/>
    <w:rsid w:val="00203B00"/>
    <w:rsid w:val="00203C86"/>
    <w:rsid w:val="002043CA"/>
    <w:rsid w:val="002055C2"/>
    <w:rsid w:val="00205E8B"/>
    <w:rsid w:val="00207961"/>
    <w:rsid w:val="00207C44"/>
    <w:rsid w:val="00207DA4"/>
    <w:rsid w:val="002101D5"/>
    <w:rsid w:val="002102F6"/>
    <w:rsid w:val="0021047B"/>
    <w:rsid w:val="002116B5"/>
    <w:rsid w:val="00211AC1"/>
    <w:rsid w:val="00211F7F"/>
    <w:rsid w:val="002122BA"/>
    <w:rsid w:val="002122BE"/>
    <w:rsid w:val="00212479"/>
    <w:rsid w:val="00212719"/>
    <w:rsid w:val="00212785"/>
    <w:rsid w:val="00212FC1"/>
    <w:rsid w:val="00213512"/>
    <w:rsid w:val="00213AA6"/>
    <w:rsid w:val="00213C56"/>
    <w:rsid w:val="0021404C"/>
    <w:rsid w:val="002140A6"/>
    <w:rsid w:val="00215750"/>
    <w:rsid w:val="00215758"/>
    <w:rsid w:val="00215923"/>
    <w:rsid w:val="0021650D"/>
    <w:rsid w:val="002165EC"/>
    <w:rsid w:val="00217020"/>
    <w:rsid w:val="002170EE"/>
    <w:rsid w:val="0021781A"/>
    <w:rsid w:val="00217BD8"/>
    <w:rsid w:val="00217BEF"/>
    <w:rsid w:val="00217E4F"/>
    <w:rsid w:val="002205AC"/>
    <w:rsid w:val="00220626"/>
    <w:rsid w:val="00220C70"/>
    <w:rsid w:val="00220DF4"/>
    <w:rsid w:val="00220F28"/>
    <w:rsid w:val="00220F43"/>
    <w:rsid w:val="00221F32"/>
    <w:rsid w:val="00221FE5"/>
    <w:rsid w:val="0022229C"/>
    <w:rsid w:val="00222955"/>
    <w:rsid w:val="00222D04"/>
    <w:rsid w:val="0022319F"/>
    <w:rsid w:val="002234E9"/>
    <w:rsid w:val="00223688"/>
    <w:rsid w:val="002241BD"/>
    <w:rsid w:val="00224A46"/>
    <w:rsid w:val="002251D5"/>
    <w:rsid w:val="0022660C"/>
    <w:rsid w:val="0023066D"/>
    <w:rsid w:val="00230679"/>
    <w:rsid w:val="0023069F"/>
    <w:rsid w:val="002308C5"/>
    <w:rsid w:val="00231CCA"/>
    <w:rsid w:val="00233DB2"/>
    <w:rsid w:val="00233DE7"/>
    <w:rsid w:val="00233DF9"/>
    <w:rsid w:val="00234EE0"/>
    <w:rsid w:val="00235050"/>
    <w:rsid w:val="00235A03"/>
    <w:rsid w:val="00235EA8"/>
    <w:rsid w:val="002362B3"/>
    <w:rsid w:val="00236A4F"/>
    <w:rsid w:val="00236EE8"/>
    <w:rsid w:val="0024044E"/>
    <w:rsid w:val="002409C0"/>
    <w:rsid w:val="002410C9"/>
    <w:rsid w:val="00241420"/>
    <w:rsid w:val="0024200C"/>
    <w:rsid w:val="002436C0"/>
    <w:rsid w:val="0024384A"/>
    <w:rsid w:val="00243E34"/>
    <w:rsid w:val="00243E3F"/>
    <w:rsid w:val="00243E82"/>
    <w:rsid w:val="00243F09"/>
    <w:rsid w:val="00244027"/>
    <w:rsid w:val="00245014"/>
    <w:rsid w:val="002451CF"/>
    <w:rsid w:val="00245599"/>
    <w:rsid w:val="00245E8C"/>
    <w:rsid w:val="00246012"/>
    <w:rsid w:val="00246F6E"/>
    <w:rsid w:val="00247091"/>
    <w:rsid w:val="00247541"/>
    <w:rsid w:val="00250389"/>
    <w:rsid w:val="00250AD6"/>
    <w:rsid w:val="00250CC0"/>
    <w:rsid w:val="0025149D"/>
    <w:rsid w:val="00251553"/>
    <w:rsid w:val="0025178C"/>
    <w:rsid w:val="002517EF"/>
    <w:rsid w:val="0025228A"/>
    <w:rsid w:val="00254339"/>
    <w:rsid w:val="00254490"/>
    <w:rsid w:val="002547E4"/>
    <w:rsid w:val="00255472"/>
    <w:rsid w:val="00255676"/>
    <w:rsid w:val="0025630A"/>
    <w:rsid w:val="002567B1"/>
    <w:rsid w:val="00256BED"/>
    <w:rsid w:val="00256D09"/>
    <w:rsid w:val="002573A1"/>
    <w:rsid w:val="00257A1C"/>
    <w:rsid w:val="00257D90"/>
    <w:rsid w:val="0026175A"/>
    <w:rsid w:val="002617E3"/>
    <w:rsid w:val="00261A49"/>
    <w:rsid w:val="00262A2B"/>
    <w:rsid w:val="00262DA5"/>
    <w:rsid w:val="002630E8"/>
    <w:rsid w:val="00263671"/>
    <w:rsid w:val="00263750"/>
    <w:rsid w:val="00263C5C"/>
    <w:rsid w:val="00263D6C"/>
    <w:rsid w:val="00264B5E"/>
    <w:rsid w:val="00264C53"/>
    <w:rsid w:val="00264DC9"/>
    <w:rsid w:val="002651ED"/>
    <w:rsid w:val="002654CD"/>
    <w:rsid w:val="00265519"/>
    <w:rsid w:val="002659B2"/>
    <w:rsid w:val="00266FB5"/>
    <w:rsid w:val="00267B1F"/>
    <w:rsid w:val="00270075"/>
    <w:rsid w:val="00270A4B"/>
    <w:rsid w:val="00270EAF"/>
    <w:rsid w:val="00271D36"/>
    <w:rsid w:val="002722F7"/>
    <w:rsid w:val="002727D7"/>
    <w:rsid w:val="002728DE"/>
    <w:rsid w:val="00272DCA"/>
    <w:rsid w:val="00272F36"/>
    <w:rsid w:val="00273B01"/>
    <w:rsid w:val="00274266"/>
    <w:rsid w:val="00274361"/>
    <w:rsid w:val="002743D0"/>
    <w:rsid w:val="00274CFB"/>
    <w:rsid w:val="00275099"/>
    <w:rsid w:val="00275395"/>
    <w:rsid w:val="00275C63"/>
    <w:rsid w:val="00275CA9"/>
    <w:rsid w:val="00275FC3"/>
    <w:rsid w:val="0027612B"/>
    <w:rsid w:val="00276F67"/>
    <w:rsid w:val="002775D4"/>
    <w:rsid w:val="00277C89"/>
    <w:rsid w:val="00277E95"/>
    <w:rsid w:val="00280514"/>
    <w:rsid w:val="00280EF2"/>
    <w:rsid w:val="00281A2E"/>
    <w:rsid w:val="00281BC4"/>
    <w:rsid w:val="00281E2B"/>
    <w:rsid w:val="00281E37"/>
    <w:rsid w:val="00283336"/>
    <w:rsid w:val="00283521"/>
    <w:rsid w:val="0028397B"/>
    <w:rsid w:val="00283F11"/>
    <w:rsid w:val="00283FBB"/>
    <w:rsid w:val="00284307"/>
    <w:rsid w:val="0028437B"/>
    <w:rsid w:val="00284716"/>
    <w:rsid w:val="0028487C"/>
    <w:rsid w:val="00284D2D"/>
    <w:rsid w:val="00285DC9"/>
    <w:rsid w:val="00286073"/>
    <w:rsid w:val="002869DA"/>
    <w:rsid w:val="00287502"/>
    <w:rsid w:val="00287A67"/>
    <w:rsid w:val="00291275"/>
    <w:rsid w:val="002913C9"/>
    <w:rsid w:val="0029143F"/>
    <w:rsid w:val="00291855"/>
    <w:rsid w:val="00291EDC"/>
    <w:rsid w:val="002924AC"/>
    <w:rsid w:val="002925EA"/>
    <w:rsid w:val="0029344B"/>
    <w:rsid w:val="00293F1E"/>
    <w:rsid w:val="002940E0"/>
    <w:rsid w:val="002943E6"/>
    <w:rsid w:val="002949B1"/>
    <w:rsid w:val="00294C31"/>
    <w:rsid w:val="0029509D"/>
    <w:rsid w:val="002953C9"/>
    <w:rsid w:val="00295AC0"/>
    <w:rsid w:val="00295F3C"/>
    <w:rsid w:val="00295F64"/>
    <w:rsid w:val="00296242"/>
    <w:rsid w:val="002975A9"/>
    <w:rsid w:val="00297E64"/>
    <w:rsid w:val="002A0F03"/>
    <w:rsid w:val="002A140C"/>
    <w:rsid w:val="002A174A"/>
    <w:rsid w:val="002A288A"/>
    <w:rsid w:val="002A31EB"/>
    <w:rsid w:val="002A390A"/>
    <w:rsid w:val="002A399A"/>
    <w:rsid w:val="002A3AE1"/>
    <w:rsid w:val="002A3E84"/>
    <w:rsid w:val="002A42BB"/>
    <w:rsid w:val="002A4F55"/>
    <w:rsid w:val="002A518C"/>
    <w:rsid w:val="002A54F6"/>
    <w:rsid w:val="002A56B1"/>
    <w:rsid w:val="002A5B12"/>
    <w:rsid w:val="002A5B29"/>
    <w:rsid w:val="002A5C79"/>
    <w:rsid w:val="002A63AF"/>
    <w:rsid w:val="002A6B3F"/>
    <w:rsid w:val="002A6BBE"/>
    <w:rsid w:val="002A6C60"/>
    <w:rsid w:val="002A72CC"/>
    <w:rsid w:val="002A7421"/>
    <w:rsid w:val="002A743A"/>
    <w:rsid w:val="002A7A7E"/>
    <w:rsid w:val="002A7E69"/>
    <w:rsid w:val="002B08DB"/>
    <w:rsid w:val="002B0AB3"/>
    <w:rsid w:val="002B0B70"/>
    <w:rsid w:val="002B1106"/>
    <w:rsid w:val="002B1444"/>
    <w:rsid w:val="002B1689"/>
    <w:rsid w:val="002B181D"/>
    <w:rsid w:val="002B1AC6"/>
    <w:rsid w:val="002B2A84"/>
    <w:rsid w:val="002B2CA3"/>
    <w:rsid w:val="002B2FC7"/>
    <w:rsid w:val="002B305F"/>
    <w:rsid w:val="002B41D3"/>
    <w:rsid w:val="002B4D74"/>
    <w:rsid w:val="002B5567"/>
    <w:rsid w:val="002B5614"/>
    <w:rsid w:val="002B5AC0"/>
    <w:rsid w:val="002B5D64"/>
    <w:rsid w:val="002B6189"/>
    <w:rsid w:val="002C0016"/>
    <w:rsid w:val="002C0128"/>
    <w:rsid w:val="002C0176"/>
    <w:rsid w:val="002C0289"/>
    <w:rsid w:val="002C0B8B"/>
    <w:rsid w:val="002C1301"/>
    <w:rsid w:val="002C1842"/>
    <w:rsid w:val="002C2306"/>
    <w:rsid w:val="002C2619"/>
    <w:rsid w:val="002C290F"/>
    <w:rsid w:val="002C2C6C"/>
    <w:rsid w:val="002C2DD0"/>
    <w:rsid w:val="002C41EA"/>
    <w:rsid w:val="002C46E2"/>
    <w:rsid w:val="002C4926"/>
    <w:rsid w:val="002C4B3B"/>
    <w:rsid w:val="002C58FC"/>
    <w:rsid w:val="002C595B"/>
    <w:rsid w:val="002C5DE4"/>
    <w:rsid w:val="002C73FE"/>
    <w:rsid w:val="002D0456"/>
    <w:rsid w:val="002D06FF"/>
    <w:rsid w:val="002D0DF0"/>
    <w:rsid w:val="002D1AF1"/>
    <w:rsid w:val="002D23EF"/>
    <w:rsid w:val="002D2FF6"/>
    <w:rsid w:val="002D3782"/>
    <w:rsid w:val="002D3B5F"/>
    <w:rsid w:val="002D3C87"/>
    <w:rsid w:val="002D3E05"/>
    <w:rsid w:val="002D5128"/>
    <w:rsid w:val="002D5183"/>
    <w:rsid w:val="002D5627"/>
    <w:rsid w:val="002D63FD"/>
    <w:rsid w:val="002D64B5"/>
    <w:rsid w:val="002D6935"/>
    <w:rsid w:val="002D6D2B"/>
    <w:rsid w:val="002D76AF"/>
    <w:rsid w:val="002D7831"/>
    <w:rsid w:val="002D785E"/>
    <w:rsid w:val="002E0123"/>
    <w:rsid w:val="002E0B49"/>
    <w:rsid w:val="002E1974"/>
    <w:rsid w:val="002E1A0E"/>
    <w:rsid w:val="002E1ABC"/>
    <w:rsid w:val="002E2DC9"/>
    <w:rsid w:val="002E3FF6"/>
    <w:rsid w:val="002E44E8"/>
    <w:rsid w:val="002E6B19"/>
    <w:rsid w:val="002E7136"/>
    <w:rsid w:val="002E723C"/>
    <w:rsid w:val="002E7C79"/>
    <w:rsid w:val="002F08B4"/>
    <w:rsid w:val="002F0E50"/>
    <w:rsid w:val="002F1144"/>
    <w:rsid w:val="002F1D92"/>
    <w:rsid w:val="002F1F76"/>
    <w:rsid w:val="002F2F96"/>
    <w:rsid w:val="002F317B"/>
    <w:rsid w:val="002F423B"/>
    <w:rsid w:val="002F495F"/>
    <w:rsid w:val="002F5268"/>
    <w:rsid w:val="002F541E"/>
    <w:rsid w:val="002F54F4"/>
    <w:rsid w:val="002F6613"/>
    <w:rsid w:val="002F6A8A"/>
    <w:rsid w:val="002F7DAA"/>
    <w:rsid w:val="003010C9"/>
    <w:rsid w:val="0030113F"/>
    <w:rsid w:val="0030159D"/>
    <w:rsid w:val="003018CC"/>
    <w:rsid w:val="003019EC"/>
    <w:rsid w:val="0030249E"/>
    <w:rsid w:val="00302619"/>
    <w:rsid w:val="003027A8"/>
    <w:rsid w:val="003028CC"/>
    <w:rsid w:val="00302BEC"/>
    <w:rsid w:val="00303E0E"/>
    <w:rsid w:val="00304214"/>
    <w:rsid w:val="003042CB"/>
    <w:rsid w:val="00304320"/>
    <w:rsid w:val="0030446F"/>
    <w:rsid w:val="00305259"/>
    <w:rsid w:val="00305BF9"/>
    <w:rsid w:val="00306017"/>
    <w:rsid w:val="00306078"/>
    <w:rsid w:val="0030636E"/>
    <w:rsid w:val="003065CA"/>
    <w:rsid w:val="00306CE9"/>
    <w:rsid w:val="00307C0E"/>
    <w:rsid w:val="00307FB8"/>
    <w:rsid w:val="00310731"/>
    <w:rsid w:val="00310DC2"/>
    <w:rsid w:val="003111BF"/>
    <w:rsid w:val="00311575"/>
    <w:rsid w:val="003119D8"/>
    <w:rsid w:val="00311AF2"/>
    <w:rsid w:val="00311D16"/>
    <w:rsid w:val="0031216C"/>
    <w:rsid w:val="0031271E"/>
    <w:rsid w:val="00312877"/>
    <w:rsid w:val="00313400"/>
    <w:rsid w:val="003139F5"/>
    <w:rsid w:val="00313A16"/>
    <w:rsid w:val="00313A1E"/>
    <w:rsid w:val="00313B38"/>
    <w:rsid w:val="00313BDA"/>
    <w:rsid w:val="00313CC9"/>
    <w:rsid w:val="00314634"/>
    <w:rsid w:val="003148DB"/>
    <w:rsid w:val="00315453"/>
    <w:rsid w:val="003166A1"/>
    <w:rsid w:val="00316D81"/>
    <w:rsid w:val="003175F3"/>
    <w:rsid w:val="00320830"/>
    <w:rsid w:val="00320DDE"/>
    <w:rsid w:val="00321E03"/>
    <w:rsid w:val="00322CBF"/>
    <w:rsid w:val="003232B0"/>
    <w:rsid w:val="00323324"/>
    <w:rsid w:val="0032359A"/>
    <w:rsid w:val="00324AE5"/>
    <w:rsid w:val="00325007"/>
    <w:rsid w:val="0032584B"/>
    <w:rsid w:val="00325955"/>
    <w:rsid w:val="00326598"/>
    <w:rsid w:val="0032666B"/>
    <w:rsid w:val="00326C32"/>
    <w:rsid w:val="00326F35"/>
    <w:rsid w:val="0032709A"/>
    <w:rsid w:val="0032734A"/>
    <w:rsid w:val="0032764C"/>
    <w:rsid w:val="00327C55"/>
    <w:rsid w:val="00327EE4"/>
    <w:rsid w:val="00330073"/>
    <w:rsid w:val="00330E18"/>
    <w:rsid w:val="00331325"/>
    <w:rsid w:val="00331E01"/>
    <w:rsid w:val="003321BE"/>
    <w:rsid w:val="003328EC"/>
    <w:rsid w:val="00332AE4"/>
    <w:rsid w:val="00332DF3"/>
    <w:rsid w:val="00332FEE"/>
    <w:rsid w:val="00333203"/>
    <w:rsid w:val="0033431B"/>
    <w:rsid w:val="00334B9C"/>
    <w:rsid w:val="003355EF"/>
    <w:rsid w:val="00336BD4"/>
    <w:rsid w:val="0033737D"/>
    <w:rsid w:val="00337457"/>
    <w:rsid w:val="003404EB"/>
    <w:rsid w:val="00341A3F"/>
    <w:rsid w:val="00341C24"/>
    <w:rsid w:val="00341FE3"/>
    <w:rsid w:val="003424E3"/>
    <w:rsid w:val="00343646"/>
    <w:rsid w:val="00344767"/>
    <w:rsid w:val="00344F7B"/>
    <w:rsid w:val="0034519F"/>
    <w:rsid w:val="003452A6"/>
    <w:rsid w:val="00345414"/>
    <w:rsid w:val="00346153"/>
    <w:rsid w:val="00346627"/>
    <w:rsid w:val="0034739B"/>
    <w:rsid w:val="00347681"/>
    <w:rsid w:val="0034797F"/>
    <w:rsid w:val="00350333"/>
    <w:rsid w:val="003519B2"/>
    <w:rsid w:val="00351FB6"/>
    <w:rsid w:val="00352D3D"/>
    <w:rsid w:val="00352EB8"/>
    <w:rsid w:val="003537D5"/>
    <w:rsid w:val="00354729"/>
    <w:rsid w:val="00354745"/>
    <w:rsid w:val="0035507E"/>
    <w:rsid w:val="003552A3"/>
    <w:rsid w:val="00355401"/>
    <w:rsid w:val="00355B46"/>
    <w:rsid w:val="0035622A"/>
    <w:rsid w:val="003566C6"/>
    <w:rsid w:val="00356F66"/>
    <w:rsid w:val="0035757C"/>
    <w:rsid w:val="003576DF"/>
    <w:rsid w:val="00360030"/>
    <w:rsid w:val="00360A04"/>
    <w:rsid w:val="003615DB"/>
    <w:rsid w:val="00361893"/>
    <w:rsid w:val="003619E7"/>
    <w:rsid w:val="00361ADB"/>
    <w:rsid w:val="003621DD"/>
    <w:rsid w:val="003622D7"/>
    <w:rsid w:val="003624C5"/>
    <w:rsid w:val="0036291A"/>
    <w:rsid w:val="00363DB3"/>
    <w:rsid w:val="00364A35"/>
    <w:rsid w:val="00364F88"/>
    <w:rsid w:val="00365086"/>
    <w:rsid w:val="00365313"/>
    <w:rsid w:val="00365EBE"/>
    <w:rsid w:val="00366807"/>
    <w:rsid w:val="00366E1D"/>
    <w:rsid w:val="00367EBF"/>
    <w:rsid w:val="003704E4"/>
    <w:rsid w:val="003708B2"/>
    <w:rsid w:val="0037243B"/>
    <w:rsid w:val="00372713"/>
    <w:rsid w:val="003734D3"/>
    <w:rsid w:val="00373548"/>
    <w:rsid w:val="0037384D"/>
    <w:rsid w:val="00373856"/>
    <w:rsid w:val="0037465F"/>
    <w:rsid w:val="003760F2"/>
    <w:rsid w:val="00376AB5"/>
    <w:rsid w:val="0037724F"/>
    <w:rsid w:val="00377267"/>
    <w:rsid w:val="00377781"/>
    <w:rsid w:val="003779DA"/>
    <w:rsid w:val="00377B28"/>
    <w:rsid w:val="00380A1F"/>
    <w:rsid w:val="00380AB5"/>
    <w:rsid w:val="00381555"/>
    <w:rsid w:val="00381FC7"/>
    <w:rsid w:val="00382235"/>
    <w:rsid w:val="0038252A"/>
    <w:rsid w:val="003825FB"/>
    <w:rsid w:val="00383E1F"/>
    <w:rsid w:val="0038438F"/>
    <w:rsid w:val="00384FD8"/>
    <w:rsid w:val="00385082"/>
    <w:rsid w:val="003868D4"/>
    <w:rsid w:val="003871A5"/>
    <w:rsid w:val="003871FC"/>
    <w:rsid w:val="00387713"/>
    <w:rsid w:val="00387C5C"/>
    <w:rsid w:val="00387EC3"/>
    <w:rsid w:val="00390764"/>
    <w:rsid w:val="00390B35"/>
    <w:rsid w:val="0039205C"/>
    <w:rsid w:val="00392878"/>
    <w:rsid w:val="00393718"/>
    <w:rsid w:val="00394699"/>
    <w:rsid w:val="00394F31"/>
    <w:rsid w:val="00395A17"/>
    <w:rsid w:val="003964C6"/>
    <w:rsid w:val="00396C8D"/>
    <w:rsid w:val="00396E25"/>
    <w:rsid w:val="0039707D"/>
    <w:rsid w:val="00397C26"/>
    <w:rsid w:val="00397C65"/>
    <w:rsid w:val="003A0525"/>
    <w:rsid w:val="003A09B9"/>
    <w:rsid w:val="003A0A6C"/>
    <w:rsid w:val="003A134A"/>
    <w:rsid w:val="003A1987"/>
    <w:rsid w:val="003A1A4A"/>
    <w:rsid w:val="003A1B4D"/>
    <w:rsid w:val="003A24C4"/>
    <w:rsid w:val="003A2B8B"/>
    <w:rsid w:val="003A3547"/>
    <w:rsid w:val="003A39EB"/>
    <w:rsid w:val="003A4623"/>
    <w:rsid w:val="003A55ED"/>
    <w:rsid w:val="003A5808"/>
    <w:rsid w:val="003A6A0A"/>
    <w:rsid w:val="003A6A66"/>
    <w:rsid w:val="003A7302"/>
    <w:rsid w:val="003A762F"/>
    <w:rsid w:val="003A79FC"/>
    <w:rsid w:val="003B0132"/>
    <w:rsid w:val="003B0159"/>
    <w:rsid w:val="003B0536"/>
    <w:rsid w:val="003B09F9"/>
    <w:rsid w:val="003B0A6D"/>
    <w:rsid w:val="003B0C5A"/>
    <w:rsid w:val="003B0CC4"/>
    <w:rsid w:val="003B0EFC"/>
    <w:rsid w:val="003B2D59"/>
    <w:rsid w:val="003B37B7"/>
    <w:rsid w:val="003B3FC5"/>
    <w:rsid w:val="003B46EF"/>
    <w:rsid w:val="003B5055"/>
    <w:rsid w:val="003B53B4"/>
    <w:rsid w:val="003B56C0"/>
    <w:rsid w:val="003B5C2A"/>
    <w:rsid w:val="003B664E"/>
    <w:rsid w:val="003B6F13"/>
    <w:rsid w:val="003C008E"/>
    <w:rsid w:val="003C0349"/>
    <w:rsid w:val="003C0F2C"/>
    <w:rsid w:val="003C193C"/>
    <w:rsid w:val="003C1C26"/>
    <w:rsid w:val="003C1CFE"/>
    <w:rsid w:val="003C1E4C"/>
    <w:rsid w:val="003C2FA7"/>
    <w:rsid w:val="003C3112"/>
    <w:rsid w:val="003C3F03"/>
    <w:rsid w:val="003C4131"/>
    <w:rsid w:val="003C4467"/>
    <w:rsid w:val="003C486A"/>
    <w:rsid w:val="003C4D5B"/>
    <w:rsid w:val="003C5114"/>
    <w:rsid w:val="003C5191"/>
    <w:rsid w:val="003C5284"/>
    <w:rsid w:val="003C52AB"/>
    <w:rsid w:val="003C5351"/>
    <w:rsid w:val="003C5DD4"/>
    <w:rsid w:val="003C663F"/>
    <w:rsid w:val="003C6A39"/>
    <w:rsid w:val="003C6C3C"/>
    <w:rsid w:val="003C6F98"/>
    <w:rsid w:val="003C7596"/>
    <w:rsid w:val="003C7DEE"/>
    <w:rsid w:val="003D00BF"/>
    <w:rsid w:val="003D05B7"/>
    <w:rsid w:val="003D0EDB"/>
    <w:rsid w:val="003D174B"/>
    <w:rsid w:val="003D1B41"/>
    <w:rsid w:val="003D2C2C"/>
    <w:rsid w:val="003D2D8A"/>
    <w:rsid w:val="003D3635"/>
    <w:rsid w:val="003D405F"/>
    <w:rsid w:val="003D477B"/>
    <w:rsid w:val="003D4A1A"/>
    <w:rsid w:val="003D57C9"/>
    <w:rsid w:val="003D64E8"/>
    <w:rsid w:val="003D658E"/>
    <w:rsid w:val="003D6590"/>
    <w:rsid w:val="003D6A0E"/>
    <w:rsid w:val="003D7426"/>
    <w:rsid w:val="003D789B"/>
    <w:rsid w:val="003D78A3"/>
    <w:rsid w:val="003D7B55"/>
    <w:rsid w:val="003E0CE6"/>
    <w:rsid w:val="003E0DB3"/>
    <w:rsid w:val="003E215F"/>
    <w:rsid w:val="003E26C9"/>
    <w:rsid w:val="003E38B7"/>
    <w:rsid w:val="003E43BD"/>
    <w:rsid w:val="003E47C0"/>
    <w:rsid w:val="003E4CDD"/>
    <w:rsid w:val="003E55C5"/>
    <w:rsid w:val="003E587F"/>
    <w:rsid w:val="003E5EAD"/>
    <w:rsid w:val="003E7183"/>
    <w:rsid w:val="003E788E"/>
    <w:rsid w:val="003E7D6C"/>
    <w:rsid w:val="003E7F5B"/>
    <w:rsid w:val="003F02BC"/>
    <w:rsid w:val="003F04E1"/>
    <w:rsid w:val="003F0C10"/>
    <w:rsid w:val="003F1354"/>
    <w:rsid w:val="003F1519"/>
    <w:rsid w:val="003F1794"/>
    <w:rsid w:val="003F2469"/>
    <w:rsid w:val="003F24A1"/>
    <w:rsid w:val="003F392E"/>
    <w:rsid w:val="003F3C59"/>
    <w:rsid w:val="003F3EB9"/>
    <w:rsid w:val="003F4519"/>
    <w:rsid w:val="003F453E"/>
    <w:rsid w:val="003F4BBD"/>
    <w:rsid w:val="003F53A7"/>
    <w:rsid w:val="003F601D"/>
    <w:rsid w:val="003F6EB4"/>
    <w:rsid w:val="003F72D5"/>
    <w:rsid w:val="003F7A69"/>
    <w:rsid w:val="00400082"/>
    <w:rsid w:val="0040087D"/>
    <w:rsid w:val="004021DC"/>
    <w:rsid w:val="00402638"/>
    <w:rsid w:val="0040316F"/>
    <w:rsid w:val="00403976"/>
    <w:rsid w:val="00404502"/>
    <w:rsid w:val="0040450C"/>
    <w:rsid w:val="00404AFC"/>
    <w:rsid w:val="00405705"/>
    <w:rsid w:val="0040614F"/>
    <w:rsid w:val="00406CD9"/>
    <w:rsid w:val="00406F8A"/>
    <w:rsid w:val="004071D4"/>
    <w:rsid w:val="004106AE"/>
    <w:rsid w:val="004108CC"/>
    <w:rsid w:val="00411BC6"/>
    <w:rsid w:val="004120A0"/>
    <w:rsid w:val="00412FA8"/>
    <w:rsid w:val="004133D1"/>
    <w:rsid w:val="004138C2"/>
    <w:rsid w:val="004138CF"/>
    <w:rsid w:val="00414056"/>
    <w:rsid w:val="00414073"/>
    <w:rsid w:val="004149E5"/>
    <w:rsid w:val="00414CB5"/>
    <w:rsid w:val="00415311"/>
    <w:rsid w:val="0041595F"/>
    <w:rsid w:val="00415F80"/>
    <w:rsid w:val="00416110"/>
    <w:rsid w:val="00417231"/>
    <w:rsid w:val="00420404"/>
    <w:rsid w:val="00420428"/>
    <w:rsid w:val="004204B6"/>
    <w:rsid w:val="00420540"/>
    <w:rsid w:val="00420EC3"/>
    <w:rsid w:val="0042186F"/>
    <w:rsid w:val="00421A9E"/>
    <w:rsid w:val="00421B4C"/>
    <w:rsid w:val="00421BEA"/>
    <w:rsid w:val="00421CCF"/>
    <w:rsid w:val="0042295D"/>
    <w:rsid w:val="00422CDE"/>
    <w:rsid w:val="00422D40"/>
    <w:rsid w:val="00423E4B"/>
    <w:rsid w:val="00423E8B"/>
    <w:rsid w:val="00423F89"/>
    <w:rsid w:val="004248B2"/>
    <w:rsid w:val="004249E1"/>
    <w:rsid w:val="00424B63"/>
    <w:rsid w:val="00424C08"/>
    <w:rsid w:val="00424D02"/>
    <w:rsid w:val="00424FCD"/>
    <w:rsid w:val="00425805"/>
    <w:rsid w:val="00426620"/>
    <w:rsid w:val="00426853"/>
    <w:rsid w:val="00426A4D"/>
    <w:rsid w:val="00426B60"/>
    <w:rsid w:val="0043072B"/>
    <w:rsid w:val="00430E95"/>
    <w:rsid w:val="0043146B"/>
    <w:rsid w:val="004318A7"/>
    <w:rsid w:val="0043195D"/>
    <w:rsid w:val="00431A98"/>
    <w:rsid w:val="00431CB3"/>
    <w:rsid w:val="00433618"/>
    <w:rsid w:val="00433FF2"/>
    <w:rsid w:val="00434011"/>
    <w:rsid w:val="004343FC"/>
    <w:rsid w:val="00434714"/>
    <w:rsid w:val="004349A5"/>
    <w:rsid w:val="00434D0E"/>
    <w:rsid w:val="00436053"/>
    <w:rsid w:val="0043673B"/>
    <w:rsid w:val="00437B59"/>
    <w:rsid w:val="00437C67"/>
    <w:rsid w:val="00437F05"/>
    <w:rsid w:val="0044004A"/>
    <w:rsid w:val="00440810"/>
    <w:rsid w:val="0044199D"/>
    <w:rsid w:val="0044221A"/>
    <w:rsid w:val="004424B9"/>
    <w:rsid w:val="00442866"/>
    <w:rsid w:val="00442BA9"/>
    <w:rsid w:val="00442C57"/>
    <w:rsid w:val="00444076"/>
    <w:rsid w:val="0044436A"/>
    <w:rsid w:val="004445B5"/>
    <w:rsid w:val="004450BC"/>
    <w:rsid w:val="0044615F"/>
    <w:rsid w:val="00446362"/>
    <w:rsid w:val="0044636E"/>
    <w:rsid w:val="0044651D"/>
    <w:rsid w:val="004467D7"/>
    <w:rsid w:val="00446D60"/>
    <w:rsid w:val="004477A4"/>
    <w:rsid w:val="0044788F"/>
    <w:rsid w:val="0045103A"/>
    <w:rsid w:val="00451452"/>
    <w:rsid w:val="00451F7B"/>
    <w:rsid w:val="00452275"/>
    <w:rsid w:val="004525FF"/>
    <w:rsid w:val="004526DB"/>
    <w:rsid w:val="00454378"/>
    <w:rsid w:val="00454747"/>
    <w:rsid w:val="00454944"/>
    <w:rsid w:val="00454BFE"/>
    <w:rsid w:val="00455015"/>
    <w:rsid w:val="004555F9"/>
    <w:rsid w:val="00455643"/>
    <w:rsid w:val="00455782"/>
    <w:rsid w:val="0045587B"/>
    <w:rsid w:val="004566F7"/>
    <w:rsid w:val="00456968"/>
    <w:rsid w:val="00456FD0"/>
    <w:rsid w:val="004576EF"/>
    <w:rsid w:val="004577A2"/>
    <w:rsid w:val="00457839"/>
    <w:rsid w:val="00457854"/>
    <w:rsid w:val="00460F68"/>
    <w:rsid w:val="00462718"/>
    <w:rsid w:val="004629DC"/>
    <w:rsid w:val="004635A9"/>
    <w:rsid w:val="004636B4"/>
    <w:rsid w:val="00463FE3"/>
    <w:rsid w:val="00464771"/>
    <w:rsid w:val="00464CB7"/>
    <w:rsid w:val="00464ECE"/>
    <w:rsid w:val="00465125"/>
    <w:rsid w:val="0046512D"/>
    <w:rsid w:val="00465D17"/>
    <w:rsid w:val="00466A15"/>
    <w:rsid w:val="00466EB9"/>
    <w:rsid w:val="004670C7"/>
    <w:rsid w:val="00467829"/>
    <w:rsid w:val="00467CFB"/>
    <w:rsid w:val="00470781"/>
    <w:rsid w:val="00470BD4"/>
    <w:rsid w:val="00470E33"/>
    <w:rsid w:val="00471508"/>
    <w:rsid w:val="0047202B"/>
    <w:rsid w:val="00472A63"/>
    <w:rsid w:val="00473361"/>
    <w:rsid w:val="0047420D"/>
    <w:rsid w:val="0047496A"/>
    <w:rsid w:val="00475000"/>
    <w:rsid w:val="004750B2"/>
    <w:rsid w:val="0047564A"/>
    <w:rsid w:val="00475F41"/>
    <w:rsid w:val="00476796"/>
    <w:rsid w:val="004771C7"/>
    <w:rsid w:val="0047733D"/>
    <w:rsid w:val="004778D5"/>
    <w:rsid w:val="00477902"/>
    <w:rsid w:val="00477D5C"/>
    <w:rsid w:val="00480EDA"/>
    <w:rsid w:val="00480F9B"/>
    <w:rsid w:val="0048222B"/>
    <w:rsid w:val="00482282"/>
    <w:rsid w:val="004823F6"/>
    <w:rsid w:val="0048250A"/>
    <w:rsid w:val="00482704"/>
    <w:rsid w:val="00482E15"/>
    <w:rsid w:val="00482FE8"/>
    <w:rsid w:val="00484766"/>
    <w:rsid w:val="00485D1B"/>
    <w:rsid w:val="00487DC8"/>
    <w:rsid w:val="00490339"/>
    <w:rsid w:val="00490A50"/>
    <w:rsid w:val="00490B6C"/>
    <w:rsid w:val="00491565"/>
    <w:rsid w:val="00491E1D"/>
    <w:rsid w:val="00493479"/>
    <w:rsid w:val="00493C32"/>
    <w:rsid w:val="00494469"/>
    <w:rsid w:val="00494B37"/>
    <w:rsid w:val="00494C69"/>
    <w:rsid w:val="0049577F"/>
    <w:rsid w:val="00495D9D"/>
    <w:rsid w:val="00495F33"/>
    <w:rsid w:val="00495F3E"/>
    <w:rsid w:val="00496F11"/>
    <w:rsid w:val="00496F6C"/>
    <w:rsid w:val="0049799B"/>
    <w:rsid w:val="004A0276"/>
    <w:rsid w:val="004A0F88"/>
    <w:rsid w:val="004A1053"/>
    <w:rsid w:val="004A1CD2"/>
    <w:rsid w:val="004A28F9"/>
    <w:rsid w:val="004A34FE"/>
    <w:rsid w:val="004A39F8"/>
    <w:rsid w:val="004A40DE"/>
    <w:rsid w:val="004A4C1B"/>
    <w:rsid w:val="004A5241"/>
    <w:rsid w:val="004A648E"/>
    <w:rsid w:val="004A6BA6"/>
    <w:rsid w:val="004A758D"/>
    <w:rsid w:val="004B0785"/>
    <w:rsid w:val="004B1472"/>
    <w:rsid w:val="004B1591"/>
    <w:rsid w:val="004B27B3"/>
    <w:rsid w:val="004B29CC"/>
    <w:rsid w:val="004B2AA3"/>
    <w:rsid w:val="004B2F4D"/>
    <w:rsid w:val="004B3518"/>
    <w:rsid w:val="004B392D"/>
    <w:rsid w:val="004B4BE1"/>
    <w:rsid w:val="004B5000"/>
    <w:rsid w:val="004B500B"/>
    <w:rsid w:val="004B55ED"/>
    <w:rsid w:val="004B6133"/>
    <w:rsid w:val="004B62BE"/>
    <w:rsid w:val="004B664B"/>
    <w:rsid w:val="004B7C30"/>
    <w:rsid w:val="004B7D17"/>
    <w:rsid w:val="004B7D44"/>
    <w:rsid w:val="004C03DD"/>
    <w:rsid w:val="004C0FAC"/>
    <w:rsid w:val="004C110C"/>
    <w:rsid w:val="004C1846"/>
    <w:rsid w:val="004C24A2"/>
    <w:rsid w:val="004C2755"/>
    <w:rsid w:val="004C27C4"/>
    <w:rsid w:val="004C27EF"/>
    <w:rsid w:val="004C2C04"/>
    <w:rsid w:val="004C3746"/>
    <w:rsid w:val="004C3BD1"/>
    <w:rsid w:val="004C3C3A"/>
    <w:rsid w:val="004C46BC"/>
    <w:rsid w:val="004C4A21"/>
    <w:rsid w:val="004C514E"/>
    <w:rsid w:val="004C531D"/>
    <w:rsid w:val="004C584B"/>
    <w:rsid w:val="004C5ACB"/>
    <w:rsid w:val="004C6F09"/>
    <w:rsid w:val="004C7B7F"/>
    <w:rsid w:val="004D0126"/>
    <w:rsid w:val="004D08B2"/>
    <w:rsid w:val="004D0E4C"/>
    <w:rsid w:val="004D13E9"/>
    <w:rsid w:val="004D1F98"/>
    <w:rsid w:val="004D29C5"/>
    <w:rsid w:val="004D31F6"/>
    <w:rsid w:val="004D3546"/>
    <w:rsid w:val="004D4706"/>
    <w:rsid w:val="004D4C0F"/>
    <w:rsid w:val="004D4DF0"/>
    <w:rsid w:val="004D5986"/>
    <w:rsid w:val="004D5D7B"/>
    <w:rsid w:val="004D61AA"/>
    <w:rsid w:val="004D71E8"/>
    <w:rsid w:val="004D7271"/>
    <w:rsid w:val="004D74C2"/>
    <w:rsid w:val="004D7ABA"/>
    <w:rsid w:val="004D7B46"/>
    <w:rsid w:val="004D7C1F"/>
    <w:rsid w:val="004E03BF"/>
    <w:rsid w:val="004E0656"/>
    <w:rsid w:val="004E06C1"/>
    <w:rsid w:val="004E078C"/>
    <w:rsid w:val="004E079C"/>
    <w:rsid w:val="004E07C2"/>
    <w:rsid w:val="004E0C6B"/>
    <w:rsid w:val="004E11FC"/>
    <w:rsid w:val="004E167D"/>
    <w:rsid w:val="004E1718"/>
    <w:rsid w:val="004E2229"/>
    <w:rsid w:val="004E2570"/>
    <w:rsid w:val="004E2926"/>
    <w:rsid w:val="004E2A67"/>
    <w:rsid w:val="004E2C63"/>
    <w:rsid w:val="004E2EB5"/>
    <w:rsid w:val="004E3B1E"/>
    <w:rsid w:val="004E3FBA"/>
    <w:rsid w:val="004E4DA1"/>
    <w:rsid w:val="004E5987"/>
    <w:rsid w:val="004E5BD8"/>
    <w:rsid w:val="004E5D08"/>
    <w:rsid w:val="004E5DAE"/>
    <w:rsid w:val="004E673D"/>
    <w:rsid w:val="004E6860"/>
    <w:rsid w:val="004E6AF4"/>
    <w:rsid w:val="004E6B6C"/>
    <w:rsid w:val="004E700D"/>
    <w:rsid w:val="004E728C"/>
    <w:rsid w:val="004E7816"/>
    <w:rsid w:val="004E7DC2"/>
    <w:rsid w:val="004F0660"/>
    <w:rsid w:val="004F06A2"/>
    <w:rsid w:val="004F0889"/>
    <w:rsid w:val="004F2796"/>
    <w:rsid w:val="004F415D"/>
    <w:rsid w:val="004F528F"/>
    <w:rsid w:val="004F5545"/>
    <w:rsid w:val="004F5707"/>
    <w:rsid w:val="004F6084"/>
    <w:rsid w:val="004F65BE"/>
    <w:rsid w:val="00500038"/>
    <w:rsid w:val="0050077C"/>
    <w:rsid w:val="00500D04"/>
    <w:rsid w:val="00501364"/>
    <w:rsid w:val="00501445"/>
    <w:rsid w:val="005017A6"/>
    <w:rsid w:val="00501EE9"/>
    <w:rsid w:val="00502090"/>
    <w:rsid w:val="005023A4"/>
    <w:rsid w:val="005027F5"/>
    <w:rsid w:val="00502941"/>
    <w:rsid w:val="00502BAE"/>
    <w:rsid w:val="00502DCF"/>
    <w:rsid w:val="00503410"/>
    <w:rsid w:val="00503516"/>
    <w:rsid w:val="00504F7C"/>
    <w:rsid w:val="005061D4"/>
    <w:rsid w:val="00506B0A"/>
    <w:rsid w:val="0050727E"/>
    <w:rsid w:val="005077E9"/>
    <w:rsid w:val="00511B63"/>
    <w:rsid w:val="00511D2C"/>
    <w:rsid w:val="00511FB1"/>
    <w:rsid w:val="005129B8"/>
    <w:rsid w:val="0051323C"/>
    <w:rsid w:val="0051360E"/>
    <w:rsid w:val="005137B9"/>
    <w:rsid w:val="00515FA8"/>
    <w:rsid w:val="005163A1"/>
    <w:rsid w:val="005166E3"/>
    <w:rsid w:val="0051695E"/>
    <w:rsid w:val="00516B80"/>
    <w:rsid w:val="005170C8"/>
    <w:rsid w:val="00517609"/>
    <w:rsid w:val="00517617"/>
    <w:rsid w:val="005177DB"/>
    <w:rsid w:val="00517C7C"/>
    <w:rsid w:val="00517D16"/>
    <w:rsid w:val="00517F14"/>
    <w:rsid w:val="00522930"/>
    <w:rsid w:val="00523BFA"/>
    <w:rsid w:val="00523C0B"/>
    <w:rsid w:val="005249BA"/>
    <w:rsid w:val="00524C02"/>
    <w:rsid w:val="00524E87"/>
    <w:rsid w:val="005253F4"/>
    <w:rsid w:val="00525DC8"/>
    <w:rsid w:val="00526637"/>
    <w:rsid w:val="00527379"/>
    <w:rsid w:val="005277D7"/>
    <w:rsid w:val="00527E21"/>
    <w:rsid w:val="00527F2F"/>
    <w:rsid w:val="00530111"/>
    <w:rsid w:val="005308EC"/>
    <w:rsid w:val="00530D50"/>
    <w:rsid w:val="00531092"/>
    <w:rsid w:val="0053151B"/>
    <w:rsid w:val="00531535"/>
    <w:rsid w:val="00531804"/>
    <w:rsid w:val="0053196F"/>
    <w:rsid w:val="00531C86"/>
    <w:rsid w:val="00531E5A"/>
    <w:rsid w:val="00531EAE"/>
    <w:rsid w:val="0053208D"/>
    <w:rsid w:val="00532754"/>
    <w:rsid w:val="00533212"/>
    <w:rsid w:val="0053470C"/>
    <w:rsid w:val="005366C0"/>
    <w:rsid w:val="00536C40"/>
    <w:rsid w:val="005373F1"/>
    <w:rsid w:val="005373FB"/>
    <w:rsid w:val="005374DC"/>
    <w:rsid w:val="005379C6"/>
    <w:rsid w:val="00537EBB"/>
    <w:rsid w:val="00537F4E"/>
    <w:rsid w:val="00540702"/>
    <w:rsid w:val="00540AC9"/>
    <w:rsid w:val="00541165"/>
    <w:rsid w:val="00541316"/>
    <w:rsid w:val="00543737"/>
    <w:rsid w:val="005438F6"/>
    <w:rsid w:val="00543F31"/>
    <w:rsid w:val="0054529B"/>
    <w:rsid w:val="005471D0"/>
    <w:rsid w:val="00547654"/>
    <w:rsid w:val="00547B69"/>
    <w:rsid w:val="00550705"/>
    <w:rsid w:val="00550A13"/>
    <w:rsid w:val="0055141C"/>
    <w:rsid w:val="00551898"/>
    <w:rsid w:val="0055189C"/>
    <w:rsid w:val="005518D6"/>
    <w:rsid w:val="00552978"/>
    <w:rsid w:val="00552F1F"/>
    <w:rsid w:val="005531FA"/>
    <w:rsid w:val="005540B3"/>
    <w:rsid w:val="0055452D"/>
    <w:rsid w:val="00554CAE"/>
    <w:rsid w:val="00554D41"/>
    <w:rsid w:val="0055520F"/>
    <w:rsid w:val="00555211"/>
    <w:rsid w:val="00555873"/>
    <w:rsid w:val="00555AC5"/>
    <w:rsid w:val="00555F1F"/>
    <w:rsid w:val="00556722"/>
    <w:rsid w:val="005569CE"/>
    <w:rsid w:val="00557683"/>
    <w:rsid w:val="0056058A"/>
    <w:rsid w:val="00560733"/>
    <w:rsid w:val="00560A80"/>
    <w:rsid w:val="00561017"/>
    <w:rsid w:val="00561A38"/>
    <w:rsid w:val="00561E14"/>
    <w:rsid w:val="0056265F"/>
    <w:rsid w:val="00562FFB"/>
    <w:rsid w:val="005630B1"/>
    <w:rsid w:val="0056487A"/>
    <w:rsid w:val="005648C7"/>
    <w:rsid w:val="005649E7"/>
    <w:rsid w:val="005653D8"/>
    <w:rsid w:val="00565848"/>
    <w:rsid w:val="00565E0B"/>
    <w:rsid w:val="0056612D"/>
    <w:rsid w:val="00566688"/>
    <w:rsid w:val="00570265"/>
    <w:rsid w:val="005704DB"/>
    <w:rsid w:val="0057079C"/>
    <w:rsid w:val="0057083E"/>
    <w:rsid w:val="00570F66"/>
    <w:rsid w:val="00570FDE"/>
    <w:rsid w:val="00572430"/>
    <w:rsid w:val="005726DC"/>
    <w:rsid w:val="005727CB"/>
    <w:rsid w:val="00573B16"/>
    <w:rsid w:val="00573B85"/>
    <w:rsid w:val="00573EB8"/>
    <w:rsid w:val="005741A8"/>
    <w:rsid w:val="0057512E"/>
    <w:rsid w:val="0057526B"/>
    <w:rsid w:val="00575C09"/>
    <w:rsid w:val="00576584"/>
    <w:rsid w:val="00576992"/>
    <w:rsid w:val="00576B6D"/>
    <w:rsid w:val="00577166"/>
    <w:rsid w:val="00577587"/>
    <w:rsid w:val="00577BD6"/>
    <w:rsid w:val="0058047B"/>
    <w:rsid w:val="005818B3"/>
    <w:rsid w:val="00581B1E"/>
    <w:rsid w:val="00583C55"/>
    <w:rsid w:val="0058463D"/>
    <w:rsid w:val="00584E5F"/>
    <w:rsid w:val="00584EDB"/>
    <w:rsid w:val="005854E1"/>
    <w:rsid w:val="00585798"/>
    <w:rsid w:val="0058680E"/>
    <w:rsid w:val="00587712"/>
    <w:rsid w:val="005903CB"/>
    <w:rsid w:val="00592368"/>
    <w:rsid w:val="00592E8D"/>
    <w:rsid w:val="00593042"/>
    <w:rsid w:val="0059394B"/>
    <w:rsid w:val="00593C58"/>
    <w:rsid w:val="005940E9"/>
    <w:rsid w:val="00594132"/>
    <w:rsid w:val="005944A1"/>
    <w:rsid w:val="005949D9"/>
    <w:rsid w:val="00594A7F"/>
    <w:rsid w:val="00594C7A"/>
    <w:rsid w:val="00594D3D"/>
    <w:rsid w:val="00594EF9"/>
    <w:rsid w:val="00596116"/>
    <w:rsid w:val="00596627"/>
    <w:rsid w:val="0059696D"/>
    <w:rsid w:val="00596E8F"/>
    <w:rsid w:val="005975D1"/>
    <w:rsid w:val="00597D73"/>
    <w:rsid w:val="005A0343"/>
    <w:rsid w:val="005A057B"/>
    <w:rsid w:val="005A05AA"/>
    <w:rsid w:val="005A0B38"/>
    <w:rsid w:val="005A1E1A"/>
    <w:rsid w:val="005A1ECF"/>
    <w:rsid w:val="005A21B9"/>
    <w:rsid w:val="005A2601"/>
    <w:rsid w:val="005A29D5"/>
    <w:rsid w:val="005A2B98"/>
    <w:rsid w:val="005A3C33"/>
    <w:rsid w:val="005A4507"/>
    <w:rsid w:val="005A463F"/>
    <w:rsid w:val="005A47F2"/>
    <w:rsid w:val="005A5409"/>
    <w:rsid w:val="005A6508"/>
    <w:rsid w:val="005A6A64"/>
    <w:rsid w:val="005A7F70"/>
    <w:rsid w:val="005B0560"/>
    <w:rsid w:val="005B0B6D"/>
    <w:rsid w:val="005B147C"/>
    <w:rsid w:val="005B18EB"/>
    <w:rsid w:val="005B1921"/>
    <w:rsid w:val="005B1A6D"/>
    <w:rsid w:val="005B1E20"/>
    <w:rsid w:val="005B23B8"/>
    <w:rsid w:val="005B303A"/>
    <w:rsid w:val="005B32DA"/>
    <w:rsid w:val="005B33F7"/>
    <w:rsid w:val="005B3658"/>
    <w:rsid w:val="005B375F"/>
    <w:rsid w:val="005B37C7"/>
    <w:rsid w:val="005B3C0C"/>
    <w:rsid w:val="005B3CD7"/>
    <w:rsid w:val="005B4023"/>
    <w:rsid w:val="005B53D3"/>
    <w:rsid w:val="005B54ED"/>
    <w:rsid w:val="005B5951"/>
    <w:rsid w:val="005B6083"/>
    <w:rsid w:val="005B6982"/>
    <w:rsid w:val="005B6A13"/>
    <w:rsid w:val="005B6B9C"/>
    <w:rsid w:val="005B6DE9"/>
    <w:rsid w:val="005B7BB9"/>
    <w:rsid w:val="005B7DE4"/>
    <w:rsid w:val="005C042C"/>
    <w:rsid w:val="005C08FA"/>
    <w:rsid w:val="005C0A75"/>
    <w:rsid w:val="005C0D18"/>
    <w:rsid w:val="005C203E"/>
    <w:rsid w:val="005C3B13"/>
    <w:rsid w:val="005C4019"/>
    <w:rsid w:val="005C499D"/>
    <w:rsid w:val="005C4E35"/>
    <w:rsid w:val="005C570F"/>
    <w:rsid w:val="005C6016"/>
    <w:rsid w:val="005C67E5"/>
    <w:rsid w:val="005C69B1"/>
    <w:rsid w:val="005C6C36"/>
    <w:rsid w:val="005C6CF0"/>
    <w:rsid w:val="005C7C00"/>
    <w:rsid w:val="005D01BA"/>
    <w:rsid w:val="005D032E"/>
    <w:rsid w:val="005D0773"/>
    <w:rsid w:val="005D199D"/>
    <w:rsid w:val="005D1D49"/>
    <w:rsid w:val="005D245F"/>
    <w:rsid w:val="005D2C92"/>
    <w:rsid w:val="005D37EB"/>
    <w:rsid w:val="005D3BAD"/>
    <w:rsid w:val="005D3BB5"/>
    <w:rsid w:val="005D4600"/>
    <w:rsid w:val="005D464D"/>
    <w:rsid w:val="005D5208"/>
    <w:rsid w:val="005D5579"/>
    <w:rsid w:val="005D5815"/>
    <w:rsid w:val="005D5B31"/>
    <w:rsid w:val="005D63A6"/>
    <w:rsid w:val="005D6EB0"/>
    <w:rsid w:val="005D6EED"/>
    <w:rsid w:val="005D722B"/>
    <w:rsid w:val="005D7831"/>
    <w:rsid w:val="005D78CF"/>
    <w:rsid w:val="005E0F04"/>
    <w:rsid w:val="005E141E"/>
    <w:rsid w:val="005E1998"/>
    <w:rsid w:val="005E1AFD"/>
    <w:rsid w:val="005E25BD"/>
    <w:rsid w:val="005E2AF8"/>
    <w:rsid w:val="005E30F9"/>
    <w:rsid w:val="005E3833"/>
    <w:rsid w:val="005E39E3"/>
    <w:rsid w:val="005E42B1"/>
    <w:rsid w:val="005E4888"/>
    <w:rsid w:val="005E513D"/>
    <w:rsid w:val="005E69C9"/>
    <w:rsid w:val="005E7857"/>
    <w:rsid w:val="005E7992"/>
    <w:rsid w:val="005E7C51"/>
    <w:rsid w:val="005E7E87"/>
    <w:rsid w:val="005F003F"/>
    <w:rsid w:val="005F02CD"/>
    <w:rsid w:val="005F03D9"/>
    <w:rsid w:val="005F0C16"/>
    <w:rsid w:val="005F1EBB"/>
    <w:rsid w:val="005F224E"/>
    <w:rsid w:val="005F245F"/>
    <w:rsid w:val="005F297F"/>
    <w:rsid w:val="005F30ED"/>
    <w:rsid w:val="005F31B7"/>
    <w:rsid w:val="005F3710"/>
    <w:rsid w:val="005F4024"/>
    <w:rsid w:val="005F4D23"/>
    <w:rsid w:val="005F4E70"/>
    <w:rsid w:val="005F5386"/>
    <w:rsid w:val="005F59C8"/>
    <w:rsid w:val="005F5A71"/>
    <w:rsid w:val="005F5B00"/>
    <w:rsid w:val="005F61F0"/>
    <w:rsid w:val="005F6313"/>
    <w:rsid w:val="005F6502"/>
    <w:rsid w:val="005F75DE"/>
    <w:rsid w:val="005F7BE2"/>
    <w:rsid w:val="0060059F"/>
    <w:rsid w:val="00600ABF"/>
    <w:rsid w:val="00600BDC"/>
    <w:rsid w:val="00601375"/>
    <w:rsid w:val="006027E1"/>
    <w:rsid w:val="00602A57"/>
    <w:rsid w:val="00602F26"/>
    <w:rsid w:val="0060323E"/>
    <w:rsid w:val="006032E6"/>
    <w:rsid w:val="00603E98"/>
    <w:rsid w:val="00603F14"/>
    <w:rsid w:val="0060501A"/>
    <w:rsid w:val="00605DC7"/>
    <w:rsid w:val="00606904"/>
    <w:rsid w:val="00606B9A"/>
    <w:rsid w:val="00606F13"/>
    <w:rsid w:val="00607861"/>
    <w:rsid w:val="00607BEC"/>
    <w:rsid w:val="00610864"/>
    <w:rsid w:val="006109F5"/>
    <w:rsid w:val="00610FE7"/>
    <w:rsid w:val="00610FEE"/>
    <w:rsid w:val="006113CF"/>
    <w:rsid w:val="00611D5E"/>
    <w:rsid w:val="00611FE8"/>
    <w:rsid w:val="0061223C"/>
    <w:rsid w:val="00612B9E"/>
    <w:rsid w:val="006130F3"/>
    <w:rsid w:val="00613E00"/>
    <w:rsid w:val="006151E6"/>
    <w:rsid w:val="0061567C"/>
    <w:rsid w:val="006158B8"/>
    <w:rsid w:val="006159F3"/>
    <w:rsid w:val="00616182"/>
    <w:rsid w:val="006163A6"/>
    <w:rsid w:val="00616715"/>
    <w:rsid w:val="0061689E"/>
    <w:rsid w:val="00616DE0"/>
    <w:rsid w:val="00617233"/>
    <w:rsid w:val="00617BBB"/>
    <w:rsid w:val="00617D9B"/>
    <w:rsid w:val="00620973"/>
    <w:rsid w:val="006209E4"/>
    <w:rsid w:val="00621061"/>
    <w:rsid w:val="0062143D"/>
    <w:rsid w:val="00621495"/>
    <w:rsid w:val="006217B7"/>
    <w:rsid w:val="00622145"/>
    <w:rsid w:val="00622623"/>
    <w:rsid w:val="006226C8"/>
    <w:rsid w:val="00623382"/>
    <w:rsid w:val="00624B88"/>
    <w:rsid w:val="00624E17"/>
    <w:rsid w:val="00625772"/>
    <w:rsid w:val="006267EA"/>
    <w:rsid w:val="006267F2"/>
    <w:rsid w:val="00626A0F"/>
    <w:rsid w:val="00626D4D"/>
    <w:rsid w:val="006271D5"/>
    <w:rsid w:val="006273CB"/>
    <w:rsid w:val="0062774F"/>
    <w:rsid w:val="00627E36"/>
    <w:rsid w:val="006309F6"/>
    <w:rsid w:val="00630AC1"/>
    <w:rsid w:val="00630CB7"/>
    <w:rsid w:val="00630CB9"/>
    <w:rsid w:val="006318E1"/>
    <w:rsid w:val="00631B4E"/>
    <w:rsid w:val="00631B91"/>
    <w:rsid w:val="0063303C"/>
    <w:rsid w:val="00633118"/>
    <w:rsid w:val="00633779"/>
    <w:rsid w:val="00633AE8"/>
    <w:rsid w:val="00633E91"/>
    <w:rsid w:val="006340D8"/>
    <w:rsid w:val="00635F56"/>
    <w:rsid w:val="00636328"/>
    <w:rsid w:val="00636BB2"/>
    <w:rsid w:val="00636DAA"/>
    <w:rsid w:val="00636F8F"/>
    <w:rsid w:val="00637318"/>
    <w:rsid w:val="00637582"/>
    <w:rsid w:val="00637B64"/>
    <w:rsid w:val="00640559"/>
    <w:rsid w:val="0064110B"/>
    <w:rsid w:val="00642A9A"/>
    <w:rsid w:val="00642FD2"/>
    <w:rsid w:val="0064393A"/>
    <w:rsid w:val="00643E07"/>
    <w:rsid w:val="0064710E"/>
    <w:rsid w:val="006473FC"/>
    <w:rsid w:val="0064746A"/>
    <w:rsid w:val="00650149"/>
    <w:rsid w:val="0065062C"/>
    <w:rsid w:val="00651270"/>
    <w:rsid w:val="006516F1"/>
    <w:rsid w:val="00651F0F"/>
    <w:rsid w:val="006534B4"/>
    <w:rsid w:val="00655074"/>
    <w:rsid w:val="006552B8"/>
    <w:rsid w:val="00655836"/>
    <w:rsid w:val="006558FB"/>
    <w:rsid w:val="00656152"/>
    <w:rsid w:val="006562D4"/>
    <w:rsid w:val="006564C3"/>
    <w:rsid w:val="00656B84"/>
    <w:rsid w:val="006605B9"/>
    <w:rsid w:val="00660C6E"/>
    <w:rsid w:val="006613EA"/>
    <w:rsid w:val="006617B3"/>
    <w:rsid w:val="00661CA1"/>
    <w:rsid w:val="0066250B"/>
    <w:rsid w:val="00662BF2"/>
    <w:rsid w:val="00663846"/>
    <w:rsid w:val="00663F06"/>
    <w:rsid w:val="00663F2B"/>
    <w:rsid w:val="006640DA"/>
    <w:rsid w:val="00664773"/>
    <w:rsid w:val="00664EB5"/>
    <w:rsid w:val="006670D1"/>
    <w:rsid w:val="0066760F"/>
    <w:rsid w:val="00670075"/>
    <w:rsid w:val="006709A1"/>
    <w:rsid w:val="00670F9F"/>
    <w:rsid w:val="006716F1"/>
    <w:rsid w:val="00671AC2"/>
    <w:rsid w:val="00672901"/>
    <w:rsid w:val="00672B15"/>
    <w:rsid w:val="00672FB3"/>
    <w:rsid w:val="00672FB6"/>
    <w:rsid w:val="0067489C"/>
    <w:rsid w:val="00674C21"/>
    <w:rsid w:val="006755DC"/>
    <w:rsid w:val="0067573D"/>
    <w:rsid w:val="006757DC"/>
    <w:rsid w:val="006758A4"/>
    <w:rsid w:val="00675B93"/>
    <w:rsid w:val="00675E2D"/>
    <w:rsid w:val="00675EAB"/>
    <w:rsid w:val="00676034"/>
    <w:rsid w:val="0067694A"/>
    <w:rsid w:val="0067778B"/>
    <w:rsid w:val="006805E6"/>
    <w:rsid w:val="00680702"/>
    <w:rsid w:val="00680754"/>
    <w:rsid w:val="0068078D"/>
    <w:rsid w:val="006812DD"/>
    <w:rsid w:val="00681B71"/>
    <w:rsid w:val="00681FE8"/>
    <w:rsid w:val="006821DE"/>
    <w:rsid w:val="0068220B"/>
    <w:rsid w:val="006822FC"/>
    <w:rsid w:val="006827C1"/>
    <w:rsid w:val="00682BD0"/>
    <w:rsid w:val="00682CC0"/>
    <w:rsid w:val="00682DCA"/>
    <w:rsid w:val="00682F6F"/>
    <w:rsid w:val="00683C11"/>
    <w:rsid w:val="00683DCF"/>
    <w:rsid w:val="00684231"/>
    <w:rsid w:val="00684F5E"/>
    <w:rsid w:val="0068575E"/>
    <w:rsid w:val="00685FA4"/>
    <w:rsid w:val="0068633F"/>
    <w:rsid w:val="006864E4"/>
    <w:rsid w:val="00686505"/>
    <w:rsid w:val="00686EFC"/>
    <w:rsid w:val="006874AF"/>
    <w:rsid w:val="006875A5"/>
    <w:rsid w:val="00687B70"/>
    <w:rsid w:val="00687C51"/>
    <w:rsid w:val="006901CF"/>
    <w:rsid w:val="00690C18"/>
    <w:rsid w:val="00690F2B"/>
    <w:rsid w:val="006911DA"/>
    <w:rsid w:val="00691F3A"/>
    <w:rsid w:val="0069237B"/>
    <w:rsid w:val="00693A9B"/>
    <w:rsid w:val="00694345"/>
    <w:rsid w:val="00694899"/>
    <w:rsid w:val="0069659C"/>
    <w:rsid w:val="00696984"/>
    <w:rsid w:val="00697218"/>
    <w:rsid w:val="006976FA"/>
    <w:rsid w:val="00697CAD"/>
    <w:rsid w:val="006A0337"/>
    <w:rsid w:val="006A0719"/>
    <w:rsid w:val="006A0930"/>
    <w:rsid w:val="006A0E96"/>
    <w:rsid w:val="006A15BA"/>
    <w:rsid w:val="006A187B"/>
    <w:rsid w:val="006A1984"/>
    <w:rsid w:val="006A1B3D"/>
    <w:rsid w:val="006A1C8D"/>
    <w:rsid w:val="006A24F2"/>
    <w:rsid w:val="006A2558"/>
    <w:rsid w:val="006A279A"/>
    <w:rsid w:val="006A2838"/>
    <w:rsid w:val="006A2A57"/>
    <w:rsid w:val="006A2BCF"/>
    <w:rsid w:val="006A2F0F"/>
    <w:rsid w:val="006A39D6"/>
    <w:rsid w:val="006A3C3F"/>
    <w:rsid w:val="006A3FEA"/>
    <w:rsid w:val="006A4BEC"/>
    <w:rsid w:val="006A546A"/>
    <w:rsid w:val="006A5C7D"/>
    <w:rsid w:val="006A5D83"/>
    <w:rsid w:val="006A6306"/>
    <w:rsid w:val="006A6B10"/>
    <w:rsid w:val="006A7B59"/>
    <w:rsid w:val="006B0991"/>
    <w:rsid w:val="006B0A66"/>
    <w:rsid w:val="006B179A"/>
    <w:rsid w:val="006B220E"/>
    <w:rsid w:val="006B2402"/>
    <w:rsid w:val="006B2CC3"/>
    <w:rsid w:val="006B31DD"/>
    <w:rsid w:val="006B3558"/>
    <w:rsid w:val="006B3E64"/>
    <w:rsid w:val="006B3EA4"/>
    <w:rsid w:val="006B3F01"/>
    <w:rsid w:val="006B4EF9"/>
    <w:rsid w:val="006B5563"/>
    <w:rsid w:val="006B5985"/>
    <w:rsid w:val="006B5B5A"/>
    <w:rsid w:val="006B5DB2"/>
    <w:rsid w:val="006B6007"/>
    <w:rsid w:val="006B69A8"/>
    <w:rsid w:val="006B6FC1"/>
    <w:rsid w:val="006B7B10"/>
    <w:rsid w:val="006B7D3E"/>
    <w:rsid w:val="006C078B"/>
    <w:rsid w:val="006C0DEA"/>
    <w:rsid w:val="006C1CC5"/>
    <w:rsid w:val="006C20DF"/>
    <w:rsid w:val="006C271F"/>
    <w:rsid w:val="006C27B5"/>
    <w:rsid w:val="006C2915"/>
    <w:rsid w:val="006C3086"/>
    <w:rsid w:val="006C4A67"/>
    <w:rsid w:val="006C4AF8"/>
    <w:rsid w:val="006C5536"/>
    <w:rsid w:val="006C56A2"/>
    <w:rsid w:val="006C5AF1"/>
    <w:rsid w:val="006C5BDB"/>
    <w:rsid w:val="006C5C90"/>
    <w:rsid w:val="006C5D79"/>
    <w:rsid w:val="006C6A57"/>
    <w:rsid w:val="006C6AA5"/>
    <w:rsid w:val="006C7BAE"/>
    <w:rsid w:val="006C7C10"/>
    <w:rsid w:val="006C7D7C"/>
    <w:rsid w:val="006D08C9"/>
    <w:rsid w:val="006D1548"/>
    <w:rsid w:val="006D1A73"/>
    <w:rsid w:val="006D2ACD"/>
    <w:rsid w:val="006D353B"/>
    <w:rsid w:val="006D4A28"/>
    <w:rsid w:val="006D4E16"/>
    <w:rsid w:val="006D54FD"/>
    <w:rsid w:val="006D5D47"/>
    <w:rsid w:val="006D617A"/>
    <w:rsid w:val="006D634B"/>
    <w:rsid w:val="006D6C05"/>
    <w:rsid w:val="006D6CD0"/>
    <w:rsid w:val="006D6F4B"/>
    <w:rsid w:val="006D7347"/>
    <w:rsid w:val="006D7655"/>
    <w:rsid w:val="006D7AE6"/>
    <w:rsid w:val="006D7D55"/>
    <w:rsid w:val="006E009F"/>
    <w:rsid w:val="006E05E0"/>
    <w:rsid w:val="006E182F"/>
    <w:rsid w:val="006E222D"/>
    <w:rsid w:val="006E3921"/>
    <w:rsid w:val="006E3E53"/>
    <w:rsid w:val="006E42AC"/>
    <w:rsid w:val="006E5587"/>
    <w:rsid w:val="006E5FE3"/>
    <w:rsid w:val="006E6B52"/>
    <w:rsid w:val="006E78AA"/>
    <w:rsid w:val="006E7ABF"/>
    <w:rsid w:val="006E7CE7"/>
    <w:rsid w:val="006F01FE"/>
    <w:rsid w:val="006F0267"/>
    <w:rsid w:val="006F13FD"/>
    <w:rsid w:val="006F1C83"/>
    <w:rsid w:val="006F23E7"/>
    <w:rsid w:val="006F24C8"/>
    <w:rsid w:val="006F3311"/>
    <w:rsid w:val="006F36F1"/>
    <w:rsid w:val="006F4E5B"/>
    <w:rsid w:val="006F580D"/>
    <w:rsid w:val="006F5AFD"/>
    <w:rsid w:val="006F5C12"/>
    <w:rsid w:val="006F6F80"/>
    <w:rsid w:val="006F732D"/>
    <w:rsid w:val="00700457"/>
    <w:rsid w:val="007008C8"/>
    <w:rsid w:val="00701279"/>
    <w:rsid w:val="00701866"/>
    <w:rsid w:val="00702042"/>
    <w:rsid w:val="00702CED"/>
    <w:rsid w:val="00703112"/>
    <w:rsid w:val="00703318"/>
    <w:rsid w:val="00703C76"/>
    <w:rsid w:val="00703E3D"/>
    <w:rsid w:val="00703E88"/>
    <w:rsid w:val="0070517F"/>
    <w:rsid w:val="0070527E"/>
    <w:rsid w:val="00705377"/>
    <w:rsid w:val="0070726E"/>
    <w:rsid w:val="007076BA"/>
    <w:rsid w:val="007077B9"/>
    <w:rsid w:val="007079C5"/>
    <w:rsid w:val="007102FE"/>
    <w:rsid w:val="007107B7"/>
    <w:rsid w:val="00712563"/>
    <w:rsid w:val="007126D4"/>
    <w:rsid w:val="00712769"/>
    <w:rsid w:val="0071363C"/>
    <w:rsid w:val="00713C8F"/>
    <w:rsid w:val="007145DD"/>
    <w:rsid w:val="00714FA6"/>
    <w:rsid w:val="007153E5"/>
    <w:rsid w:val="00716E73"/>
    <w:rsid w:val="00717419"/>
    <w:rsid w:val="00717451"/>
    <w:rsid w:val="0072014D"/>
    <w:rsid w:val="0072032E"/>
    <w:rsid w:val="00720E9F"/>
    <w:rsid w:val="0072127A"/>
    <w:rsid w:val="0072211D"/>
    <w:rsid w:val="007224E8"/>
    <w:rsid w:val="00722DC0"/>
    <w:rsid w:val="007235D1"/>
    <w:rsid w:val="007236ED"/>
    <w:rsid w:val="007238A3"/>
    <w:rsid w:val="00724766"/>
    <w:rsid w:val="00724A67"/>
    <w:rsid w:val="00725839"/>
    <w:rsid w:val="007259DE"/>
    <w:rsid w:val="00725B93"/>
    <w:rsid w:val="00726595"/>
    <w:rsid w:val="00726676"/>
    <w:rsid w:val="00727009"/>
    <w:rsid w:val="00727B83"/>
    <w:rsid w:val="0073058F"/>
    <w:rsid w:val="00730F16"/>
    <w:rsid w:val="0073148C"/>
    <w:rsid w:val="00731AED"/>
    <w:rsid w:val="00731DB8"/>
    <w:rsid w:val="00731ED1"/>
    <w:rsid w:val="00732386"/>
    <w:rsid w:val="00732781"/>
    <w:rsid w:val="00732942"/>
    <w:rsid w:val="00733858"/>
    <w:rsid w:val="0073389E"/>
    <w:rsid w:val="007339A3"/>
    <w:rsid w:val="00734FCA"/>
    <w:rsid w:val="007365C6"/>
    <w:rsid w:val="00736641"/>
    <w:rsid w:val="0073677E"/>
    <w:rsid w:val="00736798"/>
    <w:rsid w:val="0074043B"/>
    <w:rsid w:val="0074121F"/>
    <w:rsid w:val="00742145"/>
    <w:rsid w:val="0074225E"/>
    <w:rsid w:val="00742C13"/>
    <w:rsid w:val="00743061"/>
    <w:rsid w:val="00743660"/>
    <w:rsid w:val="007436D7"/>
    <w:rsid w:val="0074399C"/>
    <w:rsid w:val="00743AEC"/>
    <w:rsid w:val="00743D2F"/>
    <w:rsid w:val="007449FF"/>
    <w:rsid w:val="00744AAF"/>
    <w:rsid w:val="00745B72"/>
    <w:rsid w:val="00746B7A"/>
    <w:rsid w:val="00747285"/>
    <w:rsid w:val="00747A40"/>
    <w:rsid w:val="0075017D"/>
    <w:rsid w:val="00750357"/>
    <w:rsid w:val="00750AB3"/>
    <w:rsid w:val="00751102"/>
    <w:rsid w:val="00751DC6"/>
    <w:rsid w:val="00752218"/>
    <w:rsid w:val="0075273D"/>
    <w:rsid w:val="00752950"/>
    <w:rsid w:val="007530EF"/>
    <w:rsid w:val="00753BB2"/>
    <w:rsid w:val="00754A8F"/>
    <w:rsid w:val="0075516F"/>
    <w:rsid w:val="00755780"/>
    <w:rsid w:val="00755BD5"/>
    <w:rsid w:val="00755ED2"/>
    <w:rsid w:val="00756063"/>
    <w:rsid w:val="00756E44"/>
    <w:rsid w:val="00757328"/>
    <w:rsid w:val="007575A0"/>
    <w:rsid w:val="00757FF3"/>
    <w:rsid w:val="0076006A"/>
    <w:rsid w:val="0076067F"/>
    <w:rsid w:val="00760823"/>
    <w:rsid w:val="00760D7F"/>
    <w:rsid w:val="00760E7F"/>
    <w:rsid w:val="007615EA"/>
    <w:rsid w:val="00762089"/>
    <w:rsid w:val="007620B5"/>
    <w:rsid w:val="007628C4"/>
    <w:rsid w:val="00762A2B"/>
    <w:rsid w:val="00762AF6"/>
    <w:rsid w:val="007633C0"/>
    <w:rsid w:val="00763A65"/>
    <w:rsid w:val="00763B8B"/>
    <w:rsid w:val="007643DD"/>
    <w:rsid w:val="007646C2"/>
    <w:rsid w:val="00764F79"/>
    <w:rsid w:val="00765226"/>
    <w:rsid w:val="007652B6"/>
    <w:rsid w:val="00766143"/>
    <w:rsid w:val="0076642A"/>
    <w:rsid w:val="007664DD"/>
    <w:rsid w:val="00766EA4"/>
    <w:rsid w:val="00770075"/>
    <w:rsid w:val="00771A4D"/>
    <w:rsid w:val="00771CB3"/>
    <w:rsid w:val="00772BF7"/>
    <w:rsid w:val="007739C8"/>
    <w:rsid w:val="00773A09"/>
    <w:rsid w:val="007753C0"/>
    <w:rsid w:val="0077546A"/>
    <w:rsid w:val="00775C62"/>
    <w:rsid w:val="00775EB6"/>
    <w:rsid w:val="007778E5"/>
    <w:rsid w:val="007803D1"/>
    <w:rsid w:val="00781E23"/>
    <w:rsid w:val="007821B4"/>
    <w:rsid w:val="00782546"/>
    <w:rsid w:val="0078265E"/>
    <w:rsid w:val="00782B53"/>
    <w:rsid w:val="00782D10"/>
    <w:rsid w:val="00783541"/>
    <w:rsid w:val="00783974"/>
    <w:rsid w:val="00783C55"/>
    <w:rsid w:val="00783D29"/>
    <w:rsid w:val="00783D73"/>
    <w:rsid w:val="00784122"/>
    <w:rsid w:val="0078416B"/>
    <w:rsid w:val="00786AE1"/>
    <w:rsid w:val="007873B6"/>
    <w:rsid w:val="00787CCC"/>
    <w:rsid w:val="007902EC"/>
    <w:rsid w:val="00790911"/>
    <w:rsid w:val="007915DE"/>
    <w:rsid w:val="00791CD7"/>
    <w:rsid w:val="007926A8"/>
    <w:rsid w:val="00792A43"/>
    <w:rsid w:val="00792BA7"/>
    <w:rsid w:val="00792FCA"/>
    <w:rsid w:val="007930BE"/>
    <w:rsid w:val="00793621"/>
    <w:rsid w:val="007939AE"/>
    <w:rsid w:val="00793A7A"/>
    <w:rsid w:val="007952D4"/>
    <w:rsid w:val="00795D5C"/>
    <w:rsid w:val="0079617C"/>
    <w:rsid w:val="00796212"/>
    <w:rsid w:val="007966A4"/>
    <w:rsid w:val="007968C7"/>
    <w:rsid w:val="007968D5"/>
    <w:rsid w:val="007975F5"/>
    <w:rsid w:val="007A139F"/>
    <w:rsid w:val="007A156C"/>
    <w:rsid w:val="007A1637"/>
    <w:rsid w:val="007A1892"/>
    <w:rsid w:val="007A2D8B"/>
    <w:rsid w:val="007A2DEE"/>
    <w:rsid w:val="007A39B5"/>
    <w:rsid w:val="007A39E4"/>
    <w:rsid w:val="007A3D28"/>
    <w:rsid w:val="007A463A"/>
    <w:rsid w:val="007A48C7"/>
    <w:rsid w:val="007A5050"/>
    <w:rsid w:val="007A5EA1"/>
    <w:rsid w:val="007A666F"/>
    <w:rsid w:val="007A6DFD"/>
    <w:rsid w:val="007A7261"/>
    <w:rsid w:val="007B098F"/>
    <w:rsid w:val="007B1460"/>
    <w:rsid w:val="007B3611"/>
    <w:rsid w:val="007B374F"/>
    <w:rsid w:val="007B3813"/>
    <w:rsid w:val="007B3AD8"/>
    <w:rsid w:val="007B3C74"/>
    <w:rsid w:val="007B45F9"/>
    <w:rsid w:val="007B45FD"/>
    <w:rsid w:val="007B4612"/>
    <w:rsid w:val="007B4C67"/>
    <w:rsid w:val="007B59DD"/>
    <w:rsid w:val="007B63C6"/>
    <w:rsid w:val="007B6640"/>
    <w:rsid w:val="007B6792"/>
    <w:rsid w:val="007B69B8"/>
    <w:rsid w:val="007B6AA3"/>
    <w:rsid w:val="007B6D4C"/>
    <w:rsid w:val="007B72F7"/>
    <w:rsid w:val="007B7445"/>
    <w:rsid w:val="007B75DD"/>
    <w:rsid w:val="007B7A15"/>
    <w:rsid w:val="007C0808"/>
    <w:rsid w:val="007C0935"/>
    <w:rsid w:val="007C0BB8"/>
    <w:rsid w:val="007C0DC8"/>
    <w:rsid w:val="007C1014"/>
    <w:rsid w:val="007C1244"/>
    <w:rsid w:val="007C15AE"/>
    <w:rsid w:val="007C1C56"/>
    <w:rsid w:val="007C1E73"/>
    <w:rsid w:val="007C271B"/>
    <w:rsid w:val="007C2D0B"/>
    <w:rsid w:val="007C31AB"/>
    <w:rsid w:val="007C3619"/>
    <w:rsid w:val="007C3A50"/>
    <w:rsid w:val="007C46A0"/>
    <w:rsid w:val="007C4AC4"/>
    <w:rsid w:val="007C4B47"/>
    <w:rsid w:val="007C4EA5"/>
    <w:rsid w:val="007C56D7"/>
    <w:rsid w:val="007C58F0"/>
    <w:rsid w:val="007C5EEF"/>
    <w:rsid w:val="007C6818"/>
    <w:rsid w:val="007C698E"/>
    <w:rsid w:val="007C6C35"/>
    <w:rsid w:val="007C7071"/>
    <w:rsid w:val="007C7923"/>
    <w:rsid w:val="007C7965"/>
    <w:rsid w:val="007D07FD"/>
    <w:rsid w:val="007D1774"/>
    <w:rsid w:val="007D1BB4"/>
    <w:rsid w:val="007D1FAF"/>
    <w:rsid w:val="007D20E4"/>
    <w:rsid w:val="007D253E"/>
    <w:rsid w:val="007D2697"/>
    <w:rsid w:val="007D4088"/>
    <w:rsid w:val="007D521E"/>
    <w:rsid w:val="007D5F1A"/>
    <w:rsid w:val="007D714E"/>
    <w:rsid w:val="007D7E03"/>
    <w:rsid w:val="007D7E62"/>
    <w:rsid w:val="007E104A"/>
    <w:rsid w:val="007E25FC"/>
    <w:rsid w:val="007E2AC0"/>
    <w:rsid w:val="007E2B36"/>
    <w:rsid w:val="007E2CAA"/>
    <w:rsid w:val="007E55C8"/>
    <w:rsid w:val="007E5AB0"/>
    <w:rsid w:val="007E6867"/>
    <w:rsid w:val="007E6886"/>
    <w:rsid w:val="007E6A20"/>
    <w:rsid w:val="007E6D0E"/>
    <w:rsid w:val="007E7B36"/>
    <w:rsid w:val="007E7B6F"/>
    <w:rsid w:val="007E7B82"/>
    <w:rsid w:val="007E7BC8"/>
    <w:rsid w:val="007F06AA"/>
    <w:rsid w:val="007F0824"/>
    <w:rsid w:val="007F0A21"/>
    <w:rsid w:val="007F12CD"/>
    <w:rsid w:val="007F2829"/>
    <w:rsid w:val="007F2A1B"/>
    <w:rsid w:val="007F2AF2"/>
    <w:rsid w:val="007F30F4"/>
    <w:rsid w:val="007F3223"/>
    <w:rsid w:val="007F3635"/>
    <w:rsid w:val="007F3AE0"/>
    <w:rsid w:val="007F3E15"/>
    <w:rsid w:val="007F4A69"/>
    <w:rsid w:val="007F4F86"/>
    <w:rsid w:val="007F608F"/>
    <w:rsid w:val="007F6644"/>
    <w:rsid w:val="007F6694"/>
    <w:rsid w:val="007F66BF"/>
    <w:rsid w:val="007F796D"/>
    <w:rsid w:val="007F7C23"/>
    <w:rsid w:val="007F7C3C"/>
    <w:rsid w:val="007F7E45"/>
    <w:rsid w:val="007F7EC1"/>
    <w:rsid w:val="008002CE"/>
    <w:rsid w:val="008005DB"/>
    <w:rsid w:val="00800E85"/>
    <w:rsid w:val="00801236"/>
    <w:rsid w:val="00801990"/>
    <w:rsid w:val="00802001"/>
    <w:rsid w:val="00802155"/>
    <w:rsid w:val="008023F6"/>
    <w:rsid w:val="00802C29"/>
    <w:rsid w:val="00802E82"/>
    <w:rsid w:val="00802FCE"/>
    <w:rsid w:val="00803FB1"/>
    <w:rsid w:val="00804864"/>
    <w:rsid w:val="00804A2D"/>
    <w:rsid w:val="00805000"/>
    <w:rsid w:val="008056EA"/>
    <w:rsid w:val="00806C7D"/>
    <w:rsid w:val="008077AF"/>
    <w:rsid w:val="008122B3"/>
    <w:rsid w:val="00813045"/>
    <w:rsid w:val="008133F3"/>
    <w:rsid w:val="00813659"/>
    <w:rsid w:val="00814845"/>
    <w:rsid w:val="00814DB2"/>
    <w:rsid w:val="00815204"/>
    <w:rsid w:val="008155A2"/>
    <w:rsid w:val="00816722"/>
    <w:rsid w:val="00816B47"/>
    <w:rsid w:val="00816D31"/>
    <w:rsid w:val="00817092"/>
    <w:rsid w:val="008171AB"/>
    <w:rsid w:val="00817EB2"/>
    <w:rsid w:val="00817F04"/>
    <w:rsid w:val="0082080B"/>
    <w:rsid w:val="00820F47"/>
    <w:rsid w:val="00821136"/>
    <w:rsid w:val="00822E76"/>
    <w:rsid w:val="00822FFD"/>
    <w:rsid w:val="008239B5"/>
    <w:rsid w:val="00823A2E"/>
    <w:rsid w:val="00825490"/>
    <w:rsid w:val="00825608"/>
    <w:rsid w:val="00825F77"/>
    <w:rsid w:val="00826139"/>
    <w:rsid w:val="00826B18"/>
    <w:rsid w:val="00826DAB"/>
    <w:rsid w:val="00827832"/>
    <w:rsid w:val="00827F46"/>
    <w:rsid w:val="008303F5"/>
    <w:rsid w:val="008305A5"/>
    <w:rsid w:val="008319AA"/>
    <w:rsid w:val="00831B5C"/>
    <w:rsid w:val="00831EF0"/>
    <w:rsid w:val="00832CC1"/>
    <w:rsid w:val="00832FEE"/>
    <w:rsid w:val="008332A7"/>
    <w:rsid w:val="00833AC7"/>
    <w:rsid w:val="00833FC5"/>
    <w:rsid w:val="00834186"/>
    <w:rsid w:val="008348D4"/>
    <w:rsid w:val="00834F6D"/>
    <w:rsid w:val="00836F59"/>
    <w:rsid w:val="008373EE"/>
    <w:rsid w:val="00837B1F"/>
    <w:rsid w:val="00837B7E"/>
    <w:rsid w:val="008402A3"/>
    <w:rsid w:val="008406AB"/>
    <w:rsid w:val="0084090A"/>
    <w:rsid w:val="00841211"/>
    <w:rsid w:val="00841495"/>
    <w:rsid w:val="0084259D"/>
    <w:rsid w:val="00842A44"/>
    <w:rsid w:val="00842A5D"/>
    <w:rsid w:val="008433C4"/>
    <w:rsid w:val="00843C76"/>
    <w:rsid w:val="00843E1C"/>
    <w:rsid w:val="008440BA"/>
    <w:rsid w:val="0084475A"/>
    <w:rsid w:val="00844C2F"/>
    <w:rsid w:val="00844EC0"/>
    <w:rsid w:val="0084542B"/>
    <w:rsid w:val="00845A77"/>
    <w:rsid w:val="008461E7"/>
    <w:rsid w:val="00846C41"/>
    <w:rsid w:val="00846E89"/>
    <w:rsid w:val="00847E84"/>
    <w:rsid w:val="00850155"/>
    <w:rsid w:val="008507D7"/>
    <w:rsid w:val="00850A0C"/>
    <w:rsid w:val="00851752"/>
    <w:rsid w:val="00851EB8"/>
    <w:rsid w:val="008522E3"/>
    <w:rsid w:val="0085263E"/>
    <w:rsid w:val="0085298C"/>
    <w:rsid w:val="0085322C"/>
    <w:rsid w:val="00853A7D"/>
    <w:rsid w:val="0085414D"/>
    <w:rsid w:val="0085447D"/>
    <w:rsid w:val="00854833"/>
    <w:rsid w:val="008553E1"/>
    <w:rsid w:val="008558F6"/>
    <w:rsid w:val="00855E3A"/>
    <w:rsid w:val="00856295"/>
    <w:rsid w:val="00856328"/>
    <w:rsid w:val="00856D9C"/>
    <w:rsid w:val="00857057"/>
    <w:rsid w:val="008570B9"/>
    <w:rsid w:val="00860CEC"/>
    <w:rsid w:val="00860EB5"/>
    <w:rsid w:val="00860EDE"/>
    <w:rsid w:val="00860FE0"/>
    <w:rsid w:val="00861255"/>
    <w:rsid w:val="008618CD"/>
    <w:rsid w:val="00861F73"/>
    <w:rsid w:val="00862A34"/>
    <w:rsid w:val="00862A35"/>
    <w:rsid w:val="0086361E"/>
    <w:rsid w:val="00864244"/>
    <w:rsid w:val="008645E9"/>
    <w:rsid w:val="00864616"/>
    <w:rsid w:val="00864942"/>
    <w:rsid w:val="008649C6"/>
    <w:rsid w:val="00864AEE"/>
    <w:rsid w:val="00864F39"/>
    <w:rsid w:val="008655B0"/>
    <w:rsid w:val="008661B1"/>
    <w:rsid w:val="00866288"/>
    <w:rsid w:val="0086631D"/>
    <w:rsid w:val="008669AD"/>
    <w:rsid w:val="00867C35"/>
    <w:rsid w:val="00870201"/>
    <w:rsid w:val="00870683"/>
    <w:rsid w:val="00870A3B"/>
    <w:rsid w:val="00870ACE"/>
    <w:rsid w:val="00870FB5"/>
    <w:rsid w:val="008713CC"/>
    <w:rsid w:val="00871BF8"/>
    <w:rsid w:val="00871F70"/>
    <w:rsid w:val="00872787"/>
    <w:rsid w:val="00872A67"/>
    <w:rsid w:val="00872BF3"/>
    <w:rsid w:val="00873325"/>
    <w:rsid w:val="00873965"/>
    <w:rsid w:val="00874A2B"/>
    <w:rsid w:val="00874A61"/>
    <w:rsid w:val="00875227"/>
    <w:rsid w:val="008754D8"/>
    <w:rsid w:val="00875E6D"/>
    <w:rsid w:val="00876678"/>
    <w:rsid w:val="00877368"/>
    <w:rsid w:val="0088068F"/>
    <w:rsid w:val="00880CDF"/>
    <w:rsid w:val="0088102A"/>
    <w:rsid w:val="00881640"/>
    <w:rsid w:val="00881E55"/>
    <w:rsid w:val="00881FC1"/>
    <w:rsid w:val="008828A2"/>
    <w:rsid w:val="00882B47"/>
    <w:rsid w:val="00882EDF"/>
    <w:rsid w:val="00883657"/>
    <w:rsid w:val="00883B66"/>
    <w:rsid w:val="008845F6"/>
    <w:rsid w:val="00884884"/>
    <w:rsid w:val="00884E6F"/>
    <w:rsid w:val="00885792"/>
    <w:rsid w:val="008858B6"/>
    <w:rsid w:val="00885E56"/>
    <w:rsid w:val="0088754A"/>
    <w:rsid w:val="00887DF0"/>
    <w:rsid w:val="00887E95"/>
    <w:rsid w:val="008905BB"/>
    <w:rsid w:val="00890893"/>
    <w:rsid w:val="00890B48"/>
    <w:rsid w:val="008912E1"/>
    <w:rsid w:val="00891BC1"/>
    <w:rsid w:val="00892C3A"/>
    <w:rsid w:val="00893CCE"/>
    <w:rsid w:val="00893D3C"/>
    <w:rsid w:val="00893F3E"/>
    <w:rsid w:val="0089430C"/>
    <w:rsid w:val="00894566"/>
    <w:rsid w:val="00895464"/>
    <w:rsid w:val="008966CB"/>
    <w:rsid w:val="00896E6A"/>
    <w:rsid w:val="008976EE"/>
    <w:rsid w:val="00897741"/>
    <w:rsid w:val="00897D53"/>
    <w:rsid w:val="008A03A5"/>
    <w:rsid w:val="008A0A71"/>
    <w:rsid w:val="008A103E"/>
    <w:rsid w:val="008A1EE7"/>
    <w:rsid w:val="008A2316"/>
    <w:rsid w:val="008A240E"/>
    <w:rsid w:val="008A2452"/>
    <w:rsid w:val="008A2490"/>
    <w:rsid w:val="008A2B5D"/>
    <w:rsid w:val="008A2C90"/>
    <w:rsid w:val="008A2FF4"/>
    <w:rsid w:val="008A304C"/>
    <w:rsid w:val="008A3ECF"/>
    <w:rsid w:val="008A405C"/>
    <w:rsid w:val="008A4276"/>
    <w:rsid w:val="008A5A93"/>
    <w:rsid w:val="008A5CF8"/>
    <w:rsid w:val="008A5DA5"/>
    <w:rsid w:val="008A68C1"/>
    <w:rsid w:val="008A6A53"/>
    <w:rsid w:val="008A706D"/>
    <w:rsid w:val="008A7494"/>
    <w:rsid w:val="008B01E2"/>
    <w:rsid w:val="008B056C"/>
    <w:rsid w:val="008B112F"/>
    <w:rsid w:val="008B2EDF"/>
    <w:rsid w:val="008B32AA"/>
    <w:rsid w:val="008B3452"/>
    <w:rsid w:val="008B3F1A"/>
    <w:rsid w:val="008B405F"/>
    <w:rsid w:val="008B41D3"/>
    <w:rsid w:val="008B41DD"/>
    <w:rsid w:val="008B47DC"/>
    <w:rsid w:val="008B51F1"/>
    <w:rsid w:val="008B5F50"/>
    <w:rsid w:val="008B66FF"/>
    <w:rsid w:val="008B6A3C"/>
    <w:rsid w:val="008B6B51"/>
    <w:rsid w:val="008B6D77"/>
    <w:rsid w:val="008B718C"/>
    <w:rsid w:val="008B7507"/>
    <w:rsid w:val="008C05C4"/>
    <w:rsid w:val="008C0CEA"/>
    <w:rsid w:val="008C0CFB"/>
    <w:rsid w:val="008C0E56"/>
    <w:rsid w:val="008C1CF1"/>
    <w:rsid w:val="008C250A"/>
    <w:rsid w:val="008C2683"/>
    <w:rsid w:val="008C2E2D"/>
    <w:rsid w:val="008C3537"/>
    <w:rsid w:val="008C3CF4"/>
    <w:rsid w:val="008C446E"/>
    <w:rsid w:val="008C4BDC"/>
    <w:rsid w:val="008C4D01"/>
    <w:rsid w:val="008C5019"/>
    <w:rsid w:val="008C5148"/>
    <w:rsid w:val="008C5272"/>
    <w:rsid w:val="008C5976"/>
    <w:rsid w:val="008C64DE"/>
    <w:rsid w:val="008C6B60"/>
    <w:rsid w:val="008C7440"/>
    <w:rsid w:val="008C77E3"/>
    <w:rsid w:val="008D094B"/>
    <w:rsid w:val="008D0A60"/>
    <w:rsid w:val="008D0B73"/>
    <w:rsid w:val="008D1C61"/>
    <w:rsid w:val="008D2757"/>
    <w:rsid w:val="008D2DBD"/>
    <w:rsid w:val="008D2DE6"/>
    <w:rsid w:val="008D3327"/>
    <w:rsid w:val="008D382D"/>
    <w:rsid w:val="008D3F78"/>
    <w:rsid w:val="008D3F7C"/>
    <w:rsid w:val="008D4537"/>
    <w:rsid w:val="008D4712"/>
    <w:rsid w:val="008D479F"/>
    <w:rsid w:val="008D4868"/>
    <w:rsid w:val="008D55F8"/>
    <w:rsid w:val="008D79E4"/>
    <w:rsid w:val="008E1816"/>
    <w:rsid w:val="008E1CFC"/>
    <w:rsid w:val="008E1F28"/>
    <w:rsid w:val="008E27B0"/>
    <w:rsid w:val="008E2C57"/>
    <w:rsid w:val="008E30FF"/>
    <w:rsid w:val="008E32B7"/>
    <w:rsid w:val="008E350A"/>
    <w:rsid w:val="008E394F"/>
    <w:rsid w:val="008E3F70"/>
    <w:rsid w:val="008E46CE"/>
    <w:rsid w:val="008E4AD4"/>
    <w:rsid w:val="008E4C37"/>
    <w:rsid w:val="008E4F1B"/>
    <w:rsid w:val="008E5341"/>
    <w:rsid w:val="008E5C60"/>
    <w:rsid w:val="008E63E0"/>
    <w:rsid w:val="008E65F1"/>
    <w:rsid w:val="008F0802"/>
    <w:rsid w:val="008F0DBC"/>
    <w:rsid w:val="008F100F"/>
    <w:rsid w:val="008F18C4"/>
    <w:rsid w:val="008F263C"/>
    <w:rsid w:val="008F304A"/>
    <w:rsid w:val="008F34F6"/>
    <w:rsid w:val="008F3C1E"/>
    <w:rsid w:val="008F40C8"/>
    <w:rsid w:val="008F44CA"/>
    <w:rsid w:val="008F4792"/>
    <w:rsid w:val="008F4B60"/>
    <w:rsid w:val="008F5EA8"/>
    <w:rsid w:val="008F5EC8"/>
    <w:rsid w:val="008F6172"/>
    <w:rsid w:val="008F6806"/>
    <w:rsid w:val="008F69F4"/>
    <w:rsid w:val="008F6BCC"/>
    <w:rsid w:val="008F6D3D"/>
    <w:rsid w:val="008F71D8"/>
    <w:rsid w:val="008F7E38"/>
    <w:rsid w:val="008F7FF2"/>
    <w:rsid w:val="00900396"/>
    <w:rsid w:val="00901479"/>
    <w:rsid w:val="00901A09"/>
    <w:rsid w:val="00901B44"/>
    <w:rsid w:val="0090205D"/>
    <w:rsid w:val="009021F7"/>
    <w:rsid w:val="00902F41"/>
    <w:rsid w:val="0090310E"/>
    <w:rsid w:val="00903147"/>
    <w:rsid w:val="00903EFC"/>
    <w:rsid w:val="0090418B"/>
    <w:rsid w:val="00904242"/>
    <w:rsid w:val="00904C8D"/>
    <w:rsid w:val="00904E91"/>
    <w:rsid w:val="009056FC"/>
    <w:rsid w:val="00906D80"/>
    <w:rsid w:val="00910DC5"/>
    <w:rsid w:val="0091179C"/>
    <w:rsid w:val="009117A5"/>
    <w:rsid w:val="00912020"/>
    <w:rsid w:val="009123E2"/>
    <w:rsid w:val="00912615"/>
    <w:rsid w:val="00912A06"/>
    <w:rsid w:val="00913531"/>
    <w:rsid w:val="00913932"/>
    <w:rsid w:val="00914039"/>
    <w:rsid w:val="009140DF"/>
    <w:rsid w:val="00914D46"/>
    <w:rsid w:val="0091573F"/>
    <w:rsid w:val="00915D56"/>
    <w:rsid w:val="009167A9"/>
    <w:rsid w:val="00917046"/>
    <w:rsid w:val="009172D3"/>
    <w:rsid w:val="0091789B"/>
    <w:rsid w:val="00917B0F"/>
    <w:rsid w:val="00920075"/>
    <w:rsid w:val="00920335"/>
    <w:rsid w:val="0092071E"/>
    <w:rsid w:val="00920739"/>
    <w:rsid w:val="00921C6B"/>
    <w:rsid w:val="00922B43"/>
    <w:rsid w:val="009237E4"/>
    <w:rsid w:val="009239D9"/>
    <w:rsid w:val="00923C60"/>
    <w:rsid w:val="00923D38"/>
    <w:rsid w:val="0092484B"/>
    <w:rsid w:val="009250C5"/>
    <w:rsid w:val="00925160"/>
    <w:rsid w:val="00925945"/>
    <w:rsid w:val="00925EC2"/>
    <w:rsid w:val="00926E97"/>
    <w:rsid w:val="0092716A"/>
    <w:rsid w:val="00930642"/>
    <w:rsid w:val="00930A8A"/>
    <w:rsid w:val="00930EAE"/>
    <w:rsid w:val="009320C5"/>
    <w:rsid w:val="0093234F"/>
    <w:rsid w:val="00932418"/>
    <w:rsid w:val="00932A58"/>
    <w:rsid w:val="009332DA"/>
    <w:rsid w:val="0093350A"/>
    <w:rsid w:val="009340DE"/>
    <w:rsid w:val="00934387"/>
    <w:rsid w:val="0093491E"/>
    <w:rsid w:val="00934983"/>
    <w:rsid w:val="009349B8"/>
    <w:rsid w:val="0093510E"/>
    <w:rsid w:val="0093528C"/>
    <w:rsid w:val="009357A5"/>
    <w:rsid w:val="00935964"/>
    <w:rsid w:val="00935A28"/>
    <w:rsid w:val="00935A58"/>
    <w:rsid w:val="00936195"/>
    <w:rsid w:val="0093693C"/>
    <w:rsid w:val="009373B4"/>
    <w:rsid w:val="00937B50"/>
    <w:rsid w:val="009400CF"/>
    <w:rsid w:val="00940408"/>
    <w:rsid w:val="00940D4C"/>
    <w:rsid w:val="00941A34"/>
    <w:rsid w:val="00941A39"/>
    <w:rsid w:val="009424F1"/>
    <w:rsid w:val="0094287E"/>
    <w:rsid w:val="00942EEE"/>
    <w:rsid w:val="00943031"/>
    <w:rsid w:val="00943A55"/>
    <w:rsid w:val="00943DA4"/>
    <w:rsid w:val="00944F12"/>
    <w:rsid w:val="00945B10"/>
    <w:rsid w:val="00945B63"/>
    <w:rsid w:val="00945ECA"/>
    <w:rsid w:val="009466DD"/>
    <w:rsid w:val="00946D3C"/>
    <w:rsid w:val="0094724F"/>
    <w:rsid w:val="009474E8"/>
    <w:rsid w:val="0094774E"/>
    <w:rsid w:val="00947A4B"/>
    <w:rsid w:val="00947D3C"/>
    <w:rsid w:val="00950FB6"/>
    <w:rsid w:val="00951A93"/>
    <w:rsid w:val="00951D7B"/>
    <w:rsid w:val="009526DE"/>
    <w:rsid w:val="00952BE4"/>
    <w:rsid w:val="00952CB2"/>
    <w:rsid w:val="00952DC3"/>
    <w:rsid w:val="00953C87"/>
    <w:rsid w:val="009554F5"/>
    <w:rsid w:val="009557FC"/>
    <w:rsid w:val="00955C4F"/>
    <w:rsid w:val="00956083"/>
    <w:rsid w:val="0095636D"/>
    <w:rsid w:val="00957F8B"/>
    <w:rsid w:val="00957FCB"/>
    <w:rsid w:val="0096009D"/>
    <w:rsid w:val="009608BE"/>
    <w:rsid w:val="00960DEC"/>
    <w:rsid w:val="00961871"/>
    <w:rsid w:val="00961D74"/>
    <w:rsid w:val="0096293E"/>
    <w:rsid w:val="00962D66"/>
    <w:rsid w:val="0096399E"/>
    <w:rsid w:val="00963AE4"/>
    <w:rsid w:val="00963AEB"/>
    <w:rsid w:val="00964841"/>
    <w:rsid w:val="00964C46"/>
    <w:rsid w:val="00964E0E"/>
    <w:rsid w:val="009650D2"/>
    <w:rsid w:val="0096599B"/>
    <w:rsid w:val="00965F7B"/>
    <w:rsid w:val="0096622B"/>
    <w:rsid w:val="00966998"/>
    <w:rsid w:val="00966FA1"/>
    <w:rsid w:val="009670BE"/>
    <w:rsid w:val="00967A8A"/>
    <w:rsid w:val="009707D5"/>
    <w:rsid w:val="00970B90"/>
    <w:rsid w:val="00970D45"/>
    <w:rsid w:val="00971EE0"/>
    <w:rsid w:val="0097258C"/>
    <w:rsid w:val="00973542"/>
    <w:rsid w:val="009737F1"/>
    <w:rsid w:val="00974343"/>
    <w:rsid w:val="009746A0"/>
    <w:rsid w:val="009746EF"/>
    <w:rsid w:val="00974BC8"/>
    <w:rsid w:val="00975BAD"/>
    <w:rsid w:val="00976959"/>
    <w:rsid w:val="00976A66"/>
    <w:rsid w:val="00976ECB"/>
    <w:rsid w:val="00977026"/>
    <w:rsid w:val="0097712A"/>
    <w:rsid w:val="009773A8"/>
    <w:rsid w:val="009776EA"/>
    <w:rsid w:val="00977C9A"/>
    <w:rsid w:val="00977E2F"/>
    <w:rsid w:val="009805B3"/>
    <w:rsid w:val="0098066E"/>
    <w:rsid w:val="00980E94"/>
    <w:rsid w:val="009812A5"/>
    <w:rsid w:val="009818A5"/>
    <w:rsid w:val="00981CF0"/>
    <w:rsid w:val="009826C9"/>
    <w:rsid w:val="00982A07"/>
    <w:rsid w:val="00982E03"/>
    <w:rsid w:val="00983418"/>
    <w:rsid w:val="009835D7"/>
    <w:rsid w:val="00983B8F"/>
    <w:rsid w:val="00983D5C"/>
    <w:rsid w:val="00983EF3"/>
    <w:rsid w:val="00984001"/>
    <w:rsid w:val="00984FAC"/>
    <w:rsid w:val="009858EA"/>
    <w:rsid w:val="00985B09"/>
    <w:rsid w:val="00985B40"/>
    <w:rsid w:val="00986B8F"/>
    <w:rsid w:val="009901DA"/>
    <w:rsid w:val="00990814"/>
    <w:rsid w:val="009909ED"/>
    <w:rsid w:val="00990CEA"/>
    <w:rsid w:val="009911E8"/>
    <w:rsid w:val="00992047"/>
    <w:rsid w:val="00992D9A"/>
    <w:rsid w:val="009944F6"/>
    <w:rsid w:val="00994D7E"/>
    <w:rsid w:val="00995827"/>
    <w:rsid w:val="00995B15"/>
    <w:rsid w:val="00995F57"/>
    <w:rsid w:val="009968FD"/>
    <w:rsid w:val="00997472"/>
    <w:rsid w:val="0099777D"/>
    <w:rsid w:val="00997CB4"/>
    <w:rsid w:val="009A06E0"/>
    <w:rsid w:val="009A0EAF"/>
    <w:rsid w:val="009A0F4B"/>
    <w:rsid w:val="009A0FDE"/>
    <w:rsid w:val="009A1237"/>
    <w:rsid w:val="009A173F"/>
    <w:rsid w:val="009A1B34"/>
    <w:rsid w:val="009A2492"/>
    <w:rsid w:val="009A2B53"/>
    <w:rsid w:val="009A2DE0"/>
    <w:rsid w:val="009A33C0"/>
    <w:rsid w:val="009A33E8"/>
    <w:rsid w:val="009A36FC"/>
    <w:rsid w:val="009A43E0"/>
    <w:rsid w:val="009A459D"/>
    <w:rsid w:val="009A56D4"/>
    <w:rsid w:val="009A57D2"/>
    <w:rsid w:val="009A6208"/>
    <w:rsid w:val="009A67AF"/>
    <w:rsid w:val="009A69C5"/>
    <w:rsid w:val="009A6BCA"/>
    <w:rsid w:val="009A6E1D"/>
    <w:rsid w:val="009A6FF1"/>
    <w:rsid w:val="009A76DF"/>
    <w:rsid w:val="009A7A41"/>
    <w:rsid w:val="009A7BBA"/>
    <w:rsid w:val="009B02F8"/>
    <w:rsid w:val="009B0426"/>
    <w:rsid w:val="009B21CF"/>
    <w:rsid w:val="009B22D7"/>
    <w:rsid w:val="009B3E7A"/>
    <w:rsid w:val="009B4012"/>
    <w:rsid w:val="009B4E6A"/>
    <w:rsid w:val="009B5036"/>
    <w:rsid w:val="009B66D1"/>
    <w:rsid w:val="009B6866"/>
    <w:rsid w:val="009B6A56"/>
    <w:rsid w:val="009B6B51"/>
    <w:rsid w:val="009B6E2D"/>
    <w:rsid w:val="009B70AE"/>
    <w:rsid w:val="009B72B9"/>
    <w:rsid w:val="009C00B8"/>
    <w:rsid w:val="009C23D7"/>
    <w:rsid w:val="009C24D6"/>
    <w:rsid w:val="009C3496"/>
    <w:rsid w:val="009C364A"/>
    <w:rsid w:val="009C46B3"/>
    <w:rsid w:val="009C46F2"/>
    <w:rsid w:val="009C47B0"/>
    <w:rsid w:val="009C4904"/>
    <w:rsid w:val="009C544D"/>
    <w:rsid w:val="009C56AA"/>
    <w:rsid w:val="009C5ED8"/>
    <w:rsid w:val="009C6070"/>
    <w:rsid w:val="009C6379"/>
    <w:rsid w:val="009C6625"/>
    <w:rsid w:val="009C74E1"/>
    <w:rsid w:val="009C75B8"/>
    <w:rsid w:val="009C77DE"/>
    <w:rsid w:val="009C7D6C"/>
    <w:rsid w:val="009C7E9C"/>
    <w:rsid w:val="009C7EF0"/>
    <w:rsid w:val="009D0388"/>
    <w:rsid w:val="009D0A48"/>
    <w:rsid w:val="009D1095"/>
    <w:rsid w:val="009D131D"/>
    <w:rsid w:val="009D184C"/>
    <w:rsid w:val="009D18CB"/>
    <w:rsid w:val="009D1A2D"/>
    <w:rsid w:val="009D1B04"/>
    <w:rsid w:val="009D1E71"/>
    <w:rsid w:val="009D1F92"/>
    <w:rsid w:val="009D230C"/>
    <w:rsid w:val="009D2ABD"/>
    <w:rsid w:val="009D2D78"/>
    <w:rsid w:val="009D3B74"/>
    <w:rsid w:val="009D4627"/>
    <w:rsid w:val="009D51B3"/>
    <w:rsid w:val="009D5303"/>
    <w:rsid w:val="009D5429"/>
    <w:rsid w:val="009D55D1"/>
    <w:rsid w:val="009D59D5"/>
    <w:rsid w:val="009D5D46"/>
    <w:rsid w:val="009D7236"/>
    <w:rsid w:val="009D7C69"/>
    <w:rsid w:val="009E06B6"/>
    <w:rsid w:val="009E0E2C"/>
    <w:rsid w:val="009E0EB3"/>
    <w:rsid w:val="009E17A3"/>
    <w:rsid w:val="009E2337"/>
    <w:rsid w:val="009E29E2"/>
    <w:rsid w:val="009E2BD2"/>
    <w:rsid w:val="009E335F"/>
    <w:rsid w:val="009E343D"/>
    <w:rsid w:val="009E3753"/>
    <w:rsid w:val="009E3F48"/>
    <w:rsid w:val="009E44C7"/>
    <w:rsid w:val="009E476F"/>
    <w:rsid w:val="009E4AE3"/>
    <w:rsid w:val="009E4FF2"/>
    <w:rsid w:val="009E6A67"/>
    <w:rsid w:val="009E6C52"/>
    <w:rsid w:val="009E6C6A"/>
    <w:rsid w:val="009E7574"/>
    <w:rsid w:val="009E764B"/>
    <w:rsid w:val="009F011F"/>
    <w:rsid w:val="009F13AB"/>
    <w:rsid w:val="009F2E07"/>
    <w:rsid w:val="009F3241"/>
    <w:rsid w:val="009F3F69"/>
    <w:rsid w:val="009F4CC6"/>
    <w:rsid w:val="009F5082"/>
    <w:rsid w:val="009F5B13"/>
    <w:rsid w:val="009F5DB6"/>
    <w:rsid w:val="009F600B"/>
    <w:rsid w:val="009F6E3B"/>
    <w:rsid w:val="009F6FA2"/>
    <w:rsid w:val="009F74B9"/>
    <w:rsid w:val="009F7770"/>
    <w:rsid w:val="009F7E3E"/>
    <w:rsid w:val="00A005E4"/>
    <w:rsid w:val="00A01404"/>
    <w:rsid w:val="00A0172B"/>
    <w:rsid w:val="00A021FF"/>
    <w:rsid w:val="00A0243A"/>
    <w:rsid w:val="00A0262F"/>
    <w:rsid w:val="00A037A3"/>
    <w:rsid w:val="00A0389E"/>
    <w:rsid w:val="00A042CA"/>
    <w:rsid w:val="00A04D77"/>
    <w:rsid w:val="00A05591"/>
    <w:rsid w:val="00A0577D"/>
    <w:rsid w:val="00A0660E"/>
    <w:rsid w:val="00A06669"/>
    <w:rsid w:val="00A06AB7"/>
    <w:rsid w:val="00A06C8D"/>
    <w:rsid w:val="00A07706"/>
    <w:rsid w:val="00A10725"/>
    <w:rsid w:val="00A10DC6"/>
    <w:rsid w:val="00A11B40"/>
    <w:rsid w:val="00A1204B"/>
    <w:rsid w:val="00A12C5B"/>
    <w:rsid w:val="00A1377A"/>
    <w:rsid w:val="00A14BFE"/>
    <w:rsid w:val="00A16051"/>
    <w:rsid w:val="00A160D8"/>
    <w:rsid w:val="00A16B08"/>
    <w:rsid w:val="00A16C5B"/>
    <w:rsid w:val="00A16C97"/>
    <w:rsid w:val="00A16E12"/>
    <w:rsid w:val="00A17DD6"/>
    <w:rsid w:val="00A20719"/>
    <w:rsid w:val="00A20B6D"/>
    <w:rsid w:val="00A20E8D"/>
    <w:rsid w:val="00A20F83"/>
    <w:rsid w:val="00A212BD"/>
    <w:rsid w:val="00A2230D"/>
    <w:rsid w:val="00A22333"/>
    <w:rsid w:val="00A22451"/>
    <w:rsid w:val="00A227DA"/>
    <w:rsid w:val="00A2376D"/>
    <w:rsid w:val="00A24343"/>
    <w:rsid w:val="00A24852"/>
    <w:rsid w:val="00A2498C"/>
    <w:rsid w:val="00A24F40"/>
    <w:rsid w:val="00A255BE"/>
    <w:rsid w:val="00A25964"/>
    <w:rsid w:val="00A25C14"/>
    <w:rsid w:val="00A25D76"/>
    <w:rsid w:val="00A2605D"/>
    <w:rsid w:val="00A262B7"/>
    <w:rsid w:val="00A26679"/>
    <w:rsid w:val="00A270C1"/>
    <w:rsid w:val="00A27116"/>
    <w:rsid w:val="00A27B83"/>
    <w:rsid w:val="00A27EB7"/>
    <w:rsid w:val="00A30541"/>
    <w:rsid w:val="00A316F8"/>
    <w:rsid w:val="00A3206D"/>
    <w:rsid w:val="00A323D2"/>
    <w:rsid w:val="00A3293D"/>
    <w:rsid w:val="00A32CA9"/>
    <w:rsid w:val="00A32E84"/>
    <w:rsid w:val="00A3327D"/>
    <w:rsid w:val="00A34747"/>
    <w:rsid w:val="00A34F5D"/>
    <w:rsid w:val="00A35272"/>
    <w:rsid w:val="00A358AC"/>
    <w:rsid w:val="00A35940"/>
    <w:rsid w:val="00A35B8F"/>
    <w:rsid w:val="00A35EF6"/>
    <w:rsid w:val="00A369E0"/>
    <w:rsid w:val="00A36B50"/>
    <w:rsid w:val="00A36EC9"/>
    <w:rsid w:val="00A36EF0"/>
    <w:rsid w:val="00A372DD"/>
    <w:rsid w:val="00A3771A"/>
    <w:rsid w:val="00A37865"/>
    <w:rsid w:val="00A40266"/>
    <w:rsid w:val="00A411A2"/>
    <w:rsid w:val="00A41782"/>
    <w:rsid w:val="00A42028"/>
    <w:rsid w:val="00A425FB"/>
    <w:rsid w:val="00A42C45"/>
    <w:rsid w:val="00A42E69"/>
    <w:rsid w:val="00A430EC"/>
    <w:rsid w:val="00A44080"/>
    <w:rsid w:val="00A44E41"/>
    <w:rsid w:val="00A45257"/>
    <w:rsid w:val="00A45D7B"/>
    <w:rsid w:val="00A4678E"/>
    <w:rsid w:val="00A467C0"/>
    <w:rsid w:val="00A467CA"/>
    <w:rsid w:val="00A46DB0"/>
    <w:rsid w:val="00A47F46"/>
    <w:rsid w:val="00A500A2"/>
    <w:rsid w:val="00A508F6"/>
    <w:rsid w:val="00A509D6"/>
    <w:rsid w:val="00A51002"/>
    <w:rsid w:val="00A518F8"/>
    <w:rsid w:val="00A52564"/>
    <w:rsid w:val="00A526BE"/>
    <w:rsid w:val="00A52BF8"/>
    <w:rsid w:val="00A532C0"/>
    <w:rsid w:val="00A53475"/>
    <w:rsid w:val="00A537A2"/>
    <w:rsid w:val="00A53BC9"/>
    <w:rsid w:val="00A53D2E"/>
    <w:rsid w:val="00A542A3"/>
    <w:rsid w:val="00A55128"/>
    <w:rsid w:val="00A55192"/>
    <w:rsid w:val="00A555E6"/>
    <w:rsid w:val="00A560DC"/>
    <w:rsid w:val="00A564A4"/>
    <w:rsid w:val="00A57197"/>
    <w:rsid w:val="00A577A5"/>
    <w:rsid w:val="00A612D0"/>
    <w:rsid w:val="00A61569"/>
    <w:rsid w:val="00A61750"/>
    <w:rsid w:val="00A6266F"/>
    <w:rsid w:val="00A63B12"/>
    <w:rsid w:val="00A63E59"/>
    <w:rsid w:val="00A649C1"/>
    <w:rsid w:val="00A64E11"/>
    <w:rsid w:val="00A65011"/>
    <w:rsid w:val="00A651D5"/>
    <w:rsid w:val="00A656E1"/>
    <w:rsid w:val="00A65B81"/>
    <w:rsid w:val="00A65CDF"/>
    <w:rsid w:val="00A65E8E"/>
    <w:rsid w:val="00A66186"/>
    <w:rsid w:val="00A661D6"/>
    <w:rsid w:val="00A661EF"/>
    <w:rsid w:val="00A667DA"/>
    <w:rsid w:val="00A669EF"/>
    <w:rsid w:val="00A66C5C"/>
    <w:rsid w:val="00A66F06"/>
    <w:rsid w:val="00A6792A"/>
    <w:rsid w:val="00A70E4F"/>
    <w:rsid w:val="00A71472"/>
    <w:rsid w:val="00A72589"/>
    <w:rsid w:val="00A726ED"/>
    <w:rsid w:val="00A72B93"/>
    <w:rsid w:val="00A733A3"/>
    <w:rsid w:val="00A7368D"/>
    <w:rsid w:val="00A73CB5"/>
    <w:rsid w:val="00A73FCA"/>
    <w:rsid w:val="00A74298"/>
    <w:rsid w:val="00A746B9"/>
    <w:rsid w:val="00A746FD"/>
    <w:rsid w:val="00A74B9D"/>
    <w:rsid w:val="00A75065"/>
    <w:rsid w:val="00A75088"/>
    <w:rsid w:val="00A7523B"/>
    <w:rsid w:val="00A75319"/>
    <w:rsid w:val="00A7557D"/>
    <w:rsid w:val="00A755A6"/>
    <w:rsid w:val="00A75F39"/>
    <w:rsid w:val="00A76311"/>
    <w:rsid w:val="00A7678E"/>
    <w:rsid w:val="00A76B4A"/>
    <w:rsid w:val="00A76BFF"/>
    <w:rsid w:val="00A76E95"/>
    <w:rsid w:val="00A77497"/>
    <w:rsid w:val="00A77614"/>
    <w:rsid w:val="00A77700"/>
    <w:rsid w:val="00A779F3"/>
    <w:rsid w:val="00A77DA7"/>
    <w:rsid w:val="00A77F2B"/>
    <w:rsid w:val="00A80262"/>
    <w:rsid w:val="00A80768"/>
    <w:rsid w:val="00A80FA6"/>
    <w:rsid w:val="00A81124"/>
    <w:rsid w:val="00A8166A"/>
    <w:rsid w:val="00A81BF6"/>
    <w:rsid w:val="00A81DBE"/>
    <w:rsid w:val="00A82DA3"/>
    <w:rsid w:val="00A83315"/>
    <w:rsid w:val="00A83418"/>
    <w:rsid w:val="00A83F4A"/>
    <w:rsid w:val="00A84EAE"/>
    <w:rsid w:val="00A85B3A"/>
    <w:rsid w:val="00A8635A"/>
    <w:rsid w:val="00A86657"/>
    <w:rsid w:val="00A87234"/>
    <w:rsid w:val="00A87CCD"/>
    <w:rsid w:val="00A87EB1"/>
    <w:rsid w:val="00A87ECD"/>
    <w:rsid w:val="00A9069C"/>
    <w:rsid w:val="00A919FD"/>
    <w:rsid w:val="00A92183"/>
    <w:rsid w:val="00A9392A"/>
    <w:rsid w:val="00A93A0C"/>
    <w:rsid w:val="00A93C72"/>
    <w:rsid w:val="00A9504A"/>
    <w:rsid w:val="00A95B28"/>
    <w:rsid w:val="00A95C2E"/>
    <w:rsid w:val="00A96607"/>
    <w:rsid w:val="00A96EA2"/>
    <w:rsid w:val="00A973B5"/>
    <w:rsid w:val="00A9770B"/>
    <w:rsid w:val="00A9780D"/>
    <w:rsid w:val="00AA066B"/>
    <w:rsid w:val="00AA0FAD"/>
    <w:rsid w:val="00AA11DB"/>
    <w:rsid w:val="00AA24E1"/>
    <w:rsid w:val="00AA34BA"/>
    <w:rsid w:val="00AA3815"/>
    <w:rsid w:val="00AA3E29"/>
    <w:rsid w:val="00AA43AE"/>
    <w:rsid w:val="00AA45DA"/>
    <w:rsid w:val="00AA49BC"/>
    <w:rsid w:val="00AA59A1"/>
    <w:rsid w:val="00AA62C4"/>
    <w:rsid w:val="00AA6ECB"/>
    <w:rsid w:val="00AA7E60"/>
    <w:rsid w:val="00AB017D"/>
    <w:rsid w:val="00AB0332"/>
    <w:rsid w:val="00AB0537"/>
    <w:rsid w:val="00AB0EA7"/>
    <w:rsid w:val="00AB141D"/>
    <w:rsid w:val="00AB17C3"/>
    <w:rsid w:val="00AB1972"/>
    <w:rsid w:val="00AB1B3E"/>
    <w:rsid w:val="00AB296B"/>
    <w:rsid w:val="00AB35E8"/>
    <w:rsid w:val="00AB3D28"/>
    <w:rsid w:val="00AB3E87"/>
    <w:rsid w:val="00AB63C7"/>
    <w:rsid w:val="00AB6A71"/>
    <w:rsid w:val="00AB72C0"/>
    <w:rsid w:val="00AB74BD"/>
    <w:rsid w:val="00AB7E54"/>
    <w:rsid w:val="00AC042C"/>
    <w:rsid w:val="00AC04D8"/>
    <w:rsid w:val="00AC06DE"/>
    <w:rsid w:val="00AC08D2"/>
    <w:rsid w:val="00AC1096"/>
    <w:rsid w:val="00AC1369"/>
    <w:rsid w:val="00AC1FB6"/>
    <w:rsid w:val="00AC2C8C"/>
    <w:rsid w:val="00AC309A"/>
    <w:rsid w:val="00AC35C9"/>
    <w:rsid w:val="00AC3C87"/>
    <w:rsid w:val="00AC45C9"/>
    <w:rsid w:val="00AC46BF"/>
    <w:rsid w:val="00AC48C6"/>
    <w:rsid w:val="00AC4D4A"/>
    <w:rsid w:val="00AC5FBD"/>
    <w:rsid w:val="00AC617F"/>
    <w:rsid w:val="00AC6EF7"/>
    <w:rsid w:val="00AC6F03"/>
    <w:rsid w:val="00AD03B1"/>
    <w:rsid w:val="00AD0467"/>
    <w:rsid w:val="00AD0C3F"/>
    <w:rsid w:val="00AD0DB8"/>
    <w:rsid w:val="00AD0E7B"/>
    <w:rsid w:val="00AD1985"/>
    <w:rsid w:val="00AD1A6D"/>
    <w:rsid w:val="00AD1C1B"/>
    <w:rsid w:val="00AD2434"/>
    <w:rsid w:val="00AD2909"/>
    <w:rsid w:val="00AD34F1"/>
    <w:rsid w:val="00AD37EE"/>
    <w:rsid w:val="00AD3915"/>
    <w:rsid w:val="00AD4388"/>
    <w:rsid w:val="00AD439A"/>
    <w:rsid w:val="00AD43BB"/>
    <w:rsid w:val="00AD4C15"/>
    <w:rsid w:val="00AD510A"/>
    <w:rsid w:val="00AD5EA0"/>
    <w:rsid w:val="00AD6ABA"/>
    <w:rsid w:val="00AD7695"/>
    <w:rsid w:val="00AE0D19"/>
    <w:rsid w:val="00AE0DAC"/>
    <w:rsid w:val="00AE0F15"/>
    <w:rsid w:val="00AE0F91"/>
    <w:rsid w:val="00AE1666"/>
    <w:rsid w:val="00AE18E5"/>
    <w:rsid w:val="00AE2244"/>
    <w:rsid w:val="00AE24BF"/>
    <w:rsid w:val="00AE28BF"/>
    <w:rsid w:val="00AE2C34"/>
    <w:rsid w:val="00AE2DEA"/>
    <w:rsid w:val="00AE3DBE"/>
    <w:rsid w:val="00AE3FCB"/>
    <w:rsid w:val="00AE40C8"/>
    <w:rsid w:val="00AE49C4"/>
    <w:rsid w:val="00AE57A5"/>
    <w:rsid w:val="00AE5ACF"/>
    <w:rsid w:val="00AE62ED"/>
    <w:rsid w:val="00AE66C4"/>
    <w:rsid w:val="00AE6F33"/>
    <w:rsid w:val="00AE704B"/>
    <w:rsid w:val="00AE711C"/>
    <w:rsid w:val="00AE7978"/>
    <w:rsid w:val="00AF033C"/>
    <w:rsid w:val="00AF03DA"/>
    <w:rsid w:val="00AF0608"/>
    <w:rsid w:val="00AF0993"/>
    <w:rsid w:val="00AF0C05"/>
    <w:rsid w:val="00AF0CEC"/>
    <w:rsid w:val="00AF2430"/>
    <w:rsid w:val="00AF2457"/>
    <w:rsid w:val="00AF26A7"/>
    <w:rsid w:val="00AF29BA"/>
    <w:rsid w:val="00AF33AA"/>
    <w:rsid w:val="00AF3460"/>
    <w:rsid w:val="00AF4474"/>
    <w:rsid w:val="00AF4617"/>
    <w:rsid w:val="00AF4A71"/>
    <w:rsid w:val="00AF4FE5"/>
    <w:rsid w:val="00AF5088"/>
    <w:rsid w:val="00AF5353"/>
    <w:rsid w:val="00AF570F"/>
    <w:rsid w:val="00AF5E3F"/>
    <w:rsid w:val="00AF5E81"/>
    <w:rsid w:val="00AF6382"/>
    <w:rsid w:val="00AF6617"/>
    <w:rsid w:val="00AF66CF"/>
    <w:rsid w:val="00AF72D2"/>
    <w:rsid w:val="00AF73C7"/>
    <w:rsid w:val="00AF7B4C"/>
    <w:rsid w:val="00AF7C94"/>
    <w:rsid w:val="00B001C2"/>
    <w:rsid w:val="00B00811"/>
    <w:rsid w:val="00B00EBF"/>
    <w:rsid w:val="00B029C1"/>
    <w:rsid w:val="00B02F02"/>
    <w:rsid w:val="00B02FB4"/>
    <w:rsid w:val="00B03CAF"/>
    <w:rsid w:val="00B03D66"/>
    <w:rsid w:val="00B044A8"/>
    <w:rsid w:val="00B06423"/>
    <w:rsid w:val="00B0691E"/>
    <w:rsid w:val="00B07DB8"/>
    <w:rsid w:val="00B10333"/>
    <w:rsid w:val="00B103A2"/>
    <w:rsid w:val="00B11068"/>
    <w:rsid w:val="00B111CF"/>
    <w:rsid w:val="00B11C69"/>
    <w:rsid w:val="00B11CFC"/>
    <w:rsid w:val="00B11F37"/>
    <w:rsid w:val="00B1220E"/>
    <w:rsid w:val="00B12A23"/>
    <w:rsid w:val="00B13648"/>
    <w:rsid w:val="00B13CDA"/>
    <w:rsid w:val="00B140E5"/>
    <w:rsid w:val="00B14741"/>
    <w:rsid w:val="00B14791"/>
    <w:rsid w:val="00B14D3D"/>
    <w:rsid w:val="00B153E3"/>
    <w:rsid w:val="00B1568B"/>
    <w:rsid w:val="00B15FF8"/>
    <w:rsid w:val="00B1675C"/>
    <w:rsid w:val="00B167D0"/>
    <w:rsid w:val="00B16BE8"/>
    <w:rsid w:val="00B17297"/>
    <w:rsid w:val="00B1751F"/>
    <w:rsid w:val="00B1776D"/>
    <w:rsid w:val="00B1788B"/>
    <w:rsid w:val="00B20169"/>
    <w:rsid w:val="00B2016E"/>
    <w:rsid w:val="00B20AAC"/>
    <w:rsid w:val="00B20E55"/>
    <w:rsid w:val="00B21B01"/>
    <w:rsid w:val="00B22A78"/>
    <w:rsid w:val="00B22B81"/>
    <w:rsid w:val="00B22EF3"/>
    <w:rsid w:val="00B22F51"/>
    <w:rsid w:val="00B237B0"/>
    <w:rsid w:val="00B2677A"/>
    <w:rsid w:val="00B26B6B"/>
    <w:rsid w:val="00B277F6"/>
    <w:rsid w:val="00B3012A"/>
    <w:rsid w:val="00B30218"/>
    <w:rsid w:val="00B305BA"/>
    <w:rsid w:val="00B309B0"/>
    <w:rsid w:val="00B30D1E"/>
    <w:rsid w:val="00B30F12"/>
    <w:rsid w:val="00B30F9A"/>
    <w:rsid w:val="00B3121E"/>
    <w:rsid w:val="00B31681"/>
    <w:rsid w:val="00B31B11"/>
    <w:rsid w:val="00B32095"/>
    <w:rsid w:val="00B340D8"/>
    <w:rsid w:val="00B34625"/>
    <w:rsid w:val="00B346ED"/>
    <w:rsid w:val="00B34D39"/>
    <w:rsid w:val="00B34DCD"/>
    <w:rsid w:val="00B35AC1"/>
    <w:rsid w:val="00B35DB0"/>
    <w:rsid w:val="00B3630A"/>
    <w:rsid w:val="00B36548"/>
    <w:rsid w:val="00B367FE"/>
    <w:rsid w:val="00B3728E"/>
    <w:rsid w:val="00B37C2B"/>
    <w:rsid w:val="00B37C47"/>
    <w:rsid w:val="00B401ED"/>
    <w:rsid w:val="00B40B17"/>
    <w:rsid w:val="00B4208A"/>
    <w:rsid w:val="00B422A3"/>
    <w:rsid w:val="00B42A87"/>
    <w:rsid w:val="00B42DD0"/>
    <w:rsid w:val="00B42F47"/>
    <w:rsid w:val="00B43081"/>
    <w:rsid w:val="00B43398"/>
    <w:rsid w:val="00B43487"/>
    <w:rsid w:val="00B4359D"/>
    <w:rsid w:val="00B438BA"/>
    <w:rsid w:val="00B4489D"/>
    <w:rsid w:val="00B44F61"/>
    <w:rsid w:val="00B4574F"/>
    <w:rsid w:val="00B4675D"/>
    <w:rsid w:val="00B47233"/>
    <w:rsid w:val="00B47FF3"/>
    <w:rsid w:val="00B505FB"/>
    <w:rsid w:val="00B507DA"/>
    <w:rsid w:val="00B51147"/>
    <w:rsid w:val="00B520B8"/>
    <w:rsid w:val="00B5262E"/>
    <w:rsid w:val="00B52EFE"/>
    <w:rsid w:val="00B538DD"/>
    <w:rsid w:val="00B53D2B"/>
    <w:rsid w:val="00B54100"/>
    <w:rsid w:val="00B54586"/>
    <w:rsid w:val="00B54AAA"/>
    <w:rsid w:val="00B54B4E"/>
    <w:rsid w:val="00B54E75"/>
    <w:rsid w:val="00B55E05"/>
    <w:rsid w:val="00B575A9"/>
    <w:rsid w:val="00B57994"/>
    <w:rsid w:val="00B60B57"/>
    <w:rsid w:val="00B61044"/>
    <w:rsid w:val="00B61B0D"/>
    <w:rsid w:val="00B6254D"/>
    <w:rsid w:val="00B62679"/>
    <w:rsid w:val="00B62900"/>
    <w:rsid w:val="00B638E8"/>
    <w:rsid w:val="00B63AFF"/>
    <w:rsid w:val="00B63B78"/>
    <w:rsid w:val="00B63CC8"/>
    <w:rsid w:val="00B63E97"/>
    <w:rsid w:val="00B644A6"/>
    <w:rsid w:val="00B65236"/>
    <w:rsid w:val="00B65668"/>
    <w:rsid w:val="00B65DDE"/>
    <w:rsid w:val="00B65FCF"/>
    <w:rsid w:val="00B6635E"/>
    <w:rsid w:val="00B66FF4"/>
    <w:rsid w:val="00B67AF3"/>
    <w:rsid w:val="00B67B3A"/>
    <w:rsid w:val="00B705B8"/>
    <w:rsid w:val="00B705FA"/>
    <w:rsid w:val="00B70D23"/>
    <w:rsid w:val="00B712AE"/>
    <w:rsid w:val="00B713B2"/>
    <w:rsid w:val="00B71706"/>
    <w:rsid w:val="00B73568"/>
    <w:rsid w:val="00B73A49"/>
    <w:rsid w:val="00B73A93"/>
    <w:rsid w:val="00B7450A"/>
    <w:rsid w:val="00B74DD9"/>
    <w:rsid w:val="00B7503B"/>
    <w:rsid w:val="00B75883"/>
    <w:rsid w:val="00B75BF8"/>
    <w:rsid w:val="00B75E63"/>
    <w:rsid w:val="00B769B6"/>
    <w:rsid w:val="00B772BE"/>
    <w:rsid w:val="00B7785A"/>
    <w:rsid w:val="00B8040B"/>
    <w:rsid w:val="00B8047F"/>
    <w:rsid w:val="00B80AA5"/>
    <w:rsid w:val="00B813F5"/>
    <w:rsid w:val="00B81521"/>
    <w:rsid w:val="00B82CFE"/>
    <w:rsid w:val="00B82E4E"/>
    <w:rsid w:val="00B8408D"/>
    <w:rsid w:val="00B84281"/>
    <w:rsid w:val="00B84381"/>
    <w:rsid w:val="00B848DE"/>
    <w:rsid w:val="00B84E60"/>
    <w:rsid w:val="00B85244"/>
    <w:rsid w:val="00B8573F"/>
    <w:rsid w:val="00B86A5B"/>
    <w:rsid w:val="00B906E5"/>
    <w:rsid w:val="00B9132E"/>
    <w:rsid w:val="00B91888"/>
    <w:rsid w:val="00B927C7"/>
    <w:rsid w:val="00B92C31"/>
    <w:rsid w:val="00B93608"/>
    <w:rsid w:val="00B9449F"/>
    <w:rsid w:val="00B946B7"/>
    <w:rsid w:val="00B9532F"/>
    <w:rsid w:val="00B953C6"/>
    <w:rsid w:val="00B959AA"/>
    <w:rsid w:val="00B95ADC"/>
    <w:rsid w:val="00B95CB9"/>
    <w:rsid w:val="00B95D51"/>
    <w:rsid w:val="00B95D6C"/>
    <w:rsid w:val="00B95E9A"/>
    <w:rsid w:val="00B96164"/>
    <w:rsid w:val="00B96A3A"/>
    <w:rsid w:val="00B96CA0"/>
    <w:rsid w:val="00BA0510"/>
    <w:rsid w:val="00BA0E70"/>
    <w:rsid w:val="00BA1B45"/>
    <w:rsid w:val="00BA1DE3"/>
    <w:rsid w:val="00BA2320"/>
    <w:rsid w:val="00BA245C"/>
    <w:rsid w:val="00BA2FD1"/>
    <w:rsid w:val="00BA42FB"/>
    <w:rsid w:val="00BA4848"/>
    <w:rsid w:val="00BA4A95"/>
    <w:rsid w:val="00BA4DC8"/>
    <w:rsid w:val="00BA5547"/>
    <w:rsid w:val="00BA58F4"/>
    <w:rsid w:val="00BA5907"/>
    <w:rsid w:val="00BA5974"/>
    <w:rsid w:val="00BA59FA"/>
    <w:rsid w:val="00BA6512"/>
    <w:rsid w:val="00BA668C"/>
    <w:rsid w:val="00BA6A5D"/>
    <w:rsid w:val="00BB088A"/>
    <w:rsid w:val="00BB196D"/>
    <w:rsid w:val="00BB1FA7"/>
    <w:rsid w:val="00BB30B2"/>
    <w:rsid w:val="00BB34D8"/>
    <w:rsid w:val="00BB3A0D"/>
    <w:rsid w:val="00BB42D6"/>
    <w:rsid w:val="00BB4763"/>
    <w:rsid w:val="00BB4AF4"/>
    <w:rsid w:val="00BB5015"/>
    <w:rsid w:val="00BB5D60"/>
    <w:rsid w:val="00BB70C2"/>
    <w:rsid w:val="00BB70DB"/>
    <w:rsid w:val="00BB7367"/>
    <w:rsid w:val="00BB75AB"/>
    <w:rsid w:val="00BB7651"/>
    <w:rsid w:val="00BB77BC"/>
    <w:rsid w:val="00BC055D"/>
    <w:rsid w:val="00BC067D"/>
    <w:rsid w:val="00BC0991"/>
    <w:rsid w:val="00BC1922"/>
    <w:rsid w:val="00BC1C72"/>
    <w:rsid w:val="00BC267C"/>
    <w:rsid w:val="00BC2EAB"/>
    <w:rsid w:val="00BC41A5"/>
    <w:rsid w:val="00BC4826"/>
    <w:rsid w:val="00BC4B77"/>
    <w:rsid w:val="00BC639F"/>
    <w:rsid w:val="00BC6502"/>
    <w:rsid w:val="00BC6AB0"/>
    <w:rsid w:val="00BC7553"/>
    <w:rsid w:val="00BC77DB"/>
    <w:rsid w:val="00BC791A"/>
    <w:rsid w:val="00BD0290"/>
    <w:rsid w:val="00BD04E4"/>
    <w:rsid w:val="00BD0B99"/>
    <w:rsid w:val="00BD1535"/>
    <w:rsid w:val="00BD22FB"/>
    <w:rsid w:val="00BD243E"/>
    <w:rsid w:val="00BD2B7E"/>
    <w:rsid w:val="00BD3077"/>
    <w:rsid w:val="00BD31A0"/>
    <w:rsid w:val="00BD347B"/>
    <w:rsid w:val="00BD43E5"/>
    <w:rsid w:val="00BD5F15"/>
    <w:rsid w:val="00BD67BE"/>
    <w:rsid w:val="00BD6C00"/>
    <w:rsid w:val="00BD6E6C"/>
    <w:rsid w:val="00BD7370"/>
    <w:rsid w:val="00BD754B"/>
    <w:rsid w:val="00BD79D1"/>
    <w:rsid w:val="00BE0179"/>
    <w:rsid w:val="00BE0523"/>
    <w:rsid w:val="00BE0D9A"/>
    <w:rsid w:val="00BE26D9"/>
    <w:rsid w:val="00BE44F4"/>
    <w:rsid w:val="00BE455B"/>
    <w:rsid w:val="00BE4770"/>
    <w:rsid w:val="00BE4A7D"/>
    <w:rsid w:val="00BE4ECA"/>
    <w:rsid w:val="00BE50F0"/>
    <w:rsid w:val="00BE51C1"/>
    <w:rsid w:val="00BE5742"/>
    <w:rsid w:val="00BE5929"/>
    <w:rsid w:val="00BE5AE1"/>
    <w:rsid w:val="00BE61F5"/>
    <w:rsid w:val="00BE62BD"/>
    <w:rsid w:val="00BE6571"/>
    <w:rsid w:val="00BE65D4"/>
    <w:rsid w:val="00BE6788"/>
    <w:rsid w:val="00BE6A25"/>
    <w:rsid w:val="00BE703A"/>
    <w:rsid w:val="00BE7221"/>
    <w:rsid w:val="00BE7730"/>
    <w:rsid w:val="00BE78C3"/>
    <w:rsid w:val="00BF0166"/>
    <w:rsid w:val="00BF0433"/>
    <w:rsid w:val="00BF09CE"/>
    <w:rsid w:val="00BF17B4"/>
    <w:rsid w:val="00BF1931"/>
    <w:rsid w:val="00BF19D4"/>
    <w:rsid w:val="00BF1BAD"/>
    <w:rsid w:val="00BF263E"/>
    <w:rsid w:val="00BF2696"/>
    <w:rsid w:val="00BF2714"/>
    <w:rsid w:val="00BF2982"/>
    <w:rsid w:val="00BF2AE2"/>
    <w:rsid w:val="00BF2B31"/>
    <w:rsid w:val="00BF346B"/>
    <w:rsid w:val="00BF4573"/>
    <w:rsid w:val="00BF48CD"/>
    <w:rsid w:val="00BF48FA"/>
    <w:rsid w:val="00BF4A88"/>
    <w:rsid w:val="00BF4BE0"/>
    <w:rsid w:val="00BF56F0"/>
    <w:rsid w:val="00BF765D"/>
    <w:rsid w:val="00BF7E58"/>
    <w:rsid w:val="00C006F6"/>
    <w:rsid w:val="00C0102D"/>
    <w:rsid w:val="00C0139E"/>
    <w:rsid w:val="00C01D4E"/>
    <w:rsid w:val="00C01F00"/>
    <w:rsid w:val="00C01F1F"/>
    <w:rsid w:val="00C01FC0"/>
    <w:rsid w:val="00C0351D"/>
    <w:rsid w:val="00C041C2"/>
    <w:rsid w:val="00C04D89"/>
    <w:rsid w:val="00C04DF7"/>
    <w:rsid w:val="00C0555D"/>
    <w:rsid w:val="00C0594D"/>
    <w:rsid w:val="00C063DC"/>
    <w:rsid w:val="00C065B1"/>
    <w:rsid w:val="00C06CC4"/>
    <w:rsid w:val="00C06F57"/>
    <w:rsid w:val="00C07D2A"/>
    <w:rsid w:val="00C07EBD"/>
    <w:rsid w:val="00C10DCD"/>
    <w:rsid w:val="00C10DE0"/>
    <w:rsid w:val="00C10FE9"/>
    <w:rsid w:val="00C113D3"/>
    <w:rsid w:val="00C1143D"/>
    <w:rsid w:val="00C12444"/>
    <w:rsid w:val="00C1280D"/>
    <w:rsid w:val="00C12FB8"/>
    <w:rsid w:val="00C13048"/>
    <w:rsid w:val="00C1317F"/>
    <w:rsid w:val="00C13B74"/>
    <w:rsid w:val="00C13CC8"/>
    <w:rsid w:val="00C1400F"/>
    <w:rsid w:val="00C14852"/>
    <w:rsid w:val="00C15251"/>
    <w:rsid w:val="00C152A1"/>
    <w:rsid w:val="00C15642"/>
    <w:rsid w:val="00C157A9"/>
    <w:rsid w:val="00C15B6B"/>
    <w:rsid w:val="00C16C0D"/>
    <w:rsid w:val="00C1703A"/>
    <w:rsid w:val="00C172EE"/>
    <w:rsid w:val="00C17595"/>
    <w:rsid w:val="00C17819"/>
    <w:rsid w:val="00C17958"/>
    <w:rsid w:val="00C17B3B"/>
    <w:rsid w:val="00C2036A"/>
    <w:rsid w:val="00C2037E"/>
    <w:rsid w:val="00C21BDB"/>
    <w:rsid w:val="00C21F89"/>
    <w:rsid w:val="00C22DE4"/>
    <w:rsid w:val="00C23986"/>
    <w:rsid w:val="00C24D7B"/>
    <w:rsid w:val="00C250A4"/>
    <w:rsid w:val="00C2536C"/>
    <w:rsid w:val="00C2570A"/>
    <w:rsid w:val="00C2679E"/>
    <w:rsid w:val="00C26C79"/>
    <w:rsid w:val="00C274A7"/>
    <w:rsid w:val="00C27E78"/>
    <w:rsid w:val="00C27F04"/>
    <w:rsid w:val="00C30A28"/>
    <w:rsid w:val="00C30F09"/>
    <w:rsid w:val="00C31B7A"/>
    <w:rsid w:val="00C31CFE"/>
    <w:rsid w:val="00C32F56"/>
    <w:rsid w:val="00C343D6"/>
    <w:rsid w:val="00C3470B"/>
    <w:rsid w:val="00C35743"/>
    <w:rsid w:val="00C35C79"/>
    <w:rsid w:val="00C36157"/>
    <w:rsid w:val="00C3647F"/>
    <w:rsid w:val="00C364D4"/>
    <w:rsid w:val="00C365E8"/>
    <w:rsid w:val="00C36691"/>
    <w:rsid w:val="00C36932"/>
    <w:rsid w:val="00C3707F"/>
    <w:rsid w:val="00C370F7"/>
    <w:rsid w:val="00C374B4"/>
    <w:rsid w:val="00C37E8E"/>
    <w:rsid w:val="00C40287"/>
    <w:rsid w:val="00C405DE"/>
    <w:rsid w:val="00C40B30"/>
    <w:rsid w:val="00C40C5F"/>
    <w:rsid w:val="00C40EE0"/>
    <w:rsid w:val="00C40F62"/>
    <w:rsid w:val="00C41523"/>
    <w:rsid w:val="00C415A0"/>
    <w:rsid w:val="00C41B85"/>
    <w:rsid w:val="00C41BC7"/>
    <w:rsid w:val="00C41E15"/>
    <w:rsid w:val="00C41EC7"/>
    <w:rsid w:val="00C41EE9"/>
    <w:rsid w:val="00C42C0B"/>
    <w:rsid w:val="00C42E6B"/>
    <w:rsid w:val="00C453D0"/>
    <w:rsid w:val="00C47220"/>
    <w:rsid w:val="00C47B37"/>
    <w:rsid w:val="00C50357"/>
    <w:rsid w:val="00C51525"/>
    <w:rsid w:val="00C51D98"/>
    <w:rsid w:val="00C51D9B"/>
    <w:rsid w:val="00C520BF"/>
    <w:rsid w:val="00C520E0"/>
    <w:rsid w:val="00C521A7"/>
    <w:rsid w:val="00C521A9"/>
    <w:rsid w:val="00C5285A"/>
    <w:rsid w:val="00C529E8"/>
    <w:rsid w:val="00C53B45"/>
    <w:rsid w:val="00C54C7B"/>
    <w:rsid w:val="00C551E7"/>
    <w:rsid w:val="00C569C0"/>
    <w:rsid w:val="00C56A46"/>
    <w:rsid w:val="00C56FDB"/>
    <w:rsid w:val="00C57A05"/>
    <w:rsid w:val="00C57D15"/>
    <w:rsid w:val="00C60055"/>
    <w:rsid w:val="00C608F5"/>
    <w:rsid w:val="00C61363"/>
    <w:rsid w:val="00C617C1"/>
    <w:rsid w:val="00C61C95"/>
    <w:rsid w:val="00C62195"/>
    <w:rsid w:val="00C62373"/>
    <w:rsid w:val="00C62B12"/>
    <w:rsid w:val="00C62B6B"/>
    <w:rsid w:val="00C6300B"/>
    <w:rsid w:val="00C63500"/>
    <w:rsid w:val="00C63542"/>
    <w:rsid w:val="00C63C83"/>
    <w:rsid w:val="00C64272"/>
    <w:rsid w:val="00C64AA0"/>
    <w:rsid w:val="00C65DDD"/>
    <w:rsid w:val="00C66338"/>
    <w:rsid w:val="00C664A1"/>
    <w:rsid w:val="00C6708A"/>
    <w:rsid w:val="00C67DF7"/>
    <w:rsid w:val="00C705D2"/>
    <w:rsid w:val="00C70BC2"/>
    <w:rsid w:val="00C71892"/>
    <w:rsid w:val="00C7216F"/>
    <w:rsid w:val="00C7235A"/>
    <w:rsid w:val="00C7268C"/>
    <w:rsid w:val="00C72AAD"/>
    <w:rsid w:val="00C72E06"/>
    <w:rsid w:val="00C73AA6"/>
    <w:rsid w:val="00C73AF2"/>
    <w:rsid w:val="00C74A7C"/>
    <w:rsid w:val="00C7542E"/>
    <w:rsid w:val="00C7589D"/>
    <w:rsid w:val="00C75E65"/>
    <w:rsid w:val="00C76AFE"/>
    <w:rsid w:val="00C76B6C"/>
    <w:rsid w:val="00C7730A"/>
    <w:rsid w:val="00C801FE"/>
    <w:rsid w:val="00C818EA"/>
    <w:rsid w:val="00C82196"/>
    <w:rsid w:val="00C821C9"/>
    <w:rsid w:val="00C824BC"/>
    <w:rsid w:val="00C82B7F"/>
    <w:rsid w:val="00C82B9F"/>
    <w:rsid w:val="00C82FD5"/>
    <w:rsid w:val="00C8316F"/>
    <w:rsid w:val="00C836BD"/>
    <w:rsid w:val="00C836C7"/>
    <w:rsid w:val="00C83E4B"/>
    <w:rsid w:val="00C847F0"/>
    <w:rsid w:val="00C85342"/>
    <w:rsid w:val="00C8555E"/>
    <w:rsid w:val="00C856B6"/>
    <w:rsid w:val="00C85A5C"/>
    <w:rsid w:val="00C85CA7"/>
    <w:rsid w:val="00C86DAE"/>
    <w:rsid w:val="00C87217"/>
    <w:rsid w:val="00C873E3"/>
    <w:rsid w:val="00C874FF"/>
    <w:rsid w:val="00C87814"/>
    <w:rsid w:val="00C87C9C"/>
    <w:rsid w:val="00C87DF1"/>
    <w:rsid w:val="00C87E23"/>
    <w:rsid w:val="00C90866"/>
    <w:rsid w:val="00C90C62"/>
    <w:rsid w:val="00C91173"/>
    <w:rsid w:val="00C92103"/>
    <w:rsid w:val="00C9320A"/>
    <w:rsid w:val="00C94432"/>
    <w:rsid w:val="00C94967"/>
    <w:rsid w:val="00C9546F"/>
    <w:rsid w:val="00C9553E"/>
    <w:rsid w:val="00C95D9E"/>
    <w:rsid w:val="00C95E46"/>
    <w:rsid w:val="00C966ED"/>
    <w:rsid w:val="00C96734"/>
    <w:rsid w:val="00C96873"/>
    <w:rsid w:val="00C96885"/>
    <w:rsid w:val="00C9702F"/>
    <w:rsid w:val="00C97922"/>
    <w:rsid w:val="00CA0AB0"/>
    <w:rsid w:val="00CA0B60"/>
    <w:rsid w:val="00CA114A"/>
    <w:rsid w:val="00CA12AF"/>
    <w:rsid w:val="00CA1F04"/>
    <w:rsid w:val="00CA1FD8"/>
    <w:rsid w:val="00CA2F6E"/>
    <w:rsid w:val="00CA2F86"/>
    <w:rsid w:val="00CA31B3"/>
    <w:rsid w:val="00CA3C59"/>
    <w:rsid w:val="00CA3EA8"/>
    <w:rsid w:val="00CA3FE7"/>
    <w:rsid w:val="00CA447E"/>
    <w:rsid w:val="00CA4CAD"/>
    <w:rsid w:val="00CA4E30"/>
    <w:rsid w:val="00CA5863"/>
    <w:rsid w:val="00CA5D07"/>
    <w:rsid w:val="00CA5F41"/>
    <w:rsid w:val="00CA61F5"/>
    <w:rsid w:val="00CA7DD4"/>
    <w:rsid w:val="00CA7FED"/>
    <w:rsid w:val="00CB082E"/>
    <w:rsid w:val="00CB0955"/>
    <w:rsid w:val="00CB0C6B"/>
    <w:rsid w:val="00CB1839"/>
    <w:rsid w:val="00CB1EC8"/>
    <w:rsid w:val="00CB2B44"/>
    <w:rsid w:val="00CB3284"/>
    <w:rsid w:val="00CB36DA"/>
    <w:rsid w:val="00CB3952"/>
    <w:rsid w:val="00CB3AC6"/>
    <w:rsid w:val="00CB3B14"/>
    <w:rsid w:val="00CB3FE0"/>
    <w:rsid w:val="00CB46B0"/>
    <w:rsid w:val="00CB4B7A"/>
    <w:rsid w:val="00CB4B7E"/>
    <w:rsid w:val="00CB5134"/>
    <w:rsid w:val="00CB60BF"/>
    <w:rsid w:val="00CB6C29"/>
    <w:rsid w:val="00CB72CE"/>
    <w:rsid w:val="00CB762E"/>
    <w:rsid w:val="00CB7FF3"/>
    <w:rsid w:val="00CC00BD"/>
    <w:rsid w:val="00CC0931"/>
    <w:rsid w:val="00CC1148"/>
    <w:rsid w:val="00CC1A2D"/>
    <w:rsid w:val="00CC2A9F"/>
    <w:rsid w:val="00CC37BE"/>
    <w:rsid w:val="00CC3F52"/>
    <w:rsid w:val="00CC4381"/>
    <w:rsid w:val="00CC446F"/>
    <w:rsid w:val="00CC5287"/>
    <w:rsid w:val="00CC5C8D"/>
    <w:rsid w:val="00CC6400"/>
    <w:rsid w:val="00CC6C76"/>
    <w:rsid w:val="00CC756A"/>
    <w:rsid w:val="00CD050C"/>
    <w:rsid w:val="00CD0795"/>
    <w:rsid w:val="00CD0E33"/>
    <w:rsid w:val="00CD0F2B"/>
    <w:rsid w:val="00CD1197"/>
    <w:rsid w:val="00CD1BD6"/>
    <w:rsid w:val="00CD1E6E"/>
    <w:rsid w:val="00CD22DD"/>
    <w:rsid w:val="00CD25B5"/>
    <w:rsid w:val="00CD2CDA"/>
    <w:rsid w:val="00CD34E4"/>
    <w:rsid w:val="00CD3C4F"/>
    <w:rsid w:val="00CD3CAE"/>
    <w:rsid w:val="00CD4493"/>
    <w:rsid w:val="00CD4743"/>
    <w:rsid w:val="00CD4E13"/>
    <w:rsid w:val="00CD586B"/>
    <w:rsid w:val="00CD5D04"/>
    <w:rsid w:val="00CD5DA4"/>
    <w:rsid w:val="00CD5FAD"/>
    <w:rsid w:val="00CD6B88"/>
    <w:rsid w:val="00CD6E54"/>
    <w:rsid w:val="00CD703F"/>
    <w:rsid w:val="00CD7D6C"/>
    <w:rsid w:val="00CE03AE"/>
    <w:rsid w:val="00CE0646"/>
    <w:rsid w:val="00CE10DE"/>
    <w:rsid w:val="00CE1645"/>
    <w:rsid w:val="00CE24D8"/>
    <w:rsid w:val="00CE2550"/>
    <w:rsid w:val="00CE2876"/>
    <w:rsid w:val="00CE2996"/>
    <w:rsid w:val="00CE38D0"/>
    <w:rsid w:val="00CE3EFB"/>
    <w:rsid w:val="00CE442E"/>
    <w:rsid w:val="00CE4B92"/>
    <w:rsid w:val="00CE5015"/>
    <w:rsid w:val="00CE5269"/>
    <w:rsid w:val="00CE5622"/>
    <w:rsid w:val="00CE597D"/>
    <w:rsid w:val="00CE5B98"/>
    <w:rsid w:val="00CE5D1E"/>
    <w:rsid w:val="00CE5F69"/>
    <w:rsid w:val="00CE72DD"/>
    <w:rsid w:val="00CE74B3"/>
    <w:rsid w:val="00CF01C0"/>
    <w:rsid w:val="00CF024A"/>
    <w:rsid w:val="00CF0D46"/>
    <w:rsid w:val="00CF0FDA"/>
    <w:rsid w:val="00CF1011"/>
    <w:rsid w:val="00CF140F"/>
    <w:rsid w:val="00CF1492"/>
    <w:rsid w:val="00CF1732"/>
    <w:rsid w:val="00CF17C0"/>
    <w:rsid w:val="00CF19E1"/>
    <w:rsid w:val="00CF1AFE"/>
    <w:rsid w:val="00CF2684"/>
    <w:rsid w:val="00CF36DB"/>
    <w:rsid w:val="00CF3A20"/>
    <w:rsid w:val="00CF3A65"/>
    <w:rsid w:val="00CF4A63"/>
    <w:rsid w:val="00CF4B2C"/>
    <w:rsid w:val="00CF5AFB"/>
    <w:rsid w:val="00CF5ED8"/>
    <w:rsid w:val="00CF610C"/>
    <w:rsid w:val="00CF64D4"/>
    <w:rsid w:val="00CF7F7F"/>
    <w:rsid w:val="00D0052A"/>
    <w:rsid w:val="00D00F6D"/>
    <w:rsid w:val="00D01E2A"/>
    <w:rsid w:val="00D02FAE"/>
    <w:rsid w:val="00D0308E"/>
    <w:rsid w:val="00D03438"/>
    <w:rsid w:val="00D03FF5"/>
    <w:rsid w:val="00D0405F"/>
    <w:rsid w:val="00D040CC"/>
    <w:rsid w:val="00D0426F"/>
    <w:rsid w:val="00D045B8"/>
    <w:rsid w:val="00D0474C"/>
    <w:rsid w:val="00D04B89"/>
    <w:rsid w:val="00D054A2"/>
    <w:rsid w:val="00D0561A"/>
    <w:rsid w:val="00D058F5"/>
    <w:rsid w:val="00D06028"/>
    <w:rsid w:val="00D0604B"/>
    <w:rsid w:val="00D06246"/>
    <w:rsid w:val="00D069DF"/>
    <w:rsid w:val="00D0718C"/>
    <w:rsid w:val="00D0787E"/>
    <w:rsid w:val="00D102E1"/>
    <w:rsid w:val="00D10933"/>
    <w:rsid w:val="00D10AD2"/>
    <w:rsid w:val="00D10E73"/>
    <w:rsid w:val="00D1164F"/>
    <w:rsid w:val="00D121BF"/>
    <w:rsid w:val="00D12C27"/>
    <w:rsid w:val="00D133EA"/>
    <w:rsid w:val="00D13491"/>
    <w:rsid w:val="00D13757"/>
    <w:rsid w:val="00D138DC"/>
    <w:rsid w:val="00D13CBE"/>
    <w:rsid w:val="00D13F88"/>
    <w:rsid w:val="00D14360"/>
    <w:rsid w:val="00D15299"/>
    <w:rsid w:val="00D166D5"/>
    <w:rsid w:val="00D16731"/>
    <w:rsid w:val="00D17835"/>
    <w:rsid w:val="00D17885"/>
    <w:rsid w:val="00D179F6"/>
    <w:rsid w:val="00D17AAE"/>
    <w:rsid w:val="00D17DCD"/>
    <w:rsid w:val="00D2096A"/>
    <w:rsid w:val="00D21051"/>
    <w:rsid w:val="00D212C9"/>
    <w:rsid w:val="00D21AC5"/>
    <w:rsid w:val="00D223EE"/>
    <w:rsid w:val="00D225B5"/>
    <w:rsid w:val="00D22745"/>
    <w:rsid w:val="00D22D96"/>
    <w:rsid w:val="00D22FF3"/>
    <w:rsid w:val="00D238A9"/>
    <w:rsid w:val="00D23E55"/>
    <w:rsid w:val="00D23F21"/>
    <w:rsid w:val="00D24B2D"/>
    <w:rsid w:val="00D24FD1"/>
    <w:rsid w:val="00D25210"/>
    <w:rsid w:val="00D2598F"/>
    <w:rsid w:val="00D25C14"/>
    <w:rsid w:val="00D26C60"/>
    <w:rsid w:val="00D26DBD"/>
    <w:rsid w:val="00D27856"/>
    <w:rsid w:val="00D27A42"/>
    <w:rsid w:val="00D27D45"/>
    <w:rsid w:val="00D30574"/>
    <w:rsid w:val="00D309A1"/>
    <w:rsid w:val="00D31A16"/>
    <w:rsid w:val="00D31E7C"/>
    <w:rsid w:val="00D31FAB"/>
    <w:rsid w:val="00D33448"/>
    <w:rsid w:val="00D347B9"/>
    <w:rsid w:val="00D352B8"/>
    <w:rsid w:val="00D3574A"/>
    <w:rsid w:val="00D35849"/>
    <w:rsid w:val="00D35C51"/>
    <w:rsid w:val="00D369FC"/>
    <w:rsid w:val="00D3740C"/>
    <w:rsid w:val="00D4065C"/>
    <w:rsid w:val="00D408CD"/>
    <w:rsid w:val="00D40C6F"/>
    <w:rsid w:val="00D40FE5"/>
    <w:rsid w:val="00D41553"/>
    <w:rsid w:val="00D41565"/>
    <w:rsid w:val="00D41825"/>
    <w:rsid w:val="00D4286D"/>
    <w:rsid w:val="00D42AFF"/>
    <w:rsid w:val="00D42F45"/>
    <w:rsid w:val="00D4325C"/>
    <w:rsid w:val="00D43416"/>
    <w:rsid w:val="00D43679"/>
    <w:rsid w:val="00D45202"/>
    <w:rsid w:val="00D45F3C"/>
    <w:rsid w:val="00D45F76"/>
    <w:rsid w:val="00D46131"/>
    <w:rsid w:val="00D462E0"/>
    <w:rsid w:val="00D4709A"/>
    <w:rsid w:val="00D47517"/>
    <w:rsid w:val="00D47789"/>
    <w:rsid w:val="00D47DFD"/>
    <w:rsid w:val="00D47FC1"/>
    <w:rsid w:val="00D50627"/>
    <w:rsid w:val="00D50C4D"/>
    <w:rsid w:val="00D50DEE"/>
    <w:rsid w:val="00D5177D"/>
    <w:rsid w:val="00D52EB5"/>
    <w:rsid w:val="00D53205"/>
    <w:rsid w:val="00D53BE5"/>
    <w:rsid w:val="00D545F7"/>
    <w:rsid w:val="00D547B5"/>
    <w:rsid w:val="00D5678E"/>
    <w:rsid w:val="00D56B17"/>
    <w:rsid w:val="00D56D7A"/>
    <w:rsid w:val="00D576B6"/>
    <w:rsid w:val="00D6033B"/>
    <w:rsid w:val="00D61057"/>
    <w:rsid w:val="00D61126"/>
    <w:rsid w:val="00D61825"/>
    <w:rsid w:val="00D618F9"/>
    <w:rsid w:val="00D61B95"/>
    <w:rsid w:val="00D620C8"/>
    <w:rsid w:val="00D625EB"/>
    <w:rsid w:val="00D62C61"/>
    <w:rsid w:val="00D62E90"/>
    <w:rsid w:val="00D63C1F"/>
    <w:rsid w:val="00D64950"/>
    <w:rsid w:val="00D64972"/>
    <w:rsid w:val="00D64FB8"/>
    <w:rsid w:val="00D657E0"/>
    <w:rsid w:val="00D65C9D"/>
    <w:rsid w:val="00D65D7E"/>
    <w:rsid w:val="00D66063"/>
    <w:rsid w:val="00D66D0E"/>
    <w:rsid w:val="00D67078"/>
    <w:rsid w:val="00D67205"/>
    <w:rsid w:val="00D67CE5"/>
    <w:rsid w:val="00D71AA2"/>
    <w:rsid w:val="00D724B9"/>
    <w:rsid w:val="00D725E6"/>
    <w:rsid w:val="00D73348"/>
    <w:rsid w:val="00D73372"/>
    <w:rsid w:val="00D73BDF"/>
    <w:rsid w:val="00D740FD"/>
    <w:rsid w:val="00D751F5"/>
    <w:rsid w:val="00D7577E"/>
    <w:rsid w:val="00D76801"/>
    <w:rsid w:val="00D7682D"/>
    <w:rsid w:val="00D76832"/>
    <w:rsid w:val="00D7683F"/>
    <w:rsid w:val="00D76CB0"/>
    <w:rsid w:val="00D77804"/>
    <w:rsid w:val="00D778F6"/>
    <w:rsid w:val="00D77BA4"/>
    <w:rsid w:val="00D77C51"/>
    <w:rsid w:val="00D800A1"/>
    <w:rsid w:val="00D80475"/>
    <w:rsid w:val="00D804A2"/>
    <w:rsid w:val="00D810F1"/>
    <w:rsid w:val="00D81199"/>
    <w:rsid w:val="00D820A1"/>
    <w:rsid w:val="00D82CFD"/>
    <w:rsid w:val="00D82EBC"/>
    <w:rsid w:val="00D834E8"/>
    <w:rsid w:val="00D83592"/>
    <w:rsid w:val="00D83CE7"/>
    <w:rsid w:val="00D8435A"/>
    <w:rsid w:val="00D849AB"/>
    <w:rsid w:val="00D84F18"/>
    <w:rsid w:val="00D850A4"/>
    <w:rsid w:val="00D85388"/>
    <w:rsid w:val="00D854E1"/>
    <w:rsid w:val="00D8614E"/>
    <w:rsid w:val="00D8670A"/>
    <w:rsid w:val="00D86950"/>
    <w:rsid w:val="00D8701F"/>
    <w:rsid w:val="00D87178"/>
    <w:rsid w:val="00D9036C"/>
    <w:rsid w:val="00D91A7A"/>
    <w:rsid w:val="00D92000"/>
    <w:rsid w:val="00D92178"/>
    <w:rsid w:val="00D9237E"/>
    <w:rsid w:val="00D92449"/>
    <w:rsid w:val="00D92F03"/>
    <w:rsid w:val="00D935AE"/>
    <w:rsid w:val="00D947D9"/>
    <w:rsid w:val="00D94E72"/>
    <w:rsid w:val="00D95860"/>
    <w:rsid w:val="00D959D4"/>
    <w:rsid w:val="00D960B0"/>
    <w:rsid w:val="00D96386"/>
    <w:rsid w:val="00D96D13"/>
    <w:rsid w:val="00DA0058"/>
    <w:rsid w:val="00DA00E6"/>
    <w:rsid w:val="00DA08A3"/>
    <w:rsid w:val="00DA0FCA"/>
    <w:rsid w:val="00DA20AC"/>
    <w:rsid w:val="00DA2249"/>
    <w:rsid w:val="00DA2F38"/>
    <w:rsid w:val="00DA32EA"/>
    <w:rsid w:val="00DA33E6"/>
    <w:rsid w:val="00DA3403"/>
    <w:rsid w:val="00DA485E"/>
    <w:rsid w:val="00DA520D"/>
    <w:rsid w:val="00DA5735"/>
    <w:rsid w:val="00DA5C57"/>
    <w:rsid w:val="00DA5E87"/>
    <w:rsid w:val="00DA6B8C"/>
    <w:rsid w:val="00DA6F52"/>
    <w:rsid w:val="00DA75F1"/>
    <w:rsid w:val="00DA766C"/>
    <w:rsid w:val="00DA7A98"/>
    <w:rsid w:val="00DB019D"/>
    <w:rsid w:val="00DB023F"/>
    <w:rsid w:val="00DB0955"/>
    <w:rsid w:val="00DB15B1"/>
    <w:rsid w:val="00DB1699"/>
    <w:rsid w:val="00DB2305"/>
    <w:rsid w:val="00DB23EB"/>
    <w:rsid w:val="00DB28A4"/>
    <w:rsid w:val="00DB2F84"/>
    <w:rsid w:val="00DB35C3"/>
    <w:rsid w:val="00DB362F"/>
    <w:rsid w:val="00DB40C3"/>
    <w:rsid w:val="00DB509D"/>
    <w:rsid w:val="00DB5121"/>
    <w:rsid w:val="00DB5706"/>
    <w:rsid w:val="00DB60DF"/>
    <w:rsid w:val="00DB628A"/>
    <w:rsid w:val="00DB7109"/>
    <w:rsid w:val="00DB74F6"/>
    <w:rsid w:val="00DC06CD"/>
    <w:rsid w:val="00DC11E4"/>
    <w:rsid w:val="00DC1790"/>
    <w:rsid w:val="00DC21F9"/>
    <w:rsid w:val="00DC230D"/>
    <w:rsid w:val="00DC2937"/>
    <w:rsid w:val="00DC3AF3"/>
    <w:rsid w:val="00DC540E"/>
    <w:rsid w:val="00DC5894"/>
    <w:rsid w:val="00DC683B"/>
    <w:rsid w:val="00DC6AFA"/>
    <w:rsid w:val="00DC6E28"/>
    <w:rsid w:val="00DC703C"/>
    <w:rsid w:val="00DC7743"/>
    <w:rsid w:val="00DC78A5"/>
    <w:rsid w:val="00DD02F8"/>
    <w:rsid w:val="00DD111D"/>
    <w:rsid w:val="00DD25BE"/>
    <w:rsid w:val="00DD32A8"/>
    <w:rsid w:val="00DD32CB"/>
    <w:rsid w:val="00DD36F1"/>
    <w:rsid w:val="00DD5012"/>
    <w:rsid w:val="00DD5332"/>
    <w:rsid w:val="00DD535D"/>
    <w:rsid w:val="00DD5902"/>
    <w:rsid w:val="00DD5A32"/>
    <w:rsid w:val="00DD6CC3"/>
    <w:rsid w:val="00DD7607"/>
    <w:rsid w:val="00DD7C50"/>
    <w:rsid w:val="00DE0141"/>
    <w:rsid w:val="00DE051E"/>
    <w:rsid w:val="00DE0982"/>
    <w:rsid w:val="00DE0D60"/>
    <w:rsid w:val="00DE0F01"/>
    <w:rsid w:val="00DE23C3"/>
    <w:rsid w:val="00DE3054"/>
    <w:rsid w:val="00DE383A"/>
    <w:rsid w:val="00DE3D00"/>
    <w:rsid w:val="00DE479D"/>
    <w:rsid w:val="00DE6004"/>
    <w:rsid w:val="00DE6629"/>
    <w:rsid w:val="00DE666D"/>
    <w:rsid w:val="00DE69E4"/>
    <w:rsid w:val="00DE69EB"/>
    <w:rsid w:val="00DE6E36"/>
    <w:rsid w:val="00DE77EB"/>
    <w:rsid w:val="00DE7AAA"/>
    <w:rsid w:val="00DF0F80"/>
    <w:rsid w:val="00DF0FEF"/>
    <w:rsid w:val="00DF1B84"/>
    <w:rsid w:val="00DF1C13"/>
    <w:rsid w:val="00DF1C6D"/>
    <w:rsid w:val="00DF1C6F"/>
    <w:rsid w:val="00DF2771"/>
    <w:rsid w:val="00DF35F0"/>
    <w:rsid w:val="00DF4342"/>
    <w:rsid w:val="00DF43E0"/>
    <w:rsid w:val="00DF53F8"/>
    <w:rsid w:val="00DF5570"/>
    <w:rsid w:val="00DF5C7B"/>
    <w:rsid w:val="00DF6070"/>
    <w:rsid w:val="00DF62EC"/>
    <w:rsid w:val="00DF6653"/>
    <w:rsid w:val="00DF71BB"/>
    <w:rsid w:val="00DF7A49"/>
    <w:rsid w:val="00DF7F85"/>
    <w:rsid w:val="00E00B6E"/>
    <w:rsid w:val="00E00C31"/>
    <w:rsid w:val="00E00E07"/>
    <w:rsid w:val="00E011CF"/>
    <w:rsid w:val="00E020DD"/>
    <w:rsid w:val="00E0278A"/>
    <w:rsid w:val="00E03068"/>
    <w:rsid w:val="00E031E0"/>
    <w:rsid w:val="00E03458"/>
    <w:rsid w:val="00E036AB"/>
    <w:rsid w:val="00E04997"/>
    <w:rsid w:val="00E04F89"/>
    <w:rsid w:val="00E055C7"/>
    <w:rsid w:val="00E0589E"/>
    <w:rsid w:val="00E064F6"/>
    <w:rsid w:val="00E06843"/>
    <w:rsid w:val="00E06981"/>
    <w:rsid w:val="00E06C2D"/>
    <w:rsid w:val="00E06E5D"/>
    <w:rsid w:val="00E06F9F"/>
    <w:rsid w:val="00E072A3"/>
    <w:rsid w:val="00E07A09"/>
    <w:rsid w:val="00E106BF"/>
    <w:rsid w:val="00E109CB"/>
    <w:rsid w:val="00E10E6D"/>
    <w:rsid w:val="00E11399"/>
    <w:rsid w:val="00E12B79"/>
    <w:rsid w:val="00E133F5"/>
    <w:rsid w:val="00E137E0"/>
    <w:rsid w:val="00E14BAD"/>
    <w:rsid w:val="00E14CA4"/>
    <w:rsid w:val="00E15235"/>
    <w:rsid w:val="00E15732"/>
    <w:rsid w:val="00E15AB1"/>
    <w:rsid w:val="00E15B2E"/>
    <w:rsid w:val="00E15C71"/>
    <w:rsid w:val="00E160E6"/>
    <w:rsid w:val="00E1623E"/>
    <w:rsid w:val="00E162E2"/>
    <w:rsid w:val="00E168F3"/>
    <w:rsid w:val="00E17433"/>
    <w:rsid w:val="00E174B5"/>
    <w:rsid w:val="00E17587"/>
    <w:rsid w:val="00E21396"/>
    <w:rsid w:val="00E22259"/>
    <w:rsid w:val="00E22857"/>
    <w:rsid w:val="00E229EA"/>
    <w:rsid w:val="00E236D1"/>
    <w:rsid w:val="00E24340"/>
    <w:rsid w:val="00E24343"/>
    <w:rsid w:val="00E24395"/>
    <w:rsid w:val="00E243D5"/>
    <w:rsid w:val="00E24F28"/>
    <w:rsid w:val="00E25523"/>
    <w:rsid w:val="00E25AB9"/>
    <w:rsid w:val="00E25FE7"/>
    <w:rsid w:val="00E260D8"/>
    <w:rsid w:val="00E26343"/>
    <w:rsid w:val="00E26673"/>
    <w:rsid w:val="00E26BB9"/>
    <w:rsid w:val="00E27D50"/>
    <w:rsid w:val="00E27D90"/>
    <w:rsid w:val="00E27DCC"/>
    <w:rsid w:val="00E3036C"/>
    <w:rsid w:val="00E303DB"/>
    <w:rsid w:val="00E30428"/>
    <w:rsid w:val="00E30ABC"/>
    <w:rsid w:val="00E30C56"/>
    <w:rsid w:val="00E30F5B"/>
    <w:rsid w:val="00E3127D"/>
    <w:rsid w:val="00E314BA"/>
    <w:rsid w:val="00E32B3A"/>
    <w:rsid w:val="00E32B40"/>
    <w:rsid w:val="00E335D2"/>
    <w:rsid w:val="00E33B03"/>
    <w:rsid w:val="00E343E7"/>
    <w:rsid w:val="00E347AD"/>
    <w:rsid w:val="00E348F9"/>
    <w:rsid w:val="00E3499A"/>
    <w:rsid w:val="00E353C8"/>
    <w:rsid w:val="00E35D59"/>
    <w:rsid w:val="00E35F04"/>
    <w:rsid w:val="00E36162"/>
    <w:rsid w:val="00E3761C"/>
    <w:rsid w:val="00E37B52"/>
    <w:rsid w:val="00E4056C"/>
    <w:rsid w:val="00E40A07"/>
    <w:rsid w:val="00E40B7F"/>
    <w:rsid w:val="00E410A9"/>
    <w:rsid w:val="00E411FB"/>
    <w:rsid w:val="00E41E8E"/>
    <w:rsid w:val="00E426DA"/>
    <w:rsid w:val="00E42960"/>
    <w:rsid w:val="00E434F8"/>
    <w:rsid w:val="00E4388E"/>
    <w:rsid w:val="00E439BC"/>
    <w:rsid w:val="00E43C41"/>
    <w:rsid w:val="00E44301"/>
    <w:rsid w:val="00E44A3D"/>
    <w:rsid w:val="00E45014"/>
    <w:rsid w:val="00E450A6"/>
    <w:rsid w:val="00E45232"/>
    <w:rsid w:val="00E45724"/>
    <w:rsid w:val="00E457DB"/>
    <w:rsid w:val="00E46193"/>
    <w:rsid w:val="00E46295"/>
    <w:rsid w:val="00E46C97"/>
    <w:rsid w:val="00E50447"/>
    <w:rsid w:val="00E508D0"/>
    <w:rsid w:val="00E51949"/>
    <w:rsid w:val="00E52415"/>
    <w:rsid w:val="00E5259B"/>
    <w:rsid w:val="00E52D21"/>
    <w:rsid w:val="00E52E89"/>
    <w:rsid w:val="00E5315F"/>
    <w:rsid w:val="00E53B9F"/>
    <w:rsid w:val="00E53D13"/>
    <w:rsid w:val="00E547E3"/>
    <w:rsid w:val="00E54847"/>
    <w:rsid w:val="00E54A7B"/>
    <w:rsid w:val="00E54EDE"/>
    <w:rsid w:val="00E55A6B"/>
    <w:rsid w:val="00E55AC2"/>
    <w:rsid w:val="00E55C29"/>
    <w:rsid w:val="00E56433"/>
    <w:rsid w:val="00E56EA9"/>
    <w:rsid w:val="00E57123"/>
    <w:rsid w:val="00E57AC8"/>
    <w:rsid w:val="00E57F89"/>
    <w:rsid w:val="00E604EF"/>
    <w:rsid w:val="00E606D8"/>
    <w:rsid w:val="00E60B81"/>
    <w:rsid w:val="00E60CB2"/>
    <w:rsid w:val="00E60EAC"/>
    <w:rsid w:val="00E61200"/>
    <w:rsid w:val="00E61574"/>
    <w:rsid w:val="00E61959"/>
    <w:rsid w:val="00E61B5F"/>
    <w:rsid w:val="00E61DAB"/>
    <w:rsid w:val="00E61E27"/>
    <w:rsid w:val="00E63681"/>
    <w:rsid w:val="00E637BF"/>
    <w:rsid w:val="00E63D75"/>
    <w:rsid w:val="00E64D93"/>
    <w:rsid w:val="00E64E90"/>
    <w:rsid w:val="00E651DD"/>
    <w:rsid w:val="00E664EC"/>
    <w:rsid w:val="00E66801"/>
    <w:rsid w:val="00E67881"/>
    <w:rsid w:val="00E678AD"/>
    <w:rsid w:val="00E67A40"/>
    <w:rsid w:val="00E67F17"/>
    <w:rsid w:val="00E70059"/>
    <w:rsid w:val="00E7057D"/>
    <w:rsid w:val="00E7058C"/>
    <w:rsid w:val="00E70D33"/>
    <w:rsid w:val="00E70E04"/>
    <w:rsid w:val="00E71255"/>
    <w:rsid w:val="00E71509"/>
    <w:rsid w:val="00E71573"/>
    <w:rsid w:val="00E71CA2"/>
    <w:rsid w:val="00E72326"/>
    <w:rsid w:val="00E72CD6"/>
    <w:rsid w:val="00E7309A"/>
    <w:rsid w:val="00E7356B"/>
    <w:rsid w:val="00E74470"/>
    <w:rsid w:val="00E744F2"/>
    <w:rsid w:val="00E74BDB"/>
    <w:rsid w:val="00E755E5"/>
    <w:rsid w:val="00E75850"/>
    <w:rsid w:val="00E76BDE"/>
    <w:rsid w:val="00E77DE9"/>
    <w:rsid w:val="00E80142"/>
    <w:rsid w:val="00E80238"/>
    <w:rsid w:val="00E80769"/>
    <w:rsid w:val="00E80C86"/>
    <w:rsid w:val="00E82269"/>
    <w:rsid w:val="00E8229A"/>
    <w:rsid w:val="00E827DF"/>
    <w:rsid w:val="00E82D4C"/>
    <w:rsid w:val="00E82E35"/>
    <w:rsid w:val="00E838CB"/>
    <w:rsid w:val="00E844C2"/>
    <w:rsid w:val="00E84618"/>
    <w:rsid w:val="00E848E7"/>
    <w:rsid w:val="00E84AFB"/>
    <w:rsid w:val="00E84D35"/>
    <w:rsid w:val="00E852E3"/>
    <w:rsid w:val="00E86645"/>
    <w:rsid w:val="00E8792C"/>
    <w:rsid w:val="00E90379"/>
    <w:rsid w:val="00E90B20"/>
    <w:rsid w:val="00E90B61"/>
    <w:rsid w:val="00E9137B"/>
    <w:rsid w:val="00E91808"/>
    <w:rsid w:val="00E91893"/>
    <w:rsid w:val="00E91D52"/>
    <w:rsid w:val="00E922C1"/>
    <w:rsid w:val="00E92636"/>
    <w:rsid w:val="00E927DD"/>
    <w:rsid w:val="00E92DA8"/>
    <w:rsid w:val="00E92EEB"/>
    <w:rsid w:val="00E934D9"/>
    <w:rsid w:val="00E939F4"/>
    <w:rsid w:val="00E93E83"/>
    <w:rsid w:val="00E94085"/>
    <w:rsid w:val="00E948B9"/>
    <w:rsid w:val="00E95778"/>
    <w:rsid w:val="00E95EE5"/>
    <w:rsid w:val="00E9608E"/>
    <w:rsid w:val="00E966DF"/>
    <w:rsid w:val="00E967D3"/>
    <w:rsid w:val="00E969F7"/>
    <w:rsid w:val="00E96AFB"/>
    <w:rsid w:val="00E96BB1"/>
    <w:rsid w:val="00E97B9E"/>
    <w:rsid w:val="00E97DCF"/>
    <w:rsid w:val="00EA0B4A"/>
    <w:rsid w:val="00EA1115"/>
    <w:rsid w:val="00EA117B"/>
    <w:rsid w:val="00EA11CB"/>
    <w:rsid w:val="00EA1418"/>
    <w:rsid w:val="00EA218D"/>
    <w:rsid w:val="00EA2326"/>
    <w:rsid w:val="00EA24E5"/>
    <w:rsid w:val="00EA2C69"/>
    <w:rsid w:val="00EA3731"/>
    <w:rsid w:val="00EA3EE0"/>
    <w:rsid w:val="00EA577C"/>
    <w:rsid w:val="00EA5FE6"/>
    <w:rsid w:val="00EA60E9"/>
    <w:rsid w:val="00EA63AA"/>
    <w:rsid w:val="00EB0141"/>
    <w:rsid w:val="00EB1109"/>
    <w:rsid w:val="00EB18BD"/>
    <w:rsid w:val="00EB1F29"/>
    <w:rsid w:val="00EB241E"/>
    <w:rsid w:val="00EB259F"/>
    <w:rsid w:val="00EB2686"/>
    <w:rsid w:val="00EB2C4B"/>
    <w:rsid w:val="00EB2DBD"/>
    <w:rsid w:val="00EB2DD9"/>
    <w:rsid w:val="00EB3305"/>
    <w:rsid w:val="00EB369C"/>
    <w:rsid w:val="00EB390B"/>
    <w:rsid w:val="00EB3B5B"/>
    <w:rsid w:val="00EB4A97"/>
    <w:rsid w:val="00EB4BB2"/>
    <w:rsid w:val="00EB50D3"/>
    <w:rsid w:val="00EB6205"/>
    <w:rsid w:val="00EB6BD7"/>
    <w:rsid w:val="00EB7308"/>
    <w:rsid w:val="00EB75F5"/>
    <w:rsid w:val="00EB7DEB"/>
    <w:rsid w:val="00EC000E"/>
    <w:rsid w:val="00EC057D"/>
    <w:rsid w:val="00EC0CD5"/>
    <w:rsid w:val="00EC0D34"/>
    <w:rsid w:val="00EC0E02"/>
    <w:rsid w:val="00EC1584"/>
    <w:rsid w:val="00EC165E"/>
    <w:rsid w:val="00EC1AD6"/>
    <w:rsid w:val="00EC1E81"/>
    <w:rsid w:val="00EC1EF8"/>
    <w:rsid w:val="00EC2016"/>
    <w:rsid w:val="00EC2B92"/>
    <w:rsid w:val="00EC2FEF"/>
    <w:rsid w:val="00EC308A"/>
    <w:rsid w:val="00EC3EED"/>
    <w:rsid w:val="00EC43BA"/>
    <w:rsid w:val="00EC4CD6"/>
    <w:rsid w:val="00EC5BA8"/>
    <w:rsid w:val="00EC5FC8"/>
    <w:rsid w:val="00EC67F6"/>
    <w:rsid w:val="00EC6CD5"/>
    <w:rsid w:val="00EC76A4"/>
    <w:rsid w:val="00ED09F6"/>
    <w:rsid w:val="00ED0A2A"/>
    <w:rsid w:val="00ED0B68"/>
    <w:rsid w:val="00ED0C1B"/>
    <w:rsid w:val="00ED0C84"/>
    <w:rsid w:val="00ED106B"/>
    <w:rsid w:val="00ED18AF"/>
    <w:rsid w:val="00ED1B20"/>
    <w:rsid w:val="00ED1D6B"/>
    <w:rsid w:val="00ED52F2"/>
    <w:rsid w:val="00ED5782"/>
    <w:rsid w:val="00ED5FE0"/>
    <w:rsid w:val="00ED7327"/>
    <w:rsid w:val="00ED75D3"/>
    <w:rsid w:val="00EE05F0"/>
    <w:rsid w:val="00EE07EC"/>
    <w:rsid w:val="00EE160B"/>
    <w:rsid w:val="00EE21FD"/>
    <w:rsid w:val="00EE2246"/>
    <w:rsid w:val="00EE2686"/>
    <w:rsid w:val="00EE30A2"/>
    <w:rsid w:val="00EE34D3"/>
    <w:rsid w:val="00EE3FA4"/>
    <w:rsid w:val="00EE4495"/>
    <w:rsid w:val="00EE4933"/>
    <w:rsid w:val="00EE4AA5"/>
    <w:rsid w:val="00EE51A4"/>
    <w:rsid w:val="00EE5239"/>
    <w:rsid w:val="00EE63C9"/>
    <w:rsid w:val="00EE6994"/>
    <w:rsid w:val="00EE69CD"/>
    <w:rsid w:val="00EF0109"/>
    <w:rsid w:val="00EF0212"/>
    <w:rsid w:val="00EF04B3"/>
    <w:rsid w:val="00EF0F06"/>
    <w:rsid w:val="00EF116C"/>
    <w:rsid w:val="00EF2F77"/>
    <w:rsid w:val="00EF2FC5"/>
    <w:rsid w:val="00EF30AB"/>
    <w:rsid w:val="00EF31B2"/>
    <w:rsid w:val="00EF4292"/>
    <w:rsid w:val="00EF4CD0"/>
    <w:rsid w:val="00EF546F"/>
    <w:rsid w:val="00EF59E3"/>
    <w:rsid w:val="00EF717E"/>
    <w:rsid w:val="00EF773C"/>
    <w:rsid w:val="00EF7B13"/>
    <w:rsid w:val="00EF7B1C"/>
    <w:rsid w:val="00F0087F"/>
    <w:rsid w:val="00F00D79"/>
    <w:rsid w:val="00F0227F"/>
    <w:rsid w:val="00F02319"/>
    <w:rsid w:val="00F0238C"/>
    <w:rsid w:val="00F0300D"/>
    <w:rsid w:val="00F0342E"/>
    <w:rsid w:val="00F04661"/>
    <w:rsid w:val="00F04703"/>
    <w:rsid w:val="00F0499A"/>
    <w:rsid w:val="00F04F48"/>
    <w:rsid w:val="00F05E16"/>
    <w:rsid w:val="00F079C0"/>
    <w:rsid w:val="00F07BFF"/>
    <w:rsid w:val="00F102BE"/>
    <w:rsid w:val="00F104D6"/>
    <w:rsid w:val="00F1129C"/>
    <w:rsid w:val="00F11426"/>
    <w:rsid w:val="00F118E0"/>
    <w:rsid w:val="00F11984"/>
    <w:rsid w:val="00F11B17"/>
    <w:rsid w:val="00F1213F"/>
    <w:rsid w:val="00F1250F"/>
    <w:rsid w:val="00F126AF"/>
    <w:rsid w:val="00F12714"/>
    <w:rsid w:val="00F12A52"/>
    <w:rsid w:val="00F12BCE"/>
    <w:rsid w:val="00F1314E"/>
    <w:rsid w:val="00F13BDA"/>
    <w:rsid w:val="00F1429B"/>
    <w:rsid w:val="00F14D26"/>
    <w:rsid w:val="00F14F2D"/>
    <w:rsid w:val="00F15599"/>
    <w:rsid w:val="00F15E03"/>
    <w:rsid w:val="00F15E35"/>
    <w:rsid w:val="00F17292"/>
    <w:rsid w:val="00F1750A"/>
    <w:rsid w:val="00F17B47"/>
    <w:rsid w:val="00F2048C"/>
    <w:rsid w:val="00F20AB5"/>
    <w:rsid w:val="00F21B9E"/>
    <w:rsid w:val="00F21D00"/>
    <w:rsid w:val="00F21E29"/>
    <w:rsid w:val="00F21E79"/>
    <w:rsid w:val="00F22153"/>
    <w:rsid w:val="00F2215D"/>
    <w:rsid w:val="00F22752"/>
    <w:rsid w:val="00F227B9"/>
    <w:rsid w:val="00F22918"/>
    <w:rsid w:val="00F22F8B"/>
    <w:rsid w:val="00F2306F"/>
    <w:rsid w:val="00F23B01"/>
    <w:rsid w:val="00F23C9B"/>
    <w:rsid w:val="00F24168"/>
    <w:rsid w:val="00F248FB"/>
    <w:rsid w:val="00F25746"/>
    <w:rsid w:val="00F25C8B"/>
    <w:rsid w:val="00F25DF9"/>
    <w:rsid w:val="00F263B9"/>
    <w:rsid w:val="00F30C50"/>
    <w:rsid w:val="00F31124"/>
    <w:rsid w:val="00F31248"/>
    <w:rsid w:val="00F315FD"/>
    <w:rsid w:val="00F316A2"/>
    <w:rsid w:val="00F317DA"/>
    <w:rsid w:val="00F32707"/>
    <w:rsid w:val="00F32992"/>
    <w:rsid w:val="00F32EFF"/>
    <w:rsid w:val="00F337A9"/>
    <w:rsid w:val="00F3382B"/>
    <w:rsid w:val="00F3450A"/>
    <w:rsid w:val="00F34D81"/>
    <w:rsid w:val="00F3508D"/>
    <w:rsid w:val="00F3658F"/>
    <w:rsid w:val="00F36844"/>
    <w:rsid w:val="00F36950"/>
    <w:rsid w:val="00F36AB9"/>
    <w:rsid w:val="00F36FDC"/>
    <w:rsid w:val="00F37975"/>
    <w:rsid w:val="00F37E46"/>
    <w:rsid w:val="00F403E9"/>
    <w:rsid w:val="00F410D3"/>
    <w:rsid w:val="00F41136"/>
    <w:rsid w:val="00F415C0"/>
    <w:rsid w:val="00F4168A"/>
    <w:rsid w:val="00F41C58"/>
    <w:rsid w:val="00F42C09"/>
    <w:rsid w:val="00F432A7"/>
    <w:rsid w:val="00F43BCE"/>
    <w:rsid w:val="00F43F9D"/>
    <w:rsid w:val="00F441D2"/>
    <w:rsid w:val="00F45209"/>
    <w:rsid w:val="00F46E2F"/>
    <w:rsid w:val="00F46EFB"/>
    <w:rsid w:val="00F47C6B"/>
    <w:rsid w:val="00F5056F"/>
    <w:rsid w:val="00F50E78"/>
    <w:rsid w:val="00F51447"/>
    <w:rsid w:val="00F518A8"/>
    <w:rsid w:val="00F525DB"/>
    <w:rsid w:val="00F5262D"/>
    <w:rsid w:val="00F52A99"/>
    <w:rsid w:val="00F52C45"/>
    <w:rsid w:val="00F5352C"/>
    <w:rsid w:val="00F5373E"/>
    <w:rsid w:val="00F55096"/>
    <w:rsid w:val="00F5556D"/>
    <w:rsid w:val="00F55B0D"/>
    <w:rsid w:val="00F564D0"/>
    <w:rsid w:val="00F56774"/>
    <w:rsid w:val="00F56A1F"/>
    <w:rsid w:val="00F56B8C"/>
    <w:rsid w:val="00F57195"/>
    <w:rsid w:val="00F57371"/>
    <w:rsid w:val="00F57548"/>
    <w:rsid w:val="00F57E14"/>
    <w:rsid w:val="00F60A15"/>
    <w:rsid w:val="00F60E4F"/>
    <w:rsid w:val="00F62085"/>
    <w:rsid w:val="00F629FF"/>
    <w:rsid w:val="00F6311C"/>
    <w:rsid w:val="00F63224"/>
    <w:rsid w:val="00F63273"/>
    <w:rsid w:val="00F63725"/>
    <w:rsid w:val="00F63C03"/>
    <w:rsid w:val="00F63D03"/>
    <w:rsid w:val="00F65112"/>
    <w:rsid w:val="00F66CF8"/>
    <w:rsid w:val="00F67ECC"/>
    <w:rsid w:val="00F70ACE"/>
    <w:rsid w:val="00F7163A"/>
    <w:rsid w:val="00F72214"/>
    <w:rsid w:val="00F72AE5"/>
    <w:rsid w:val="00F73070"/>
    <w:rsid w:val="00F73266"/>
    <w:rsid w:val="00F7416D"/>
    <w:rsid w:val="00F74BFE"/>
    <w:rsid w:val="00F7508F"/>
    <w:rsid w:val="00F75570"/>
    <w:rsid w:val="00F75DD9"/>
    <w:rsid w:val="00F75FAC"/>
    <w:rsid w:val="00F76B82"/>
    <w:rsid w:val="00F770FA"/>
    <w:rsid w:val="00F77F53"/>
    <w:rsid w:val="00F80A2F"/>
    <w:rsid w:val="00F80D3D"/>
    <w:rsid w:val="00F81322"/>
    <w:rsid w:val="00F816EF"/>
    <w:rsid w:val="00F81B7D"/>
    <w:rsid w:val="00F81FF5"/>
    <w:rsid w:val="00F821CB"/>
    <w:rsid w:val="00F822D3"/>
    <w:rsid w:val="00F823E5"/>
    <w:rsid w:val="00F82C2D"/>
    <w:rsid w:val="00F8339C"/>
    <w:rsid w:val="00F83DE9"/>
    <w:rsid w:val="00F848DF"/>
    <w:rsid w:val="00F848FC"/>
    <w:rsid w:val="00F85771"/>
    <w:rsid w:val="00F85793"/>
    <w:rsid w:val="00F872FB"/>
    <w:rsid w:val="00F873CA"/>
    <w:rsid w:val="00F903D3"/>
    <w:rsid w:val="00F91C01"/>
    <w:rsid w:val="00F91EA7"/>
    <w:rsid w:val="00F92525"/>
    <w:rsid w:val="00F92CE0"/>
    <w:rsid w:val="00F92D98"/>
    <w:rsid w:val="00F92DE4"/>
    <w:rsid w:val="00F9450A"/>
    <w:rsid w:val="00F94729"/>
    <w:rsid w:val="00F94842"/>
    <w:rsid w:val="00F9629D"/>
    <w:rsid w:val="00F96654"/>
    <w:rsid w:val="00F96C99"/>
    <w:rsid w:val="00F97D63"/>
    <w:rsid w:val="00FA0A9E"/>
    <w:rsid w:val="00FA1630"/>
    <w:rsid w:val="00FA2B5E"/>
    <w:rsid w:val="00FA2C60"/>
    <w:rsid w:val="00FA303F"/>
    <w:rsid w:val="00FA42FA"/>
    <w:rsid w:val="00FA430D"/>
    <w:rsid w:val="00FA4B9C"/>
    <w:rsid w:val="00FA4C35"/>
    <w:rsid w:val="00FA4DA2"/>
    <w:rsid w:val="00FA5215"/>
    <w:rsid w:val="00FA62E2"/>
    <w:rsid w:val="00FA645E"/>
    <w:rsid w:val="00FA6FAF"/>
    <w:rsid w:val="00FA746F"/>
    <w:rsid w:val="00FA7633"/>
    <w:rsid w:val="00FA7AA4"/>
    <w:rsid w:val="00FB14C2"/>
    <w:rsid w:val="00FB1E39"/>
    <w:rsid w:val="00FB30AA"/>
    <w:rsid w:val="00FB41BC"/>
    <w:rsid w:val="00FB4288"/>
    <w:rsid w:val="00FB4457"/>
    <w:rsid w:val="00FB45C3"/>
    <w:rsid w:val="00FB4705"/>
    <w:rsid w:val="00FB51B3"/>
    <w:rsid w:val="00FB52F9"/>
    <w:rsid w:val="00FB5F58"/>
    <w:rsid w:val="00FB6041"/>
    <w:rsid w:val="00FB6DDA"/>
    <w:rsid w:val="00FB7332"/>
    <w:rsid w:val="00FC10B8"/>
    <w:rsid w:val="00FC13A5"/>
    <w:rsid w:val="00FC17C6"/>
    <w:rsid w:val="00FC2456"/>
    <w:rsid w:val="00FC3A28"/>
    <w:rsid w:val="00FC46EB"/>
    <w:rsid w:val="00FC4AA3"/>
    <w:rsid w:val="00FC4E43"/>
    <w:rsid w:val="00FC5007"/>
    <w:rsid w:val="00FC520F"/>
    <w:rsid w:val="00FC6118"/>
    <w:rsid w:val="00FC64C2"/>
    <w:rsid w:val="00FC7328"/>
    <w:rsid w:val="00FC77BA"/>
    <w:rsid w:val="00FC7F22"/>
    <w:rsid w:val="00FD078D"/>
    <w:rsid w:val="00FD088C"/>
    <w:rsid w:val="00FD0B34"/>
    <w:rsid w:val="00FD1128"/>
    <w:rsid w:val="00FD1795"/>
    <w:rsid w:val="00FD1A52"/>
    <w:rsid w:val="00FD222E"/>
    <w:rsid w:val="00FD25C4"/>
    <w:rsid w:val="00FD2785"/>
    <w:rsid w:val="00FD2DD8"/>
    <w:rsid w:val="00FD31FA"/>
    <w:rsid w:val="00FD3434"/>
    <w:rsid w:val="00FD37D8"/>
    <w:rsid w:val="00FD3856"/>
    <w:rsid w:val="00FD3D64"/>
    <w:rsid w:val="00FD47AA"/>
    <w:rsid w:val="00FD497A"/>
    <w:rsid w:val="00FD4F6D"/>
    <w:rsid w:val="00FD53F3"/>
    <w:rsid w:val="00FD5D52"/>
    <w:rsid w:val="00FD5F02"/>
    <w:rsid w:val="00FD6C77"/>
    <w:rsid w:val="00FD781F"/>
    <w:rsid w:val="00FD787D"/>
    <w:rsid w:val="00FD7AF2"/>
    <w:rsid w:val="00FE04A3"/>
    <w:rsid w:val="00FE0662"/>
    <w:rsid w:val="00FE06A9"/>
    <w:rsid w:val="00FE10DC"/>
    <w:rsid w:val="00FE174B"/>
    <w:rsid w:val="00FE1F11"/>
    <w:rsid w:val="00FE2A98"/>
    <w:rsid w:val="00FE31AE"/>
    <w:rsid w:val="00FE48D7"/>
    <w:rsid w:val="00FE5F2F"/>
    <w:rsid w:val="00FE607E"/>
    <w:rsid w:val="00FE7D7C"/>
    <w:rsid w:val="00FE7E38"/>
    <w:rsid w:val="00FF0A03"/>
    <w:rsid w:val="00FF0BAC"/>
    <w:rsid w:val="00FF0C41"/>
    <w:rsid w:val="00FF0CA4"/>
    <w:rsid w:val="00FF2140"/>
    <w:rsid w:val="00FF2552"/>
    <w:rsid w:val="00FF2A2D"/>
    <w:rsid w:val="00FF2A2F"/>
    <w:rsid w:val="00FF2A38"/>
    <w:rsid w:val="00FF45FD"/>
    <w:rsid w:val="00FF4851"/>
    <w:rsid w:val="00FF501F"/>
    <w:rsid w:val="00FF6208"/>
    <w:rsid w:val="00FF62EF"/>
    <w:rsid w:val="00FF6432"/>
    <w:rsid w:val="00FF7013"/>
    <w:rsid w:val="00FF7712"/>
    <w:rsid w:val="00FF79EC"/>
    <w:rsid w:val="011C6603"/>
    <w:rsid w:val="0120492C"/>
    <w:rsid w:val="0123532E"/>
    <w:rsid w:val="022B3E21"/>
    <w:rsid w:val="026F5873"/>
    <w:rsid w:val="03076045"/>
    <w:rsid w:val="035252FF"/>
    <w:rsid w:val="03814A50"/>
    <w:rsid w:val="03C31F71"/>
    <w:rsid w:val="03F269E3"/>
    <w:rsid w:val="03F404EB"/>
    <w:rsid w:val="040035FD"/>
    <w:rsid w:val="04963F18"/>
    <w:rsid w:val="04A62881"/>
    <w:rsid w:val="04BB4480"/>
    <w:rsid w:val="04CF2F04"/>
    <w:rsid w:val="04DE7850"/>
    <w:rsid w:val="04E25109"/>
    <w:rsid w:val="04E86B6C"/>
    <w:rsid w:val="04FD262A"/>
    <w:rsid w:val="052535BA"/>
    <w:rsid w:val="053C607A"/>
    <w:rsid w:val="053D36E4"/>
    <w:rsid w:val="05467D70"/>
    <w:rsid w:val="05546C07"/>
    <w:rsid w:val="05721FE7"/>
    <w:rsid w:val="05DA300D"/>
    <w:rsid w:val="05E105FF"/>
    <w:rsid w:val="06111F83"/>
    <w:rsid w:val="0622787C"/>
    <w:rsid w:val="064C1FB1"/>
    <w:rsid w:val="064C48D5"/>
    <w:rsid w:val="067C12B8"/>
    <w:rsid w:val="07081E43"/>
    <w:rsid w:val="07394E16"/>
    <w:rsid w:val="074C655A"/>
    <w:rsid w:val="07535571"/>
    <w:rsid w:val="07541174"/>
    <w:rsid w:val="07FE1ABC"/>
    <w:rsid w:val="08104306"/>
    <w:rsid w:val="0826784F"/>
    <w:rsid w:val="088975D0"/>
    <w:rsid w:val="08C7231B"/>
    <w:rsid w:val="08E22CE2"/>
    <w:rsid w:val="08E7315A"/>
    <w:rsid w:val="09065372"/>
    <w:rsid w:val="091D3915"/>
    <w:rsid w:val="097D1CA2"/>
    <w:rsid w:val="098C5FC9"/>
    <w:rsid w:val="09CF1692"/>
    <w:rsid w:val="0AC8637B"/>
    <w:rsid w:val="0B0A2141"/>
    <w:rsid w:val="0B1A0063"/>
    <w:rsid w:val="0BB60C3E"/>
    <w:rsid w:val="0BF84311"/>
    <w:rsid w:val="0BFB67FC"/>
    <w:rsid w:val="0C2B6F2C"/>
    <w:rsid w:val="0C4649B3"/>
    <w:rsid w:val="0C8C0CBC"/>
    <w:rsid w:val="0C955816"/>
    <w:rsid w:val="0D5B09B1"/>
    <w:rsid w:val="0D9B7130"/>
    <w:rsid w:val="0DA93633"/>
    <w:rsid w:val="0DCE029D"/>
    <w:rsid w:val="0DFA45B0"/>
    <w:rsid w:val="0E1449A8"/>
    <w:rsid w:val="0E3C1F60"/>
    <w:rsid w:val="0E862CEE"/>
    <w:rsid w:val="0F003498"/>
    <w:rsid w:val="0F3502DF"/>
    <w:rsid w:val="0F561245"/>
    <w:rsid w:val="0F84262D"/>
    <w:rsid w:val="102B5592"/>
    <w:rsid w:val="105809CF"/>
    <w:rsid w:val="10815941"/>
    <w:rsid w:val="10853058"/>
    <w:rsid w:val="10917AD0"/>
    <w:rsid w:val="10CF5322"/>
    <w:rsid w:val="10D61D3F"/>
    <w:rsid w:val="10FC3CA5"/>
    <w:rsid w:val="11283A73"/>
    <w:rsid w:val="113854F6"/>
    <w:rsid w:val="119A090A"/>
    <w:rsid w:val="11A64285"/>
    <w:rsid w:val="11C65D98"/>
    <w:rsid w:val="123173C2"/>
    <w:rsid w:val="128A68F5"/>
    <w:rsid w:val="12E53E35"/>
    <w:rsid w:val="134B3577"/>
    <w:rsid w:val="13657811"/>
    <w:rsid w:val="13BF0333"/>
    <w:rsid w:val="13C64C3B"/>
    <w:rsid w:val="14683E98"/>
    <w:rsid w:val="1487375A"/>
    <w:rsid w:val="14AA3E2B"/>
    <w:rsid w:val="14F7767D"/>
    <w:rsid w:val="158E36F1"/>
    <w:rsid w:val="15D24CFC"/>
    <w:rsid w:val="16144D4D"/>
    <w:rsid w:val="161556D9"/>
    <w:rsid w:val="16DE3B38"/>
    <w:rsid w:val="171C1CEF"/>
    <w:rsid w:val="177F0241"/>
    <w:rsid w:val="17B15E6B"/>
    <w:rsid w:val="17B71C56"/>
    <w:rsid w:val="17C2635E"/>
    <w:rsid w:val="17D74C3D"/>
    <w:rsid w:val="182B709A"/>
    <w:rsid w:val="183B0E10"/>
    <w:rsid w:val="18623413"/>
    <w:rsid w:val="18AD46CB"/>
    <w:rsid w:val="18BF2D2A"/>
    <w:rsid w:val="191B6CD8"/>
    <w:rsid w:val="19C06319"/>
    <w:rsid w:val="1A074A33"/>
    <w:rsid w:val="1A5177B1"/>
    <w:rsid w:val="1A552FFF"/>
    <w:rsid w:val="1A8B773F"/>
    <w:rsid w:val="1A8E2680"/>
    <w:rsid w:val="1AA62078"/>
    <w:rsid w:val="1AB95565"/>
    <w:rsid w:val="1B0176FB"/>
    <w:rsid w:val="1B403E54"/>
    <w:rsid w:val="1BF660F0"/>
    <w:rsid w:val="1C034DA6"/>
    <w:rsid w:val="1C485386"/>
    <w:rsid w:val="1C557254"/>
    <w:rsid w:val="1C7953E6"/>
    <w:rsid w:val="1CCA46BB"/>
    <w:rsid w:val="1CEA1DAF"/>
    <w:rsid w:val="1D052373"/>
    <w:rsid w:val="1D4670DA"/>
    <w:rsid w:val="1D4E0BD1"/>
    <w:rsid w:val="1D6D68F2"/>
    <w:rsid w:val="1DA06C64"/>
    <w:rsid w:val="1DBF04CE"/>
    <w:rsid w:val="1EE75D6C"/>
    <w:rsid w:val="1EF30078"/>
    <w:rsid w:val="1F5603BC"/>
    <w:rsid w:val="1F6D1B03"/>
    <w:rsid w:val="1F7C4316"/>
    <w:rsid w:val="1F936928"/>
    <w:rsid w:val="1FB726D0"/>
    <w:rsid w:val="1FFD08C3"/>
    <w:rsid w:val="200066AA"/>
    <w:rsid w:val="200C3924"/>
    <w:rsid w:val="20217E98"/>
    <w:rsid w:val="202F1E96"/>
    <w:rsid w:val="212C1EDA"/>
    <w:rsid w:val="21954C46"/>
    <w:rsid w:val="21DF462A"/>
    <w:rsid w:val="21F13B61"/>
    <w:rsid w:val="21FC0983"/>
    <w:rsid w:val="22AC022F"/>
    <w:rsid w:val="23293B38"/>
    <w:rsid w:val="234719A2"/>
    <w:rsid w:val="238D05DE"/>
    <w:rsid w:val="23C01302"/>
    <w:rsid w:val="2405105C"/>
    <w:rsid w:val="241F1589"/>
    <w:rsid w:val="244C778C"/>
    <w:rsid w:val="24F41F12"/>
    <w:rsid w:val="259027C0"/>
    <w:rsid w:val="25940243"/>
    <w:rsid w:val="25D8382C"/>
    <w:rsid w:val="25E00E72"/>
    <w:rsid w:val="26071DC7"/>
    <w:rsid w:val="26330276"/>
    <w:rsid w:val="26376BC7"/>
    <w:rsid w:val="269615E0"/>
    <w:rsid w:val="26E57F11"/>
    <w:rsid w:val="27006762"/>
    <w:rsid w:val="27124325"/>
    <w:rsid w:val="271D4E8C"/>
    <w:rsid w:val="274D1D76"/>
    <w:rsid w:val="275520F9"/>
    <w:rsid w:val="27B23149"/>
    <w:rsid w:val="27C112EC"/>
    <w:rsid w:val="27D24842"/>
    <w:rsid w:val="27ED4257"/>
    <w:rsid w:val="28825D38"/>
    <w:rsid w:val="28880857"/>
    <w:rsid w:val="288F6BF7"/>
    <w:rsid w:val="28C531BF"/>
    <w:rsid w:val="28D9363A"/>
    <w:rsid w:val="28DF2F31"/>
    <w:rsid w:val="29261D41"/>
    <w:rsid w:val="294574BD"/>
    <w:rsid w:val="296D20F7"/>
    <w:rsid w:val="298A4C2E"/>
    <w:rsid w:val="299A7D03"/>
    <w:rsid w:val="29D97D1B"/>
    <w:rsid w:val="29EA2C59"/>
    <w:rsid w:val="2A564280"/>
    <w:rsid w:val="2A8D45C2"/>
    <w:rsid w:val="2B04673E"/>
    <w:rsid w:val="2BFC57A3"/>
    <w:rsid w:val="2C0109F1"/>
    <w:rsid w:val="2C072ADB"/>
    <w:rsid w:val="2C520FE6"/>
    <w:rsid w:val="2D1E756F"/>
    <w:rsid w:val="2D446A0F"/>
    <w:rsid w:val="2DD73725"/>
    <w:rsid w:val="2DD955D5"/>
    <w:rsid w:val="2E3D01DB"/>
    <w:rsid w:val="2E4D2EC0"/>
    <w:rsid w:val="2E687086"/>
    <w:rsid w:val="2E7F0E88"/>
    <w:rsid w:val="2EAA25D4"/>
    <w:rsid w:val="2EE6207D"/>
    <w:rsid w:val="2FC01468"/>
    <w:rsid w:val="2FC645E2"/>
    <w:rsid w:val="2FD111A1"/>
    <w:rsid w:val="2FFF793C"/>
    <w:rsid w:val="3022286B"/>
    <w:rsid w:val="30B76987"/>
    <w:rsid w:val="313A1905"/>
    <w:rsid w:val="31B44F05"/>
    <w:rsid w:val="3235162C"/>
    <w:rsid w:val="327F0267"/>
    <w:rsid w:val="32927DBB"/>
    <w:rsid w:val="32A63327"/>
    <w:rsid w:val="32BA5672"/>
    <w:rsid w:val="32BE12E6"/>
    <w:rsid w:val="32CC11FE"/>
    <w:rsid w:val="33306EF9"/>
    <w:rsid w:val="337E7366"/>
    <w:rsid w:val="33802170"/>
    <w:rsid w:val="33E92789"/>
    <w:rsid w:val="33ED3E51"/>
    <w:rsid w:val="33EE3191"/>
    <w:rsid w:val="33EF7A80"/>
    <w:rsid w:val="34081F51"/>
    <w:rsid w:val="340E2C59"/>
    <w:rsid w:val="34307B5E"/>
    <w:rsid w:val="3466504C"/>
    <w:rsid w:val="34752C1F"/>
    <w:rsid w:val="34801651"/>
    <w:rsid w:val="348C17A7"/>
    <w:rsid w:val="34FC4C0D"/>
    <w:rsid w:val="35077035"/>
    <w:rsid w:val="35134384"/>
    <w:rsid w:val="3562308C"/>
    <w:rsid w:val="35A55A52"/>
    <w:rsid w:val="35E339E6"/>
    <w:rsid w:val="365B78CA"/>
    <w:rsid w:val="36B10635"/>
    <w:rsid w:val="36E348B9"/>
    <w:rsid w:val="3755517F"/>
    <w:rsid w:val="37C51DE5"/>
    <w:rsid w:val="37CB18A5"/>
    <w:rsid w:val="37DC5234"/>
    <w:rsid w:val="37EB59F6"/>
    <w:rsid w:val="38631596"/>
    <w:rsid w:val="38740CF2"/>
    <w:rsid w:val="38860FF1"/>
    <w:rsid w:val="39125843"/>
    <w:rsid w:val="391B3C01"/>
    <w:rsid w:val="39854506"/>
    <w:rsid w:val="39BB736E"/>
    <w:rsid w:val="39C15E90"/>
    <w:rsid w:val="39DD5203"/>
    <w:rsid w:val="39F73B6D"/>
    <w:rsid w:val="3A106EDF"/>
    <w:rsid w:val="3A231B73"/>
    <w:rsid w:val="3A48244D"/>
    <w:rsid w:val="3A824AB8"/>
    <w:rsid w:val="3A842D75"/>
    <w:rsid w:val="3A9C1873"/>
    <w:rsid w:val="3AAA3EA5"/>
    <w:rsid w:val="3AAA7A8C"/>
    <w:rsid w:val="3B0966BE"/>
    <w:rsid w:val="3B186DA8"/>
    <w:rsid w:val="3B5F24B1"/>
    <w:rsid w:val="3B665B7D"/>
    <w:rsid w:val="3C057BEE"/>
    <w:rsid w:val="3C1D6441"/>
    <w:rsid w:val="3CCF2E94"/>
    <w:rsid w:val="3CCF5B26"/>
    <w:rsid w:val="3CF03356"/>
    <w:rsid w:val="3D155AC9"/>
    <w:rsid w:val="3D361DBA"/>
    <w:rsid w:val="3D4A03C7"/>
    <w:rsid w:val="3D542E3E"/>
    <w:rsid w:val="3DF62C34"/>
    <w:rsid w:val="3E7D35B6"/>
    <w:rsid w:val="3E8D11F5"/>
    <w:rsid w:val="3E9D0202"/>
    <w:rsid w:val="3EB9558F"/>
    <w:rsid w:val="3EDF7CBF"/>
    <w:rsid w:val="3EE047CE"/>
    <w:rsid w:val="3EEB7CF1"/>
    <w:rsid w:val="3F49156F"/>
    <w:rsid w:val="3F4C02C5"/>
    <w:rsid w:val="3F701B29"/>
    <w:rsid w:val="3F9A1F6A"/>
    <w:rsid w:val="3FA43E7A"/>
    <w:rsid w:val="40435914"/>
    <w:rsid w:val="407F2986"/>
    <w:rsid w:val="40A078B2"/>
    <w:rsid w:val="40B708A6"/>
    <w:rsid w:val="41087D82"/>
    <w:rsid w:val="412557DA"/>
    <w:rsid w:val="419422B6"/>
    <w:rsid w:val="41C04974"/>
    <w:rsid w:val="41DC0E5C"/>
    <w:rsid w:val="42036193"/>
    <w:rsid w:val="428772D4"/>
    <w:rsid w:val="42877D8A"/>
    <w:rsid w:val="431460E0"/>
    <w:rsid w:val="433C79E4"/>
    <w:rsid w:val="43755ABF"/>
    <w:rsid w:val="43F57E65"/>
    <w:rsid w:val="440E217A"/>
    <w:rsid w:val="441A5247"/>
    <w:rsid w:val="441E40AB"/>
    <w:rsid w:val="44CB5641"/>
    <w:rsid w:val="44CC5DE9"/>
    <w:rsid w:val="44DF05B0"/>
    <w:rsid w:val="45597A59"/>
    <w:rsid w:val="457D29CA"/>
    <w:rsid w:val="45A21A6C"/>
    <w:rsid w:val="45FE65DD"/>
    <w:rsid w:val="4614373D"/>
    <w:rsid w:val="46320041"/>
    <w:rsid w:val="46341530"/>
    <w:rsid w:val="46B30161"/>
    <w:rsid w:val="46E52C21"/>
    <w:rsid w:val="473B0939"/>
    <w:rsid w:val="47D337D3"/>
    <w:rsid w:val="47D71BB7"/>
    <w:rsid w:val="48145D80"/>
    <w:rsid w:val="489468A2"/>
    <w:rsid w:val="48AA59BD"/>
    <w:rsid w:val="48AC57CD"/>
    <w:rsid w:val="48CB2138"/>
    <w:rsid w:val="49053A34"/>
    <w:rsid w:val="49064908"/>
    <w:rsid w:val="491F2D2B"/>
    <w:rsid w:val="494513B5"/>
    <w:rsid w:val="495172DE"/>
    <w:rsid w:val="497A4667"/>
    <w:rsid w:val="499B746B"/>
    <w:rsid w:val="49BC5947"/>
    <w:rsid w:val="49F862EC"/>
    <w:rsid w:val="4B296332"/>
    <w:rsid w:val="4B2E32AD"/>
    <w:rsid w:val="4B87560E"/>
    <w:rsid w:val="4B8B4C0D"/>
    <w:rsid w:val="4BA34063"/>
    <w:rsid w:val="4C265BDA"/>
    <w:rsid w:val="4C275267"/>
    <w:rsid w:val="4C5714F9"/>
    <w:rsid w:val="4C7566F0"/>
    <w:rsid w:val="4CB26FED"/>
    <w:rsid w:val="4D131064"/>
    <w:rsid w:val="4D2D15B1"/>
    <w:rsid w:val="4DD73897"/>
    <w:rsid w:val="4DDE59D2"/>
    <w:rsid w:val="4DEF29D4"/>
    <w:rsid w:val="4E036436"/>
    <w:rsid w:val="4E12525E"/>
    <w:rsid w:val="4E1916F2"/>
    <w:rsid w:val="4E351361"/>
    <w:rsid w:val="4E596F74"/>
    <w:rsid w:val="4E5F7D00"/>
    <w:rsid w:val="4E6E5C1F"/>
    <w:rsid w:val="4E747824"/>
    <w:rsid w:val="4E890156"/>
    <w:rsid w:val="4E8E2E7D"/>
    <w:rsid w:val="4EB13C5F"/>
    <w:rsid w:val="4EEA1198"/>
    <w:rsid w:val="4FAB0394"/>
    <w:rsid w:val="501A6308"/>
    <w:rsid w:val="504D554C"/>
    <w:rsid w:val="51AC6A67"/>
    <w:rsid w:val="52285A86"/>
    <w:rsid w:val="52987B1B"/>
    <w:rsid w:val="52B01586"/>
    <w:rsid w:val="52CE6831"/>
    <w:rsid w:val="52DA3AF5"/>
    <w:rsid w:val="531F48D2"/>
    <w:rsid w:val="53BF5CAD"/>
    <w:rsid w:val="53EA1DC7"/>
    <w:rsid w:val="541841CB"/>
    <w:rsid w:val="54195264"/>
    <w:rsid w:val="542A3F8F"/>
    <w:rsid w:val="54372250"/>
    <w:rsid w:val="5443584E"/>
    <w:rsid w:val="544B7402"/>
    <w:rsid w:val="54A55CDA"/>
    <w:rsid w:val="54F94276"/>
    <w:rsid w:val="551E7BE6"/>
    <w:rsid w:val="55667759"/>
    <w:rsid w:val="55773FF9"/>
    <w:rsid w:val="55D237EE"/>
    <w:rsid w:val="56002ED1"/>
    <w:rsid w:val="560604C3"/>
    <w:rsid w:val="562E5D02"/>
    <w:rsid w:val="568B6418"/>
    <w:rsid w:val="56A73052"/>
    <w:rsid w:val="571958FF"/>
    <w:rsid w:val="572C7A76"/>
    <w:rsid w:val="573A637F"/>
    <w:rsid w:val="575B64D1"/>
    <w:rsid w:val="578654DA"/>
    <w:rsid w:val="57CC3FE6"/>
    <w:rsid w:val="58262423"/>
    <w:rsid w:val="587523E7"/>
    <w:rsid w:val="58795212"/>
    <w:rsid w:val="58E926F4"/>
    <w:rsid w:val="58F639E6"/>
    <w:rsid w:val="59BB08CD"/>
    <w:rsid w:val="5A4D6CD6"/>
    <w:rsid w:val="5A682535"/>
    <w:rsid w:val="5AE31F4E"/>
    <w:rsid w:val="5B0934BA"/>
    <w:rsid w:val="5B4C6133"/>
    <w:rsid w:val="5B91370E"/>
    <w:rsid w:val="5BC91A00"/>
    <w:rsid w:val="5BE8004B"/>
    <w:rsid w:val="5C9B7EEF"/>
    <w:rsid w:val="5C9F4FDF"/>
    <w:rsid w:val="5CAE45DE"/>
    <w:rsid w:val="5CC775E5"/>
    <w:rsid w:val="5CD3053F"/>
    <w:rsid w:val="5D4A3178"/>
    <w:rsid w:val="5DC76A24"/>
    <w:rsid w:val="5E924443"/>
    <w:rsid w:val="5EB23517"/>
    <w:rsid w:val="5F7E195E"/>
    <w:rsid w:val="5FA8266D"/>
    <w:rsid w:val="5FC02961"/>
    <w:rsid w:val="60112BF6"/>
    <w:rsid w:val="60247F25"/>
    <w:rsid w:val="60582C2B"/>
    <w:rsid w:val="608D1CA6"/>
    <w:rsid w:val="60C87BD9"/>
    <w:rsid w:val="613461D6"/>
    <w:rsid w:val="61CD43A6"/>
    <w:rsid w:val="622F1F00"/>
    <w:rsid w:val="624A3477"/>
    <w:rsid w:val="62A61749"/>
    <w:rsid w:val="62AC60B4"/>
    <w:rsid w:val="62D92AF0"/>
    <w:rsid w:val="62E52B8C"/>
    <w:rsid w:val="63264238"/>
    <w:rsid w:val="63971C5E"/>
    <w:rsid w:val="641572EA"/>
    <w:rsid w:val="641F3BE2"/>
    <w:rsid w:val="655D3BEA"/>
    <w:rsid w:val="6578609B"/>
    <w:rsid w:val="658132CD"/>
    <w:rsid w:val="660B0F38"/>
    <w:rsid w:val="664563CA"/>
    <w:rsid w:val="66610250"/>
    <w:rsid w:val="66B55DED"/>
    <w:rsid w:val="66D431AD"/>
    <w:rsid w:val="66F34B0B"/>
    <w:rsid w:val="67134F0B"/>
    <w:rsid w:val="67294909"/>
    <w:rsid w:val="67384BDD"/>
    <w:rsid w:val="67472E85"/>
    <w:rsid w:val="67E86840"/>
    <w:rsid w:val="67ED1892"/>
    <w:rsid w:val="67F85642"/>
    <w:rsid w:val="68171A5B"/>
    <w:rsid w:val="681F4BA8"/>
    <w:rsid w:val="68401934"/>
    <w:rsid w:val="685703D3"/>
    <w:rsid w:val="68636A29"/>
    <w:rsid w:val="689C39B7"/>
    <w:rsid w:val="68C77956"/>
    <w:rsid w:val="68EA4931"/>
    <w:rsid w:val="691436D3"/>
    <w:rsid w:val="69764EE6"/>
    <w:rsid w:val="69AC7575"/>
    <w:rsid w:val="69AF62D9"/>
    <w:rsid w:val="69F84808"/>
    <w:rsid w:val="6A3C7C21"/>
    <w:rsid w:val="6A9034F2"/>
    <w:rsid w:val="6A926757"/>
    <w:rsid w:val="6AB45D8A"/>
    <w:rsid w:val="6AE54C51"/>
    <w:rsid w:val="6AFA3277"/>
    <w:rsid w:val="6B327087"/>
    <w:rsid w:val="6B5E41D4"/>
    <w:rsid w:val="6B705E0D"/>
    <w:rsid w:val="6B8B072B"/>
    <w:rsid w:val="6B8F51DE"/>
    <w:rsid w:val="6BAD06F8"/>
    <w:rsid w:val="6BF92013"/>
    <w:rsid w:val="6C5126CF"/>
    <w:rsid w:val="6C9F2A5F"/>
    <w:rsid w:val="6CAF74CD"/>
    <w:rsid w:val="6CEC1BD4"/>
    <w:rsid w:val="6D3A2A2F"/>
    <w:rsid w:val="6D9370F3"/>
    <w:rsid w:val="6DAA3820"/>
    <w:rsid w:val="6DB61361"/>
    <w:rsid w:val="6DC45AEF"/>
    <w:rsid w:val="6E320FB9"/>
    <w:rsid w:val="6E61321A"/>
    <w:rsid w:val="6E8A67F1"/>
    <w:rsid w:val="6E8E1E6F"/>
    <w:rsid w:val="6EC133A1"/>
    <w:rsid w:val="6ED94D88"/>
    <w:rsid w:val="6F746123"/>
    <w:rsid w:val="6FB14C0E"/>
    <w:rsid w:val="6FBF11B2"/>
    <w:rsid w:val="703E5D5C"/>
    <w:rsid w:val="71073ACF"/>
    <w:rsid w:val="710D7BBA"/>
    <w:rsid w:val="7134191F"/>
    <w:rsid w:val="71673894"/>
    <w:rsid w:val="71C257D9"/>
    <w:rsid w:val="725A63A9"/>
    <w:rsid w:val="725F5977"/>
    <w:rsid w:val="7297748A"/>
    <w:rsid w:val="731C6CBF"/>
    <w:rsid w:val="73635A50"/>
    <w:rsid w:val="74165F1D"/>
    <w:rsid w:val="74190EAC"/>
    <w:rsid w:val="745C2AD8"/>
    <w:rsid w:val="746256D1"/>
    <w:rsid w:val="74A416A8"/>
    <w:rsid w:val="74D325D3"/>
    <w:rsid w:val="74D611D7"/>
    <w:rsid w:val="75247B12"/>
    <w:rsid w:val="756760C2"/>
    <w:rsid w:val="762011C9"/>
    <w:rsid w:val="76251692"/>
    <w:rsid w:val="76474581"/>
    <w:rsid w:val="76755EAA"/>
    <w:rsid w:val="767C332A"/>
    <w:rsid w:val="76CA5EEE"/>
    <w:rsid w:val="770E79FE"/>
    <w:rsid w:val="77211DBD"/>
    <w:rsid w:val="77377487"/>
    <w:rsid w:val="774E135F"/>
    <w:rsid w:val="77557D46"/>
    <w:rsid w:val="77900792"/>
    <w:rsid w:val="779A56BE"/>
    <w:rsid w:val="77CD269C"/>
    <w:rsid w:val="77F75F24"/>
    <w:rsid w:val="78230D72"/>
    <w:rsid w:val="782624AC"/>
    <w:rsid w:val="78437D34"/>
    <w:rsid w:val="798D49AC"/>
    <w:rsid w:val="7A1B188A"/>
    <w:rsid w:val="7A53670D"/>
    <w:rsid w:val="7A892107"/>
    <w:rsid w:val="7AC35911"/>
    <w:rsid w:val="7ADC2840"/>
    <w:rsid w:val="7AFC6D1A"/>
    <w:rsid w:val="7B242F36"/>
    <w:rsid w:val="7B3329C8"/>
    <w:rsid w:val="7B8931DB"/>
    <w:rsid w:val="7BCB2F29"/>
    <w:rsid w:val="7C2966BC"/>
    <w:rsid w:val="7C382E97"/>
    <w:rsid w:val="7C3C022B"/>
    <w:rsid w:val="7C76174F"/>
    <w:rsid w:val="7CBB7298"/>
    <w:rsid w:val="7D6753E5"/>
    <w:rsid w:val="7D73748A"/>
    <w:rsid w:val="7DF94DC4"/>
    <w:rsid w:val="7E040217"/>
    <w:rsid w:val="7E0F5B33"/>
    <w:rsid w:val="7E1B4E6E"/>
    <w:rsid w:val="7E6F51AE"/>
    <w:rsid w:val="7E761C35"/>
    <w:rsid w:val="7E844CB7"/>
    <w:rsid w:val="7E86027C"/>
    <w:rsid w:val="7EB26637"/>
    <w:rsid w:val="7F420917"/>
    <w:rsid w:val="7F7570D0"/>
    <w:rsid w:val="7FCD1CEF"/>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semiHidden="0" w:uiPriority="0" w:unhideWhenUsed="0" w:qFormat="1"/>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uiPriority="0" w:unhideWhenUsed="0"/>
    <w:lsdException w:name="Plain Text" w:semiHidden="0" w:uiPriority="0" w:unhideWhenUsed="0" w:qFormat="1"/>
    <w:lsdException w:name="E-mail Signature" w:semiHidden="0" w:qFormat="1"/>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nhideWhenUsed="0" w:qFormat="1"/>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next w:val="Default"/>
    <w:qFormat/>
    <w:pPr>
      <w:widowControl w:val="0"/>
      <w:jc w:val="both"/>
    </w:pPr>
    <w:rPr>
      <w:kern w:val="2"/>
      <w:sz w:val="24"/>
      <w:lang w:val="en-US" w:eastAsia="zh-CN" w:bidi="ar-SA"/>
    </w:rPr>
  </w:style>
  <w:style w:type="paragraph" w:styleId="Heading1">
    <w:name w:val="heading 1"/>
    <w:basedOn w:val="Normal"/>
    <w:next w:val="Normal"/>
    <w:qFormat/>
    <w:pPr>
      <w:keepNext/>
      <w:keepLines/>
      <w:tabs>
        <w:tab w:val="left" w:pos="780"/>
      </w:tabs>
      <w:spacing w:before="120" w:after="120"/>
      <w:ind w:left="357" w:hanging="357" w:leftChars="200" w:hangingChars="200"/>
      <w:outlineLvl w:val="0"/>
    </w:pPr>
    <w:rPr>
      <w:b/>
      <w:kern w:val="44"/>
      <w:sz w:val="28"/>
    </w:rPr>
  </w:style>
  <w:style w:type="paragraph" w:styleId="Heading2">
    <w:name w:val="heading 2"/>
    <w:basedOn w:val="Normal"/>
    <w:next w:val="NormalIndent"/>
    <w:qFormat/>
    <w:pPr>
      <w:keepNext/>
      <w:keepLines/>
      <w:numPr>
        <w:ilvl w:val="1"/>
        <w:numId w:val="1"/>
      </w:numPr>
      <w:spacing w:before="260" w:after="260" w:line="416" w:lineRule="auto"/>
      <w:outlineLvl w:val="1"/>
    </w:pPr>
    <w:rPr>
      <w:rFonts w:ascii="Arial" w:eastAsia="黑体" w:hAnsi="Arial"/>
      <w:b/>
      <w:sz w:val="32"/>
    </w:rPr>
  </w:style>
  <w:style w:type="paragraph" w:styleId="Heading3">
    <w:name w:val="heading 3"/>
    <w:basedOn w:val="Normal"/>
    <w:next w:val="NormalIndent"/>
    <w:qFormat/>
    <w:pPr>
      <w:keepNext/>
      <w:keepLines/>
      <w:spacing w:before="260" w:after="260" w:line="416" w:lineRule="auto"/>
      <w:outlineLvl w:val="2"/>
    </w:pPr>
    <w:rPr>
      <w:b/>
      <w:sz w:val="32"/>
    </w:rPr>
  </w:style>
  <w:style w:type="paragraph" w:styleId="Heading4">
    <w:name w:val="heading 4"/>
    <w:basedOn w:val="Normal"/>
    <w:next w:val="Normal"/>
    <w:qFormat/>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Default">
    <w:name w:val="Default"/>
    <w:basedOn w:val="1"/>
    <w:next w:val="35"/>
    <w:link w:val="DefaultCharChar"/>
    <w:qFormat/>
    <w:pPr>
      <w:widowControl w:val="0"/>
      <w:autoSpaceDE w:val="0"/>
      <w:autoSpaceDN w:val="0"/>
      <w:adjustRightInd w:val="0"/>
    </w:pPr>
    <w:rPr>
      <w:rFonts w:ascii="宋体" w:cs="宋体"/>
      <w:color w:val="000000"/>
      <w:kern w:val="2"/>
      <w:sz w:val="24"/>
      <w:szCs w:val="24"/>
      <w:lang w:val="en-US" w:eastAsia="zh-CN" w:bidi="ar-SA"/>
    </w:rPr>
  </w:style>
  <w:style w:type="paragraph" w:customStyle="1" w:styleId="1">
    <w:name w:val="纯文本1"/>
    <w:basedOn w:val="Normal"/>
    <w:qFormat/>
    <w:pPr>
      <w:adjustRightInd w:val="0"/>
    </w:pPr>
    <w:rPr>
      <w:rFonts w:ascii="宋体" w:hAnsi="Courier New"/>
      <w:szCs w:val="20"/>
    </w:rPr>
  </w:style>
  <w:style w:type="character" w:customStyle="1" w:styleId="DefaultCharChar">
    <w:name w:val="Default Char Char"/>
    <w:link w:val="Default"/>
    <w:rPr>
      <w:rFonts w:ascii="宋体" w:hAnsi="Courier New" w:cs="宋体"/>
      <w:color w:val="000000"/>
      <w:kern w:val="2"/>
      <w:sz w:val="24"/>
      <w:szCs w:val="24"/>
    </w:rPr>
  </w:style>
  <w:style w:type="paragraph" w:customStyle="1" w:styleId="35">
    <w:name w:val="样式35"/>
    <w:basedOn w:val="Normal"/>
    <w:next w:val="font6"/>
    <w:qFormat/>
    <w:pPr>
      <w:adjustRightInd w:val="0"/>
      <w:spacing w:line="312" w:lineRule="auto"/>
      <w:ind w:firstLine="567"/>
      <w:textAlignment w:val="baseline"/>
    </w:pPr>
    <w:rPr>
      <w:rFonts w:ascii="Times New Roman" w:hAnsi="Times New Roman"/>
      <w:kern w:val="0"/>
      <w:sz w:val="28"/>
    </w:rPr>
  </w:style>
  <w:style w:type="paragraph" w:customStyle="1" w:styleId="font6">
    <w:name w:val="font6"/>
    <w:next w:val="TOC2"/>
    <w:qFormat/>
    <w:pPr>
      <w:spacing w:before="280" w:after="280"/>
      <w:jc w:val="both"/>
    </w:pPr>
    <w:rPr>
      <w:kern w:val="2"/>
      <w:sz w:val="21"/>
      <w:szCs w:val="22"/>
      <w:lang w:val="en-US" w:eastAsia="zh-CN" w:bidi="ar-SA"/>
    </w:rPr>
  </w:style>
  <w:style w:type="paragraph" w:styleId="TOC2">
    <w:name w:val="toc 2"/>
    <w:basedOn w:val="Normal"/>
    <w:next w:val="Normal"/>
    <w:qFormat/>
    <w:pPr>
      <w:ind w:left="420" w:firstLine="0" w:leftChars="200"/>
    </w:pPr>
    <w:rPr>
      <w:rFonts w:ascii="Calibri" w:hAnsi="Calibri"/>
      <w:sz w:val="21"/>
      <w:szCs w:val="22"/>
    </w:rPr>
  </w:style>
  <w:style w:type="paragraph" w:styleId="NormalIndent">
    <w:name w:val="Normal Indent"/>
    <w:basedOn w:val="Normal"/>
    <w:link w:val="a"/>
    <w:pPr>
      <w:ind w:firstLine="420"/>
    </w:pPr>
    <w:rPr>
      <w:rFonts w:ascii="Roman PS" w:hAnsi="Roman PS"/>
    </w:rPr>
  </w:style>
  <w:style w:type="character" w:customStyle="1" w:styleId="a">
    <w:name w:val="正文缩进 字符"/>
    <w:link w:val="NormalIndent"/>
    <w:rPr>
      <w:rFonts w:ascii="Roman PS" w:eastAsia="宋体" w:hAnsi="Roman PS"/>
      <w:kern w:val="2"/>
      <w:sz w:val="21"/>
      <w:lang w:val="en-US" w:eastAsia="zh-CN" w:bidi="ar-SA"/>
    </w:rPr>
  </w:style>
  <w:style w:type="paragraph" w:styleId="List3">
    <w:name w:val="List 3"/>
    <w:basedOn w:val="Normal"/>
    <w:pPr>
      <w:ind w:left="100" w:hanging="200" w:leftChars="400" w:hangingChars="200"/>
    </w:pPr>
  </w:style>
  <w:style w:type="paragraph" w:styleId="E-mailSignature">
    <w:name w:val="E-mail Signature"/>
    <w:basedOn w:val="Normal"/>
    <w:next w:val="a0"/>
    <w:uiPriority w:val="99"/>
    <w:unhideWhenUsed/>
    <w:qFormat/>
    <w:pPr>
      <w:widowControl w:val="0"/>
      <w:spacing w:line="460" w:lineRule="exact"/>
      <w:ind w:firstLine="200"/>
      <w:jc w:val="both"/>
    </w:pPr>
    <w:rPr>
      <w:rFonts w:ascii="Times New Roman" w:eastAsia="宋体" w:hAnsi="Times New Roman" w:cs="Times New Roman"/>
      <w:kern w:val="2"/>
      <w:sz w:val="21"/>
      <w:szCs w:val="22"/>
      <w:lang w:val="en-US" w:eastAsia="zh-CN" w:bidi="ar-SA"/>
    </w:rPr>
  </w:style>
  <w:style w:type="paragraph" w:customStyle="1" w:styleId="a0">
    <w:name w:val="文章"/>
    <w:next w:val="List"/>
    <w:qFormat/>
    <w:pPr>
      <w:ind w:firstLine="480"/>
      <w:jc w:val="center"/>
    </w:pPr>
    <w:rPr>
      <w:kern w:val="2"/>
      <w:sz w:val="26"/>
      <w:szCs w:val="22"/>
      <w:lang w:val="en-US" w:eastAsia="zh-CN" w:bidi="ar-SA"/>
    </w:rPr>
  </w:style>
  <w:style w:type="paragraph" w:styleId="List">
    <w:name w:val="List"/>
    <w:basedOn w:val="Normal"/>
    <w:next w:val="ListBullet2"/>
    <w:pPr>
      <w:ind w:left="420" w:hanging="420"/>
    </w:pPr>
  </w:style>
  <w:style w:type="paragraph" w:styleId="ListBullet2">
    <w:name w:val="List Bullet 2"/>
    <w:basedOn w:val="Normal"/>
    <w:next w:val="xl70"/>
    <w:pPr>
      <w:tabs>
        <w:tab w:val="left" w:pos="780"/>
      </w:tabs>
      <w:autoSpaceDE w:val="0"/>
      <w:autoSpaceDN w:val="0"/>
      <w:adjustRightInd w:val="0"/>
      <w:ind w:left="780" w:hanging="360"/>
      <w:jc w:val="left"/>
      <w:textAlignment w:val="baseline"/>
    </w:pPr>
    <w:rPr>
      <w:rFonts w:ascii="宋体" w:eastAsia="楷体_GB2312"/>
      <w:kern w:val="0"/>
      <w:sz w:val="34"/>
    </w:rPr>
  </w:style>
  <w:style w:type="paragraph" w:customStyle="1" w:styleId="xl70">
    <w:name w:val="xl70"/>
    <w:basedOn w:val="Normal"/>
    <w:next w:val="10"/>
    <w:qFormat/>
    <w:pPr>
      <w:widowControl/>
      <w:pBdr>
        <w:left w:val="single" w:sz="4" w:space="0" w:color="auto"/>
        <w:right w:val="single" w:sz="4" w:space="0" w:color="auto"/>
      </w:pBdr>
      <w:adjustRightInd/>
      <w:snapToGrid/>
      <w:spacing w:before="100" w:beforeAutospacing="1" w:after="100" w:afterAutospacing="1" w:line="240" w:lineRule="auto"/>
      <w:ind w:firstLine="0" w:firstLineChars="0"/>
      <w:jc w:val="center"/>
      <w:textAlignment w:val="center"/>
    </w:pPr>
    <w:rPr>
      <w:rFonts w:ascii="Arial Unicode MS" w:hAnsi="Arial Unicode MS"/>
      <w:snapToGrid/>
      <w:spacing w:val="-2"/>
      <w:sz w:val="28"/>
      <w:szCs w:val="20"/>
    </w:rPr>
  </w:style>
  <w:style w:type="paragraph" w:customStyle="1" w:styleId="10">
    <w:name w:val="正文缩进1"/>
    <w:basedOn w:val="Normal"/>
    <w:next w:val="td1"/>
    <w:pPr>
      <w:ind w:firstLine="420" w:firstLineChars="200"/>
    </w:pPr>
  </w:style>
  <w:style w:type="paragraph" w:customStyle="1" w:styleId="td1">
    <w:name w:val="td1"/>
    <w:basedOn w:val="Normal"/>
    <w:next w:val="Normal"/>
    <w:qFormat/>
    <w:pPr>
      <w:widowControl/>
      <w:adjustRightInd/>
      <w:snapToGrid/>
      <w:spacing w:before="100" w:beforeAutospacing="1" w:after="100" w:afterAutospacing="1" w:line="240" w:lineRule="auto"/>
      <w:ind w:firstLine="0" w:firstLineChars="0"/>
      <w:jc w:val="center"/>
    </w:pPr>
    <w:rPr>
      <w:rFonts w:ascii="宋体" w:hAnsi="宋体"/>
      <w:b/>
      <w:snapToGrid/>
      <w:color w:val="0000FF"/>
      <w:spacing w:val="-2"/>
      <w:sz w:val="28"/>
      <w:szCs w:val="28"/>
      <w:u w:val="single"/>
    </w:rPr>
  </w:style>
  <w:style w:type="paragraph" w:styleId="Caption">
    <w:name w:val="caption"/>
    <w:basedOn w:val="Normal"/>
    <w:next w:val="Normal"/>
    <w:link w:val="a1"/>
    <w:qFormat/>
    <w:pPr>
      <w:spacing w:before="152" w:after="160"/>
    </w:pPr>
    <w:rPr>
      <w:rFonts w:ascii="Arial" w:eastAsia="黑体" w:hAnsi="Arial" w:cs="Arial"/>
      <w:sz w:val="20"/>
    </w:rPr>
  </w:style>
  <w:style w:type="character" w:customStyle="1" w:styleId="a1">
    <w:name w:val="题注 字符"/>
    <w:link w:val="Caption"/>
    <w:rPr>
      <w:rFonts w:ascii="Arial" w:eastAsia="黑体" w:hAnsi="Arial" w:cs="Arial"/>
      <w:kern w:val="2"/>
      <w:lang w:val="en-US" w:eastAsia="zh-CN" w:bidi="ar-SA"/>
    </w:rPr>
  </w:style>
  <w:style w:type="paragraph" w:styleId="DocumentMap">
    <w:name w:val="Document Map"/>
    <w:basedOn w:val="Normal"/>
    <w:semiHidden/>
    <w:pPr>
      <w:shd w:val="clear" w:color="auto" w:fill="000080"/>
    </w:pPr>
  </w:style>
  <w:style w:type="paragraph" w:styleId="CommentText">
    <w:name w:val="annotation text"/>
    <w:basedOn w:val="Normal"/>
    <w:link w:val="a2"/>
    <w:pPr>
      <w:jc w:val="left"/>
    </w:pPr>
  </w:style>
  <w:style w:type="character" w:customStyle="1" w:styleId="a2">
    <w:name w:val="批注文字 字符"/>
    <w:link w:val="CommentText"/>
    <w:rPr>
      <w:kern w:val="2"/>
      <w:sz w:val="21"/>
    </w:rPr>
  </w:style>
  <w:style w:type="paragraph" w:styleId="BodyText">
    <w:name w:val="Body Text"/>
    <w:basedOn w:val="Normal"/>
    <w:rPr>
      <w:rFonts w:eastAsia="仿宋_GB2312"/>
      <w:sz w:val="30"/>
    </w:rPr>
  </w:style>
  <w:style w:type="paragraph" w:styleId="BodyTextIndent">
    <w:name w:val="Body Text Indent"/>
    <w:basedOn w:val="Normal"/>
    <w:next w:val="BodyTextFirstIndent2"/>
    <w:pPr>
      <w:spacing w:line="400" w:lineRule="exact"/>
      <w:ind w:firstLine="567"/>
      <w:jc w:val="left"/>
    </w:pPr>
    <w:rPr>
      <w:rFonts w:ascii="宋体"/>
      <w:sz w:val="24"/>
    </w:rPr>
  </w:style>
  <w:style w:type="paragraph" w:styleId="BodyTextFirstIndent2">
    <w:name w:val="Body Text First Indent 2"/>
    <w:basedOn w:val="BodyTextIndent"/>
    <w:qFormat/>
    <w:pPr>
      <w:ind w:firstLine="420" w:firstLineChars="200"/>
    </w:pPr>
  </w:style>
  <w:style w:type="paragraph" w:styleId="BlockText">
    <w:name w:val="Block Text"/>
    <w:basedOn w:val="Normal"/>
    <w:qFormat/>
    <w:pPr>
      <w:spacing w:before="0" w:after="120"/>
      <w:ind w:left="1440" w:right="1440" w:firstLine="425"/>
    </w:pPr>
  </w:style>
  <w:style w:type="paragraph" w:styleId="PlainText">
    <w:name w:val="Plain Text"/>
    <w:basedOn w:val="Normal"/>
    <w:next w:val="Normal"/>
    <w:link w:val="a3"/>
    <w:qFormat/>
    <w:rPr>
      <w:rFonts w:ascii="宋体" w:hAnsi="Courier New" w:cs="Courier New"/>
      <w:szCs w:val="21"/>
    </w:rPr>
  </w:style>
  <w:style w:type="character" w:customStyle="1" w:styleId="a3">
    <w:name w:val="纯文本 字符"/>
    <w:link w:val="PlainText"/>
    <w:rPr>
      <w:rFonts w:ascii="宋体" w:eastAsia="宋体" w:hAnsi="Courier New" w:cs="Courier New"/>
      <w:kern w:val="2"/>
      <w:sz w:val="21"/>
      <w:szCs w:val="21"/>
      <w:lang w:val="en-US" w:eastAsia="zh-CN" w:bidi="ar-SA"/>
    </w:rPr>
  </w:style>
  <w:style w:type="paragraph" w:styleId="Date">
    <w:name w:val="Date"/>
    <w:basedOn w:val="Normal"/>
    <w:next w:val="Normal"/>
    <w:rPr>
      <w:rFonts w:ascii="仿宋_GB2312" w:eastAsia="仿宋_GB2312"/>
      <w:sz w:val="32"/>
    </w:rPr>
  </w:style>
  <w:style w:type="paragraph" w:styleId="BodyTextIndent2">
    <w:name w:val="Body Text Indent 2"/>
    <w:basedOn w:val="Normal"/>
    <w:pPr>
      <w:spacing w:before="120" w:line="400" w:lineRule="exact"/>
      <w:ind w:firstLine="567"/>
    </w:pPr>
    <w:rPr>
      <w:rFonts w:ascii="宋体"/>
      <w:sz w:val="24"/>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link w:val="a4"/>
    <w:pPr>
      <w:pBdr>
        <w:bottom w:val="single" w:sz="6" w:space="1" w:color="auto"/>
      </w:pBdr>
      <w:tabs>
        <w:tab w:val="center" w:pos="4153"/>
        <w:tab w:val="right" w:pos="8306"/>
      </w:tabs>
      <w:snapToGrid w:val="0"/>
      <w:jc w:val="center"/>
    </w:pPr>
    <w:rPr>
      <w:sz w:val="18"/>
    </w:rPr>
  </w:style>
  <w:style w:type="character" w:customStyle="1" w:styleId="a4">
    <w:name w:val="页眉 字符"/>
    <w:link w:val="Header"/>
    <w:semiHidden/>
    <w:rPr>
      <w:rFonts w:eastAsia="宋体"/>
      <w:kern w:val="2"/>
      <w:sz w:val="18"/>
      <w:lang w:val="en-US" w:eastAsia="zh-CN" w:bidi="ar-SA"/>
    </w:rPr>
  </w:style>
  <w:style w:type="paragraph" w:styleId="TOC1">
    <w:name w:val="toc 1"/>
    <w:basedOn w:val="Normal"/>
    <w:next w:val="Normal"/>
    <w:semiHidden/>
    <w:pPr>
      <w:spacing w:line="440" w:lineRule="exact"/>
    </w:pPr>
    <w:rPr>
      <w:rFonts w:eastAsia="仿宋_GB2312"/>
      <w:szCs w:val="24"/>
    </w:rPr>
  </w:style>
  <w:style w:type="paragraph" w:styleId="Subtitle">
    <w:name w:val="Subtitle"/>
    <w:basedOn w:val="Normal"/>
    <w:qFormat/>
    <w:pPr>
      <w:ind w:firstLine="420"/>
      <w:jc w:val="center"/>
    </w:pPr>
    <w:rPr>
      <w:rFonts w:cs="Arial"/>
      <w:b/>
      <w:bCs/>
      <w:kern w:val="28"/>
      <w:sz w:val="21"/>
      <w:szCs w:val="32"/>
    </w:rPr>
  </w:style>
  <w:style w:type="paragraph" w:styleId="BodyTextIndent3">
    <w:name w:val="Body Text Indent 3"/>
    <w:basedOn w:val="Normal"/>
    <w:link w:val="3"/>
    <w:pPr>
      <w:spacing w:line="400" w:lineRule="exact"/>
      <w:ind w:firstLine="567"/>
    </w:pPr>
    <w:rPr>
      <w:rFonts w:ascii="宋体"/>
      <w:sz w:val="28"/>
    </w:rPr>
  </w:style>
  <w:style w:type="character" w:customStyle="1" w:styleId="3">
    <w:name w:val="正文文本缩进 3 字符"/>
    <w:link w:val="BodyTextIndent3"/>
    <w:locked/>
    <w:rPr>
      <w:rFonts w:ascii="宋体" w:eastAsia="宋体"/>
      <w:kern w:val="2"/>
      <w:sz w:val="28"/>
      <w:lang w:val="en-US" w:eastAsia="zh-CN" w:bidi="ar-SA"/>
    </w:rPr>
  </w:style>
  <w:style w:type="paragraph" w:styleId="BodyText2">
    <w:name w:val="Body Text 2"/>
    <w:basedOn w:val="Normal"/>
    <w:pPr>
      <w:jc w:val="left"/>
    </w:pPr>
    <w:rPr>
      <w:sz w:val="28"/>
    </w:rPr>
  </w:style>
  <w:style w:type="paragraph" w:styleId="NormalWeb">
    <w:name w:val="Normal (Web)"/>
    <w:basedOn w:val="Normal"/>
    <w:uiPriority w:val="99"/>
    <w:pPr>
      <w:widowControl/>
      <w:spacing w:before="100" w:beforeAutospacing="1" w:after="100" w:afterAutospacing="1"/>
      <w:jc w:val="left"/>
    </w:pPr>
    <w:rPr>
      <w:rFonts w:ascii="宋体" w:hAnsi="宋体" w:cs="宋体"/>
      <w:kern w:val="0"/>
      <w:sz w:val="24"/>
      <w:szCs w:val="24"/>
    </w:rPr>
  </w:style>
  <w:style w:type="paragraph" w:styleId="CommentSubject">
    <w:name w:val="annotation subject"/>
    <w:basedOn w:val="CommentText"/>
    <w:next w:val="CommentText"/>
    <w:link w:val="a5"/>
    <w:rPr>
      <w:b/>
      <w:bCs/>
    </w:rPr>
  </w:style>
  <w:style w:type="character" w:customStyle="1" w:styleId="a5">
    <w:name w:val="批注主题 字符"/>
    <w:link w:val="CommentSubject"/>
    <w:rPr>
      <w:b/>
      <w:bCs/>
      <w:kern w:val="2"/>
      <w:sz w:val="21"/>
    </w:rPr>
  </w:style>
  <w:style w:type="paragraph" w:styleId="BodyTextFirstIndent">
    <w:name w:val="Body Text First Indent"/>
    <w:basedOn w:val="BodyText"/>
    <w:link w:val="a6"/>
    <w:pPr>
      <w:spacing w:after="120"/>
      <w:ind w:firstLine="420" w:firstLineChars="100"/>
    </w:pPr>
    <w:rPr>
      <w:rFonts w:eastAsia="宋体"/>
      <w:sz w:val="21"/>
      <w:szCs w:val="24"/>
    </w:rPr>
  </w:style>
  <w:style w:type="character" w:customStyle="1" w:styleId="a6">
    <w:name w:val="正文文本首行缩进 字符"/>
    <w:link w:val="BodyTextFirstIndent"/>
    <w:rPr>
      <w:rFonts w:eastAsia="宋体"/>
      <w:kern w:val="2"/>
      <w:sz w:val="21"/>
      <w:szCs w:val="24"/>
      <w:lang w:val="en-US" w:eastAsia="zh-CN" w:bidi="ar-SA"/>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basedOn w:val="DefaultParagraphFont"/>
  </w:style>
  <w:style w:type="character" w:styleId="FollowedHyperlink">
    <w:name w:val="FollowedHyperlink"/>
    <w:rPr>
      <w:rFonts w:ascii="微软雅黑" w:eastAsia="微软雅黑" w:hAnsi="微软雅黑" w:cs="微软雅黑"/>
      <w:color w:val="333333"/>
      <w:sz w:val="18"/>
      <w:szCs w:val="18"/>
      <w:u w:val="none"/>
    </w:rPr>
  </w:style>
  <w:style w:type="character" w:styleId="Emphasis">
    <w:name w:val="Emphasis"/>
    <w:uiPriority w:val="20"/>
    <w:qFormat/>
    <w:rPr>
      <w:color w:val="CC0000"/>
    </w:rPr>
  </w:style>
  <w:style w:type="character" w:styleId="Hyperlink">
    <w:name w:val="Hyperlink"/>
    <w:rPr>
      <w:color w:val="3366CC"/>
      <w:u w:val="single"/>
    </w:rPr>
  </w:style>
  <w:style w:type="character" w:styleId="CommentReference">
    <w:name w:val="annotation reference"/>
    <w:uiPriority w:val="99"/>
    <w:rPr>
      <w:sz w:val="21"/>
      <w:szCs w:val="21"/>
    </w:rPr>
  </w:style>
  <w:style w:type="character" w:customStyle="1" w:styleId="1Char">
    <w:name w:val="表格内容1 Char"/>
    <w:link w:val="11"/>
    <w:qFormat/>
    <w:rPr>
      <w:kern w:val="2"/>
      <w:sz w:val="21"/>
      <w:szCs w:val="21"/>
    </w:rPr>
  </w:style>
  <w:style w:type="paragraph" w:customStyle="1" w:styleId="11">
    <w:name w:val="表格内容1"/>
    <w:basedOn w:val="Normal"/>
    <w:link w:val="1Char"/>
    <w:qFormat/>
    <w:pPr>
      <w:tabs>
        <w:tab w:val="left" w:pos="1000"/>
        <w:tab w:val="left" w:pos="1260"/>
      </w:tabs>
      <w:jc w:val="center"/>
    </w:pPr>
    <w:rPr>
      <w:szCs w:val="21"/>
    </w:rPr>
  </w:style>
  <w:style w:type="character" w:customStyle="1" w:styleId="1Char0">
    <w:name w:val="1正文 Char"/>
    <w:link w:val="12"/>
    <w:rPr>
      <w:rFonts w:hAnsi="宋体"/>
      <w:sz w:val="24"/>
    </w:rPr>
  </w:style>
  <w:style w:type="paragraph" w:customStyle="1" w:styleId="12">
    <w:name w:val="1正文"/>
    <w:basedOn w:val="Normal"/>
    <w:link w:val="1Char0"/>
    <w:qFormat/>
    <w:pPr>
      <w:spacing w:line="360" w:lineRule="auto"/>
      <w:ind w:firstLine="480" w:firstLineChars="200"/>
    </w:pPr>
    <w:rPr>
      <w:rFonts w:hAnsi="宋体"/>
      <w:kern w:val="0"/>
      <w:sz w:val="24"/>
    </w:rPr>
  </w:style>
  <w:style w:type="character" w:customStyle="1" w:styleId="Char">
    <w:name w:val="君邦正文 Char"/>
    <w:link w:val="a7"/>
    <w:rPr>
      <w:bCs/>
      <w:snapToGrid w:val="0"/>
      <w:sz w:val="24"/>
      <w:lang w:val="en-US" w:eastAsia="zh-CN" w:bidi="ar-SA"/>
    </w:rPr>
  </w:style>
  <w:style w:type="paragraph" w:customStyle="1" w:styleId="a7">
    <w:name w:val="君邦正文"/>
    <w:link w:val="Char"/>
    <w:pPr>
      <w:spacing w:after="60" w:line="360" w:lineRule="auto"/>
      <w:ind w:firstLine="480" w:firstLineChars="200"/>
      <w:jc w:val="both"/>
    </w:pPr>
    <w:rPr>
      <w:bCs/>
      <w:snapToGrid w:val="0"/>
      <w:sz w:val="24"/>
      <w:lang w:val="en-US" w:eastAsia="zh-CN" w:bidi="ar-SA"/>
    </w:rPr>
  </w:style>
  <w:style w:type="character" w:customStyle="1" w:styleId="fontstyle01">
    <w:name w:val="fontstyle01"/>
    <w:rPr>
      <w:rFonts w:ascii="TimesNewRomanPSMT" w:eastAsia="TimesNewRomanPSMT" w:hAnsi="TimesNewRomanPSMT" w:hint="eastAsia"/>
      <w:color w:val="000000"/>
      <w:sz w:val="24"/>
      <w:szCs w:val="24"/>
    </w:rPr>
  </w:style>
  <w:style w:type="character" w:customStyle="1" w:styleId="Char0">
    <w:name w:val="二级标题 Char"/>
    <w:link w:val="a8"/>
    <w:rPr>
      <w:b/>
      <w:kern w:val="2"/>
      <w:sz w:val="28"/>
      <w:szCs w:val="22"/>
    </w:rPr>
  </w:style>
  <w:style w:type="paragraph" w:customStyle="1" w:styleId="a8">
    <w:name w:val="二级标题"/>
    <w:basedOn w:val="Normal"/>
    <w:link w:val="Char0"/>
    <w:qFormat/>
    <w:pPr>
      <w:spacing w:line="360" w:lineRule="auto"/>
      <w:ind w:firstLine="482" w:firstLineChars="200"/>
    </w:pPr>
    <w:rPr>
      <w:b/>
      <w:sz w:val="28"/>
      <w:szCs w:val="22"/>
    </w:rPr>
  </w:style>
  <w:style w:type="character" w:customStyle="1" w:styleId="hdjl1rti1">
    <w:name w:val="hdjl_1_r_ti_1"/>
    <w:basedOn w:val="DefaultParagraphFont"/>
  </w:style>
  <w:style w:type="character" w:customStyle="1" w:styleId="11Char">
    <w:name w:val="正文11 Char"/>
    <w:link w:val="110"/>
    <w:qFormat/>
    <w:rPr>
      <w:color w:val="000000"/>
    </w:rPr>
  </w:style>
  <w:style w:type="paragraph" w:customStyle="1" w:styleId="110">
    <w:name w:val="正文11"/>
    <w:basedOn w:val="Normal"/>
    <w:link w:val="11Char"/>
    <w:qFormat/>
    <w:pPr>
      <w:adjustRightInd w:val="0"/>
      <w:textAlignment w:val="baseline"/>
    </w:pPr>
    <w:rPr>
      <w:color w:val="000000"/>
      <w:kern w:val="0"/>
      <w:sz w:val="20"/>
    </w:rPr>
  </w:style>
  <w:style w:type="character" w:customStyle="1" w:styleId="zxfw1lti1">
    <w:name w:val="zxfw_1_l_ti_1"/>
    <w:basedOn w:val="DefaultParagraphFont"/>
  </w:style>
  <w:style w:type="character" w:customStyle="1" w:styleId="13">
    <w:name w:val="纯文本 字符1"/>
    <w:rPr>
      <w:rFonts w:ascii="Times New Roman" w:eastAsia="宋体" w:hAnsi="Times New Roman" w:cs="Times New Roman"/>
      <w:bCs/>
      <w:kern w:val="2"/>
      <w:sz w:val="21"/>
      <w:szCs w:val="24"/>
      <w:lang w:val="en-US" w:eastAsia="zh-CN" w:bidi="ar-SA"/>
    </w:rPr>
  </w:style>
  <w:style w:type="character" w:customStyle="1" w:styleId="mt5">
    <w:name w:val="mt5"/>
    <w:basedOn w:val="DefaultParagraphFont"/>
  </w:style>
  <w:style w:type="character" w:customStyle="1" w:styleId="111Char">
    <w:name w:val="表格文字111 Char"/>
    <w:link w:val="111"/>
    <w:rPr>
      <w:kern w:val="2"/>
      <w:sz w:val="21"/>
      <w:szCs w:val="18"/>
    </w:rPr>
  </w:style>
  <w:style w:type="paragraph" w:customStyle="1" w:styleId="111">
    <w:name w:val="表格文字111"/>
    <w:basedOn w:val="Normal"/>
    <w:link w:val="111Char"/>
    <w:pPr>
      <w:spacing w:line="320" w:lineRule="exact"/>
      <w:jc w:val="center"/>
    </w:pPr>
    <w:rPr>
      <w:szCs w:val="18"/>
    </w:rPr>
  </w:style>
  <w:style w:type="character" w:customStyle="1" w:styleId="Char1">
    <w:name w:val="表哥文字 Char"/>
    <w:link w:val="a9"/>
    <w:rPr>
      <w:szCs w:val="18"/>
    </w:rPr>
  </w:style>
  <w:style w:type="paragraph" w:customStyle="1" w:styleId="a9">
    <w:name w:val="表哥文字"/>
    <w:basedOn w:val="Normal"/>
    <w:link w:val="Char1"/>
    <w:pPr>
      <w:jc w:val="center"/>
    </w:pPr>
    <w:rPr>
      <w:kern w:val="0"/>
      <w:sz w:val="20"/>
      <w:szCs w:val="18"/>
    </w:rPr>
  </w:style>
  <w:style w:type="character" w:customStyle="1" w:styleId="zxfw1rboti1">
    <w:name w:val="zxfw_1_r_bo_ti_1"/>
    <w:basedOn w:val="DefaultParagraphFont"/>
  </w:style>
  <w:style w:type="character" w:customStyle="1" w:styleId="unnamed11">
    <w:name w:val="unnamed11"/>
    <w:rPr>
      <w:sz w:val="11"/>
      <w:szCs w:val="11"/>
    </w:rPr>
  </w:style>
  <w:style w:type="character" w:customStyle="1" w:styleId="zxfw1mti1">
    <w:name w:val="zxfw_1_m_ti_1"/>
    <w:basedOn w:val="DefaultParagraphFont"/>
  </w:style>
  <w:style w:type="character" w:customStyle="1" w:styleId="xxgk1lti1">
    <w:name w:val="xxgk_1_l_ti_1"/>
    <w:basedOn w:val="DefaultParagraphFont"/>
  </w:style>
  <w:style w:type="character" w:customStyle="1" w:styleId="ib">
    <w:name w:val="ib"/>
    <w:basedOn w:val="DefaultParagraphFont"/>
  </w:style>
  <w:style w:type="character" w:customStyle="1" w:styleId="22Char">
    <w:name w:val="表头22 Char"/>
    <w:link w:val="22"/>
    <w:qFormat/>
    <w:rPr>
      <w:b/>
      <w:kern w:val="2"/>
      <w:sz w:val="21"/>
      <w:szCs w:val="24"/>
    </w:rPr>
  </w:style>
  <w:style w:type="paragraph" w:customStyle="1" w:styleId="22">
    <w:name w:val="表头22"/>
    <w:basedOn w:val="112"/>
    <w:link w:val="22Char"/>
    <w:qFormat/>
    <w:pPr>
      <w:spacing w:line="360" w:lineRule="auto"/>
      <w:ind w:firstLine="482"/>
    </w:pPr>
    <w:rPr>
      <w:szCs w:val="24"/>
    </w:rPr>
  </w:style>
  <w:style w:type="paragraph" w:customStyle="1" w:styleId="112">
    <w:name w:val="表头11"/>
    <w:basedOn w:val="Normal"/>
    <w:link w:val="11Char0"/>
    <w:qFormat/>
    <w:pPr>
      <w:jc w:val="center"/>
    </w:pPr>
    <w:rPr>
      <w:b/>
    </w:rPr>
  </w:style>
  <w:style w:type="character" w:customStyle="1" w:styleId="11Char0">
    <w:name w:val="表头11 Char"/>
    <w:link w:val="112"/>
    <w:rPr>
      <w:b/>
      <w:kern w:val="2"/>
      <w:sz w:val="21"/>
    </w:rPr>
  </w:style>
  <w:style w:type="character" w:customStyle="1" w:styleId="nawz">
    <w:name w:val="na_wz"/>
    <w:rPr>
      <w:b/>
    </w:rPr>
  </w:style>
  <w:style w:type="character" w:customStyle="1" w:styleId="fontstyle31">
    <w:name w:val="fontstyle31"/>
    <w:rPr>
      <w:rFonts w:ascii="TimesNewRomanPSMT" w:eastAsia="TimesNewRomanPSMT" w:hAnsi="TimesNewRomanPSMT" w:hint="eastAsia"/>
      <w:color w:val="000000"/>
      <w:sz w:val="24"/>
      <w:szCs w:val="24"/>
    </w:rPr>
  </w:style>
  <w:style w:type="character" w:customStyle="1" w:styleId="Char2">
    <w:name w:val="表头 Char"/>
    <w:link w:val="a10"/>
    <w:qFormat/>
    <w:rPr>
      <w:rFonts w:ascii="宋体" w:hAnsi="宋体"/>
      <w:b/>
      <w:sz w:val="21"/>
      <w:szCs w:val="21"/>
    </w:rPr>
  </w:style>
  <w:style w:type="paragraph" w:customStyle="1" w:styleId="a10">
    <w:name w:val="表头"/>
    <w:basedOn w:val="Normal"/>
    <w:link w:val="Char2"/>
    <w:pPr>
      <w:spacing w:before="120"/>
      <w:ind w:left="840" w:firstLine="422"/>
      <w:jc w:val="center"/>
    </w:pPr>
    <w:rPr>
      <w:rFonts w:ascii="宋体" w:hAnsi="宋体"/>
      <w:b/>
      <w:kern w:val="0"/>
      <w:szCs w:val="21"/>
    </w:rPr>
  </w:style>
  <w:style w:type="character" w:customStyle="1" w:styleId="1Char1">
    <w:name w:val="表头样式1 Char"/>
    <w:link w:val="14"/>
    <w:rPr>
      <w:rFonts w:ascii="宋体" w:eastAsia="宋体" w:hAnsi="宋体"/>
      <w:b/>
      <w:kern w:val="2"/>
      <w:sz w:val="24"/>
      <w:lang w:val="en-US" w:eastAsia="zh-CN" w:bidi="ar-SA"/>
    </w:rPr>
  </w:style>
  <w:style w:type="paragraph" w:customStyle="1" w:styleId="14">
    <w:name w:val="表头样式1"/>
    <w:basedOn w:val="Normal"/>
    <w:link w:val="1Char1"/>
    <w:pPr>
      <w:spacing w:line="540" w:lineRule="exact"/>
      <w:jc w:val="center"/>
    </w:pPr>
    <w:rPr>
      <w:rFonts w:ascii="宋体" w:hAnsi="宋体"/>
      <w:b/>
      <w:sz w:val="24"/>
    </w:rPr>
  </w:style>
  <w:style w:type="character" w:customStyle="1" w:styleId="12Char">
    <w:name w:val="文本12 Char"/>
    <w:link w:val="120"/>
    <w:rPr>
      <w:rFonts w:ascii="Times New Roman" w:hAnsi="Times New Roman"/>
      <w:color w:val="000000"/>
      <w:kern w:val="2"/>
      <w:sz w:val="24"/>
    </w:rPr>
  </w:style>
  <w:style w:type="paragraph" w:customStyle="1" w:styleId="120">
    <w:name w:val="文本12"/>
    <w:basedOn w:val="Normal"/>
    <w:link w:val="12Char"/>
    <w:qFormat/>
    <w:pPr>
      <w:adjustRightInd w:val="0"/>
      <w:spacing w:line="360" w:lineRule="auto"/>
      <w:ind w:firstLine="480" w:firstLineChars="200"/>
      <w:textAlignment w:val="baseline"/>
    </w:pPr>
    <w:rPr>
      <w:rFonts w:ascii="Times New Roman" w:hAnsi="Times New Roman"/>
      <w:color w:val="000000"/>
      <w:sz w:val="24"/>
    </w:rPr>
  </w:style>
  <w:style w:type="character" w:customStyle="1" w:styleId="CharChar">
    <w:name w:val="宗兴正文 Char Char"/>
    <w:link w:val="a11"/>
    <w:rPr>
      <w:kern w:val="2"/>
      <w:sz w:val="24"/>
      <w:szCs w:val="24"/>
    </w:rPr>
  </w:style>
  <w:style w:type="paragraph" w:customStyle="1" w:styleId="a11">
    <w:name w:val="宗兴正文"/>
    <w:basedOn w:val="Normal"/>
    <w:link w:val="CharChar"/>
    <w:pPr>
      <w:spacing w:before="93" w:after="93" w:line="360" w:lineRule="auto"/>
      <w:ind w:firstLine="480" w:firstLineChars="200"/>
      <w:jc w:val="left"/>
    </w:pPr>
    <w:rPr>
      <w:sz w:val="24"/>
      <w:szCs w:val="24"/>
    </w:rPr>
  </w:style>
  <w:style w:type="character" w:customStyle="1" w:styleId="22Char0">
    <w:name w:val="表格内容22 Char"/>
    <w:link w:val="220"/>
    <w:qFormat/>
    <w:rPr>
      <w:rFonts w:eastAsia="Times New Roman"/>
      <w:color w:val="000000"/>
      <w:sz w:val="21"/>
      <w:szCs w:val="18"/>
    </w:rPr>
  </w:style>
  <w:style w:type="paragraph" w:customStyle="1" w:styleId="220">
    <w:name w:val="表格内容22"/>
    <w:basedOn w:val="Normal"/>
    <w:link w:val="22Char0"/>
    <w:qFormat/>
    <w:pPr>
      <w:spacing w:line="312" w:lineRule="auto"/>
      <w:ind w:left="9" w:right="9" w:leftChars="9" w:rightChars="9"/>
      <w:jc w:val="center"/>
    </w:pPr>
    <w:rPr>
      <w:rFonts w:eastAsia="Times New Roman"/>
      <w:color w:val="000000"/>
      <w:kern w:val="0"/>
      <w:szCs w:val="18"/>
    </w:rPr>
  </w:style>
  <w:style w:type="character" w:customStyle="1" w:styleId="serchb">
    <w:name w:val="serch_b"/>
    <w:basedOn w:val="DefaultParagraphFont"/>
  </w:style>
  <w:style w:type="character" w:customStyle="1" w:styleId="fontstyle21">
    <w:name w:val="fontstyle21"/>
    <w:rPr>
      <w:rFonts w:ascii="TimesNewRomanPSMT" w:eastAsia="TimesNewRomanPSMT" w:hAnsi="TimesNewRomanPSMT" w:hint="eastAsia"/>
      <w:color w:val="000080"/>
      <w:sz w:val="22"/>
      <w:szCs w:val="22"/>
    </w:rPr>
  </w:style>
  <w:style w:type="character" w:customStyle="1" w:styleId="zjyj1lti1">
    <w:name w:val="zjyj_1_l_ti_1"/>
    <w:basedOn w:val="DefaultParagraphFont"/>
  </w:style>
  <w:style w:type="character" w:customStyle="1" w:styleId="hover48">
    <w:name w:val="hover48"/>
    <w:rPr>
      <w:color w:val="FF0000"/>
    </w:rPr>
  </w:style>
  <w:style w:type="character" w:customStyle="1" w:styleId="sjkf1ltpti1">
    <w:name w:val="sjkf_1_l_tp_ti_1"/>
    <w:basedOn w:val="DefaultParagraphFont"/>
  </w:style>
  <w:style w:type="character" w:customStyle="1" w:styleId="fr">
    <w:name w:val="fr"/>
    <w:basedOn w:val="DefaultParagraphFont"/>
  </w:style>
  <w:style w:type="character" w:customStyle="1" w:styleId="zxfw1rtoti1">
    <w:name w:val="zxfw_1_r_to_ti_1"/>
    <w:basedOn w:val="DefaultParagraphFont"/>
  </w:style>
  <w:style w:type="character" w:customStyle="1" w:styleId="hdjl1mti1">
    <w:name w:val="hdjl_1_m_ti_1"/>
    <w:basedOn w:val="DefaultParagraphFont"/>
  </w:style>
  <w:style w:type="character" w:customStyle="1" w:styleId="1Char2">
    <w:name w:val="文本1 Char"/>
    <w:link w:val="15"/>
    <w:rPr>
      <w:kern w:val="2"/>
      <w:sz w:val="24"/>
      <w:szCs w:val="24"/>
    </w:rPr>
  </w:style>
  <w:style w:type="paragraph" w:customStyle="1" w:styleId="15">
    <w:name w:val="文本1"/>
    <w:basedOn w:val="Normal"/>
    <w:link w:val="1Char2"/>
    <w:pPr>
      <w:spacing w:line="360" w:lineRule="auto"/>
      <w:ind w:left="210" w:right="210" w:firstLine="480" w:leftChars="100" w:rightChars="100" w:firstLineChars="200"/>
    </w:pPr>
    <w:rPr>
      <w:sz w:val="24"/>
      <w:szCs w:val="24"/>
    </w:rPr>
  </w:style>
  <w:style w:type="character" w:customStyle="1" w:styleId="12Char0">
    <w:name w:val="表格文字12 Char"/>
    <w:link w:val="121"/>
    <w:rPr>
      <w:kern w:val="2"/>
      <w:sz w:val="21"/>
      <w:szCs w:val="21"/>
    </w:rPr>
  </w:style>
  <w:style w:type="paragraph" w:customStyle="1" w:styleId="121">
    <w:name w:val="表格文字12"/>
    <w:basedOn w:val="Normal"/>
    <w:link w:val="12Char0"/>
    <w:pPr>
      <w:spacing w:line="420" w:lineRule="exact"/>
      <w:jc w:val="center"/>
    </w:pPr>
    <w:rPr>
      <w:szCs w:val="21"/>
    </w:rPr>
  </w:style>
  <w:style w:type="character" w:customStyle="1" w:styleId="1Char3">
    <w:name w:val="1级标题 Char"/>
    <w:link w:val="16"/>
    <w:rPr>
      <w:rFonts w:hAnsi="宋体"/>
      <w:b/>
      <w:kern w:val="2"/>
      <w:sz w:val="28"/>
      <w:szCs w:val="22"/>
    </w:rPr>
  </w:style>
  <w:style w:type="paragraph" w:customStyle="1" w:styleId="16">
    <w:name w:val="1级标题"/>
    <w:basedOn w:val="BodyText2"/>
    <w:link w:val="1Char3"/>
    <w:pPr>
      <w:spacing w:line="360" w:lineRule="auto"/>
      <w:outlineLvl w:val="0"/>
    </w:pPr>
    <w:rPr>
      <w:rFonts w:hAnsi="宋体"/>
      <w:b/>
      <w:szCs w:val="22"/>
    </w:rPr>
  </w:style>
  <w:style w:type="character" w:customStyle="1" w:styleId="cur1">
    <w:name w:val="cur1"/>
    <w:rPr>
      <w:color w:val="850000"/>
    </w:rPr>
  </w:style>
  <w:style w:type="character" w:customStyle="1" w:styleId="CharChar0">
    <w:name w:val="表内格式 Char Char"/>
    <w:semiHidden/>
    <w:rPr>
      <w:rFonts w:ascii="宋体" w:eastAsia="宋体" w:hAnsi="宋体"/>
      <w:kern w:val="2"/>
      <w:sz w:val="21"/>
      <w:lang w:val="en-US" w:eastAsia="zh-CN" w:bidi="ar-SA"/>
    </w:rPr>
  </w:style>
  <w:style w:type="character" w:customStyle="1" w:styleId="12Char1">
    <w:name w:val="表头12 Char"/>
    <w:link w:val="122"/>
    <w:rPr>
      <w:b/>
      <w:kern w:val="2"/>
      <w:sz w:val="21"/>
      <w:szCs w:val="21"/>
    </w:rPr>
  </w:style>
  <w:style w:type="paragraph" w:customStyle="1" w:styleId="122">
    <w:name w:val="表头12"/>
    <w:basedOn w:val="Normal"/>
    <w:link w:val="12Char1"/>
    <w:pPr>
      <w:spacing w:before="31" w:beforeLines="10" w:line="360" w:lineRule="auto"/>
      <w:jc w:val="center"/>
    </w:pPr>
    <w:rPr>
      <w:b/>
      <w:szCs w:val="21"/>
    </w:rPr>
  </w:style>
  <w:style w:type="character" w:customStyle="1" w:styleId="CharChar1">
    <w:name w:val="报告表正文 Char Char"/>
    <w:link w:val="a12"/>
    <w:rPr>
      <w:sz w:val="24"/>
    </w:rPr>
  </w:style>
  <w:style w:type="paragraph" w:customStyle="1" w:styleId="a12">
    <w:name w:val="报告表正文"/>
    <w:basedOn w:val="Normal"/>
    <w:link w:val="CharChar1"/>
    <w:pPr>
      <w:adjustRightInd w:val="0"/>
      <w:spacing w:line="312" w:lineRule="auto"/>
      <w:ind w:left="113" w:right="113" w:firstLine="482"/>
      <w:jc w:val="left"/>
      <w:textAlignment w:val="baseline"/>
    </w:pPr>
    <w:rPr>
      <w:kern w:val="0"/>
      <w:sz w:val="24"/>
    </w:rPr>
  </w:style>
  <w:style w:type="character" w:customStyle="1" w:styleId="CharChar2">
    <w:name w:val="表格名称 Char Char"/>
    <w:link w:val="a13"/>
    <w:rPr>
      <w:b/>
      <w:kern w:val="2"/>
      <w:sz w:val="21"/>
    </w:rPr>
  </w:style>
  <w:style w:type="paragraph" w:customStyle="1" w:styleId="a13">
    <w:name w:val="表格名称"/>
    <w:basedOn w:val="Normal"/>
    <w:link w:val="CharChar2"/>
    <w:qFormat/>
    <w:pPr>
      <w:keepNext/>
      <w:keepLines/>
      <w:wordWrap w:val="0"/>
      <w:topLinePunct/>
      <w:adjustRightInd w:val="0"/>
      <w:spacing w:line="240" w:lineRule="auto"/>
      <w:ind w:firstLine="0" w:firstLineChars="0"/>
      <w:jc w:val="center"/>
    </w:pPr>
    <w:rPr>
      <w:rFonts w:ascii="Times New Roman" w:hAnsi="Times New Roman"/>
      <w:b/>
    </w:rPr>
  </w:style>
  <w:style w:type="character" w:customStyle="1" w:styleId="fl2">
    <w:name w:val="f_l2"/>
    <w:basedOn w:val="DefaultParagraphFont"/>
  </w:style>
  <w:style w:type="character" w:customStyle="1" w:styleId="TimesNewRomanCharChar">
    <w:name w:val="样式 表格内容 + Times New Roman Char Char"/>
    <w:link w:val="TimesNewRoman"/>
    <w:rPr>
      <w:rFonts w:ascii="宋体" w:hAnsi="Arial"/>
      <w:b/>
      <w:bCs/>
      <w:kern w:val="2"/>
      <w:sz w:val="28"/>
      <w:szCs w:val="24"/>
    </w:rPr>
  </w:style>
  <w:style w:type="paragraph" w:customStyle="1" w:styleId="TimesNewRoman">
    <w:name w:val="样式 表格内容 + Times New Roman"/>
    <w:basedOn w:val="Normal"/>
    <w:link w:val="TimesNewRomanCharChar"/>
    <w:pPr>
      <w:snapToGrid w:val="0"/>
      <w:spacing w:before="312" w:beforeLines="100" w:line="360" w:lineRule="auto"/>
    </w:pPr>
    <w:rPr>
      <w:rFonts w:ascii="宋体" w:hAnsi="Arial"/>
      <w:b/>
      <w:bCs/>
      <w:sz w:val="28"/>
      <w:szCs w:val="24"/>
    </w:rPr>
  </w:style>
  <w:style w:type="character" w:customStyle="1" w:styleId="f1200001">
    <w:name w:val="f12_0000_1"/>
  </w:style>
  <w:style w:type="character" w:customStyle="1" w:styleId="xxgk1mti1">
    <w:name w:val="xxgk_1_m_ti_1"/>
    <w:basedOn w:val="DefaultParagraphFont"/>
  </w:style>
  <w:style w:type="character" w:customStyle="1" w:styleId="hover47">
    <w:name w:val="hover47"/>
    <w:rPr>
      <w:u w:val="single"/>
    </w:rPr>
  </w:style>
  <w:style w:type="character" w:customStyle="1" w:styleId="Char3">
    <w:name w:val="一级标题 Char"/>
    <w:link w:val="a14"/>
    <w:rPr>
      <w:rFonts w:ascii="宋体"/>
      <w:bCs/>
      <w:kern w:val="2"/>
      <w:sz w:val="28"/>
    </w:rPr>
  </w:style>
  <w:style w:type="paragraph" w:customStyle="1" w:styleId="a14">
    <w:name w:val="一级标题"/>
    <w:basedOn w:val="BodyTextIndent3"/>
    <w:link w:val="Char3"/>
    <w:qFormat/>
    <w:pPr>
      <w:adjustRightInd w:val="0"/>
      <w:spacing w:line="360" w:lineRule="auto"/>
      <w:ind w:firstLine="200" w:firstLineChars="200"/>
    </w:pPr>
    <w:rPr>
      <w:bCs/>
    </w:rPr>
  </w:style>
  <w:style w:type="character" w:customStyle="1" w:styleId="fontstyle11">
    <w:name w:val="fontstyle11"/>
    <w:rPr>
      <w:rFonts w:ascii="TimesNewRomanPSMT" w:eastAsia="TimesNewRomanPSMT" w:hAnsi="TimesNewRomanPSMT" w:hint="eastAsia"/>
      <w:color w:val="000000"/>
      <w:sz w:val="24"/>
      <w:szCs w:val="24"/>
    </w:rPr>
  </w:style>
  <w:style w:type="character" w:customStyle="1" w:styleId="hdjl1lti1">
    <w:name w:val="hdjl_1_l_ti_1"/>
    <w:basedOn w:val="DefaultParagraphFont"/>
  </w:style>
  <w:style w:type="character" w:customStyle="1" w:styleId="CharCharCharChar">
    <w:name w:val="环科院正文 Char Char Char Char"/>
    <w:link w:val="CharChar3"/>
    <w:rPr>
      <w:b/>
      <w:bCs/>
      <w:sz w:val="24"/>
      <w:szCs w:val="24"/>
    </w:rPr>
  </w:style>
  <w:style w:type="paragraph" w:customStyle="1" w:styleId="CharChar3">
    <w:name w:val="环科院正文 Char Char"/>
    <w:basedOn w:val="Normal"/>
    <w:link w:val="CharCharCharChar"/>
    <w:pPr>
      <w:spacing w:line="300" w:lineRule="auto"/>
      <w:ind w:firstLine="480" w:firstLineChars="200"/>
    </w:pPr>
    <w:rPr>
      <w:b/>
      <w:bCs/>
      <w:kern w:val="0"/>
      <w:sz w:val="24"/>
      <w:szCs w:val="24"/>
    </w:rPr>
  </w:style>
  <w:style w:type="character" w:customStyle="1" w:styleId="1Char4">
    <w:name w:val="表头1 Char"/>
    <w:link w:val="17"/>
    <w:rPr>
      <w:b/>
      <w:kern w:val="2"/>
      <w:sz w:val="21"/>
      <w:szCs w:val="21"/>
    </w:rPr>
  </w:style>
  <w:style w:type="paragraph" w:customStyle="1" w:styleId="17">
    <w:name w:val="表头1"/>
    <w:basedOn w:val="Normal"/>
    <w:link w:val="1Char4"/>
    <w:pPr>
      <w:spacing w:line="360" w:lineRule="auto"/>
      <w:jc w:val="center"/>
    </w:pPr>
    <w:rPr>
      <w:b/>
      <w:szCs w:val="21"/>
    </w:rPr>
  </w:style>
  <w:style w:type="character" w:customStyle="1" w:styleId="Char4">
    <w:name w:val="表内格式 Char"/>
    <w:link w:val="a15"/>
    <w:rPr>
      <w:rFonts w:eastAsia="宋体"/>
      <w:kern w:val="2"/>
      <w:sz w:val="18"/>
      <w:lang w:val="en-US" w:eastAsia="zh-CN" w:bidi="ar-SA"/>
    </w:rPr>
  </w:style>
  <w:style w:type="paragraph" w:customStyle="1" w:styleId="a15">
    <w:name w:val="表内格式"/>
    <w:basedOn w:val="Normal"/>
    <w:link w:val="Char4"/>
    <w:pPr>
      <w:jc w:val="center"/>
    </w:pPr>
    <w:rPr>
      <w:sz w:val="18"/>
    </w:rPr>
  </w:style>
  <w:style w:type="character" w:customStyle="1" w:styleId="CharChar4">
    <w:name w:val="表格内文字 Char Char"/>
    <w:link w:val="a16"/>
    <w:rPr>
      <w:rFonts w:eastAsia="仿宋_GB2312"/>
      <w:kern w:val="2"/>
      <w:sz w:val="24"/>
      <w:szCs w:val="28"/>
    </w:rPr>
  </w:style>
  <w:style w:type="paragraph" w:customStyle="1" w:styleId="a16">
    <w:name w:val="表格内文字"/>
    <w:basedOn w:val="Normal"/>
    <w:link w:val="CharChar4"/>
    <w:pPr>
      <w:tabs>
        <w:tab w:val="left" w:pos="0"/>
      </w:tabs>
      <w:adjustRightInd w:val="0"/>
      <w:snapToGrid w:val="0"/>
      <w:jc w:val="center"/>
    </w:pPr>
    <w:rPr>
      <w:rFonts w:eastAsia="仿宋_GB2312"/>
      <w:sz w:val="24"/>
      <w:szCs w:val="28"/>
    </w:rPr>
  </w:style>
  <w:style w:type="paragraph" w:customStyle="1" w:styleId="2">
    <w:name w:val="样式 首行缩进:  2 字符"/>
    <w:basedOn w:val="Normal"/>
    <w:pPr>
      <w:autoSpaceDE w:val="0"/>
      <w:autoSpaceDN w:val="0"/>
      <w:adjustRightInd w:val="0"/>
      <w:ind w:firstLine="560" w:firstLineChars="200"/>
      <w:jc w:val="left"/>
      <w:textAlignment w:val="baseline"/>
    </w:pPr>
    <w:rPr>
      <w:rFonts w:eastAsia="华文仿宋" w:cs="宋体"/>
      <w:kern w:val="0"/>
      <w:sz w:val="28"/>
      <w:szCs w:val="28"/>
    </w:rPr>
  </w:style>
  <w:style w:type="paragraph" w:customStyle="1" w:styleId="18">
    <w:name w:val="批注主题1"/>
    <w:basedOn w:val="CommentText"/>
    <w:next w:val="CommentText"/>
    <w:rPr>
      <w:b/>
      <w:bCs/>
    </w:rPr>
  </w:style>
  <w:style w:type="paragraph" w:customStyle="1" w:styleId="-2">
    <w:name w:val="宏福正文-2"/>
    <w:basedOn w:val="BodyTextFirstIndent"/>
    <w:pPr>
      <w:snapToGrid w:val="0"/>
      <w:spacing w:before="240" w:after="0" w:line="400" w:lineRule="atLeast"/>
      <w:ind w:firstLine="567" w:firstLineChars="0"/>
    </w:pPr>
    <w:rPr>
      <w:sz w:val="28"/>
      <w:szCs w:val="20"/>
    </w:rPr>
  </w:style>
  <w:style w:type="paragraph" w:customStyle="1" w:styleId="61">
    <w:name w:val="正文61"/>
    <w:basedOn w:val="Normal"/>
    <w:qFormat/>
    <w:pPr>
      <w:snapToGrid w:val="0"/>
      <w:spacing w:line="360" w:lineRule="auto"/>
      <w:ind w:firstLine="200" w:firstLineChars="200"/>
    </w:pPr>
    <w:rPr>
      <w:rFonts w:ascii="Times New Roman" w:eastAsia="宋体" w:hAnsi="Times New Roman" w:cs="Times New Roman"/>
      <w:sz w:val="24"/>
      <w:szCs w:val="20"/>
    </w:rPr>
  </w:style>
  <w:style w:type="paragraph" w:customStyle="1" w:styleId="CharCharCharChar0">
    <w:name w:val=" Char Char Char Char"/>
    <w:basedOn w:val="DocumentMap"/>
    <w:pPr>
      <w:spacing w:line="436" w:lineRule="exact"/>
    </w:pPr>
    <w:rPr>
      <w:rFonts w:ascii="Tahoma" w:hAnsi="Tahoma"/>
      <w:b/>
      <w:sz w:val="24"/>
      <w:szCs w:val="24"/>
    </w:rPr>
  </w:style>
  <w:style w:type="paragraph" w:customStyle="1" w:styleId="a17">
    <w:name w:val="表格文字"/>
    <w:basedOn w:val="Normal"/>
    <w:qFormat/>
    <w:pPr>
      <w:spacing w:line="240" w:lineRule="auto"/>
      <w:ind w:firstLine="0" w:firstLineChars="0"/>
      <w:jc w:val="center"/>
    </w:pPr>
    <w:rPr>
      <w:rFonts w:ascii="Times New Roman" w:hAnsi="Times New Roman"/>
      <w:position w:val="-20"/>
      <w:sz w:val="21"/>
      <w:szCs w:val="21"/>
    </w:rPr>
  </w:style>
  <w:style w:type="paragraph" w:customStyle="1" w:styleId="140">
    <w:name w:val="纯文本14"/>
    <w:basedOn w:val="Normal"/>
    <w:next w:val="Normal"/>
    <w:qFormat/>
    <w:pPr>
      <w:widowControl/>
      <w:adjustRightInd w:val="0"/>
      <w:jc w:val="left"/>
      <w:textAlignment w:val="baseline"/>
    </w:pPr>
    <w:rPr>
      <w:rFonts w:ascii="Tahoma" w:hAnsi="幼圆" w:cs="Tahoma"/>
      <w:kern w:val="0"/>
    </w:rPr>
  </w:style>
  <w:style w:type="paragraph" w:customStyle="1" w:styleId="a18">
    <w:name w:val="小节标题"/>
    <w:basedOn w:val="Normal"/>
    <w:next w:val="Normal"/>
    <w:pPr>
      <w:tabs>
        <w:tab w:val="left" w:leader="dot" w:pos="6236"/>
      </w:tabs>
      <w:spacing w:before="39" w:after="22" w:line="351" w:lineRule="atLeast"/>
      <w:ind w:firstLine="419"/>
    </w:pPr>
    <w:rPr>
      <w:rFonts w:eastAsia="方正小标宋简体"/>
      <w:sz w:val="28"/>
    </w:rPr>
  </w:style>
  <w:style w:type="paragraph" w:customStyle="1" w:styleId="113">
    <w:name w:val="索引 11"/>
    <w:basedOn w:val="Normal"/>
    <w:next w:val="Normal"/>
    <w:pPr>
      <w:adjustRightInd w:val="0"/>
      <w:snapToGrid w:val="0"/>
      <w:spacing w:line="240" w:lineRule="exact"/>
      <w:jc w:val="center"/>
    </w:pPr>
    <w:rPr>
      <w:rFonts w:ascii="宋体" w:hAnsi="宋体"/>
      <w:kern w:val="0"/>
      <w:sz w:val="24"/>
      <w:szCs w:val="24"/>
    </w:rPr>
  </w:style>
  <w:style w:type="paragraph" w:customStyle="1" w:styleId="a19">
    <w:name w:val="表格"/>
    <w:basedOn w:val="Normal"/>
    <w:pPr>
      <w:jc w:val="center"/>
    </w:pPr>
    <w:rPr>
      <w:rFonts w:eastAsia="仿宋_GB2312"/>
      <w:szCs w:val="21"/>
    </w:rPr>
  </w:style>
  <w:style w:type="paragraph" w:customStyle="1" w:styleId="30">
    <w:name w:val="样式 标题 3 + 宋体 小三"/>
    <w:basedOn w:val="Heading3"/>
    <w:pPr>
      <w:numPr>
        <w:ilvl w:val="0"/>
        <w:numId w:val="0"/>
      </w:numPr>
      <w:spacing w:after="120" w:line="413" w:lineRule="auto"/>
    </w:pPr>
    <w:rPr>
      <w:rFonts w:ascii="宋体" w:hAnsi="宋体"/>
      <w:bCs/>
      <w:sz w:val="30"/>
      <w:szCs w:val="32"/>
    </w:rPr>
  </w:style>
  <w:style w:type="paragraph" w:customStyle="1" w:styleId="CharCharCharCharCharCharCharCharCharChar">
    <w:name w:val=" Char Char Char Char Char Char Char Char Char Char"/>
    <w:basedOn w:val="Normal"/>
    <w:pPr>
      <w:spacing w:line="360" w:lineRule="auto"/>
      <w:ind w:firstLine="200" w:firstLineChars="200"/>
    </w:pPr>
    <w:rPr>
      <w:rFonts w:ascii="宋体" w:hAnsi="宋体" w:cs="宋体"/>
      <w:sz w:val="24"/>
      <w:szCs w:val="24"/>
    </w:rPr>
  </w:style>
  <w:style w:type="paragraph" w:customStyle="1" w:styleId="CharChar2CharCharCharCharCharCharCharCharCharChar">
    <w:name w:val=" Char Char2 Char Char Char Char Char Char Char Char Char Char"/>
    <w:basedOn w:val="DocumentMap"/>
    <w:pPr>
      <w:spacing w:line="436" w:lineRule="exact"/>
    </w:pPr>
    <w:rPr>
      <w:rFonts w:ascii="Tahoma" w:hAnsi="Tahoma"/>
      <w:b/>
      <w:sz w:val="24"/>
      <w:szCs w:val="24"/>
    </w:rPr>
  </w:style>
  <w:style w:type="paragraph" w:customStyle="1" w:styleId="a20">
    <w:name w:val="表格正文"/>
    <w:pPr>
      <w:widowControl w:val="0"/>
      <w:ind w:firstLine="198"/>
      <w:jc w:val="center"/>
    </w:pPr>
    <w:rPr>
      <w:kern w:val="2"/>
      <w:sz w:val="21"/>
      <w:szCs w:val="21"/>
      <w:lang w:val="en-US" w:eastAsia="zh-CN" w:bidi="ar-SA"/>
    </w:rPr>
  </w:style>
  <w:style w:type="paragraph" w:customStyle="1" w:styleId="-045061">
    <w:name w:val="样式 样式 表格标题 + 五号 左侧:  -0.45 字符 + 首行缩进:  0.61 字符"/>
    <w:basedOn w:val="Normal"/>
    <w:pPr>
      <w:wordWrap w:val="0"/>
      <w:adjustRightInd w:val="0"/>
      <w:snapToGrid w:val="0"/>
      <w:spacing w:line="400" w:lineRule="exact"/>
      <w:ind w:left="105"/>
    </w:pPr>
    <w:rPr>
      <w:rFonts w:cs="宋体"/>
      <w:bCs/>
    </w:rPr>
  </w:style>
  <w:style w:type="paragraph" w:customStyle="1" w:styleId="a21">
    <w:name w:val="表中文字"/>
    <w:basedOn w:val="Normal"/>
    <w:pPr>
      <w:spacing w:line="280" w:lineRule="exact"/>
      <w:jc w:val="center"/>
    </w:pPr>
    <w:rPr>
      <w:rFonts w:ascii="宋体" w:hAnsi="宋体"/>
      <w:sz w:val="18"/>
      <w:szCs w:val="18"/>
    </w:rPr>
  </w:style>
  <w:style w:type="paragraph" w:customStyle="1" w:styleId="a22">
    <w:name w:val="表文"/>
    <w:basedOn w:val="Normal"/>
    <w:next w:val="Normal"/>
    <w:pPr>
      <w:jc w:val="center"/>
    </w:pPr>
  </w:style>
  <w:style w:type="paragraph" w:customStyle="1" w:styleId="19">
    <w:name w:val="正文1"/>
    <w:basedOn w:val="Normal"/>
    <w:semiHidden/>
    <w:pPr>
      <w:adjustRightInd w:val="0"/>
      <w:snapToGrid w:val="0"/>
      <w:spacing w:line="500" w:lineRule="atLeast"/>
      <w:ind w:firstLine="567"/>
    </w:pPr>
    <w:rPr>
      <w:rFonts w:cs="Angsana New"/>
      <w:sz w:val="28"/>
      <w:lang w:bidi="th-TH"/>
    </w:rPr>
  </w:style>
  <w:style w:type="paragraph" w:customStyle="1" w:styleId="TableParagraph">
    <w:name w:val="Table Paragraph"/>
    <w:basedOn w:val="Normal"/>
    <w:uiPriority w:val="1"/>
    <w:qFormat/>
    <w:pPr>
      <w:autoSpaceDE w:val="0"/>
      <w:autoSpaceDN w:val="0"/>
      <w:jc w:val="center"/>
    </w:pPr>
    <w:rPr>
      <w:rFonts w:ascii="Times New Roman" w:eastAsia="Times New Roman" w:hAnsi="Times New Roman"/>
      <w:kern w:val="0"/>
      <w:sz w:val="22"/>
      <w:szCs w:val="22"/>
      <w:lang w:eastAsia="en-US"/>
    </w:rPr>
  </w:style>
  <w:style w:type="paragraph" w:customStyle="1" w:styleId="a23">
    <w:name w:val="表格题名"/>
    <w:basedOn w:val="Normal"/>
    <w:qFormat/>
    <w:pPr>
      <w:snapToGrid/>
      <w:spacing w:line="240" w:lineRule="auto"/>
      <w:ind w:firstLine="0" w:firstLineChars="0"/>
      <w:jc w:val="center"/>
      <w:textAlignment w:val="baseline"/>
    </w:pPr>
    <w:rPr>
      <w:rFonts w:ascii="等线" w:hAnsi="等线" w:cs="Times New Roman"/>
      <w:b/>
      <w:bCs w:val="0"/>
      <w:kern w:val="0"/>
      <w:sz w:val="21"/>
      <w:szCs w:val="20"/>
    </w:rPr>
  </w:style>
  <w:style w:type="paragraph" w:customStyle="1" w:styleId="a24">
    <w:name w:val="表题"/>
    <w:basedOn w:val="Normal"/>
    <w:pPr>
      <w:jc w:val="center"/>
    </w:pPr>
    <w:rPr>
      <w:rFonts w:eastAsia="黑体"/>
    </w:rPr>
  </w:style>
  <w:style w:type="paragraph" w:customStyle="1" w:styleId="20">
    <w:name w:val="样式2"/>
    <w:basedOn w:val="Normal"/>
    <w:pPr>
      <w:spacing w:before="120" w:after="120" w:line="500" w:lineRule="exact"/>
      <w:ind w:firstLine="567"/>
    </w:pPr>
    <w:rPr>
      <w:rFonts w:ascii="黑体" w:eastAsia="黑体"/>
      <w:b/>
      <w:sz w:val="30"/>
    </w:rPr>
  </w:style>
  <w:style w:type="paragraph" w:customStyle="1" w:styleId="CharCharCharCharCharCharChar">
    <w:name w:val=" Char Char Char Char Char Char Char"/>
    <w:basedOn w:val="Normal"/>
    <w:pPr>
      <w:spacing w:line="360" w:lineRule="auto"/>
      <w:ind w:firstLine="200" w:firstLineChars="200"/>
    </w:pPr>
    <w:rPr>
      <w:rFonts w:ascii="宋体" w:hAnsi="宋体" w:cs="宋体"/>
      <w:sz w:val="24"/>
      <w:szCs w:val="24"/>
    </w:rPr>
  </w:style>
  <w:style w:type="paragraph" w:customStyle="1" w:styleId="1Char5">
    <w:name w:val="1 Char"/>
    <w:basedOn w:val="Normal"/>
    <w:pPr>
      <w:spacing w:line="360" w:lineRule="auto"/>
      <w:ind w:firstLine="200" w:firstLineChars="200"/>
    </w:pPr>
    <w:rPr>
      <w:rFonts w:ascii="宋体" w:hAnsi="宋体" w:cs="宋体"/>
      <w:sz w:val="24"/>
      <w:szCs w:val="24"/>
    </w:rPr>
  </w:style>
  <w:style w:type="paragraph" w:customStyle="1" w:styleId="Char5">
    <w:name w:val=" Char"/>
    <w:basedOn w:val="Normal"/>
    <w:pPr>
      <w:spacing w:line="360" w:lineRule="auto"/>
      <w:ind w:firstLine="200" w:firstLineChars="200"/>
    </w:pPr>
    <w:rPr>
      <w:rFonts w:ascii="宋体" w:hAnsi="宋体" w:cs="宋体"/>
      <w:sz w:val="24"/>
      <w:szCs w:val="24"/>
    </w:rPr>
  </w:style>
  <w:style w:type="paragraph" w:customStyle="1" w:styleId="CharChar1CharCharCharCharCharCharCharCharCharCharCharCharCharCharCharCharCharCharCharChar1Char">
    <w:name w:val=" Char Char1 Char Char Char Char Char Char Char Char Char Char Char Char Char Char Char Char Char Char Char Char1 Char"/>
    <w:basedOn w:val="Normal"/>
    <w:pPr>
      <w:spacing w:line="360" w:lineRule="auto"/>
      <w:ind w:firstLine="200" w:firstLineChars="200"/>
    </w:pPr>
    <w:rPr>
      <w:rFonts w:ascii="宋体" w:hAnsi="宋体" w:cs="宋体"/>
      <w:sz w:val="24"/>
      <w:szCs w:val="24"/>
    </w:rPr>
  </w:style>
  <w:style w:type="paragraph" w:customStyle="1" w:styleId="GB2312221">
    <w:name w:val="样式 (中文) 仿宋_GB2312 四号 行距: 固定值 22 磅 首行缩进:  1 字符"/>
    <w:basedOn w:val="Normal"/>
    <w:pPr>
      <w:spacing w:line="440" w:lineRule="exact"/>
      <w:ind w:firstLine="280" w:firstLineChars="100"/>
    </w:pPr>
    <w:rPr>
      <w:rFonts w:eastAsia="仿宋_GB2312"/>
      <w:sz w:val="24"/>
    </w:rPr>
  </w:style>
  <w:style w:type="paragraph" w:customStyle="1" w:styleId="a25">
    <w:name w:val="缩进"/>
    <w:basedOn w:val="Normal"/>
    <w:qFormat/>
    <w:pPr>
      <w:autoSpaceDE w:val="0"/>
      <w:autoSpaceDN w:val="0"/>
      <w:adjustRightInd w:val="0"/>
      <w:spacing w:line="400" w:lineRule="atLeast"/>
      <w:ind w:firstLine="425"/>
    </w:pPr>
    <w:rPr>
      <w:rFonts w:ascii="Times New Roman" w:eastAsia="宋体" w:hAnsi="Times New Roman" w:cs="Times New Roman"/>
      <w:kern w:val="0"/>
      <w:sz w:val="24"/>
      <w:szCs w:val="20"/>
    </w:rPr>
  </w:style>
  <w:style w:type="paragraph" w:customStyle="1" w:styleId="xl24">
    <w:name w:val="xl24"/>
    <w:basedOn w:val="Normal"/>
    <w:pPr>
      <w:widowControl/>
      <w:pBdr>
        <w:left w:val="single" w:sz="4" w:space="0" w:color="auto"/>
        <w:right w:val="single" w:sz="4" w:space="0" w:color="auto"/>
      </w:pBdr>
      <w:spacing w:before="100" w:beforeAutospacing="1" w:after="100" w:afterAutospacing="1"/>
      <w:jc w:val="center"/>
    </w:pPr>
    <w:rPr>
      <w:kern w:val="0"/>
      <w:szCs w:val="21"/>
    </w:rPr>
  </w:style>
  <w:style w:type="paragraph" w:customStyle="1" w:styleId="a26">
    <w:name w:val="注解文字"/>
    <w:basedOn w:val="Normal"/>
    <w:qFormat/>
    <w:pPr>
      <w:spacing w:line="240" w:lineRule="auto"/>
      <w:ind w:firstLine="471" w:firstLineChars="0"/>
    </w:pPr>
    <w:rPr>
      <w:rFonts w:ascii="Arial" w:hAnsi="Arial"/>
      <w:bCs w:val="0"/>
      <w:snapToGrid w:val="0"/>
      <w:color w:val="000000"/>
      <w:kern w:val="0"/>
      <w:sz w:val="21"/>
      <w:szCs w:val="20"/>
      <w:lang w:val="eu-ES"/>
    </w:rPr>
  </w:style>
  <w:style w:type="paragraph" w:customStyle="1" w:styleId="-045">
    <w:name w:val="样式 表格标题 + 左侧:  -0.45 字符"/>
    <w:basedOn w:val="Normal"/>
    <w:pPr>
      <w:adjustRightInd w:val="0"/>
      <w:snapToGrid w:val="0"/>
      <w:spacing w:before="120" w:after="60" w:line="400" w:lineRule="exact"/>
      <w:ind w:left="-45" w:leftChars="-45"/>
      <w:jc w:val="center"/>
    </w:pPr>
    <w:rPr>
      <w:rFonts w:ascii="Times" w:eastAsia="仿宋_GB2312" w:cs="宋体"/>
      <w:b/>
      <w:bCs/>
      <w:sz w:val="24"/>
    </w:rPr>
  </w:style>
  <w:style w:type="paragraph" w:styleId="Revision">
    <w:name w:val="Revision"/>
    <w:uiPriority w:val="99"/>
    <w:semiHidden/>
    <w:rPr>
      <w:kern w:val="2"/>
      <w:sz w:val="21"/>
      <w:lang w:val="en-US" w:eastAsia="zh-CN" w:bidi="ar-SA"/>
    </w:rPr>
  </w:style>
  <w:style w:type="paragraph" w:customStyle="1" w:styleId="114">
    <w:name w:val="正文文本缩进1"/>
    <w:basedOn w:val="Normal"/>
    <w:pPr>
      <w:ind w:firstLine="555"/>
    </w:pPr>
    <w:rPr>
      <w:rFonts w:ascii="仿宋_GB2312" w:eastAsia="仿宋_GB2312" w:hAnsi="OCR A Extended"/>
      <w:sz w:val="28"/>
    </w:rPr>
  </w:style>
  <w:style w:type="paragraph" w:customStyle="1" w:styleId="a27">
    <w:name w:val="正 文"/>
    <w:qFormat/>
    <w:pPr>
      <w:widowControl w:val="0"/>
      <w:spacing w:line="360" w:lineRule="auto"/>
      <w:ind w:firstLine="480" w:firstLineChars="200"/>
    </w:pPr>
    <w:rPr>
      <w:rFonts w:ascii="黑体" w:eastAsia="黑体" w:hAnsi="Arial"/>
      <w:kern w:val="2"/>
      <w:sz w:val="24"/>
      <w:szCs w:val="24"/>
      <w:lang w:val="en-US" w:eastAsia="zh-CN" w:bidi="ar-SA"/>
    </w:rPr>
  </w:style>
  <w:style w:type="paragraph" w:customStyle="1" w:styleId="Char10">
    <w:name w:val=" Char1"/>
    <w:basedOn w:val="Normal"/>
    <w:pPr>
      <w:widowControl/>
      <w:spacing w:after="160" w:line="240" w:lineRule="exact"/>
      <w:jc w:val="left"/>
    </w:pPr>
    <w:rPr>
      <w:rFonts w:ascii="Tahoma" w:hAnsi="Tahoma"/>
      <w:kern w:val="0"/>
      <w:sz w:val="24"/>
      <w:szCs w:val="24"/>
      <w:lang w:eastAsia="en-US"/>
    </w:rPr>
  </w:style>
  <w:style w:type="paragraph" w:customStyle="1" w:styleId="a28">
    <w:name w:val="表字"/>
    <w:next w:val="Normal"/>
    <w:qFormat/>
    <w:pPr>
      <w:adjustRightInd w:val="0"/>
      <w:snapToGrid w:val="0"/>
      <w:jc w:val="center"/>
    </w:pPr>
    <w:rPr>
      <w:sz w:val="21"/>
      <w:szCs w:val="21"/>
      <w:lang w:val="en-US" w:eastAsia="zh-CN" w:bidi="ar-SA"/>
    </w:rPr>
  </w:style>
  <w:style w:type="paragraph" w:customStyle="1" w:styleId="32">
    <w:name w:val="表格 32"/>
    <w:basedOn w:val="Normal"/>
    <w:qFormat/>
    <w:pPr>
      <w:autoSpaceDE w:val="0"/>
      <w:autoSpaceDN w:val="0"/>
      <w:adjustRightInd w:val="0"/>
      <w:jc w:val="center"/>
    </w:pPr>
    <w:rPr>
      <w:rFonts w:ascii="宋体" w:eastAsia="宋体" w:hAnsi="Impact"/>
      <w:kern w:val="24"/>
      <w:sz w:val="24"/>
    </w:rPr>
  </w:style>
  <w:style w:type="paragraph" w:customStyle="1" w:styleId="ListParagraph">
    <w:name w:val="List Paragraph"/>
    <w:basedOn w:val="Normal"/>
    <w:pPr>
      <w:ind w:firstLine="420" w:firstLineChars="200"/>
    </w:pPr>
  </w:style>
  <w:style w:type="table" w:customStyle="1" w:styleId="TableNormal0">
    <w:name w:val="Table Normal"/>
    <w:uiPriority w:val="2"/>
    <w:semiHidden/>
    <w:qFormat/>
    <w:pPr>
      <w:widowControl w:val="0"/>
      <w:autoSpaceDE w:val="0"/>
      <w:autoSpaceDN w:val="0"/>
    </w:pPr>
    <w:rPr>
      <w:rFonts w:ascii="Calibri" w:eastAsia="Times New Roman" w:hAnsi="Calibri"/>
      <w:sz w:val="22"/>
      <w:szCs w:val="22"/>
      <w:lang w:val="en-US" w:eastAsia="en-US" w:bidi="ar-SA"/>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00" Type="http://schemas.openxmlformats.org/officeDocument/2006/relationships/numbering" Target="numbering.xml" /><Relationship Id="rId101" Type="http://schemas.openxmlformats.org/officeDocument/2006/relationships/styles" Target="styles.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image" Target="media/image1.png"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footer" Target="footer29.xml" /><Relationship Id="rId34" Type="http://schemas.openxmlformats.org/officeDocument/2006/relationships/footer" Target="footer30.xml" /><Relationship Id="rId35" Type="http://schemas.openxmlformats.org/officeDocument/2006/relationships/footer" Target="footer31.xml" /><Relationship Id="rId36" Type="http://schemas.openxmlformats.org/officeDocument/2006/relationships/footer" Target="footer32.xml" /><Relationship Id="rId37" Type="http://schemas.openxmlformats.org/officeDocument/2006/relationships/footer" Target="footer33.xml" /><Relationship Id="rId38" Type="http://schemas.openxmlformats.org/officeDocument/2006/relationships/footer" Target="footer34.xml" /><Relationship Id="rId39" Type="http://schemas.openxmlformats.org/officeDocument/2006/relationships/footer" Target="footer35.xml" /><Relationship Id="rId4" Type="http://schemas.openxmlformats.org/officeDocument/2006/relationships/footer" Target="footer1.xml" /><Relationship Id="rId40" Type="http://schemas.openxmlformats.org/officeDocument/2006/relationships/footer" Target="footer36.xml" /><Relationship Id="rId41" Type="http://schemas.openxmlformats.org/officeDocument/2006/relationships/footer" Target="footer37.xml" /><Relationship Id="rId42" Type="http://schemas.openxmlformats.org/officeDocument/2006/relationships/footer" Target="footer38.xml" /><Relationship Id="rId43" Type="http://schemas.openxmlformats.org/officeDocument/2006/relationships/footer" Target="footer39.xml" /><Relationship Id="rId44" Type="http://schemas.openxmlformats.org/officeDocument/2006/relationships/footer" Target="footer40.xml" /><Relationship Id="rId45" Type="http://schemas.openxmlformats.org/officeDocument/2006/relationships/footer" Target="footer41.xml" /><Relationship Id="rId46" Type="http://schemas.openxmlformats.org/officeDocument/2006/relationships/footer" Target="footer42.xml" /><Relationship Id="rId47" Type="http://schemas.openxmlformats.org/officeDocument/2006/relationships/footer" Target="footer43.xml" /><Relationship Id="rId48" Type="http://schemas.openxmlformats.org/officeDocument/2006/relationships/footer" Target="footer44.xml" /><Relationship Id="rId49" Type="http://schemas.openxmlformats.org/officeDocument/2006/relationships/footer" Target="footer45.xml" /><Relationship Id="rId5" Type="http://schemas.openxmlformats.org/officeDocument/2006/relationships/footer" Target="footer2.xml" /><Relationship Id="rId50" Type="http://schemas.openxmlformats.org/officeDocument/2006/relationships/footer" Target="footer46.xml" /><Relationship Id="rId51" Type="http://schemas.openxmlformats.org/officeDocument/2006/relationships/footer" Target="footer47.xml" /><Relationship Id="rId52" Type="http://schemas.openxmlformats.org/officeDocument/2006/relationships/footer" Target="footer48.xml" /><Relationship Id="rId53" Type="http://schemas.openxmlformats.org/officeDocument/2006/relationships/footer" Target="footer49.xml" /><Relationship Id="rId54" Type="http://schemas.openxmlformats.org/officeDocument/2006/relationships/footer" Target="footer50.xml" /><Relationship Id="rId55" Type="http://schemas.openxmlformats.org/officeDocument/2006/relationships/footer" Target="footer51.xml" /><Relationship Id="rId56" Type="http://schemas.openxmlformats.org/officeDocument/2006/relationships/footer" Target="footer52.xml" /><Relationship Id="rId57" Type="http://schemas.openxmlformats.org/officeDocument/2006/relationships/footer" Target="footer53.xml" /><Relationship Id="rId58" Type="http://schemas.openxmlformats.org/officeDocument/2006/relationships/footer" Target="footer54.xml" /><Relationship Id="rId59" Type="http://schemas.openxmlformats.org/officeDocument/2006/relationships/footer" Target="footer55.xml" /><Relationship Id="rId6" Type="http://schemas.openxmlformats.org/officeDocument/2006/relationships/footer" Target="footer3.xml" /><Relationship Id="rId60" Type="http://schemas.openxmlformats.org/officeDocument/2006/relationships/footer" Target="footer56.xml" /><Relationship Id="rId61" Type="http://schemas.openxmlformats.org/officeDocument/2006/relationships/image" Target="media/image2.png" /><Relationship Id="rId62" Type="http://schemas.openxmlformats.org/officeDocument/2006/relationships/image" Target="media/image3.png" /><Relationship Id="rId63" Type="http://schemas.openxmlformats.org/officeDocument/2006/relationships/footer" Target="footer57.xml" /><Relationship Id="rId64" Type="http://schemas.openxmlformats.org/officeDocument/2006/relationships/footer" Target="footer58.xml" /><Relationship Id="rId65" Type="http://schemas.openxmlformats.org/officeDocument/2006/relationships/footer" Target="footer59.xml" /><Relationship Id="rId66" Type="http://schemas.openxmlformats.org/officeDocument/2006/relationships/footer" Target="footer60.xml" /><Relationship Id="rId67" Type="http://schemas.openxmlformats.org/officeDocument/2006/relationships/footer" Target="footer61.xml" /><Relationship Id="rId68" Type="http://schemas.openxmlformats.org/officeDocument/2006/relationships/footer" Target="footer62.xml" /><Relationship Id="rId69" Type="http://schemas.openxmlformats.org/officeDocument/2006/relationships/footer" Target="footer63.xml" /><Relationship Id="rId7" Type="http://schemas.openxmlformats.org/officeDocument/2006/relationships/footer" Target="footer4.xml" /><Relationship Id="rId70" Type="http://schemas.openxmlformats.org/officeDocument/2006/relationships/footer" Target="footer64.xml" /><Relationship Id="rId71" Type="http://schemas.openxmlformats.org/officeDocument/2006/relationships/footer" Target="footer65.xml" /><Relationship Id="rId72" Type="http://schemas.openxmlformats.org/officeDocument/2006/relationships/footer" Target="footer66.xml" /><Relationship Id="rId73" Type="http://schemas.openxmlformats.org/officeDocument/2006/relationships/footer" Target="footer67.xml" /><Relationship Id="rId74" Type="http://schemas.openxmlformats.org/officeDocument/2006/relationships/footer" Target="footer68.xml" /><Relationship Id="rId75" Type="http://schemas.openxmlformats.org/officeDocument/2006/relationships/footer" Target="footer69.xml" /><Relationship Id="rId76" Type="http://schemas.openxmlformats.org/officeDocument/2006/relationships/footer" Target="footer70.xml" /><Relationship Id="rId77" Type="http://schemas.openxmlformats.org/officeDocument/2006/relationships/footer" Target="footer71.xml" /><Relationship Id="rId78" Type="http://schemas.openxmlformats.org/officeDocument/2006/relationships/footer" Target="footer72.xml" /><Relationship Id="rId79" Type="http://schemas.openxmlformats.org/officeDocument/2006/relationships/footer" Target="footer73.xml" /><Relationship Id="rId8" Type="http://schemas.openxmlformats.org/officeDocument/2006/relationships/footer" Target="footer5.xml" /><Relationship Id="rId80" Type="http://schemas.openxmlformats.org/officeDocument/2006/relationships/footer" Target="footer74.xml" /><Relationship Id="rId81" Type="http://schemas.openxmlformats.org/officeDocument/2006/relationships/image" Target="media/image4.png" /><Relationship Id="rId82" Type="http://schemas.openxmlformats.org/officeDocument/2006/relationships/footer" Target="footer75.xml" /><Relationship Id="rId83" Type="http://schemas.openxmlformats.org/officeDocument/2006/relationships/footer" Target="footer76.xml" /><Relationship Id="rId84" Type="http://schemas.openxmlformats.org/officeDocument/2006/relationships/image" Target="media/image5.png" /><Relationship Id="rId85" Type="http://schemas.openxmlformats.org/officeDocument/2006/relationships/footer" Target="footer77.xml" /><Relationship Id="rId86" Type="http://schemas.openxmlformats.org/officeDocument/2006/relationships/footer" Target="footer78.xml" /><Relationship Id="rId87" Type="http://schemas.openxmlformats.org/officeDocument/2006/relationships/image" Target="media/image6.png" /><Relationship Id="rId88" Type="http://schemas.openxmlformats.org/officeDocument/2006/relationships/footer" Target="footer79.xml" /><Relationship Id="rId89" Type="http://schemas.openxmlformats.org/officeDocument/2006/relationships/footer" Target="footer80.xml" /><Relationship Id="rId9" Type="http://schemas.openxmlformats.org/officeDocument/2006/relationships/footer" Target="footer6.xml" /><Relationship Id="rId90" Type="http://schemas.openxmlformats.org/officeDocument/2006/relationships/footer" Target="footer81.xml" /><Relationship Id="rId91" Type="http://schemas.openxmlformats.org/officeDocument/2006/relationships/footer" Target="footer82.xml" /><Relationship Id="rId92" Type="http://schemas.openxmlformats.org/officeDocument/2006/relationships/footer" Target="footer83.xml" /><Relationship Id="rId93" Type="http://schemas.openxmlformats.org/officeDocument/2006/relationships/footer" Target="footer84.xml" /><Relationship Id="rId94" Type="http://schemas.openxmlformats.org/officeDocument/2006/relationships/footer" Target="footer85.xml" /><Relationship Id="rId95" Type="http://schemas.openxmlformats.org/officeDocument/2006/relationships/footer" Target="footer86.xml" /><Relationship Id="rId96" Type="http://schemas.openxmlformats.org/officeDocument/2006/relationships/hyperlink" Target="https://d.book118.com/578050140042006023" TargetMode="External" /><Relationship Id="rId97" Type="http://schemas.openxmlformats.org/officeDocument/2006/relationships/footer" Target="footer87.xml" /><Relationship Id="rId98" Type="http://schemas.openxmlformats.org/officeDocument/2006/relationships/footer" Target="footer88.xml" /><Relationship Id="rId9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157407360</TotalTime>
  <Pages>66</Pages>
  <Words>11962</Words>
  <Characters>68189</Characters>
  <Application>Microsoft Office Word</Application>
  <DocSecurity>0</DocSecurity>
  <Lines>568</Lines>
  <Paragraphs>159</Paragraphs>
  <ScaleCrop>false</ScaleCrop>
  <Company>宜昌市环境保护研究所</Company>
  <LinksUpToDate>false</LinksUpToDate>
  <CharactersWithSpaces>79992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茶叶加工</dc:title>
  <dc:creator>Pinkie</dc:creator>
  <cp:lastModifiedBy>委员</cp:lastModifiedBy>
  <cp:revision>7</cp:revision>
  <cp:lastPrinted>2019-07-08T08:59:00Z</cp:lastPrinted>
  <dcterms:created xsi:type="dcterms:W3CDTF">2020-04-12T23:26:00Z</dcterms:created>
  <dcterms:modified xsi:type="dcterms:W3CDTF">2023-11-22T13:38:23Z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7F8A1C500329468AA41D8489BC980046_12</vt:lpwstr>
  </property>
  <property fmtid="{D5CDD505-2E9C-101B-9397-08002B2CF9AE}" pid="3" name="KSOProductBuildVer">
    <vt:lpwstr>2052-12.1.0.15712</vt:lpwstr>
  </property>
</Properties>
</file>