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jc w:val="center"/>
        <w:outlineLvl w:val="0"/>
        <w:rPr>
          <w:rFonts w:ascii="Times New Roman" w:eastAsia="黑体" w:hAnsi="Times New Roman"/>
          <w:snapToGrid w:val="0"/>
          <w:color w:val="auto"/>
          <w:sz w:val="30"/>
          <w:szCs w:val="30"/>
        </w:rPr>
      </w:pPr>
      <w:r>
        <w:rPr>
          <w:rFonts w:ascii="Times New Roman" w:eastAsia="黑体" w:hAnsi="Times New Roman"/>
          <w:snapToGrid w:val="0"/>
          <w:color w:val="auto"/>
          <w:sz w:val="30"/>
          <w:szCs w:val="30"/>
        </w:rPr>
        <w:t>一、建设项目基本情况</w:t>
      </w:r>
    </w:p>
    <w:tbl>
      <w:tblPr>
        <w:tblStyle w:val="TableNormal"/>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1533"/>
        <w:gridCol w:w="2486"/>
        <w:gridCol w:w="2212"/>
        <w:gridCol w:w="3874"/>
      </w:tblGrid>
      <w:tr>
        <w:tblPrEx>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497"/>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建设项目名称</w:t>
            </w:r>
          </w:p>
        </w:tc>
        <w:tc>
          <w:tcPr>
            <w:tcW w:w="8572" w:type="dxa"/>
            <w:gridSpan w:val="3"/>
            <w:vAlign w:val="center"/>
          </w:tcPr>
          <w:p>
            <w:pPr>
              <w:adjustRightInd w:val="0"/>
              <w:snapToGrid w:val="0"/>
              <w:jc w:val="center"/>
              <w:rPr>
                <w:rFonts w:eastAsia="宋体" w:hint="eastAsia"/>
                <w:color w:val="auto"/>
                <w:sz w:val="24"/>
              </w:rPr>
            </w:pPr>
            <w:r>
              <w:rPr>
                <w:rFonts w:hint="eastAsia"/>
                <w:color w:val="auto"/>
                <w:sz w:val="24"/>
                <w:lang w:eastAsia="zh-CN"/>
              </w:rPr>
              <w:t>秸秆全降解地膜生产项目</w:t>
            </w:r>
          </w:p>
        </w:tc>
      </w:tr>
      <w:tr>
        <w:tblPrEx>
          <w:tblW w:w="10105" w:type="dxa"/>
          <w:jc w:val="center"/>
          <w:tblInd w:w="-92" w:type="dxa"/>
          <w:tblLayout w:type="fixed"/>
          <w:tblCellMar>
            <w:top w:w="0" w:type="dxa"/>
            <w:left w:w="0" w:type="dxa"/>
            <w:bottom w:w="0" w:type="dxa"/>
            <w:right w:w="0" w:type="dxa"/>
          </w:tblCellMar>
          <w:tblLook w:val="0000"/>
        </w:tblPrEx>
        <w:trPr>
          <w:trHeight w:val="497"/>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项目代码</w:t>
            </w:r>
          </w:p>
        </w:tc>
        <w:tc>
          <w:tcPr>
            <w:tcW w:w="8572" w:type="dxa"/>
            <w:gridSpan w:val="3"/>
            <w:vAlign w:val="center"/>
          </w:tcPr>
          <w:p>
            <w:pPr>
              <w:adjustRightInd w:val="0"/>
              <w:snapToGrid w:val="0"/>
              <w:jc w:val="center"/>
              <w:rPr>
                <w:color w:val="auto"/>
                <w:sz w:val="24"/>
              </w:rPr>
            </w:pPr>
            <w:r>
              <w:rPr>
                <w:rFonts w:hint="eastAsia"/>
                <w:color w:val="auto"/>
                <w:sz w:val="24"/>
                <w:lang w:val="en-US" w:eastAsia="zh-CN"/>
              </w:rPr>
              <w:t>2312-321084-89-05-501451</w:t>
            </w:r>
          </w:p>
        </w:tc>
      </w:tr>
      <w:tr>
        <w:tblPrEx>
          <w:tblW w:w="10105" w:type="dxa"/>
          <w:jc w:val="center"/>
          <w:tblInd w:w="-92" w:type="dxa"/>
          <w:tblLayout w:type="fixed"/>
          <w:tblCellMar>
            <w:top w:w="0" w:type="dxa"/>
            <w:left w:w="0" w:type="dxa"/>
            <w:bottom w:w="0" w:type="dxa"/>
            <w:right w:w="0" w:type="dxa"/>
          </w:tblCellMar>
          <w:tblLook w:val="0000"/>
        </w:tblPrEx>
        <w:trPr>
          <w:trHeight w:val="497"/>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建设单位联系人</w:t>
            </w:r>
          </w:p>
        </w:tc>
        <w:tc>
          <w:tcPr>
            <w:tcW w:w="2486" w:type="dxa"/>
            <w:vAlign w:val="center"/>
          </w:tcPr>
          <w:p>
            <w:pPr>
              <w:adjustRightInd w:val="0"/>
              <w:snapToGrid w:val="0"/>
              <w:jc w:val="center"/>
              <w:rPr>
                <w:rFonts w:eastAsia="宋体" w:hint="eastAsia"/>
                <w:color w:val="auto"/>
                <w:sz w:val="24"/>
              </w:rPr>
            </w:pPr>
          </w:p>
        </w:tc>
        <w:tc>
          <w:tcPr>
            <w:tcW w:w="2212" w:type="dxa"/>
            <w:vAlign w:val="center"/>
          </w:tcPr>
          <w:p>
            <w:pPr>
              <w:adjustRightInd w:val="0"/>
              <w:snapToGrid w:val="0"/>
              <w:jc w:val="center"/>
              <w:rPr>
                <w:color w:val="auto"/>
                <w:sz w:val="24"/>
              </w:rPr>
            </w:pPr>
            <w:r>
              <w:rPr>
                <w:color w:val="auto"/>
                <w:sz w:val="24"/>
              </w:rPr>
              <w:t>联系方式</w:t>
            </w:r>
          </w:p>
        </w:tc>
        <w:tc>
          <w:tcPr>
            <w:tcW w:w="3874" w:type="dxa"/>
            <w:vAlign w:val="center"/>
          </w:tcPr>
          <w:p>
            <w:pPr>
              <w:jc w:val="center"/>
              <w:rPr>
                <w:rFonts w:eastAsia="宋体" w:hint="default"/>
                <w:color w:val="auto"/>
                <w:sz w:val="24"/>
              </w:rPr>
            </w:pPr>
          </w:p>
        </w:tc>
      </w:tr>
      <w:tr>
        <w:tblPrEx>
          <w:tblW w:w="10105" w:type="dxa"/>
          <w:jc w:val="center"/>
          <w:tblInd w:w="-92" w:type="dxa"/>
          <w:tblLayout w:type="fixed"/>
          <w:tblCellMar>
            <w:top w:w="0" w:type="dxa"/>
            <w:left w:w="0" w:type="dxa"/>
            <w:bottom w:w="0" w:type="dxa"/>
            <w:right w:w="0" w:type="dxa"/>
          </w:tblCellMar>
          <w:tblLook w:val="0000"/>
        </w:tblPrEx>
        <w:trPr>
          <w:trHeight w:val="497"/>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建设地点</w:t>
            </w:r>
          </w:p>
        </w:tc>
        <w:tc>
          <w:tcPr>
            <w:tcW w:w="8572" w:type="dxa"/>
            <w:gridSpan w:val="3"/>
            <w:vAlign w:val="center"/>
          </w:tcPr>
          <w:p>
            <w:pPr>
              <w:adjustRightInd w:val="0"/>
              <w:snapToGrid w:val="0"/>
              <w:jc w:val="center"/>
              <w:rPr>
                <w:rFonts w:eastAsia="宋体" w:hint="eastAsia"/>
                <w:color w:val="auto"/>
                <w:sz w:val="24"/>
              </w:rPr>
            </w:pPr>
            <w:r>
              <w:rPr>
                <w:rFonts w:hint="eastAsia"/>
                <w:color w:val="auto"/>
                <w:sz w:val="24"/>
                <w:lang w:val="en-US" w:eastAsia="zh-CN"/>
              </w:rPr>
              <w:t>高邮市城南经济新区（车逻镇）</w:t>
            </w:r>
            <w:r>
              <w:rPr>
                <w:rFonts w:hint="eastAsia"/>
                <w:color w:val="auto"/>
                <w:sz w:val="24"/>
                <w:lang w:eastAsia="zh-CN"/>
              </w:rPr>
              <w:t>太丰村</w:t>
            </w:r>
          </w:p>
        </w:tc>
      </w:tr>
      <w:tr>
        <w:tblPrEx>
          <w:tblW w:w="10105" w:type="dxa"/>
          <w:jc w:val="center"/>
          <w:tblInd w:w="-92" w:type="dxa"/>
          <w:tblLayout w:type="fixed"/>
          <w:tblCellMar>
            <w:top w:w="0" w:type="dxa"/>
            <w:left w:w="0" w:type="dxa"/>
            <w:bottom w:w="0" w:type="dxa"/>
            <w:right w:w="0" w:type="dxa"/>
          </w:tblCellMar>
          <w:tblLook w:val="0000"/>
        </w:tblPrEx>
        <w:trPr>
          <w:trHeight w:val="497"/>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地理坐标</w:t>
            </w:r>
          </w:p>
        </w:tc>
        <w:tc>
          <w:tcPr>
            <w:tcW w:w="8572" w:type="dxa"/>
            <w:gridSpan w:val="3"/>
            <w:vAlign w:val="center"/>
          </w:tcPr>
          <w:p>
            <w:pPr>
              <w:jc w:val="center"/>
              <w:rPr>
                <w:color w:val="auto"/>
                <w:sz w:val="24"/>
              </w:rPr>
            </w:pPr>
            <w:r>
              <w:rPr>
                <w:color w:val="auto"/>
                <w:sz w:val="24"/>
              </w:rPr>
              <w:t>（</w:t>
            </w:r>
            <w:r>
              <w:rPr>
                <w:color w:val="auto"/>
                <w:sz w:val="24"/>
                <w:u w:val="single"/>
              </w:rPr>
              <w:t>119</w:t>
            </w:r>
            <w:r>
              <w:rPr>
                <w:color w:val="auto"/>
                <w:sz w:val="24"/>
              </w:rPr>
              <w:t>度</w:t>
            </w:r>
            <w:r>
              <w:rPr>
                <w:rFonts w:hint="eastAsia"/>
                <w:color w:val="auto"/>
                <w:sz w:val="24"/>
                <w:u w:val="single"/>
                <w:lang w:val="en-US" w:eastAsia="zh-CN"/>
              </w:rPr>
              <w:t>28</w:t>
            </w:r>
            <w:r>
              <w:rPr>
                <w:color w:val="auto"/>
                <w:sz w:val="24"/>
              </w:rPr>
              <w:t>分</w:t>
            </w:r>
            <w:r>
              <w:rPr>
                <w:rFonts w:hint="eastAsia"/>
                <w:color w:val="auto"/>
                <w:sz w:val="24"/>
                <w:u w:val="single"/>
                <w:lang w:val="en-US" w:eastAsia="zh-CN"/>
              </w:rPr>
              <w:t>44.065</w:t>
            </w:r>
            <w:r>
              <w:rPr>
                <w:color w:val="auto"/>
                <w:sz w:val="24"/>
              </w:rPr>
              <w:t>秒，</w:t>
            </w:r>
            <w:r>
              <w:rPr>
                <w:color w:val="auto"/>
                <w:sz w:val="24"/>
                <w:u w:val="single"/>
              </w:rPr>
              <w:t>3</w:t>
            </w:r>
            <w:r>
              <w:rPr>
                <w:rFonts w:hint="eastAsia"/>
                <w:color w:val="auto"/>
                <w:sz w:val="24"/>
                <w:u w:val="single"/>
                <w:lang w:val="en-US" w:eastAsia="zh-CN"/>
              </w:rPr>
              <w:t>2</w:t>
            </w:r>
            <w:r>
              <w:rPr>
                <w:color w:val="auto"/>
                <w:sz w:val="24"/>
              </w:rPr>
              <w:t>度</w:t>
            </w:r>
            <w:r>
              <w:rPr>
                <w:rFonts w:hint="eastAsia"/>
                <w:color w:val="auto"/>
                <w:sz w:val="24"/>
                <w:u w:val="single"/>
                <w:lang w:val="en-US" w:eastAsia="zh-CN"/>
              </w:rPr>
              <w:t>42</w:t>
            </w:r>
            <w:r>
              <w:rPr>
                <w:color w:val="auto"/>
                <w:sz w:val="24"/>
              </w:rPr>
              <w:t>分</w:t>
            </w:r>
            <w:r>
              <w:rPr>
                <w:rFonts w:hint="eastAsia"/>
                <w:color w:val="auto"/>
                <w:sz w:val="24"/>
                <w:u w:val="single"/>
                <w:lang w:val="en-US" w:eastAsia="zh-CN"/>
              </w:rPr>
              <w:t>3.380</w:t>
            </w:r>
            <w:r>
              <w:rPr>
                <w:color w:val="auto"/>
                <w:sz w:val="24"/>
              </w:rPr>
              <w:t>秒）</w:t>
            </w:r>
          </w:p>
        </w:tc>
      </w:tr>
      <w:tr>
        <w:tblPrEx>
          <w:tblW w:w="10105" w:type="dxa"/>
          <w:jc w:val="center"/>
          <w:tblInd w:w="-92" w:type="dxa"/>
          <w:tblLayout w:type="fixed"/>
          <w:tblCellMar>
            <w:top w:w="0" w:type="dxa"/>
            <w:left w:w="0" w:type="dxa"/>
            <w:bottom w:w="0" w:type="dxa"/>
            <w:right w:w="0" w:type="dxa"/>
          </w:tblCellMar>
          <w:tblLook w:val="0000"/>
        </w:tblPrEx>
        <w:trPr>
          <w:trHeight w:val="561"/>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国民经济</w:t>
            </w:r>
          </w:p>
          <w:p>
            <w:pPr>
              <w:adjustRightInd w:val="0"/>
              <w:snapToGrid w:val="0"/>
              <w:jc w:val="center"/>
              <w:rPr>
                <w:color w:val="auto"/>
                <w:sz w:val="24"/>
              </w:rPr>
            </w:pPr>
            <w:r>
              <w:rPr>
                <w:color w:val="auto"/>
                <w:sz w:val="24"/>
              </w:rPr>
              <w:t>行业类别</w:t>
            </w:r>
          </w:p>
        </w:tc>
        <w:tc>
          <w:tcPr>
            <w:tcW w:w="2486" w:type="dxa"/>
            <w:vAlign w:val="center"/>
          </w:tcPr>
          <w:p>
            <w:pPr>
              <w:adjustRightInd w:val="0"/>
              <w:snapToGrid w:val="0"/>
              <w:jc w:val="center"/>
              <w:rPr>
                <w:rFonts w:eastAsia="宋体" w:hint="default"/>
                <w:color w:val="auto"/>
                <w:sz w:val="24"/>
              </w:rPr>
            </w:pPr>
            <w:r>
              <w:rPr>
                <w:rFonts w:hint="eastAsia"/>
                <w:color w:val="auto"/>
                <w:sz w:val="24"/>
              </w:rPr>
              <w:t>C</w:t>
            </w:r>
            <w:r>
              <w:rPr>
                <w:rFonts w:hint="eastAsia"/>
                <w:color w:val="auto"/>
                <w:sz w:val="24"/>
                <w:lang w:val="en-US" w:eastAsia="zh-CN"/>
              </w:rPr>
              <w:t>2049 草及其他制品制造</w:t>
            </w:r>
          </w:p>
        </w:tc>
        <w:tc>
          <w:tcPr>
            <w:tcW w:w="2212" w:type="dxa"/>
            <w:vAlign w:val="center"/>
          </w:tcPr>
          <w:p>
            <w:pPr>
              <w:adjustRightInd w:val="0"/>
              <w:snapToGrid w:val="0"/>
              <w:jc w:val="center"/>
              <w:rPr>
                <w:color w:val="auto"/>
                <w:sz w:val="24"/>
              </w:rPr>
            </w:pPr>
            <w:bookmarkStart w:id="0" w:name="_Hlk49843745"/>
            <w:r>
              <w:rPr>
                <w:color w:val="auto"/>
                <w:sz w:val="24"/>
              </w:rPr>
              <w:t>建设项目</w:t>
            </w:r>
          </w:p>
          <w:p>
            <w:pPr>
              <w:adjustRightInd w:val="0"/>
              <w:snapToGrid w:val="0"/>
              <w:jc w:val="center"/>
              <w:rPr>
                <w:color w:val="auto"/>
                <w:sz w:val="24"/>
              </w:rPr>
            </w:pPr>
            <w:r>
              <w:rPr>
                <w:color w:val="auto"/>
                <w:sz w:val="24"/>
              </w:rPr>
              <w:t>行业类别</w:t>
            </w:r>
            <w:bookmarkEnd w:id="0"/>
          </w:p>
        </w:tc>
        <w:tc>
          <w:tcPr>
            <w:tcW w:w="3874" w:type="dxa"/>
            <w:vAlign w:val="center"/>
          </w:tcPr>
          <w:p>
            <w:pPr>
              <w:adjustRightInd w:val="0"/>
              <w:snapToGrid w:val="0"/>
              <w:ind w:firstLine="480" w:firstLineChars="200"/>
              <w:rPr>
                <w:color w:val="auto"/>
                <w:sz w:val="24"/>
              </w:rPr>
            </w:pPr>
            <w:r>
              <w:rPr>
                <w:color w:val="auto"/>
                <w:sz w:val="24"/>
                <w:lang w:val="en-US" w:eastAsia="zh-CN"/>
              </w:rPr>
              <w:t>十七、木材加工和木、竹、藤、棕、草制品业20</w:t>
            </w:r>
            <w:r>
              <w:rPr>
                <w:rFonts w:hint="eastAsia"/>
                <w:color w:val="auto"/>
                <w:sz w:val="24"/>
                <w:lang w:val="en-US" w:eastAsia="zh-CN"/>
              </w:rPr>
              <w:t>、35竹、藤、棕、草等制品制造204</w:t>
            </w:r>
          </w:p>
        </w:tc>
      </w:tr>
      <w:tr>
        <w:tblPrEx>
          <w:tblW w:w="10105" w:type="dxa"/>
          <w:jc w:val="center"/>
          <w:tblInd w:w="-92" w:type="dxa"/>
          <w:tblLayout w:type="fixed"/>
          <w:tblCellMar>
            <w:top w:w="0" w:type="dxa"/>
            <w:left w:w="0" w:type="dxa"/>
            <w:bottom w:w="0" w:type="dxa"/>
            <w:right w:w="0" w:type="dxa"/>
          </w:tblCellMar>
          <w:tblLook w:val="0000"/>
        </w:tblPrEx>
        <w:trPr>
          <w:trHeight w:val="1219"/>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建设性质</w:t>
            </w:r>
          </w:p>
        </w:tc>
        <w:tc>
          <w:tcPr>
            <w:tcW w:w="2486" w:type="dxa"/>
            <w:vAlign w:val="center"/>
          </w:tcPr>
          <w:p>
            <w:pPr>
              <w:jc w:val="left"/>
              <w:rPr>
                <w:color w:val="auto"/>
                <w:sz w:val="24"/>
              </w:rPr>
            </w:pPr>
            <w:r>
              <w:rPr>
                <w:rFonts w:ascii="Segoe UI Symbol" w:hAnsi="Segoe UI Symbol" w:cs="Segoe UI Symbol" w:hint="eastAsia"/>
                <w:color w:val="auto"/>
                <w:sz w:val="24"/>
                <w:lang w:eastAsia="zh-CN"/>
              </w:rPr>
              <w:t>□</w:t>
            </w:r>
            <w:r>
              <w:rPr>
                <w:color w:val="auto"/>
                <w:sz w:val="24"/>
              </w:rPr>
              <w:t>新建（迁建）</w:t>
            </w:r>
          </w:p>
          <w:p>
            <w:pPr>
              <w:jc w:val="left"/>
              <w:rPr>
                <w:color w:val="auto"/>
                <w:sz w:val="24"/>
              </w:rPr>
            </w:pPr>
            <w:r>
              <w:rPr>
                <w:rFonts w:hint="eastAsia"/>
                <w:color w:val="auto"/>
                <w:sz w:val="24"/>
                <w:lang w:eastAsia="zh-CN"/>
              </w:rPr>
              <w:t>☑</w:t>
            </w:r>
            <w:r>
              <w:rPr>
                <w:color w:val="auto"/>
                <w:sz w:val="24"/>
              </w:rPr>
              <w:t>改建</w:t>
            </w:r>
          </w:p>
          <w:p>
            <w:pPr>
              <w:jc w:val="left"/>
              <w:rPr>
                <w:color w:val="auto"/>
                <w:sz w:val="24"/>
              </w:rPr>
            </w:pPr>
            <w:r>
              <w:rPr>
                <w:rFonts w:hint="eastAsia"/>
                <w:color w:val="auto"/>
                <w:sz w:val="24"/>
                <w:lang w:eastAsia="zh-CN"/>
              </w:rPr>
              <w:t>□</w:t>
            </w:r>
            <w:r>
              <w:rPr>
                <w:color w:val="auto"/>
                <w:sz w:val="24"/>
              </w:rPr>
              <w:t>扩建</w:t>
            </w:r>
          </w:p>
          <w:p>
            <w:pPr>
              <w:jc w:val="left"/>
              <w:rPr>
                <w:color w:val="auto"/>
                <w:sz w:val="24"/>
              </w:rPr>
            </w:pPr>
            <w:r>
              <w:rPr>
                <w:rFonts w:hint="eastAsia"/>
                <w:color w:val="auto"/>
                <w:sz w:val="24"/>
                <w:lang w:eastAsia="zh-CN"/>
              </w:rPr>
              <w:t>□</w:t>
            </w:r>
            <w:r>
              <w:rPr>
                <w:color w:val="auto"/>
                <w:sz w:val="24"/>
              </w:rPr>
              <w:t>技术改造</w:t>
            </w:r>
          </w:p>
        </w:tc>
        <w:tc>
          <w:tcPr>
            <w:tcW w:w="2212" w:type="dxa"/>
            <w:vAlign w:val="center"/>
          </w:tcPr>
          <w:p>
            <w:pPr>
              <w:adjustRightInd w:val="0"/>
              <w:snapToGrid w:val="0"/>
              <w:jc w:val="center"/>
              <w:rPr>
                <w:color w:val="auto"/>
                <w:sz w:val="24"/>
              </w:rPr>
            </w:pPr>
            <w:r>
              <w:rPr>
                <w:color w:val="auto"/>
                <w:sz w:val="24"/>
              </w:rPr>
              <w:t>建设项目</w:t>
            </w:r>
          </w:p>
          <w:p>
            <w:pPr>
              <w:adjustRightInd w:val="0"/>
              <w:snapToGrid w:val="0"/>
              <w:jc w:val="center"/>
              <w:rPr>
                <w:color w:val="auto"/>
                <w:sz w:val="24"/>
              </w:rPr>
            </w:pPr>
            <w:r>
              <w:rPr>
                <w:color w:val="auto"/>
                <w:sz w:val="24"/>
              </w:rPr>
              <w:t>申报情形</w:t>
            </w:r>
          </w:p>
        </w:tc>
        <w:tc>
          <w:tcPr>
            <w:tcW w:w="3874" w:type="dxa"/>
            <w:vAlign w:val="center"/>
          </w:tcPr>
          <w:p>
            <w:pPr>
              <w:jc w:val="left"/>
              <w:rPr>
                <w:color w:val="auto"/>
                <w:sz w:val="24"/>
              </w:rPr>
            </w:pPr>
            <w:r>
              <w:rPr>
                <w:rFonts w:ascii="Segoe UI Symbol" w:hAnsi="Segoe UI Symbol" w:cs="Segoe UI Symbol" w:hint="eastAsia"/>
                <w:color w:val="auto"/>
                <w:sz w:val="24"/>
                <w:lang w:eastAsia="zh-CN"/>
              </w:rPr>
              <w:t>☑</w:t>
            </w:r>
            <w:r>
              <w:rPr>
                <w:color w:val="auto"/>
                <w:sz w:val="24"/>
              </w:rPr>
              <w:t xml:space="preserve">首次申报项目             </w:t>
            </w:r>
          </w:p>
          <w:p>
            <w:pPr>
              <w:jc w:val="left"/>
              <w:rPr>
                <w:color w:val="auto"/>
                <w:sz w:val="24"/>
              </w:rPr>
            </w:pPr>
            <w:r>
              <w:rPr>
                <w:rFonts w:hint="eastAsia"/>
                <w:color w:val="auto"/>
                <w:sz w:val="24"/>
                <w:lang w:eastAsia="zh-CN"/>
              </w:rPr>
              <w:t>□</w:t>
            </w:r>
            <w:r>
              <w:rPr>
                <w:color w:val="auto"/>
                <w:sz w:val="24"/>
              </w:rPr>
              <w:t>不予批准后再次申报项目</w:t>
            </w:r>
          </w:p>
          <w:p>
            <w:pPr>
              <w:jc w:val="left"/>
              <w:rPr>
                <w:color w:val="auto"/>
                <w:sz w:val="24"/>
              </w:rPr>
            </w:pPr>
            <w:r>
              <w:rPr>
                <w:rFonts w:hint="eastAsia"/>
                <w:color w:val="auto"/>
                <w:sz w:val="24"/>
                <w:lang w:eastAsia="zh-CN"/>
              </w:rPr>
              <w:t>□</w:t>
            </w:r>
            <w:r>
              <w:rPr>
                <w:color w:val="auto"/>
                <w:sz w:val="24"/>
              </w:rPr>
              <w:t xml:space="preserve">超五年重新审核项目 </w:t>
            </w:r>
          </w:p>
          <w:p>
            <w:pPr>
              <w:jc w:val="left"/>
              <w:rPr>
                <w:color w:val="auto"/>
                <w:sz w:val="24"/>
              </w:rPr>
            </w:pPr>
            <w:r>
              <w:rPr>
                <w:rFonts w:hint="eastAsia"/>
                <w:color w:val="auto"/>
                <w:sz w:val="24"/>
                <w:lang w:eastAsia="zh-CN"/>
              </w:rPr>
              <w:t>□</w:t>
            </w:r>
            <w:r>
              <w:rPr>
                <w:color w:val="auto"/>
                <w:sz w:val="24"/>
              </w:rPr>
              <w:t>重大变动重新报批项目</w:t>
            </w:r>
          </w:p>
        </w:tc>
      </w:tr>
      <w:tr>
        <w:tblPrEx>
          <w:tblW w:w="10105" w:type="dxa"/>
          <w:jc w:val="center"/>
          <w:tblInd w:w="-92" w:type="dxa"/>
          <w:tblLayout w:type="fixed"/>
          <w:tblCellMar>
            <w:top w:w="0" w:type="dxa"/>
            <w:left w:w="0" w:type="dxa"/>
            <w:bottom w:w="0" w:type="dxa"/>
            <w:right w:w="0" w:type="dxa"/>
          </w:tblCellMar>
          <w:tblLook w:val="0000"/>
        </w:tblPrEx>
        <w:trPr>
          <w:trHeight w:val="851"/>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项目审批（核准/备案）部门（选填）</w:t>
            </w:r>
          </w:p>
        </w:tc>
        <w:tc>
          <w:tcPr>
            <w:tcW w:w="2486" w:type="dxa"/>
            <w:vAlign w:val="center"/>
          </w:tcPr>
          <w:p>
            <w:pPr>
              <w:adjustRightInd w:val="0"/>
              <w:snapToGrid w:val="0"/>
              <w:jc w:val="center"/>
              <w:rPr>
                <w:rFonts w:eastAsia="宋体" w:hint="eastAsia"/>
                <w:color w:val="auto"/>
                <w:sz w:val="24"/>
              </w:rPr>
            </w:pPr>
            <w:r>
              <w:rPr>
                <w:rFonts w:eastAsia="宋体" w:hint="eastAsia"/>
                <w:color w:val="auto"/>
                <w:sz w:val="24"/>
                <w:lang w:val="en-US" w:eastAsia="zh-CN"/>
              </w:rPr>
              <w:t>高邮市行政审批局</w:t>
            </w:r>
          </w:p>
        </w:tc>
        <w:tc>
          <w:tcPr>
            <w:tcW w:w="2212" w:type="dxa"/>
            <w:vAlign w:val="center"/>
          </w:tcPr>
          <w:p>
            <w:pPr>
              <w:adjustRightInd w:val="0"/>
              <w:snapToGrid w:val="0"/>
              <w:jc w:val="center"/>
              <w:rPr>
                <w:color w:val="auto"/>
                <w:sz w:val="24"/>
              </w:rPr>
            </w:pPr>
            <w:r>
              <w:rPr>
                <w:color w:val="auto"/>
                <w:sz w:val="24"/>
              </w:rPr>
              <w:t>项目审批（核准/</w:t>
            </w:r>
          </w:p>
          <w:p>
            <w:pPr>
              <w:adjustRightInd w:val="0"/>
              <w:snapToGrid w:val="0"/>
              <w:jc w:val="center"/>
              <w:rPr>
                <w:color w:val="auto"/>
                <w:sz w:val="24"/>
              </w:rPr>
            </w:pPr>
            <w:r>
              <w:rPr>
                <w:color w:val="auto"/>
                <w:sz w:val="24"/>
              </w:rPr>
              <w:t>备案）文号（选填）</w:t>
            </w:r>
          </w:p>
        </w:tc>
        <w:tc>
          <w:tcPr>
            <w:tcW w:w="3874" w:type="dxa"/>
            <w:vAlign w:val="center"/>
          </w:tcPr>
          <w:p>
            <w:pPr>
              <w:adjustRightInd w:val="0"/>
              <w:snapToGrid w:val="0"/>
              <w:jc w:val="center"/>
              <w:rPr>
                <w:rFonts w:eastAsia="宋体" w:hint="default"/>
                <w:color w:val="auto"/>
                <w:sz w:val="24"/>
              </w:rPr>
            </w:pPr>
            <w:r>
              <w:rPr>
                <w:rFonts w:eastAsia="宋体" w:hint="default"/>
                <w:color w:val="auto"/>
                <w:sz w:val="24"/>
                <w:lang w:val="en-US" w:eastAsia="zh-CN"/>
              </w:rPr>
              <w:t>邮行审投资备〔2023〕884号</w:t>
            </w:r>
          </w:p>
        </w:tc>
      </w:tr>
      <w:tr>
        <w:tblPrEx>
          <w:tblW w:w="10105" w:type="dxa"/>
          <w:jc w:val="center"/>
          <w:tblInd w:w="-92" w:type="dxa"/>
          <w:tblLayout w:type="fixed"/>
          <w:tblCellMar>
            <w:top w:w="0" w:type="dxa"/>
            <w:left w:w="0" w:type="dxa"/>
            <w:bottom w:w="0" w:type="dxa"/>
            <w:right w:w="0" w:type="dxa"/>
          </w:tblCellMar>
          <w:tblLook w:val="0000"/>
        </w:tblPrEx>
        <w:trPr>
          <w:trHeight w:val="497"/>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总投资（万元）</w:t>
            </w:r>
          </w:p>
        </w:tc>
        <w:tc>
          <w:tcPr>
            <w:tcW w:w="2486" w:type="dxa"/>
            <w:vAlign w:val="center"/>
          </w:tcPr>
          <w:p>
            <w:pPr>
              <w:adjustRightInd w:val="0"/>
              <w:snapToGrid w:val="0"/>
              <w:jc w:val="center"/>
              <w:rPr>
                <w:rFonts w:eastAsia="宋体" w:hint="default"/>
                <w:color w:val="auto"/>
                <w:sz w:val="24"/>
              </w:rPr>
            </w:pPr>
            <w:r>
              <w:rPr>
                <w:rFonts w:eastAsia="宋体" w:hint="eastAsia"/>
                <w:color w:val="auto"/>
                <w:sz w:val="24"/>
                <w:lang w:val="en-US" w:eastAsia="zh-CN"/>
              </w:rPr>
              <w:t>596.6</w:t>
            </w:r>
          </w:p>
        </w:tc>
        <w:tc>
          <w:tcPr>
            <w:tcW w:w="2212" w:type="dxa"/>
            <w:tcMar>
              <w:top w:w="16" w:type="dxa"/>
              <w:left w:w="16" w:type="dxa"/>
              <w:right w:w="16" w:type="dxa"/>
            </w:tcMar>
            <w:vAlign w:val="center"/>
          </w:tcPr>
          <w:p>
            <w:pPr>
              <w:adjustRightInd w:val="0"/>
              <w:snapToGrid w:val="0"/>
              <w:jc w:val="center"/>
              <w:rPr>
                <w:color w:val="auto"/>
                <w:sz w:val="24"/>
              </w:rPr>
            </w:pPr>
            <w:r>
              <w:rPr>
                <w:color w:val="auto"/>
                <w:sz w:val="24"/>
              </w:rPr>
              <w:t>环保投资（万元）</w:t>
            </w:r>
          </w:p>
        </w:tc>
        <w:tc>
          <w:tcPr>
            <w:tcW w:w="3874" w:type="dxa"/>
            <w:vAlign w:val="center"/>
          </w:tcPr>
          <w:p>
            <w:pPr>
              <w:adjustRightInd w:val="0"/>
              <w:snapToGrid w:val="0"/>
              <w:jc w:val="center"/>
              <w:rPr>
                <w:rFonts w:eastAsia="宋体" w:hint="default"/>
                <w:color w:val="auto"/>
                <w:sz w:val="24"/>
              </w:rPr>
            </w:pPr>
            <w:r>
              <w:rPr>
                <w:rFonts w:hint="eastAsia"/>
                <w:color w:val="auto"/>
                <w:sz w:val="24"/>
                <w:lang w:val="en-US" w:eastAsia="zh-CN"/>
              </w:rPr>
              <w:t>20</w:t>
            </w:r>
          </w:p>
        </w:tc>
      </w:tr>
      <w:tr>
        <w:tblPrEx>
          <w:tblW w:w="10105" w:type="dxa"/>
          <w:jc w:val="center"/>
          <w:tblInd w:w="-92" w:type="dxa"/>
          <w:tblLayout w:type="fixed"/>
          <w:tblCellMar>
            <w:top w:w="0" w:type="dxa"/>
            <w:left w:w="0" w:type="dxa"/>
            <w:bottom w:w="0" w:type="dxa"/>
            <w:right w:w="0" w:type="dxa"/>
          </w:tblCellMar>
          <w:tblLook w:val="0000"/>
        </w:tblPrEx>
        <w:trPr>
          <w:trHeight w:val="497"/>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环保投资占比（%）</w:t>
            </w:r>
          </w:p>
        </w:tc>
        <w:tc>
          <w:tcPr>
            <w:tcW w:w="2486" w:type="dxa"/>
            <w:vAlign w:val="center"/>
          </w:tcPr>
          <w:p>
            <w:pPr>
              <w:adjustRightInd w:val="0"/>
              <w:snapToGrid w:val="0"/>
              <w:jc w:val="center"/>
              <w:rPr>
                <w:rFonts w:eastAsia="宋体" w:hint="default"/>
                <w:color w:val="auto"/>
                <w:sz w:val="24"/>
              </w:rPr>
            </w:pPr>
            <w:r>
              <w:rPr>
                <w:rFonts w:eastAsia="宋体" w:hint="eastAsia"/>
                <w:color w:val="auto"/>
                <w:sz w:val="24"/>
                <w:lang w:val="en-US" w:eastAsia="zh-CN"/>
              </w:rPr>
              <w:t>3.35</w:t>
            </w:r>
          </w:p>
        </w:tc>
        <w:tc>
          <w:tcPr>
            <w:tcW w:w="2212" w:type="dxa"/>
            <w:tcMar>
              <w:top w:w="16" w:type="dxa"/>
              <w:left w:w="16" w:type="dxa"/>
              <w:right w:w="16" w:type="dxa"/>
            </w:tcMar>
            <w:vAlign w:val="center"/>
          </w:tcPr>
          <w:p>
            <w:pPr>
              <w:adjustRightInd w:val="0"/>
              <w:snapToGrid w:val="0"/>
              <w:jc w:val="center"/>
              <w:rPr>
                <w:color w:val="auto"/>
                <w:sz w:val="24"/>
              </w:rPr>
            </w:pPr>
            <w:r>
              <w:rPr>
                <w:color w:val="auto"/>
                <w:sz w:val="24"/>
              </w:rPr>
              <w:t>施工工期</w:t>
            </w:r>
          </w:p>
        </w:tc>
        <w:tc>
          <w:tcPr>
            <w:tcW w:w="3874" w:type="dxa"/>
            <w:vAlign w:val="center"/>
          </w:tcPr>
          <w:p>
            <w:pPr>
              <w:adjustRightInd w:val="0"/>
              <w:snapToGrid w:val="0"/>
              <w:jc w:val="center"/>
              <w:rPr>
                <w:color w:val="auto"/>
                <w:sz w:val="24"/>
              </w:rPr>
            </w:pPr>
            <w:r>
              <w:rPr>
                <w:rFonts w:hint="eastAsia"/>
                <w:color w:val="auto"/>
                <w:sz w:val="24"/>
                <w:lang w:val="en-US" w:eastAsia="zh-CN"/>
              </w:rPr>
              <w:t>3</w:t>
            </w:r>
            <w:r>
              <w:rPr>
                <w:color w:val="auto"/>
                <w:sz w:val="24"/>
              </w:rPr>
              <w:t>个月</w:t>
            </w:r>
          </w:p>
        </w:tc>
      </w:tr>
      <w:tr>
        <w:tblPrEx>
          <w:tblW w:w="10105" w:type="dxa"/>
          <w:jc w:val="center"/>
          <w:tblInd w:w="-92" w:type="dxa"/>
          <w:tblLayout w:type="fixed"/>
          <w:tblCellMar>
            <w:top w:w="0" w:type="dxa"/>
            <w:left w:w="0" w:type="dxa"/>
            <w:bottom w:w="0" w:type="dxa"/>
            <w:right w:w="0" w:type="dxa"/>
          </w:tblCellMar>
          <w:tblLook w:val="0000"/>
        </w:tblPrEx>
        <w:trPr>
          <w:trHeight w:val="497"/>
          <w:jc w:val="center"/>
        </w:trPr>
        <w:tc>
          <w:tcPr>
            <w:tcW w:w="1533" w:type="dxa"/>
            <w:tcMar>
              <w:top w:w="16" w:type="dxa"/>
              <w:left w:w="16" w:type="dxa"/>
              <w:right w:w="16" w:type="dxa"/>
            </w:tcMar>
            <w:vAlign w:val="center"/>
          </w:tcPr>
          <w:p>
            <w:pPr>
              <w:adjustRightInd w:val="0"/>
              <w:snapToGrid w:val="0"/>
              <w:jc w:val="center"/>
              <w:rPr>
                <w:color w:val="auto"/>
                <w:sz w:val="24"/>
              </w:rPr>
            </w:pPr>
            <w:r>
              <w:rPr>
                <w:color w:val="auto"/>
                <w:sz w:val="24"/>
              </w:rPr>
              <w:t>是否开工建设</w:t>
            </w:r>
          </w:p>
        </w:tc>
        <w:tc>
          <w:tcPr>
            <w:tcW w:w="2486" w:type="dxa"/>
            <w:vAlign w:val="center"/>
          </w:tcPr>
          <w:p>
            <w:pPr>
              <w:adjustRightInd w:val="0"/>
              <w:snapToGrid w:val="0"/>
              <w:rPr>
                <w:rFonts w:eastAsia="宋体" w:hint="eastAsia"/>
                <w:color w:val="auto"/>
                <w:sz w:val="24"/>
              </w:rPr>
            </w:pPr>
            <w:r>
              <w:rPr>
                <w:rFonts w:ascii="Segoe UI Symbol" w:hAnsi="Segoe UI Symbol" w:cs="Segoe UI Symbol" w:hint="eastAsia"/>
                <w:color w:val="auto"/>
                <w:sz w:val="24"/>
                <w:lang w:eastAsia="zh-CN"/>
              </w:rPr>
              <w:t>☑</w:t>
            </w:r>
            <w:r>
              <w:rPr>
                <w:color w:val="auto"/>
                <w:sz w:val="24"/>
              </w:rPr>
              <w:t>否</w:t>
            </w:r>
            <w:r>
              <w:rPr>
                <w:rFonts w:hint="eastAsia"/>
                <w:color w:val="auto"/>
                <w:sz w:val="24"/>
                <w:lang w:eastAsia="zh-CN"/>
              </w:rPr>
              <w:t>：</w:t>
            </w:r>
            <w:r>
              <w:rPr>
                <w:color w:val="auto"/>
                <w:sz w:val="24"/>
                <w:u w:val="single"/>
              </w:rPr>
              <w:t xml:space="preserve"> </w:t>
            </w:r>
            <w:r>
              <w:rPr>
                <w:rFonts w:hint="eastAsia"/>
                <w:color w:val="auto"/>
                <w:sz w:val="24"/>
                <w:u w:val="single"/>
                <w:lang w:val="en-US" w:eastAsia="zh-CN"/>
              </w:rPr>
              <w:t xml:space="preserve">    </w:t>
            </w:r>
            <w:r>
              <w:rPr>
                <w:color w:val="auto"/>
                <w:sz w:val="24"/>
                <w:u w:val="single"/>
              </w:rPr>
              <w:t xml:space="preserve"> </w:t>
            </w:r>
          </w:p>
          <w:p>
            <w:pPr>
              <w:adjustRightInd w:val="0"/>
              <w:snapToGrid w:val="0"/>
              <w:rPr>
                <w:color w:val="auto"/>
                <w:sz w:val="24"/>
              </w:rPr>
            </w:pPr>
            <w:r>
              <w:rPr>
                <w:rFonts w:hint="eastAsia"/>
                <w:color w:val="auto"/>
                <w:sz w:val="24"/>
                <w:lang w:eastAsia="zh-CN"/>
              </w:rPr>
              <w:t>□</w:t>
            </w:r>
            <w:r>
              <w:rPr>
                <w:color w:val="auto"/>
                <w:sz w:val="24"/>
              </w:rPr>
              <w:t>是：</w:t>
            </w:r>
            <w:r>
              <w:rPr>
                <w:color w:val="auto"/>
                <w:sz w:val="24"/>
                <w:u w:val="single"/>
              </w:rPr>
              <w:t xml:space="preserve"> </w:t>
            </w:r>
            <w:r>
              <w:rPr>
                <w:rFonts w:hint="eastAsia"/>
                <w:color w:val="auto"/>
                <w:sz w:val="24"/>
                <w:u w:val="single"/>
                <w:lang w:val="en-US" w:eastAsia="zh-CN"/>
              </w:rPr>
              <w:t xml:space="preserve">    </w:t>
            </w:r>
            <w:r>
              <w:rPr>
                <w:color w:val="auto"/>
                <w:sz w:val="24"/>
                <w:u w:val="single"/>
              </w:rPr>
              <w:t xml:space="preserve"> </w:t>
            </w:r>
          </w:p>
        </w:tc>
        <w:tc>
          <w:tcPr>
            <w:tcW w:w="2212" w:type="dxa"/>
            <w:tcMar>
              <w:top w:w="16" w:type="dxa"/>
              <w:left w:w="16" w:type="dxa"/>
              <w:right w:w="16" w:type="dxa"/>
            </w:tcMar>
            <w:vAlign w:val="center"/>
          </w:tcPr>
          <w:p>
            <w:pPr>
              <w:adjustRightInd w:val="0"/>
              <w:snapToGrid w:val="0"/>
              <w:jc w:val="center"/>
              <w:rPr>
                <w:color w:val="auto"/>
                <w:spacing w:val="-6"/>
                <w:sz w:val="24"/>
              </w:rPr>
            </w:pPr>
            <w:r>
              <w:rPr>
                <w:color w:val="auto"/>
                <w:spacing w:val="-6"/>
                <w:sz w:val="24"/>
              </w:rPr>
              <w:t>用地（用海）</w:t>
            </w:r>
          </w:p>
          <w:p>
            <w:pPr>
              <w:adjustRightInd w:val="0"/>
              <w:snapToGrid w:val="0"/>
              <w:jc w:val="center"/>
              <w:rPr>
                <w:color w:val="auto"/>
                <w:sz w:val="24"/>
              </w:rPr>
            </w:pPr>
            <w:r>
              <w:rPr>
                <w:color w:val="auto"/>
                <w:spacing w:val="-6"/>
                <w:sz w:val="24"/>
              </w:rPr>
              <w:t>面积（m</w:t>
            </w:r>
            <w:r>
              <w:rPr>
                <w:color w:val="auto"/>
                <w:spacing w:val="-6"/>
                <w:sz w:val="24"/>
                <w:vertAlign w:val="superscript"/>
              </w:rPr>
              <w:t>2</w:t>
            </w:r>
            <w:r>
              <w:rPr>
                <w:color w:val="auto"/>
                <w:spacing w:val="-6"/>
                <w:sz w:val="24"/>
              </w:rPr>
              <w:t>）</w:t>
            </w:r>
          </w:p>
        </w:tc>
        <w:tc>
          <w:tcPr>
            <w:tcW w:w="3874" w:type="dxa"/>
            <w:vAlign w:val="center"/>
          </w:tcPr>
          <w:p>
            <w:pPr>
              <w:adjustRightInd w:val="0"/>
              <w:snapToGrid w:val="0"/>
              <w:jc w:val="center"/>
              <w:rPr>
                <w:rFonts w:eastAsia="宋体" w:hint="default"/>
                <w:color w:val="auto"/>
                <w:sz w:val="24"/>
              </w:rPr>
            </w:pPr>
            <w:r>
              <w:rPr>
                <w:rFonts w:eastAsia="宋体" w:hint="default"/>
                <w:color w:val="auto"/>
                <w:sz w:val="24"/>
                <w:lang w:val="en-US" w:eastAsia="zh-CN"/>
              </w:rPr>
              <w:t>13045.01</w:t>
            </w:r>
          </w:p>
        </w:tc>
      </w:tr>
      <w:tr>
        <w:tblPrEx>
          <w:tblW w:w="10105" w:type="dxa"/>
          <w:jc w:val="center"/>
          <w:tblInd w:w="-92" w:type="dxa"/>
          <w:tblLayout w:type="fixed"/>
          <w:tblCellMar>
            <w:top w:w="0" w:type="dxa"/>
            <w:left w:w="108" w:type="dxa"/>
            <w:bottom w:w="0" w:type="dxa"/>
            <w:right w:w="108" w:type="dxa"/>
          </w:tblCellMar>
          <w:tblLook w:val="0000"/>
        </w:tblPrEx>
        <w:trPr>
          <w:trHeight w:val="651"/>
          <w:jc w:val="center"/>
        </w:trPr>
        <w:tc>
          <w:tcPr>
            <w:tcW w:w="1533" w:type="dxa"/>
            <w:vAlign w:val="center"/>
          </w:tcPr>
          <w:p>
            <w:pPr>
              <w:autoSpaceDE w:val="0"/>
              <w:autoSpaceDN w:val="0"/>
              <w:adjustRightInd w:val="0"/>
              <w:snapToGrid w:val="0"/>
              <w:jc w:val="center"/>
              <w:rPr>
                <w:color w:val="auto"/>
                <w:kern w:val="0"/>
                <w:sz w:val="24"/>
              </w:rPr>
            </w:pPr>
            <w:r>
              <w:rPr>
                <w:color w:val="auto"/>
                <w:kern w:val="0"/>
                <w:sz w:val="24"/>
              </w:rPr>
              <w:t>专项评价设置情况</w:t>
            </w:r>
          </w:p>
        </w:tc>
        <w:tc>
          <w:tcPr>
            <w:tcW w:w="8572" w:type="dxa"/>
            <w:gridSpan w:val="3"/>
            <w:vAlign w:val="center"/>
          </w:tcPr>
          <w:p>
            <w:pPr>
              <w:adjustRightInd w:val="0"/>
              <w:snapToGrid w:val="0"/>
              <w:jc w:val="center"/>
              <w:textAlignment w:val="baseline"/>
              <w:rPr>
                <w:color w:val="auto"/>
                <w:sz w:val="24"/>
              </w:rPr>
            </w:pPr>
            <w:r>
              <w:rPr>
                <w:color w:val="auto"/>
                <w:sz w:val="24"/>
              </w:rPr>
              <w:t>无</w:t>
            </w:r>
          </w:p>
        </w:tc>
      </w:tr>
      <w:tr>
        <w:tblPrEx>
          <w:tblW w:w="10105" w:type="dxa"/>
          <w:jc w:val="center"/>
          <w:tblInd w:w="-92" w:type="dxa"/>
          <w:tblLayout w:type="fixed"/>
          <w:tblCellMar>
            <w:top w:w="0" w:type="dxa"/>
            <w:left w:w="108" w:type="dxa"/>
            <w:bottom w:w="0" w:type="dxa"/>
            <w:right w:w="108" w:type="dxa"/>
          </w:tblCellMar>
          <w:tblLook w:val="0000"/>
        </w:tblPrEx>
        <w:trPr>
          <w:trHeight w:val="671"/>
          <w:jc w:val="center"/>
        </w:trPr>
        <w:tc>
          <w:tcPr>
            <w:tcW w:w="1533" w:type="dxa"/>
            <w:vAlign w:val="center"/>
          </w:tcPr>
          <w:p>
            <w:pPr>
              <w:autoSpaceDE w:val="0"/>
              <w:autoSpaceDN w:val="0"/>
              <w:adjustRightInd w:val="0"/>
              <w:snapToGrid w:val="0"/>
              <w:jc w:val="center"/>
              <w:rPr>
                <w:color w:val="auto"/>
                <w:kern w:val="0"/>
                <w:sz w:val="24"/>
              </w:rPr>
            </w:pPr>
            <w:r>
              <w:rPr>
                <w:color w:val="auto"/>
                <w:sz w:val="24"/>
              </w:rPr>
              <w:t>规划情况</w:t>
            </w:r>
          </w:p>
        </w:tc>
        <w:tc>
          <w:tcPr>
            <w:tcW w:w="8572" w:type="dxa"/>
            <w:gridSpan w:val="3"/>
            <w:vAlign w:val="center"/>
          </w:tcPr>
          <w:p>
            <w:pPr>
              <w:autoSpaceDE w:val="0"/>
              <w:autoSpaceDN w:val="0"/>
              <w:adjustRightInd w:val="0"/>
              <w:snapToGrid w:val="0"/>
              <w:spacing w:line="360" w:lineRule="auto"/>
              <w:rPr>
                <w:color w:val="auto"/>
                <w:sz w:val="24"/>
              </w:rPr>
            </w:pPr>
            <w:r>
              <w:rPr>
                <w:color w:val="auto"/>
                <w:sz w:val="24"/>
                <w:szCs w:val="24"/>
              </w:rPr>
              <w:t>规划名称：《高邮市</w:t>
            </w:r>
            <w:r>
              <w:rPr>
                <w:rFonts w:hint="eastAsia"/>
                <w:color w:val="auto"/>
                <w:sz w:val="24"/>
                <w:szCs w:val="24"/>
              </w:rPr>
              <w:t>城市</w:t>
            </w:r>
            <w:r>
              <w:rPr>
                <w:color w:val="auto"/>
                <w:sz w:val="24"/>
                <w:szCs w:val="24"/>
              </w:rPr>
              <w:t>总体规划》（201</w:t>
            </w:r>
            <w:r>
              <w:rPr>
                <w:rFonts w:hint="eastAsia"/>
                <w:color w:val="auto"/>
                <w:sz w:val="24"/>
                <w:szCs w:val="24"/>
              </w:rPr>
              <w:t>4</w:t>
            </w:r>
            <w:r>
              <w:rPr>
                <w:color w:val="auto"/>
                <w:sz w:val="24"/>
                <w:szCs w:val="24"/>
              </w:rPr>
              <w:t>~2030）</w:t>
            </w:r>
          </w:p>
          <w:p>
            <w:pPr>
              <w:autoSpaceDE w:val="0"/>
              <w:autoSpaceDN w:val="0"/>
              <w:adjustRightInd w:val="0"/>
              <w:snapToGrid w:val="0"/>
              <w:spacing w:line="360" w:lineRule="auto"/>
              <w:rPr>
                <w:rFonts w:hint="eastAsia"/>
                <w:color w:val="auto"/>
                <w:sz w:val="24"/>
              </w:rPr>
            </w:pPr>
            <w:r>
              <w:rPr>
                <w:color w:val="auto"/>
                <w:sz w:val="24"/>
                <w:szCs w:val="24"/>
              </w:rPr>
              <w:t>审批机关：</w:t>
            </w:r>
            <w:r>
              <w:rPr>
                <w:rFonts w:hint="eastAsia"/>
                <w:color w:val="auto"/>
                <w:sz w:val="24"/>
                <w:szCs w:val="24"/>
              </w:rPr>
              <w:t>江苏省人民政府</w:t>
            </w:r>
          </w:p>
          <w:p>
            <w:pPr>
              <w:keepNext w:val="0"/>
              <w:keepLines w:val="0"/>
              <w:pageBreakBefore w:val="0"/>
              <w:widowControl w:val="0"/>
              <w:kinsoku/>
              <w:wordWrap/>
              <w:overflowPunct/>
              <w:topLinePunct w:val="0"/>
              <w:autoSpaceDE/>
              <w:autoSpaceDN/>
              <w:bidi w:val="0"/>
              <w:adjustRightInd/>
              <w:snapToGrid/>
              <w:spacing w:line="360" w:lineRule="auto"/>
              <w:textAlignment w:val="baseline"/>
              <w:rPr>
                <w:color w:val="auto"/>
                <w:sz w:val="24"/>
              </w:rPr>
            </w:pPr>
            <w:r>
              <w:rPr>
                <w:color w:val="auto"/>
                <w:sz w:val="24"/>
                <w:szCs w:val="24"/>
              </w:rPr>
              <w:t>审批文件名称及文号：《省政府关于高邮市城市总体规划的批复》（苏政复</w:t>
            </w:r>
            <w:r>
              <w:rPr>
                <w:rFonts w:hint="eastAsia"/>
                <w:color w:val="auto"/>
                <w:sz w:val="24"/>
                <w:szCs w:val="24"/>
                <w:lang w:val="en-US" w:eastAsia="zh-CN"/>
              </w:rPr>
              <w:t>[</w:t>
            </w:r>
            <w:r>
              <w:rPr>
                <w:color w:val="auto"/>
                <w:sz w:val="24"/>
                <w:szCs w:val="24"/>
              </w:rPr>
              <w:t>2016</w:t>
            </w:r>
            <w:r>
              <w:rPr>
                <w:rFonts w:hint="eastAsia"/>
                <w:color w:val="auto"/>
                <w:sz w:val="24"/>
                <w:szCs w:val="24"/>
                <w:lang w:val="en-US" w:eastAsia="zh-CN"/>
              </w:rPr>
              <w:t>]</w:t>
            </w:r>
            <w:r>
              <w:rPr>
                <w:color w:val="auto"/>
                <w:sz w:val="24"/>
                <w:szCs w:val="24"/>
              </w:rPr>
              <w:t>8号）</w:t>
            </w:r>
          </w:p>
        </w:tc>
      </w:tr>
      <w:tr>
        <w:tblPrEx>
          <w:tblW w:w="10105" w:type="dxa"/>
          <w:jc w:val="center"/>
          <w:tblInd w:w="-92" w:type="dxa"/>
          <w:tblLayout w:type="fixed"/>
          <w:tblCellMar>
            <w:top w:w="0" w:type="dxa"/>
            <w:left w:w="108" w:type="dxa"/>
            <w:bottom w:w="0" w:type="dxa"/>
            <w:right w:w="108" w:type="dxa"/>
          </w:tblCellMar>
          <w:tblLook w:val="0000"/>
        </w:tblPrEx>
        <w:trPr>
          <w:trHeight w:val="1046"/>
          <w:jc w:val="center"/>
        </w:trPr>
        <w:tc>
          <w:tcPr>
            <w:tcW w:w="1533" w:type="dxa"/>
            <w:vAlign w:val="center"/>
          </w:tcPr>
          <w:p>
            <w:pPr>
              <w:adjustRightInd w:val="0"/>
              <w:snapToGrid w:val="0"/>
              <w:jc w:val="center"/>
              <w:rPr>
                <w:color w:val="auto"/>
                <w:kern w:val="0"/>
                <w:sz w:val="24"/>
              </w:rPr>
            </w:pPr>
            <w:r>
              <w:rPr>
                <w:color w:val="auto"/>
                <w:sz w:val="24"/>
              </w:rPr>
              <w:t>规划环境影响评价情况</w:t>
            </w:r>
          </w:p>
        </w:tc>
        <w:tc>
          <w:tcPr>
            <w:tcW w:w="8572" w:type="dxa"/>
            <w:gridSpan w:val="3"/>
            <w:vAlign w:val="center"/>
          </w:tcPr>
          <w:p>
            <w:pPr>
              <w:jc w:val="center"/>
              <w:rPr>
                <w:rFonts w:hint="eastAsia"/>
                <w:color w:val="auto"/>
              </w:rPr>
            </w:pPr>
            <w:r>
              <w:rPr>
                <w:rFonts w:ascii="Times New Roman" w:hAnsi="Times New Roman" w:cs="Times New Roman" w:hint="eastAsia"/>
                <w:color w:val="auto"/>
                <w:lang w:val="en-US" w:eastAsia="zh-CN"/>
              </w:rPr>
              <w:t>/</w:t>
            </w:r>
          </w:p>
        </w:tc>
      </w:tr>
      <w:tr>
        <w:tblPrEx>
          <w:tblW w:w="10105" w:type="dxa"/>
          <w:jc w:val="center"/>
          <w:tblInd w:w="-92" w:type="dxa"/>
          <w:tblLayout w:type="fixed"/>
          <w:tblCellMar>
            <w:top w:w="0" w:type="dxa"/>
            <w:left w:w="108" w:type="dxa"/>
            <w:bottom w:w="0" w:type="dxa"/>
            <w:right w:w="108" w:type="dxa"/>
          </w:tblCellMar>
          <w:tblLook w:val="0000"/>
        </w:tblPrEx>
        <w:trPr>
          <w:trHeight w:val="816"/>
          <w:jc w:val="center"/>
        </w:trPr>
        <w:tc>
          <w:tcPr>
            <w:tcW w:w="1533" w:type="dxa"/>
            <w:vAlign w:val="center"/>
          </w:tcPr>
          <w:p>
            <w:pPr>
              <w:autoSpaceDE w:val="0"/>
              <w:autoSpaceDN w:val="0"/>
              <w:adjustRightInd w:val="0"/>
              <w:snapToGrid w:val="0"/>
              <w:jc w:val="center"/>
              <w:rPr>
                <w:color w:val="auto"/>
                <w:kern w:val="0"/>
                <w:sz w:val="24"/>
              </w:rPr>
            </w:pPr>
            <w:r>
              <w:rPr>
                <w:color w:val="auto"/>
                <w:kern w:val="0"/>
                <w:sz w:val="24"/>
              </w:rPr>
              <w:t>规划及规划环境影响评价符合性分析</w:t>
            </w:r>
          </w:p>
        </w:tc>
        <w:tc>
          <w:tcPr>
            <w:tcW w:w="8572" w:type="dxa"/>
            <w:gridSpan w:val="3"/>
            <w:vAlign w:val="center"/>
          </w:tcPr>
          <w:p>
            <w:pPr>
              <w:pStyle w:val="NormalIndent"/>
              <w:spacing w:line="360" w:lineRule="auto"/>
              <w:ind w:firstLine="480"/>
              <w:rPr>
                <w:color w:val="auto"/>
                <w:sz w:val="24"/>
              </w:rPr>
            </w:pPr>
            <w:r>
              <w:rPr>
                <w:rFonts w:ascii="Times New Roman" w:eastAsia="宋体" w:hAnsi="Times New Roman" w:cs="Times New Roman" w:hint="default"/>
                <w:color w:val="auto"/>
                <w:sz w:val="24"/>
                <w:lang w:val="en-US" w:eastAsia="zh-CN"/>
              </w:rPr>
              <w:t>本项目位于</w:t>
            </w:r>
            <w:r>
              <w:rPr>
                <w:rFonts w:ascii="Times New Roman" w:eastAsia="宋体" w:hAnsi="Times New Roman" w:cs="Times New Roman" w:hint="eastAsia"/>
                <w:color w:val="auto"/>
                <w:sz w:val="24"/>
                <w:lang w:val="en-US" w:eastAsia="zh-CN"/>
              </w:rPr>
              <w:t>高邮市车逻镇太丰村</w:t>
            </w:r>
            <w:r>
              <w:rPr>
                <w:rFonts w:ascii="Times New Roman" w:eastAsia="宋体" w:hAnsi="Times New Roman" w:cs="Times New Roman" w:hint="default"/>
                <w:color w:val="auto"/>
                <w:sz w:val="24"/>
                <w:lang w:val="en-US" w:eastAsia="zh-CN"/>
              </w:rPr>
              <w:t>，用地性质为工业用地，符合《高邮市城市总体规划》</w:t>
            </w:r>
            <w:r>
              <w:rPr>
                <w:color w:val="auto"/>
                <w:sz w:val="24"/>
                <w:szCs w:val="24"/>
              </w:rPr>
              <w:t>（201</w:t>
            </w:r>
            <w:r>
              <w:rPr>
                <w:rFonts w:hint="eastAsia"/>
                <w:color w:val="auto"/>
                <w:sz w:val="24"/>
                <w:szCs w:val="24"/>
              </w:rPr>
              <w:t>4</w:t>
            </w:r>
            <w:r>
              <w:rPr>
                <w:color w:val="auto"/>
                <w:sz w:val="24"/>
                <w:szCs w:val="24"/>
              </w:rPr>
              <w:t>~2030）</w:t>
            </w:r>
            <w:r>
              <w:rPr>
                <w:rFonts w:ascii="Times New Roman" w:eastAsia="宋体" w:hAnsi="Times New Roman" w:cs="Times New Roman" w:hint="default"/>
                <w:color w:val="auto"/>
                <w:sz w:val="24"/>
                <w:lang w:val="en-US" w:eastAsia="zh-CN"/>
              </w:rPr>
              <w:t>规划要求。</w:t>
            </w:r>
          </w:p>
        </w:tc>
      </w:tr>
    </w:tbl>
    <w:p>
      <w:pPr>
        <w:sectPr>
          <w:footerReference w:type="default" r:id="rId4"/>
          <w:pgSz w:w="11906" w:h="16838"/>
          <w:pgMar w:top="1440" w:right="1080" w:bottom="1440" w:left="1080" w:header="851" w:footer="1077" w:gutter="0"/>
          <w:pgBorders w:zOrder="front" w:display="allPages" w:offsetFrom="text">
            <w:top w:val="none" w:sz="0" w:space="0" w:color="auto"/>
            <w:left w:val="none" w:sz="0" w:space="0" w:color="auto"/>
            <w:bottom w:val="none" w:sz="0" w:space="0" w:color="auto"/>
            <w:right w:val="none" w:sz="0" w:space="0" w:color="auto"/>
          </w:pgBorders>
          <w:pgNumType w:start="1"/>
          <w:cols w:space="708"/>
          <w:docGrid w:linePitch="312"/>
        </w:sectPr>
      </w:pPr>
    </w:p>
    <w:tbl>
      <w:tblPr>
        <w:tblStyle w:val="TableNormal"/>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33"/>
        <w:gridCol w:w="8572"/>
      </w:tblGrid>
      <w:tr>
        <w:tblPrEx>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533" w:type="dxa"/>
            <w:vAlign w:val="center"/>
          </w:tcPr>
          <w:p>
            <w:pPr>
              <w:autoSpaceDE w:val="0"/>
              <w:autoSpaceDN w:val="0"/>
              <w:adjustRightInd w:val="0"/>
              <w:snapToGrid w:val="0"/>
              <w:jc w:val="center"/>
              <w:rPr>
                <w:color w:val="auto"/>
                <w:kern w:val="0"/>
                <w:sz w:val="24"/>
              </w:rPr>
            </w:pPr>
            <w:r>
              <w:rPr>
                <w:color w:val="auto"/>
                <w:kern w:val="0"/>
                <w:sz w:val="24"/>
              </w:rPr>
              <w:t>其他符合性分析</w:t>
            </w:r>
          </w:p>
        </w:tc>
        <w:tc>
          <w:tcPr>
            <w:tcW w:w="8572"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宋体" w:hAnsi="Times New Roman" w:cs="Times New Roman" w:hint="default"/>
                <w:b/>
                <w:bCs/>
                <w:color w:val="auto"/>
                <w:sz w:val="24"/>
              </w:rPr>
            </w:pPr>
            <w:r>
              <w:rPr>
                <w:rFonts w:ascii="Times New Roman" w:eastAsia="宋体" w:hAnsi="Times New Roman" w:cs="Times New Roman" w:hint="eastAsia"/>
                <w:b/>
                <w:bCs/>
                <w:color w:val="auto"/>
                <w:sz w:val="24"/>
                <w:szCs w:val="24"/>
                <w:lang w:val="en-US" w:eastAsia="zh-CN"/>
              </w:rPr>
              <w:t>1、</w:t>
            </w:r>
            <w:r>
              <w:rPr>
                <w:rFonts w:ascii="Times New Roman" w:eastAsia="宋体" w:hAnsi="Times New Roman" w:cs="Times New Roman" w:hint="default"/>
                <w:b/>
                <w:bCs/>
                <w:color w:val="auto"/>
                <w:sz w:val="24"/>
                <w:szCs w:val="24"/>
                <w:lang w:val="en-US" w:eastAsia="zh-CN"/>
              </w:rPr>
              <w:t>“</w:t>
            </w:r>
            <w:r>
              <w:rPr>
                <w:rFonts w:ascii="Times New Roman" w:eastAsia="宋体" w:hAnsi="Times New Roman" w:cs="Times New Roman" w:hint="default"/>
                <w:b/>
                <w:bCs/>
                <w:color w:val="auto"/>
                <w:sz w:val="24"/>
                <w:szCs w:val="24"/>
                <w:lang w:val="en-US" w:eastAsia="zh-CN"/>
              </w:rPr>
              <w:t>三线一单</w:t>
            </w:r>
            <w:r>
              <w:rPr>
                <w:rFonts w:ascii="Times New Roman" w:eastAsia="宋体" w:hAnsi="Times New Roman" w:cs="Times New Roman" w:hint="default"/>
                <w:b/>
                <w:bCs/>
                <w:color w:val="auto"/>
                <w:sz w:val="24"/>
                <w:szCs w:val="24"/>
                <w:lang w:val="en-US" w:eastAsia="zh-CN"/>
              </w:rPr>
              <w:t>”</w:t>
            </w:r>
            <w:r>
              <w:rPr>
                <w:rFonts w:ascii="Times New Roman" w:eastAsia="宋体" w:hAnsi="Times New Roman" w:cs="Times New Roman" w:hint="default"/>
                <w:b/>
                <w:bCs/>
                <w:color w:val="auto"/>
                <w:sz w:val="24"/>
                <w:szCs w:val="24"/>
                <w:lang w:val="en-US" w:eastAsia="zh-CN"/>
              </w:rPr>
              <w:t>相符性分析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b w:val="0"/>
                <w:bCs w:val="0"/>
                <w:color w:val="auto"/>
                <w:sz w:val="24"/>
              </w:rPr>
            </w:pPr>
            <w:r>
              <w:rPr>
                <w:rFonts w:ascii="Times New Roman" w:eastAsia="宋体" w:hAnsi="Times New Roman" w:cs="Times New Roman" w:hint="default"/>
                <w:b w:val="0"/>
                <w:bCs w:val="0"/>
                <w:color w:val="auto"/>
                <w:sz w:val="24"/>
                <w:szCs w:val="24"/>
                <w:lang w:val="en-US" w:eastAsia="zh-CN"/>
              </w:rPr>
              <w:t>（1）与生态红线相符性分析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b w:val="0"/>
                <w:bCs w:val="0"/>
                <w:color w:val="auto"/>
                <w:sz w:val="24"/>
              </w:rPr>
            </w:pPr>
            <w:r>
              <w:rPr>
                <w:rFonts w:ascii="Times New Roman" w:eastAsia="宋体" w:hAnsi="Times New Roman" w:cs="Times New Roman" w:hint="default"/>
                <w:b w:val="0"/>
                <w:bCs w:val="0"/>
                <w:color w:val="auto"/>
                <w:sz w:val="24"/>
                <w:szCs w:val="24"/>
                <w:lang w:val="en-US" w:eastAsia="zh-CN"/>
              </w:rPr>
              <w:t>根据《江苏省生态空间管控区域规划》（苏政发[20</w:t>
            </w:r>
            <w:r>
              <w:rPr>
                <w:rFonts w:ascii="Times New Roman" w:eastAsia="宋体" w:hAnsi="Times New Roman" w:cs="Times New Roman" w:hint="eastAsia"/>
                <w:b w:val="0"/>
                <w:bCs w:val="0"/>
                <w:color w:val="auto"/>
                <w:sz w:val="24"/>
                <w:szCs w:val="24"/>
                <w:lang w:val="en-US" w:eastAsia="zh-CN"/>
              </w:rPr>
              <w:t>20</w:t>
            </w:r>
            <w:r>
              <w:rPr>
                <w:rFonts w:ascii="Times New Roman" w:eastAsia="宋体" w:hAnsi="Times New Roman" w:cs="Times New Roman" w:hint="default"/>
                <w:b w:val="0"/>
                <w:bCs w:val="0"/>
                <w:color w:val="auto"/>
                <w:sz w:val="24"/>
                <w:szCs w:val="24"/>
                <w:lang w:val="en-US" w:eastAsia="zh-CN"/>
              </w:rPr>
              <w:t>]</w:t>
            </w:r>
            <w:r>
              <w:rPr>
                <w:rFonts w:ascii="Times New Roman" w:eastAsia="宋体" w:hAnsi="Times New Roman" w:cs="Times New Roman" w:hint="eastAsia"/>
                <w:b w:val="0"/>
                <w:bCs w:val="0"/>
                <w:color w:val="auto"/>
                <w:sz w:val="24"/>
                <w:szCs w:val="24"/>
                <w:lang w:val="en-US" w:eastAsia="zh-CN"/>
              </w:rPr>
              <w:t>1</w:t>
            </w:r>
            <w:r>
              <w:rPr>
                <w:rFonts w:ascii="Times New Roman" w:eastAsia="宋体" w:hAnsi="Times New Roman" w:cs="Times New Roman" w:hint="default"/>
                <w:b w:val="0"/>
                <w:bCs w:val="0"/>
                <w:color w:val="auto"/>
                <w:sz w:val="24"/>
                <w:szCs w:val="24"/>
                <w:lang w:val="en-US" w:eastAsia="zh-CN"/>
              </w:rPr>
              <w:t>号），项目所在区域附近生态红线区域名录见下表</w:t>
            </w:r>
            <w:r>
              <w:rPr>
                <w:rFonts w:ascii="Times New Roman" w:eastAsia="宋体" w:hAnsi="Times New Roman" w:cs="Times New Roman" w:hint="eastAsia"/>
                <w:b w:val="0"/>
                <w:bCs w:val="0"/>
                <w:color w:val="auto"/>
                <w:sz w:val="24"/>
                <w:szCs w:val="24"/>
                <w:lang w:val="en-US" w:eastAsia="zh-CN"/>
              </w:rPr>
              <w:t>1-1</w:t>
            </w:r>
            <w:r>
              <w:rPr>
                <w:rFonts w:ascii="Times New Roman" w:eastAsia="宋体" w:hAnsi="Times New Roman" w:cs="Times New Roman" w:hint="default"/>
                <w:b w:val="0"/>
                <w:bCs w:val="0"/>
                <w:color w:val="auto"/>
                <w:sz w:val="24"/>
                <w:szCs w:val="24"/>
                <w:lang w:val="en-US" w:eastAsia="zh-CN"/>
              </w:rPr>
              <w:t>。</w:t>
            </w:r>
          </w:p>
          <w:p>
            <w:pPr>
              <w:pStyle w:val="PlainText"/>
              <w:spacing w:line="240" w:lineRule="auto"/>
              <w:ind w:firstLine="480" w:firstLineChars="200"/>
              <w:jc w:val="center"/>
              <w:rPr>
                <w:rFonts w:ascii="Times New Roman" w:eastAsia="宋体" w:hAnsi="Times New Roman" w:cs="Times New Roman" w:hint="default"/>
                <w:b/>
                <w:color w:val="auto"/>
                <w:kern w:val="2"/>
                <w:sz w:val="24"/>
                <w:szCs w:val="24"/>
              </w:rPr>
            </w:pPr>
            <w:r>
              <w:rPr>
                <w:rFonts w:ascii="Times New Roman" w:eastAsia="宋体" w:hAnsi="Times New Roman" w:cs="Times New Roman" w:hint="default"/>
                <w:b/>
                <w:color w:val="auto"/>
                <w:kern w:val="2"/>
                <w:sz w:val="24"/>
                <w:szCs w:val="24"/>
              </w:rPr>
              <w:t>表1-</w:t>
            </w:r>
            <w:r>
              <w:rPr>
                <w:rFonts w:ascii="Times New Roman" w:eastAsia="宋体" w:hAnsi="Times New Roman" w:cs="Times New Roman" w:hint="eastAsia"/>
                <w:b/>
                <w:color w:val="auto"/>
                <w:kern w:val="2"/>
                <w:sz w:val="24"/>
                <w:szCs w:val="24"/>
                <w:lang w:val="en-US" w:eastAsia="zh-CN"/>
              </w:rPr>
              <w:t>1</w:t>
            </w:r>
            <w:r>
              <w:rPr>
                <w:rFonts w:ascii="Times New Roman" w:eastAsia="宋体" w:hAnsi="Times New Roman" w:cs="Times New Roman" w:hint="default"/>
                <w:b/>
                <w:color w:val="auto"/>
                <w:kern w:val="2"/>
                <w:sz w:val="24"/>
                <w:szCs w:val="24"/>
              </w:rPr>
              <w:t xml:space="preserve"> 高邮</w:t>
            </w:r>
            <w:r>
              <w:rPr>
                <w:rFonts w:ascii="Times New Roman" w:eastAsia="宋体" w:hAnsi="Times New Roman" w:cs="Times New Roman" w:hint="default"/>
                <w:b/>
                <w:color w:val="auto"/>
                <w:kern w:val="2"/>
                <w:sz w:val="24"/>
                <w:szCs w:val="24"/>
                <w:lang w:eastAsia="zh-CN"/>
              </w:rPr>
              <w:t>生态红线</w:t>
            </w:r>
            <w:r>
              <w:rPr>
                <w:rFonts w:ascii="Times New Roman" w:eastAsia="宋体" w:hAnsi="Times New Roman" w:cs="Times New Roman" w:hint="default"/>
                <w:b/>
                <w:color w:val="auto"/>
                <w:kern w:val="2"/>
                <w:sz w:val="24"/>
                <w:szCs w:val="24"/>
                <w:lang w:val="en-US" w:eastAsia="zh-CN"/>
              </w:rPr>
              <w:t>区域</w:t>
            </w:r>
            <w:r>
              <w:rPr>
                <w:rFonts w:ascii="Times New Roman" w:eastAsia="宋体" w:hAnsi="Times New Roman" w:cs="Times New Roman" w:hint="default"/>
                <w:b/>
                <w:color w:val="auto"/>
                <w:kern w:val="2"/>
                <w:sz w:val="24"/>
                <w:szCs w:val="24"/>
              </w:rPr>
              <w:t>表</w:t>
            </w:r>
          </w:p>
          <w:tbl>
            <w:tblPr>
              <w:tblStyle w:val="TableNormal"/>
              <w:tblW w:w="8161" w:type="dxa"/>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3"/>
              <w:gridCol w:w="823"/>
              <w:gridCol w:w="3632"/>
              <w:gridCol w:w="2773"/>
            </w:tblGrid>
            <w:tr>
              <w:tblPrEx>
                <w:tblW w:w="8161" w:type="dxa"/>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8"/>
                <w:jc w:val="center"/>
              </w:trPr>
              <w:tc>
                <w:tcPr>
                  <w:tcW w:w="933" w:type="dxa"/>
                  <w:vMerge w:val="restart"/>
                  <w:vAlign w:val="center"/>
                </w:tcPr>
                <w:p>
                  <w:pPr>
                    <w:pStyle w:val="PlainText"/>
                    <w:jc w:val="center"/>
                    <w:rPr>
                      <w:rFonts w:ascii="Times New Roman" w:eastAsia="宋体" w:hAnsi="Times New Roman" w:cs="Times New Roman" w:hint="default"/>
                      <w:b/>
                      <w:color w:val="auto"/>
                      <w:kern w:val="2"/>
                      <w:sz w:val="21"/>
                      <w:szCs w:val="21"/>
                    </w:rPr>
                  </w:pPr>
                  <w:r>
                    <w:rPr>
                      <w:rFonts w:ascii="Times New Roman" w:eastAsia="宋体" w:hAnsi="Times New Roman" w:cs="Times New Roman" w:hint="default"/>
                      <w:b/>
                      <w:color w:val="auto"/>
                      <w:kern w:val="2"/>
                      <w:sz w:val="21"/>
                      <w:szCs w:val="21"/>
                    </w:rPr>
                    <w:t>生态红线区域名称</w:t>
                  </w:r>
                </w:p>
              </w:tc>
              <w:tc>
                <w:tcPr>
                  <w:tcW w:w="823" w:type="dxa"/>
                  <w:vMerge w:val="restart"/>
                  <w:vAlign w:val="center"/>
                </w:tcPr>
                <w:p>
                  <w:pPr>
                    <w:pStyle w:val="PlainText"/>
                    <w:jc w:val="center"/>
                    <w:rPr>
                      <w:rFonts w:ascii="Times New Roman" w:eastAsia="宋体" w:hAnsi="Times New Roman" w:cs="Times New Roman" w:hint="default"/>
                      <w:b/>
                      <w:color w:val="auto"/>
                      <w:kern w:val="2"/>
                      <w:sz w:val="21"/>
                      <w:szCs w:val="21"/>
                    </w:rPr>
                  </w:pPr>
                  <w:r>
                    <w:rPr>
                      <w:rFonts w:ascii="Times New Roman" w:eastAsia="宋体" w:hAnsi="Times New Roman" w:cs="Times New Roman" w:hint="default"/>
                      <w:b/>
                      <w:color w:val="auto"/>
                      <w:kern w:val="2"/>
                      <w:sz w:val="21"/>
                      <w:szCs w:val="21"/>
                    </w:rPr>
                    <w:t>主导生态功能</w:t>
                  </w:r>
                </w:p>
              </w:tc>
              <w:tc>
                <w:tcPr>
                  <w:tcW w:w="6405" w:type="dxa"/>
                  <w:gridSpan w:val="2"/>
                  <w:vAlign w:val="center"/>
                </w:tcPr>
                <w:p>
                  <w:pPr>
                    <w:pStyle w:val="PlainText"/>
                    <w:jc w:val="center"/>
                    <w:rPr>
                      <w:rFonts w:ascii="Times New Roman" w:eastAsia="宋体" w:hAnsi="Times New Roman" w:cs="Times New Roman" w:hint="default"/>
                      <w:b/>
                      <w:color w:val="auto"/>
                      <w:kern w:val="2"/>
                      <w:sz w:val="21"/>
                      <w:szCs w:val="21"/>
                    </w:rPr>
                  </w:pPr>
                  <w:r>
                    <w:rPr>
                      <w:rFonts w:ascii="Times New Roman" w:eastAsia="宋体" w:hAnsi="Times New Roman" w:cs="Times New Roman" w:hint="default"/>
                      <w:b/>
                      <w:color w:val="auto"/>
                      <w:kern w:val="2"/>
                      <w:sz w:val="21"/>
                      <w:szCs w:val="21"/>
                    </w:rPr>
                    <w:t>范围</w:t>
                  </w:r>
                </w:p>
              </w:tc>
            </w:tr>
            <w:tr>
              <w:tblPrEx>
                <w:tblW w:w="8161" w:type="dxa"/>
                <w:jc w:val="center"/>
                <w:tblInd w:w="108" w:type="dxa"/>
                <w:tblLayout w:type="fixed"/>
                <w:tblCellMar>
                  <w:top w:w="0" w:type="dxa"/>
                  <w:left w:w="108" w:type="dxa"/>
                  <w:bottom w:w="0" w:type="dxa"/>
                  <w:right w:w="108" w:type="dxa"/>
                </w:tblCellMar>
                <w:tblLook w:val="0000"/>
              </w:tblPrEx>
              <w:trPr>
                <w:trHeight w:val="284"/>
                <w:jc w:val="center"/>
              </w:trPr>
              <w:tc>
                <w:tcPr>
                  <w:tcW w:w="933" w:type="dxa"/>
                  <w:vMerge/>
                  <w:vAlign w:val="center"/>
                </w:tcPr>
                <w:p>
                  <w:pPr>
                    <w:pStyle w:val="PlainText"/>
                    <w:jc w:val="center"/>
                    <w:rPr>
                      <w:rFonts w:ascii="Times New Roman" w:eastAsia="宋体" w:hAnsi="Times New Roman" w:cs="Times New Roman" w:hint="default"/>
                      <w:b/>
                      <w:color w:val="auto"/>
                      <w:kern w:val="2"/>
                      <w:sz w:val="21"/>
                      <w:szCs w:val="21"/>
                    </w:rPr>
                  </w:pPr>
                </w:p>
              </w:tc>
              <w:tc>
                <w:tcPr>
                  <w:tcW w:w="823" w:type="dxa"/>
                  <w:vMerge/>
                  <w:vAlign w:val="center"/>
                </w:tcPr>
                <w:p>
                  <w:pPr>
                    <w:pStyle w:val="PlainText"/>
                    <w:jc w:val="center"/>
                    <w:rPr>
                      <w:rFonts w:ascii="Times New Roman" w:eastAsia="宋体" w:hAnsi="Times New Roman" w:cs="Times New Roman" w:hint="default"/>
                      <w:b/>
                      <w:color w:val="auto"/>
                      <w:kern w:val="2"/>
                      <w:sz w:val="21"/>
                      <w:szCs w:val="21"/>
                    </w:rPr>
                  </w:pPr>
                </w:p>
              </w:tc>
              <w:tc>
                <w:tcPr>
                  <w:tcW w:w="3632" w:type="dxa"/>
                  <w:vAlign w:val="center"/>
                </w:tcPr>
                <w:p>
                  <w:pPr>
                    <w:pStyle w:val="PlainText"/>
                    <w:jc w:val="center"/>
                    <w:rPr>
                      <w:rFonts w:ascii="Times New Roman" w:eastAsia="宋体" w:hAnsi="Times New Roman" w:cs="Times New Roman" w:hint="default"/>
                      <w:b/>
                      <w:color w:val="auto"/>
                      <w:kern w:val="2"/>
                      <w:sz w:val="21"/>
                      <w:szCs w:val="21"/>
                    </w:rPr>
                  </w:pPr>
                  <w:r>
                    <w:rPr>
                      <w:rFonts w:ascii="Times New Roman" w:eastAsia="宋体" w:hAnsi="Times New Roman" w:cs="Times New Roman" w:hint="default"/>
                      <w:b/>
                      <w:color w:val="auto"/>
                      <w:kern w:val="2"/>
                      <w:sz w:val="21"/>
                      <w:szCs w:val="21"/>
                      <w:lang w:val="en-US" w:eastAsia="zh-CN"/>
                    </w:rPr>
                    <w:t xml:space="preserve">国家级生态保护红线范围 </w:t>
                  </w:r>
                </w:p>
              </w:tc>
              <w:tc>
                <w:tcPr>
                  <w:tcW w:w="2773" w:type="dxa"/>
                  <w:vAlign w:val="center"/>
                </w:tcPr>
                <w:p>
                  <w:pPr>
                    <w:pStyle w:val="PlainText"/>
                    <w:jc w:val="center"/>
                    <w:rPr>
                      <w:rFonts w:ascii="Times New Roman" w:eastAsia="宋体" w:hAnsi="Times New Roman" w:cs="Times New Roman" w:hint="default"/>
                      <w:b/>
                      <w:color w:val="auto"/>
                      <w:kern w:val="2"/>
                      <w:sz w:val="21"/>
                      <w:szCs w:val="21"/>
                    </w:rPr>
                  </w:pPr>
                  <w:r>
                    <w:rPr>
                      <w:rFonts w:ascii="Times New Roman" w:eastAsia="宋体" w:hAnsi="Times New Roman" w:cs="Times New Roman" w:hint="default"/>
                      <w:b/>
                      <w:color w:val="auto"/>
                      <w:kern w:val="2"/>
                      <w:sz w:val="21"/>
                      <w:szCs w:val="21"/>
                      <w:lang w:val="en-US" w:eastAsia="zh-CN"/>
                    </w:rPr>
                    <w:t>生态空间管控区域范围</w:t>
                  </w:r>
                </w:p>
              </w:tc>
            </w:tr>
            <w:tr>
              <w:tblPrEx>
                <w:tblW w:w="8161" w:type="dxa"/>
                <w:jc w:val="center"/>
                <w:tblInd w:w="108" w:type="dxa"/>
                <w:tblLayout w:type="fixed"/>
                <w:tblCellMar>
                  <w:top w:w="0" w:type="dxa"/>
                  <w:left w:w="108" w:type="dxa"/>
                  <w:bottom w:w="0" w:type="dxa"/>
                  <w:right w:w="108" w:type="dxa"/>
                </w:tblCellMar>
                <w:tblLook w:val="0000"/>
              </w:tblPrEx>
              <w:trPr>
                <w:trHeight w:val="458"/>
                <w:jc w:val="center"/>
              </w:trPr>
              <w:tc>
                <w:tcPr>
                  <w:tcW w:w="933" w:type="dxa"/>
                  <w:vAlign w:val="center"/>
                </w:tcPr>
                <w:p>
                  <w:pPr>
                    <w:pStyle w:val="a24"/>
                    <w:autoSpaceDE w:val="0"/>
                    <w:autoSpaceDN w:val="0"/>
                    <w:spacing w:beforeLines="0" w:afterLines="0" w:line="240" w:lineRule="auto"/>
                    <w:ind w:left="0" w:firstLine="0" w:leftChars="0" w:firstLineChars="0"/>
                    <w:rPr>
                      <w:rFonts w:ascii="Times New Roman" w:eastAsia="宋体" w:hAnsi="Times New Roman" w:cs="Times New Roman" w:hint="default"/>
                      <w:b w:val="0"/>
                      <w:bCs/>
                      <w:color w:val="auto"/>
                      <w:sz w:val="21"/>
                      <w:szCs w:val="21"/>
                    </w:rPr>
                  </w:pPr>
                  <w:r>
                    <w:rPr>
                      <w:rFonts w:ascii="Times New Roman"/>
                      <w:b w:val="0"/>
                      <w:bCs/>
                      <w:color w:val="auto"/>
                      <w:sz w:val="21"/>
                      <w:szCs w:val="21"/>
                      <w:lang w:val="en-US" w:eastAsia="zh-CN"/>
                    </w:rPr>
                    <w:t>高邮湖湿地自然保护区</w:t>
                  </w:r>
                </w:p>
              </w:tc>
              <w:tc>
                <w:tcPr>
                  <w:tcW w:w="823" w:type="dxa"/>
                  <w:vAlign w:val="center"/>
                </w:tcPr>
                <w:p>
                  <w:pPr>
                    <w:pStyle w:val="a24"/>
                    <w:autoSpaceDE w:val="0"/>
                    <w:autoSpaceDN w:val="0"/>
                    <w:spacing w:beforeLines="0" w:afterLines="0" w:line="240" w:lineRule="auto"/>
                    <w:ind w:left="0" w:firstLine="0" w:leftChars="0" w:firstLineChars="0"/>
                    <w:rPr>
                      <w:rFonts w:ascii="Times New Roman" w:eastAsia="宋体" w:hAnsi="Times New Roman" w:cs="Times New Roman" w:hint="default"/>
                      <w:b w:val="0"/>
                      <w:bCs/>
                      <w:color w:val="auto"/>
                      <w:sz w:val="21"/>
                      <w:szCs w:val="21"/>
                    </w:rPr>
                  </w:pPr>
                  <w:r>
                    <w:rPr>
                      <w:rFonts w:ascii="Times New Roman"/>
                      <w:b w:val="0"/>
                      <w:bCs/>
                      <w:color w:val="auto"/>
                      <w:sz w:val="21"/>
                      <w:szCs w:val="21"/>
                      <w:lang w:val="en-US" w:eastAsia="zh-CN"/>
                    </w:rPr>
                    <w:t>生物多样性保护</w:t>
                  </w:r>
                </w:p>
              </w:tc>
              <w:tc>
                <w:tcPr>
                  <w:tcW w:w="3632" w:type="dxa"/>
                  <w:vAlign w:val="center"/>
                </w:tcPr>
                <w:p>
                  <w:pPr>
                    <w:pStyle w:val="a24"/>
                    <w:autoSpaceDE w:val="0"/>
                    <w:autoSpaceDN w:val="0"/>
                    <w:spacing w:beforeLines="0" w:afterLines="0" w:line="240" w:lineRule="auto"/>
                    <w:ind w:left="0" w:firstLine="0" w:leftChars="0" w:firstLineChars="0"/>
                    <w:rPr>
                      <w:rFonts w:ascii="Times New Roman" w:eastAsia="宋体" w:hAnsi="Times New Roman" w:cs="Times New Roman" w:hint="default"/>
                      <w:b w:val="0"/>
                      <w:bCs/>
                      <w:color w:val="auto"/>
                      <w:sz w:val="21"/>
                      <w:szCs w:val="21"/>
                      <w:lang w:eastAsia="zh-CN"/>
                    </w:rPr>
                  </w:pPr>
                  <w:r>
                    <w:rPr>
                      <w:rFonts w:ascii="Times New Roman"/>
                      <w:b w:val="0"/>
                      <w:bCs/>
                      <w:color w:val="auto"/>
                      <w:sz w:val="21"/>
                      <w:szCs w:val="21"/>
                      <w:lang w:val="en-US" w:eastAsia="zh-CN"/>
                    </w:rPr>
                    <w:t>包括自然保护区核心区、缓冲区和实验区。核心区：面积为5608公顷，范围为南至高邮湖大桥北侧20米，南围郭集镇部分距离滨湖大堤1000米，东至老庄台河西岸带，北至湖心区域，西至湖心区域。缓冲区：面积为9937公顷，范围为南至邮仪公路北侧20米，以及距离送桥镇、菱塘乡滨湖岸线大堤1000米，东至老庄台河东岸带，北至湖心区域，西北段至高邮、金湖行政边界，西至湖心区域。实验区：面积为32181公顷，范围为南至邵伯湖以及郭集、菱塘滨湖岸线大堤，东至深泓河东岸带，北至西夹滩，西至湖心区域含高邮金湖行政边界及高邮天长行政边界。</w:t>
                  </w:r>
                </w:p>
              </w:tc>
              <w:tc>
                <w:tcPr>
                  <w:tcW w:w="2773" w:type="dxa"/>
                  <w:vAlign w:val="center"/>
                </w:tcPr>
                <w:p>
                  <w:pPr>
                    <w:pStyle w:val="a24"/>
                    <w:autoSpaceDE w:val="0"/>
                    <w:autoSpaceDN w:val="0"/>
                    <w:spacing w:beforeLines="0" w:afterLines="0" w:line="240" w:lineRule="auto"/>
                    <w:ind w:left="0" w:firstLine="0" w:leftChars="0" w:firstLineChars="0"/>
                    <w:rPr>
                      <w:rFonts w:ascii="Times New Roman" w:eastAsia="宋体" w:hAnsi="Times New Roman" w:cs="Times New Roman" w:hint="eastAsia"/>
                      <w:b w:val="0"/>
                      <w:bCs/>
                      <w:color w:val="auto"/>
                      <w:sz w:val="21"/>
                      <w:szCs w:val="21"/>
                      <w:lang w:val="en-US" w:eastAsia="zh-CN"/>
                    </w:rPr>
                  </w:pPr>
                  <w:r>
                    <w:rPr>
                      <w:rFonts w:ascii="Times New Roman"/>
                      <w:b w:val="0"/>
                      <w:bCs/>
                      <w:color w:val="auto"/>
                      <w:sz w:val="21"/>
                      <w:szCs w:val="21"/>
                      <w:lang w:val="en-US" w:eastAsia="zh-CN"/>
                    </w:rPr>
                    <w:t>/</w:t>
                  </w:r>
                </w:p>
              </w:tc>
            </w:tr>
            <w:tr>
              <w:tblPrEx>
                <w:tblW w:w="8161" w:type="dxa"/>
                <w:jc w:val="center"/>
                <w:tblInd w:w="108" w:type="dxa"/>
                <w:tblLayout w:type="fixed"/>
                <w:tblCellMar>
                  <w:top w:w="0" w:type="dxa"/>
                  <w:left w:w="108" w:type="dxa"/>
                  <w:bottom w:w="0" w:type="dxa"/>
                  <w:right w:w="108" w:type="dxa"/>
                </w:tblCellMar>
                <w:tblLook w:val="0000"/>
              </w:tblPrEx>
              <w:trPr>
                <w:trHeight w:val="458"/>
                <w:jc w:val="center"/>
              </w:trPr>
              <w:tc>
                <w:tcPr>
                  <w:tcW w:w="933" w:type="dxa"/>
                  <w:vAlign w:val="center"/>
                </w:tcPr>
                <w:p>
                  <w:pPr>
                    <w:pStyle w:val="a24"/>
                    <w:autoSpaceDE w:val="0"/>
                    <w:autoSpaceDN w:val="0"/>
                    <w:spacing w:beforeLines="0" w:afterLines="0" w:line="240" w:lineRule="auto"/>
                    <w:ind w:left="0" w:firstLine="0" w:leftChars="0" w:firstLineChars="0"/>
                    <w:rPr>
                      <w:rFonts w:hint="default"/>
                      <w:b w:val="0"/>
                      <w:bCs/>
                      <w:color w:val="auto"/>
                      <w:lang w:val="en-US" w:eastAsia="zh-CN"/>
                    </w:rPr>
                  </w:pPr>
                  <w:r>
                    <w:rPr>
                      <w:rFonts w:ascii="Times New Roman"/>
                      <w:b w:val="0"/>
                      <w:bCs/>
                      <w:color w:val="auto"/>
                      <w:sz w:val="21"/>
                      <w:szCs w:val="21"/>
                      <w:lang w:val="en-US" w:eastAsia="zh-CN"/>
                    </w:rPr>
                    <w:t>京杭大运河（高邮市）清水通道维护区</w:t>
                  </w:r>
                </w:p>
              </w:tc>
              <w:tc>
                <w:tcPr>
                  <w:tcW w:w="823" w:type="dxa"/>
                  <w:vAlign w:val="center"/>
                </w:tcPr>
                <w:p>
                  <w:pPr>
                    <w:pStyle w:val="a24"/>
                    <w:autoSpaceDE w:val="0"/>
                    <w:autoSpaceDN w:val="0"/>
                    <w:spacing w:beforeLines="0" w:afterLines="0" w:line="240" w:lineRule="auto"/>
                    <w:ind w:left="0" w:firstLine="0" w:leftChars="0" w:firstLineChars="0"/>
                    <w:rPr>
                      <w:rFonts w:hint="eastAsia"/>
                      <w:b w:val="0"/>
                      <w:bCs/>
                      <w:color w:val="auto"/>
                      <w:lang w:val="en-US" w:eastAsia="zh-CN"/>
                    </w:rPr>
                  </w:pPr>
                  <w:r>
                    <w:rPr>
                      <w:rFonts w:ascii="Times New Roman"/>
                      <w:b w:val="0"/>
                      <w:bCs/>
                      <w:color w:val="auto"/>
                      <w:sz w:val="21"/>
                      <w:szCs w:val="21"/>
                      <w:lang w:val="en-US" w:eastAsia="zh-CN"/>
                    </w:rPr>
                    <w:t>水源水质保护</w:t>
                  </w:r>
                </w:p>
              </w:tc>
              <w:tc>
                <w:tcPr>
                  <w:tcW w:w="3632" w:type="dxa"/>
                  <w:vAlign w:val="center"/>
                </w:tcPr>
                <w:p>
                  <w:pPr>
                    <w:pStyle w:val="a24"/>
                    <w:autoSpaceDE w:val="0"/>
                    <w:autoSpaceDN w:val="0"/>
                    <w:spacing w:beforeLines="0" w:afterLines="0" w:line="240" w:lineRule="auto"/>
                    <w:ind w:left="0" w:firstLine="0" w:leftChars="0" w:firstLineChars="0"/>
                    <w:rPr>
                      <w:rFonts w:hint="eastAsia"/>
                      <w:b w:val="0"/>
                      <w:bCs/>
                      <w:color w:val="auto"/>
                      <w:lang w:val="en-US" w:eastAsia="zh-CN"/>
                    </w:rPr>
                  </w:pPr>
                  <w:r>
                    <w:rPr>
                      <w:rFonts w:ascii="Times New Roman"/>
                      <w:b w:val="0"/>
                      <w:bCs/>
                      <w:color w:val="auto"/>
                      <w:sz w:val="21"/>
                      <w:szCs w:val="21"/>
                      <w:lang w:val="en-US" w:eastAsia="zh-CN"/>
                    </w:rPr>
                    <w:t>/</w:t>
                  </w:r>
                </w:p>
              </w:tc>
              <w:tc>
                <w:tcPr>
                  <w:tcW w:w="2773" w:type="dxa"/>
                  <w:vAlign w:val="center"/>
                </w:tcPr>
                <w:p>
                  <w:pPr>
                    <w:pStyle w:val="a24"/>
                    <w:autoSpaceDE w:val="0"/>
                    <w:autoSpaceDN w:val="0"/>
                    <w:spacing w:beforeLines="0" w:afterLines="0" w:line="240" w:lineRule="auto"/>
                    <w:ind w:left="0" w:firstLine="0" w:leftChars="0" w:firstLineChars="0"/>
                    <w:rPr>
                      <w:rFonts w:hint="eastAsia"/>
                      <w:b w:val="0"/>
                      <w:bCs/>
                      <w:color w:val="auto"/>
                      <w:lang w:val="en-US" w:eastAsia="zh-CN"/>
                    </w:rPr>
                  </w:pPr>
                  <w:r>
                    <w:rPr>
                      <w:rFonts w:ascii="Times New Roman"/>
                      <w:b w:val="0"/>
                      <w:bCs/>
                      <w:color w:val="auto"/>
                      <w:sz w:val="21"/>
                      <w:szCs w:val="21"/>
                      <w:lang w:val="en-US" w:eastAsia="zh-CN"/>
                    </w:rPr>
                    <w:t>北至界首子婴闸，南至高邮江都交界，全长43公里。范围为：城区为运河两侧水崖线至河堤公路中间线，非城区河段陆域为两侧河堤岸水坡向外延伸100米。其中，高邮市里运河清水潭水源地保护区一级保护区：从两个取水口分别向上、下游延伸1000米之间的水域范围与相对应的两岸背水坡堤脚外100米之间的陆域范围；二级保护区：一级保护区以外上溯2000米、下延2000米的水域范围与相对应的两岸背水坡堤脚外100米之间的陆域范围；准保护区：二级保护区以外上溯2000米、下延2000米的水域范围与相对应的两岸背水坡堤脚外100米之间的陆域范围。</w:t>
                  </w:r>
                </w:p>
              </w:tc>
            </w:tr>
          </w:tbl>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ascii="Times New Roman" w:eastAsia="宋体" w:hAnsi="Times New Roman" w:cs="Times New Roman" w:hint="default"/>
                <w:b w:val="0"/>
                <w:bCs w:val="0"/>
                <w:color w:val="auto"/>
                <w:sz w:val="24"/>
              </w:rPr>
            </w:pPr>
          </w:p>
        </w:tc>
      </w:tr>
    </w:tbl>
    <w:p>
      <w:pPr>
        <w:sectPr>
          <w:footerReference w:type="default" r:id="rId5"/>
          <w:type w:val="nextPage"/>
          <w:pgSz w:w="11906" w:h="16838"/>
          <w:pgMar w:top="1440" w:right="1080" w:bottom="1440" w:left="1080" w:header="851" w:footer="1077"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linePitch="312"/>
        </w:sectPr>
      </w:pPr>
    </w:p>
    <w:tbl>
      <w:tblPr>
        <w:tblStyle w:val="TableNormal"/>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33"/>
        <w:gridCol w:w="8572"/>
      </w:tblGrid>
      <w:tr>
        <w:tblPrEx>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533" w:type="dxa"/>
            <w:vAlign w:val="center"/>
          </w:tcPr>
          <w:p/>
        </w:tc>
        <w:tc>
          <w:tcPr>
            <w:tcW w:w="8572" w:type="dxa"/>
            <w:vAlign w:val="center"/>
          </w:tcPr>
          <w:p>
            <w:pPr>
              <w:keepNext w:val="0"/>
              <w:keepLines w:val="0"/>
              <w:pageBreakBefore w:val="0"/>
              <w:widowControl w:val="0"/>
              <w:kinsoku/>
              <w:wordWrap/>
              <w:overflowPunct/>
              <w:topLinePunct w:val="0"/>
              <w:autoSpaceDE/>
              <w:autoSpaceDN/>
              <w:bidi w:val="0"/>
              <w:adjustRightInd/>
              <w:snapToGrid/>
              <w:spacing w:before="0" w:line="360" w:lineRule="auto"/>
              <w:ind w:firstLine="480" w:firstLineChars="200"/>
              <w:textAlignment w:val="auto"/>
              <w:rPr>
                <w:rFonts w:ascii="Times New Roman" w:eastAsia="宋体" w:hAnsi="Times New Roman" w:cs="Times New Roman" w:hint="default"/>
                <w:b w:val="0"/>
                <w:bCs w:val="0"/>
                <w:color w:val="auto"/>
                <w:sz w:val="24"/>
              </w:rPr>
            </w:pPr>
            <w:r>
              <w:rPr>
                <w:rFonts w:ascii="Times New Roman" w:eastAsia="宋体" w:hAnsi="Times New Roman" w:cs="Times New Roman" w:hint="default"/>
                <w:b w:val="0"/>
                <w:bCs w:val="0"/>
                <w:color w:val="auto"/>
                <w:sz w:val="24"/>
                <w:szCs w:val="24"/>
                <w:lang w:val="en-US" w:eastAsia="zh-CN"/>
              </w:rPr>
              <w:t>结合项目地理位置和区域水系，本项目边界距离最近的生态红线区域为京杭大运河（高邮市）清水通道维护区，距离约为</w:t>
            </w:r>
            <w:r>
              <w:rPr>
                <w:rFonts w:ascii="Times New Roman" w:eastAsia="宋体" w:hAnsi="Times New Roman" w:cs="Times New Roman" w:hint="eastAsia"/>
                <w:b w:val="0"/>
                <w:bCs w:val="0"/>
                <w:color w:val="auto"/>
                <w:sz w:val="24"/>
                <w:szCs w:val="24"/>
                <w:lang w:val="en-US" w:eastAsia="zh-CN"/>
              </w:rPr>
              <w:t>2750</w:t>
            </w:r>
            <w:r>
              <w:rPr>
                <w:rFonts w:ascii="Times New Roman" w:eastAsia="宋体" w:hAnsi="Times New Roman" w:cs="Times New Roman" w:hint="default"/>
                <w:b w:val="0"/>
                <w:bCs w:val="0"/>
                <w:color w:val="auto"/>
                <w:sz w:val="24"/>
                <w:szCs w:val="24"/>
                <w:lang w:val="en-US" w:eastAsia="zh-CN"/>
              </w:rPr>
              <w:t>m</w:t>
            </w:r>
            <w:r>
              <w:rPr>
                <w:rFonts w:ascii="Times New Roman" w:eastAsia="宋体" w:hAnsi="Times New Roman" w:cs="Times New Roman" w:hint="eastAsia"/>
                <w:b w:val="0"/>
                <w:bCs w:val="0"/>
                <w:color w:val="auto"/>
                <w:sz w:val="24"/>
                <w:szCs w:val="24"/>
                <w:lang w:val="en-US" w:eastAsia="zh-CN"/>
              </w:rPr>
              <w:t>（位于本项目西侧）</w:t>
            </w:r>
            <w:r>
              <w:rPr>
                <w:rFonts w:ascii="Times New Roman" w:eastAsia="宋体" w:hAnsi="Times New Roman" w:cs="Times New Roman" w:hint="default"/>
                <w:b w:val="0"/>
                <w:bCs w:val="0"/>
                <w:color w:val="auto"/>
                <w:sz w:val="24"/>
                <w:szCs w:val="24"/>
                <w:lang w:val="en-US" w:eastAsia="zh-CN"/>
              </w:rPr>
              <w:t>，本项目不占用京杭大运河（高邮市）清水通道维护区</w:t>
            </w:r>
            <w:r>
              <w:rPr>
                <w:rFonts w:ascii="Times New Roman" w:eastAsia="宋体" w:hAnsi="Times New Roman" w:cs="Times New Roman" w:hint="eastAsia"/>
                <w:b w:val="0"/>
                <w:bCs w:val="0"/>
                <w:color w:val="auto"/>
                <w:sz w:val="24"/>
                <w:szCs w:val="24"/>
                <w:lang w:val="en-US" w:eastAsia="zh-CN"/>
              </w:rPr>
              <w:t>的生态红线区域</w:t>
            </w:r>
            <w:r>
              <w:rPr>
                <w:rFonts w:ascii="Times New Roman" w:eastAsia="宋体" w:hAnsi="Times New Roman" w:cs="Times New Roman" w:hint="default"/>
                <w:b w:val="0"/>
                <w:bCs w:val="0"/>
                <w:color w:val="auto"/>
                <w:sz w:val="24"/>
                <w:szCs w:val="24"/>
                <w:lang w:val="en-US" w:eastAsia="zh-CN"/>
              </w:rPr>
              <w:t>，与</w:t>
            </w:r>
            <w:r>
              <w:rPr>
                <w:rFonts w:ascii="Times New Roman" w:eastAsia="宋体" w:hAnsi="Times New Roman" w:cs="Times New Roman" w:hint="eastAsia"/>
                <w:b w:val="0"/>
                <w:bCs w:val="0"/>
                <w:color w:val="auto"/>
                <w:sz w:val="24"/>
                <w:szCs w:val="24"/>
                <w:lang w:val="en-US" w:eastAsia="zh-CN"/>
              </w:rPr>
              <w:t>《江苏省生态空间管控区域规划》（苏政发[2020]1号）</w:t>
            </w:r>
            <w:r>
              <w:rPr>
                <w:rFonts w:ascii="Times New Roman" w:eastAsia="宋体" w:hAnsi="Times New Roman" w:cs="Times New Roman" w:hint="default"/>
                <w:b w:val="0"/>
                <w:bCs w:val="0"/>
                <w:color w:val="auto"/>
                <w:sz w:val="24"/>
                <w:szCs w:val="24"/>
                <w:lang w:val="en-US" w:eastAsia="zh-CN"/>
              </w:rPr>
              <w:t>相符。</w:t>
            </w:r>
          </w:p>
          <w:p>
            <w:pPr>
              <w:pStyle w:val="BodyTextFirstIndent2"/>
              <w:keepNext w:val="0"/>
              <w:keepLines w:val="0"/>
              <w:pageBreakBefore w:val="0"/>
              <w:widowControl w:val="0"/>
              <w:tabs>
                <w:tab w:val="left" w:pos="2820"/>
                <w:tab w:val="left" w:pos="2975"/>
                <w:tab w:val="center" w:pos="4707"/>
              </w:tabs>
              <w:kinsoku/>
              <w:wordWrap/>
              <w:overflowPunct/>
              <w:topLinePunct w:val="0"/>
              <w:autoSpaceDE/>
              <w:autoSpaceDN/>
              <w:bidi w:val="0"/>
              <w:adjustRightInd/>
              <w:snapToGrid/>
              <w:spacing w:after="0" w:line="360" w:lineRule="auto"/>
              <w:ind w:left="0" w:firstLine="480" w:leftChars="0" w:firstLineChars="200"/>
              <w:textAlignment w:val="auto"/>
              <w:rPr>
                <w:rFonts w:ascii="Times New Roman" w:eastAsia="宋体" w:hAnsi="Times New Roman" w:cs="Times New Roman" w:hint="eastAsia"/>
                <w:color w:val="auto"/>
                <w:sz w:val="24"/>
                <w:szCs w:val="24"/>
                <w:lang w:eastAsia="zh-CN"/>
              </w:rPr>
            </w:pPr>
            <w:r>
              <w:rPr>
                <w:rFonts w:ascii="Times New Roman" w:eastAsia="宋体" w:hAnsi="Times New Roman" w:cs="Times New Roman" w:hint="eastAsia"/>
                <w:color w:val="auto"/>
                <w:sz w:val="24"/>
                <w:szCs w:val="24"/>
                <w:lang w:eastAsia="zh-CN"/>
              </w:rPr>
              <w:t>根据</w:t>
            </w:r>
            <w:r>
              <w:rPr>
                <w:rFonts w:ascii="Times New Roman" w:eastAsia="宋体" w:hAnsi="Times New Roman" w:cs="Times New Roman" w:hint="default"/>
                <w:color w:val="auto"/>
                <w:sz w:val="24"/>
                <w:szCs w:val="24"/>
              </w:rPr>
              <w:t>《省政府关于印发江苏省国家级生态保护红线规划的通知》(苏政发 [2018]74号)，江苏省国家级生态保护红线包括陆域生态保护红线名录和海域生态保护红线名录。其中高邮市陆域生态保护红线名录详见表1-</w:t>
            </w:r>
            <w:r>
              <w:rPr>
                <w:rFonts w:ascii="Times New Roman" w:eastAsia="宋体" w:hAnsi="Times New Roman" w:cs="Times New Roman" w:hint="eastAsia"/>
                <w:color w:val="auto"/>
                <w:sz w:val="24"/>
                <w:szCs w:val="24"/>
                <w:lang w:val="en-US" w:eastAsia="zh-CN"/>
              </w:rPr>
              <w:t>2</w:t>
            </w:r>
            <w:r>
              <w:rPr>
                <w:rFonts w:ascii="Times New Roman" w:eastAsia="宋体" w:hAnsi="Times New Roman" w:cs="Times New Roman" w:hint="eastAsia"/>
                <w:color w:val="auto"/>
                <w:sz w:val="24"/>
                <w:szCs w:val="24"/>
                <w:lang w:eastAsia="zh-CN"/>
              </w:rPr>
              <w:t>。</w:t>
            </w:r>
          </w:p>
          <w:p>
            <w:pPr>
              <w:pStyle w:val="PlainText"/>
              <w:spacing w:line="240" w:lineRule="auto"/>
              <w:ind w:firstLine="480" w:firstLineChars="200"/>
              <w:jc w:val="center"/>
              <w:rPr>
                <w:rFonts w:ascii="Times New Roman" w:eastAsia="宋体" w:hAnsi="Times New Roman" w:cs="Times New Roman" w:hint="default"/>
                <w:b/>
                <w:bCs w:val="0"/>
                <w:color w:val="auto"/>
                <w:kern w:val="2"/>
                <w:sz w:val="24"/>
                <w:szCs w:val="24"/>
              </w:rPr>
            </w:pPr>
            <w:r>
              <w:rPr>
                <w:rFonts w:ascii="Times New Roman" w:eastAsia="宋体" w:hAnsi="Times New Roman" w:cs="Times New Roman" w:hint="default"/>
                <w:b/>
                <w:bCs w:val="0"/>
                <w:color w:val="auto"/>
                <w:kern w:val="2"/>
                <w:sz w:val="24"/>
                <w:szCs w:val="24"/>
              </w:rPr>
              <w:t>表1-</w:t>
            </w:r>
            <w:r>
              <w:rPr>
                <w:rFonts w:ascii="Times New Roman" w:eastAsia="宋体" w:hAnsi="Times New Roman" w:cs="Times New Roman" w:hint="eastAsia"/>
                <w:b/>
                <w:bCs w:val="0"/>
                <w:color w:val="auto"/>
                <w:kern w:val="2"/>
                <w:sz w:val="24"/>
                <w:szCs w:val="24"/>
                <w:lang w:val="en-US" w:eastAsia="zh-CN"/>
              </w:rPr>
              <w:t xml:space="preserve">2 </w:t>
            </w:r>
            <w:r>
              <w:rPr>
                <w:rFonts w:ascii="Times New Roman" w:eastAsia="宋体" w:hAnsi="Times New Roman" w:cs="Times New Roman" w:hint="default"/>
                <w:b/>
                <w:bCs w:val="0"/>
                <w:color w:val="auto"/>
                <w:kern w:val="2"/>
                <w:sz w:val="24"/>
                <w:szCs w:val="24"/>
              </w:rPr>
              <w:t xml:space="preserve"> </w:t>
            </w:r>
            <w:r>
              <w:rPr>
                <w:rFonts w:ascii="Times New Roman" w:eastAsia="宋体" w:hAnsi="Times New Roman" w:cs="Times New Roman" w:hint="default"/>
                <w:b/>
                <w:bCs w:val="0"/>
                <w:color w:val="auto"/>
                <w:sz w:val="24"/>
                <w:szCs w:val="24"/>
              </w:rPr>
              <w:t>高邮市陆域生态保护红线</w:t>
            </w:r>
            <w:r>
              <w:rPr>
                <w:rFonts w:ascii="Times New Roman" w:eastAsia="宋体" w:hAnsi="Times New Roman" w:cs="Times New Roman" w:hint="default"/>
                <w:b/>
                <w:bCs w:val="0"/>
                <w:color w:val="auto"/>
                <w:kern w:val="2"/>
                <w:sz w:val="24"/>
                <w:szCs w:val="24"/>
              </w:rPr>
              <w:t>表</w:t>
            </w:r>
          </w:p>
          <w:tbl>
            <w:tblPr>
              <w:tblStyle w:val="TableNormal"/>
              <w:tblW w:w="7937" w:type="dxa"/>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8"/>
              <w:gridCol w:w="1342"/>
              <w:gridCol w:w="4125"/>
              <w:gridCol w:w="1192"/>
            </w:tblGrid>
            <w:tr>
              <w:tblPrEx>
                <w:tblW w:w="7937" w:type="dxa"/>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10"/>
                <w:jc w:val="center"/>
              </w:trPr>
              <w:tc>
                <w:tcPr>
                  <w:tcW w:w="1278" w:type="dxa"/>
                  <w:vAlign w:val="center"/>
                </w:tcPr>
                <w:p>
                  <w:pPr>
                    <w:pStyle w:val="PlainText"/>
                    <w:jc w:val="center"/>
                    <w:rPr>
                      <w:rFonts w:ascii="Times New Roman" w:eastAsia="宋体" w:hAnsi="Times New Roman" w:cs="Times New Roman" w:hint="default"/>
                      <w:b/>
                      <w:color w:val="auto"/>
                      <w:kern w:val="2"/>
                      <w:sz w:val="21"/>
                      <w:szCs w:val="21"/>
                    </w:rPr>
                  </w:pPr>
                  <w:r>
                    <w:rPr>
                      <w:rFonts w:ascii="Times New Roman" w:eastAsia="宋体" w:hAnsi="Times New Roman" w:cs="Times New Roman" w:hint="default"/>
                      <w:b/>
                      <w:color w:val="auto"/>
                      <w:kern w:val="2"/>
                      <w:sz w:val="21"/>
                      <w:szCs w:val="21"/>
                    </w:rPr>
                    <w:t>生态红线</w:t>
                  </w:r>
                </w:p>
                <w:p>
                  <w:pPr>
                    <w:pStyle w:val="PlainText"/>
                    <w:jc w:val="center"/>
                    <w:rPr>
                      <w:rFonts w:ascii="Times New Roman" w:eastAsia="宋体" w:hAnsi="Times New Roman" w:cs="Times New Roman" w:hint="default"/>
                      <w:b/>
                      <w:color w:val="auto"/>
                      <w:kern w:val="2"/>
                      <w:sz w:val="21"/>
                      <w:szCs w:val="21"/>
                    </w:rPr>
                  </w:pPr>
                  <w:r>
                    <w:rPr>
                      <w:rFonts w:ascii="Times New Roman" w:eastAsia="宋体" w:hAnsi="Times New Roman" w:cs="Times New Roman" w:hint="default"/>
                      <w:b/>
                      <w:color w:val="auto"/>
                      <w:kern w:val="2"/>
                      <w:sz w:val="21"/>
                      <w:szCs w:val="21"/>
                    </w:rPr>
                    <w:t>名称</w:t>
                  </w:r>
                </w:p>
              </w:tc>
              <w:tc>
                <w:tcPr>
                  <w:tcW w:w="1342" w:type="dxa"/>
                  <w:vAlign w:val="center"/>
                </w:tcPr>
                <w:p>
                  <w:pPr>
                    <w:pStyle w:val="PlainText"/>
                    <w:jc w:val="center"/>
                    <w:rPr>
                      <w:rFonts w:ascii="Times New Roman" w:eastAsia="宋体" w:hAnsi="Times New Roman" w:cs="Times New Roman" w:hint="eastAsia"/>
                      <w:b/>
                      <w:color w:val="auto"/>
                      <w:kern w:val="2"/>
                      <w:sz w:val="21"/>
                      <w:szCs w:val="21"/>
                      <w:lang w:eastAsia="zh-CN"/>
                    </w:rPr>
                  </w:pPr>
                  <w:r>
                    <w:rPr>
                      <w:rFonts w:ascii="Times New Roman" w:eastAsia="宋体" w:hAnsi="Times New Roman" w:cs="Times New Roman" w:hint="eastAsia"/>
                      <w:b/>
                      <w:color w:val="auto"/>
                      <w:kern w:val="2"/>
                      <w:sz w:val="21"/>
                      <w:szCs w:val="21"/>
                      <w:lang w:val="en-US" w:eastAsia="zh-CN"/>
                    </w:rPr>
                    <w:t>类型</w:t>
                  </w:r>
                </w:p>
              </w:tc>
              <w:tc>
                <w:tcPr>
                  <w:tcW w:w="4125" w:type="dxa"/>
                  <w:vAlign w:val="center"/>
                </w:tcPr>
                <w:p>
                  <w:pPr>
                    <w:pStyle w:val="PlainText"/>
                    <w:jc w:val="center"/>
                    <w:rPr>
                      <w:rFonts w:ascii="Times New Roman" w:eastAsia="宋体" w:hAnsi="Times New Roman" w:cs="Times New Roman" w:hint="default"/>
                      <w:b/>
                      <w:color w:val="auto"/>
                      <w:kern w:val="2"/>
                      <w:sz w:val="21"/>
                      <w:szCs w:val="21"/>
                    </w:rPr>
                  </w:pPr>
                  <w:r>
                    <w:rPr>
                      <w:rFonts w:ascii="Times New Roman" w:eastAsia="宋体" w:hAnsi="Times New Roman" w:cs="Times New Roman" w:hint="default"/>
                      <w:b/>
                      <w:color w:val="auto"/>
                      <w:kern w:val="2"/>
                      <w:sz w:val="21"/>
                      <w:szCs w:val="21"/>
                    </w:rPr>
                    <w:t>地理位置</w:t>
                  </w:r>
                </w:p>
              </w:tc>
              <w:tc>
                <w:tcPr>
                  <w:tcW w:w="1192" w:type="dxa"/>
                  <w:vAlign w:val="center"/>
                </w:tcPr>
                <w:p>
                  <w:pPr>
                    <w:pStyle w:val="PlainText"/>
                    <w:jc w:val="center"/>
                    <w:rPr>
                      <w:rFonts w:ascii="Times New Roman" w:eastAsia="宋体" w:hAnsi="Times New Roman" w:cs="Times New Roman" w:hint="default"/>
                      <w:b/>
                      <w:color w:val="auto"/>
                      <w:kern w:val="2"/>
                      <w:sz w:val="21"/>
                      <w:szCs w:val="21"/>
                    </w:rPr>
                  </w:pPr>
                  <w:r>
                    <w:rPr>
                      <w:rFonts w:ascii="Times New Roman" w:eastAsia="宋体" w:hAnsi="Times New Roman" w:cs="Times New Roman" w:hint="default"/>
                      <w:b/>
                      <w:color w:val="auto"/>
                      <w:kern w:val="2"/>
                      <w:sz w:val="21"/>
                      <w:szCs w:val="21"/>
                    </w:rPr>
                    <w:t>区域面积 （平方公里）</w:t>
                  </w:r>
                </w:p>
              </w:tc>
            </w:tr>
            <w:tr>
              <w:tblPrEx>
                <w:tblW w:w="7937" w:type="dxa"/>
                <w:jc w:val="center"/>
                <w:tblInd w:w="108" w:type="dxa"/>
                <w:tblLayout w:type="fixed"/>
                <w:tblCellMar>
                  <w:top w:w="0" w:type="dxa"/>
                  <w:left w:w="108" w:type="dxa"/>
                  <w:bottom w:w="0" w:type="dxa"/>
                  <w:right w:w="108" w:type="dxa"/>
                </w:tblCellMar>
                <w:tblLook w:val="0000"/>
              </w:tblPrEx>
              <w:trPr>
                <w:trHeight w:val="459"/>
                <w:jc w:val="center"/>
              </w:trPr>
              <w:tc>
                <w:tcPr>
                  <w:tcW w:w="1278" w:type="dxa"/>
                  <w:vAlign w:val="center"/>
                </w:tcPr>
                <w:p>
                  <w:pPr>
                    <w:widowControl/>
                    <w:jc w:val="center"/>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高邮湖湿地县级自然保护</w:t>
                  </w:r>
                  <w:r>
                    <w:rPr>
                      <w:rFonts w:ascii="Times New Roman" w:eastAsia="宋体" w:hAnsi="Times New Roman" w:cs="Times New Roman" w:hint="eastAsia"/>
                      <w:color w:val="auto"/>
                      <w:sz w:val="21"/>
                      <w:szCs w:val="21"/>
                      <w:lang w:val="en-US" w:eastAsia="zh-CN"/>
                    </w:rPr>
                    <w:t>区</w:t>
                  </w:r>
                </w:p>
              </w:tc>
              <w:tc>
                <w:tcPr>
                  <w:tcW w:w="1342" w:type="dxa"/>
                  <w:vAlign w:val="center"/>
                </w:tcPr>
                <w:p>
                  <w:pPr>
                    <w:jc w:val="center"/>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自然保护区</w:t>
                  </w:r>
                </w:p>
              </w:tc>
              <w:tc>
                <w:tcPr>
                  <w:tcW w:w="4125" w:type="dxa"/>
                  <w:vAlign w:val="center"/>
                </w:tcPr>
                <w:p>
                  <w:pPr>
                    <w:widowControl/>
                    <w:spacing w:line="235" w:lineRule="auto"/>
                    <w:jc w:val="left"/>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包括自然保护区核心区、缓冲区和实验区。</w:t>
                  </w:r>
                </w:p>
                <w:p>
                  <w:pPr>
                    <w:widowControl/>
                    <w:spacing w:line="235" w:lineRule="auto"/>
                    <w:jc w:val="left"/>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核心区：面积为5608公顷，范围为南至高邮湖大桥北侧20米，南围郭集镇部分距离滨湖大堤1000米，东至老庄台河西岸带，北至湖心区域，西至湖心区域。</w:t>
                  </w:r>
                </w:p>
                <w:p>
                  <w:pPr>
                    <w:widowControl/>
                    <w:spacing w:line="235" w:lineRule="auto"/>
                    <w:jc w:val="left"/>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缓冲区：面积为9937公顷，范围为南至邮仪公路北侧20米，以及距离送桥镇、菱塘乡滨湖岸线大堤1000米，东至老庄台河东岸带，北至湖心区域，西北段至高邮、金湖行政边界，西至湖心区域。</w:t>
                  </w:r>
                </w:p>
                <w:p>
                  <w:pPr>
                    <w:widowControl/>
                    <w:spacing w:line="235" w:lineRule="auto"/>
                    <w:jc w:val="left"/>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实验区：面积为32181公顷，范围为南至邵伯湖以及郭集、菱塘滨湖岸线大堤，东至深泓河东岸带，北至西夹滩，西至湖心区域含高邮金湖行政边界及高邮天长行政边界</w:t>
                  </w:r>
                  <w:r>
                    <w:rPr>
                      <w:rFonts w:ascii="Times New Roman" w:eastAsia="宋体" w:hAnsi="Times New Roman" w:cs="Times New Roman" w:hint="eastAsia"/>
                      <w:color w:val="auto"/>
                      <w:sz w:val="21"/>
                      <w:szCs w:val="21"/>
                      <w:lang w:eastAsia="zh-CN"/>
                    </w:rPr>
                    <w:t>。</w:t>
                  </w:r>
                </w:p>
              </w:tc>
              <w:tc>
                <w:tcPr>
                  <w:tcW w:w="1192" w:type="dxa"/>
                  <w:vAlign w:val="center"/>
                </w:tcPr>
                <w:p>
                  <w:pPr>
                    <w:widowControl/>
                    <w:spacing w:line="235" w:lineRule="auto"/>
                    <w:jc w:val="center"/>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477.26</w:t>
                  </w:r>
                </w:p>
              </w:tc>
            </w:tr>
            <w:tr>
              <w:tblPrEx>
                <w:tblW w:w="7937" w:type="dxa"/>
                <w:jc w:val="center"/>
                <w:tblInd w:w="108" w:type="dxa"/>
                <w:tblLayout w:type="fixed"/>
                <w:tblCellMar>
                  <w:top w:w="0" w:type="dxa"/>
                  <w:left w:w="108" w:type="dxa"/>
                  <w:bottom w:w="0" w:type="dxa"/>
                  <w:right w:w="108" w:type="dxa"/>
                </w:tblCellMar>
                <w:tblLook w:val="0000"/>
              </w:tblPrEx>
              <w:trPr>
                <w:trHeight w:val="458"/>
                <w:jc w:val="center"/>
              </w:trPr>
              <w:tc>
                <w:tcPr>
                  <w:tcW w:w="1278" w:type="dxa"/>
                  <w:vAlign w:val="center"/>
                </w:tcPr>
                <w:p>
                  <w:pPr>
                    <w:widowControl/>
                    <w:jc w:val="center"/>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高邮绿洋湖县级自然保护区</w:t>
                  </w:r>
                </w:p>
              </w:tc>
              <w:tc>
                <w:tcPr>
                  <w:tcW w:w="1342" w:type="dxa"/>
                  <w:vAlign w:val="center"/>
                </w:tcPr>
                <w:p>
                  <w:pPr>
                    <w:widowControl/>
                    <w:jc w:val="center"/>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自然保护区</w:t>
                  </w:r>
                </w:p>
              </w:tc>
              <w:tc>
                <w:tcPr>
                  <w:tcW w:w="4125" w:type="dxa"/>
                  <w:vAlign w:val="center"/>
                </w:tcPr>
                <w:p>
                  <w:pPr>
                    <w:widowControl/>
                    <w:jc w:val="both"/>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包括自然保护区核心区、缓冲区和实验区。</w:t>
                  </w:r>
                </w:p>
                <w:p>
                  <w:pPr>
                    <w:widowControl/>
                    <w:jc w:val="both"/>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地理坐标在东经 119</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31</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24</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 xml:space="preserve"> 至 119</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32</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59</w:t>
                  </w:r>
                </w:p>
                <w:p>
                  <w:pPr>
                    <w:widowControl/>
                    <w:jc w:val="both"/>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 xml:space="preserve"> ，北纬32</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38</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01</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至32</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40</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51</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w:t>
                  </w:r>
                </w:p>
                <w:p>
                  <w:pPr>
                    <w:widowControl/>
                    <w:jc w:val="both"/>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核心区：2.34平方公里（3500亩）。东至新村，西至西大港河，北至绿洋湖组，南至玉溪河。</w:t>
                  </w:r>
                </w:p>
                <w:p>
                  <w:pPr>
                    <w:widowControl/>
                    <w:jc w:val="both"/>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缓冲区：3.04平方公里（4570亩）。东至京沪高速200米控制线，西至江都渌洋湖湿地公园交界处，北至鲍家庄与侉子夏，南至陈家庄。</w:t>
                  </w:r>
                </w:p>
                <w:p>
                  <w:pPr>
                    <w:widowControl/>
                    <w:jc w:val="both"/>
                    <w:rPr>
                      <w:rFonts w:ascii="Times New Roman" w:eastAsia="宋体" w:hAnsi="Times New Roman" w:cs="Times New Roman" w:hint="eastAsia"/>
                      <w:color w:val="auto"/>
                      <w:szCs w:val="21"/>
                    </w:rPr>
                  </w:pPr>
                  <w:r>
                    <w:rPr>
                      <w:rFonts w:ascii="Times New Roman" w:eastAsia="宋体" w:hAnsi="Times New Roman" w:cs="Times New Roman" w:hint="default"/>
                      <w:color w:val="auto"/>
                      <w:sz w:val="21"/>
                      <w:szCs w:val="21"/>
                    </w:rPr>
                    <w:t>实验区：2.96平方公里（4450亩）。东至陈堡路，西至西大港河，南至鲍家庄以北，北至绿洋湖组</w:t>
                  </w:r>
                  <w:r>
                    <w:rPr>
                      <w:rFonts w:ascii="Times New Roman" w:eastAsia="宋体" w:hAnsi="Times New Roman" w:cs="Times New Roman" w:hint="eastAsia"/>
                      <w:color w:val="auto"/>
                      <w:sz w:val="21"/>
                      <w:szCs w:val="21"/>
                      <w:lang w:eastAsia="zh-CN"/>
                    </w:rPr>
                    <w:t>。</w:t>
                  </w:r>
                </w:p>
              </w:tc>
              <w:tc>
                <w:tcPr>
                  <w:tcW w:w="1192" w:type="dxa"/>
                  <w:vAlign w:val="center"/>
                </w:tcPr>
                <w:p>
                  <w:pPr>
                    <w:widowControl/>
                    <w:jc w:val="center"/>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rPr>
                    <w:t xml:space="preserve">8.34 </w:t>
                  </w:r>
                </w:p>
              </w:tc>
            </w:tr>
          </w:tbl>
          <w:p>
            <w:pPr>
              <w:pStyle w:val="BodyTextFirstIndent2"/>
              <w:keepNext w:val="0"/>
              <w:keepLines w:val="0"/>
              <w:pageBreakBefore w:val="0"/>
              <w:widowControl w:val="0"/>
              <w:tabs>
                <w:tab w:val="left" w:pos="2820"/>
                <w:tab w:val="left" w:pos="2975"/>
                <w:tab w:val="center" w:pos="4707"/>
              </w:tabs>
              <w:kinsoku/>
              <w:wordWrap/>
              <w:overflowPunct/>
              <w:topLinePunct w:val="0"/>
              <w:autoSpaceDE/>
              <w:autoSpaceDN/>
              <w:bidi w:val="0"/>
              <w:adjustRightInd/>
              <w:snapToGrid/>
              <w:spacing w:after="0" w:line="360" w:lineRule="auto"/>
              <w:ind w:left="0" w:firstLine="480" w:leftChars="0" w:firstLineChars="200"/>
              <w:jc w:val="both"/>
              <w:textAlignment w:val="auto"/>
              <w:rPr>
                <w:rFonts w:ascii="Times New Roman" w:eastAsia="宋体" w:hAnsi="Times New Roman" w:cs="Times New Roman" w:hint="default"/>
                <w:color w:val="auto"/>
                <w:sz w:val="24"/>
                <w:szCs w:val="24"/>
                <w:lang w:val="en-US" w:eastAsia="zh-CN"/>
              </w:rPr>
            </w:pPr>
            <w:r>
              <w:rPr>
                <w:rFonts w:ascii="Times New Roman" w:eastAsia="宋体" w:hAnsi="Times New Roman" w:cs="Times New Roman" w:hint="default"/>
                <w:color w:val="auto"/>
                <w:sz w:val="24"/>
                <w:szCs w:val="24"/>
                <w:lang w:val="en-US" w:eastAsia="zh-CN"/>
              </w:rPr>
              <w:t>根据《省政府关于印发江苏省国家级生态保护红线规划的通知》，本项目距离最近的</w:t>
            </w:r>
            <w:r>
              <w:rPr>
                <w:rFonts w:ascii="Times New Roman" w:eastAsia="宋体" w:hAnsi="Times New Roman" w:cs="Times New Roman" w:hint="eastAsia"/>
                <w:color w:val="auto"/>
                <w:sz w:val="24"/>
                <w:szCs w:val="24"/>
                <w:lang w:val="en-US" w:eastAsia="zh-CN"/>
              </w:rPr>
              <w:t>生态红线区域</w:t>
            </w:r>
            <w:r>
              <w:rPr>
                <w:rFonts w:ascii="Times New Roman" w:eastAsia="宋体" w:hAnsi="Times New Roman" w:cs="Times New Roman" w:hint="default"/>
                <w:color w:val="auto"/>
                <w:sz w:val="24"/>
                <w:szCs w:val="24"/>
                <w:lang w:val="en-US" w:eastAsia="zh-CN"/>
              </w:rPr>
              <w:t>为高邮湖湿地县级自然保护区，距离</w:t>
            </w:r>
            <w:r>
              <w:rPr>
                <w:rFonts w:ascii="Times New Roman" w:eastAsia="宋体" w:hAnsi="Times New Roman" w:cs="Times New Roman" w:hint="eastAsia"/>
                <w:color w:val="auto"/>
                <w:sz w:val="24"/>
                <w:szCs w:val="24"/>
                <w:lang w:val="en-US" w:eastAsia="zh-CN"/>
              </w:rPr>
              <w:t>约</w:t>
            </w:r>
            <w:r>
              <w:rPr>
                <w:rFonts w:ascii="Times New Roman" w:eastAsia="宋体" w:hAnsi="Times New Roman" w:cs="Times New Roman" w:hint="default"/>
                <w:color w:val="auto"/>
                <w:sz w:val="24"/>
                <w:szCs w:val="24"/>
                <w:lang w:val="en-US" w:eastAsia="zh-CN"/>
              </w:rPr>
              <w:t>为</w:t>
            </w:r>
            <w:r>
              <w:rPr>
                <w:rFonts w:ascii="Times New Roman" w:eastAsia="宋体" w:hAnsi="Times New Roman" w:cs="Times New Roman" w:hint="eastAsia"/>
                <w:color w:val="auto"/>
                <w:sz w:val="24"/>
                <w:szCs w:val="24"/>
                <w:lang w:val="en-US" w:eastAsia="zh-CN"/>
              </w:rPr>
              <w:t>3.05</w:t>
            </w:r>
            <w:r>
              <w:rPr>
                <w:rFonts w:ascii="Times New Roman" w:eastAsia="宋体" w:hAnsi="Times New Roman" w:cs="Times New Roman" w:hint="default"/>
                <w:color w:val="auto"/>
                <w:sz w:val="24"/>
                <w:szCs w:val="24"/>
                <w:lang w:val="en-US" w:eastAsia="zh-CN"/>
              </w:rPr>
              <w:t>km</w:t>
            </w:r>
            <w:r>
              <w:rPr>
                <w:rFonts w:ascii="Times New Roman" w:eastAsia="宋体" w:hAnsi="Times New Roman" w:cs="Times New Roman" w:hint="eastAsia"/>
                <w:color w:val="auto"/>
                <w:sz w:val="24"/>
                <w:szCs w:val="24"/>
                <w:lang w:val="en-US" w:eastAsia="zh-CN"/>
              </w:rPr>
              <w:t>（位于本项目西侧）</w:t>
            </w:r>
            <w:r>
              <w:rPr>
                <w:rFonts w:ascii="Times New Roman" w:eastAsia="宋体" w:hAnsi="Times New Roman" w:cs="Times New Roman" w:hint="default"/>
                <w:color w:val="auto"/>
                <w:sz w:val="24"/>
                <w:szCs w:val="24"/>
                <w:lang w:val="en-US" w:eastAsia="zh-CN"/>
              </w:rPr>
              <w:t>。本项目不在高邮湖湿地县级自然保护区内，符合《省政府关于印发江苏省国家级生态保护红线规划的通知》（苏政发[2018]74号文）的相关要求。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b w:val="0"/>
                <w:bCs w:val="0"/>
                <w:color w:val="auto"/>
                <w:sz w:val="24"/>
              </w:rPr>
            </w:pPr>
            <w:r>
              <w:rPr>
                <w:rFonts w:ascii="Times New Roman" w:hAnsi="Times New Roman" w:cs="Times New Roman" w:hint="default"/>
                <w:b w:val="0"/>
                <w:bCs w:val="0"/>
                <w:color w:val="auto"/>
                <w:sz w:val="24"/>
                <w:szCs w:val="24"/>
                <w:lang w:val="en-US" w:eastAsia="zh-CN"/>
              </w:rPr>
              <w:t>（2）</w:t>
            </w:r>
            <w:r>
              <w:rPr>
                <w:rFonts w:ascii="Times New Roman" w:eastAsia="宋体" w:hAnsi="Times New Roman" w:cs="Times New Roman" w:hint="default"/>
                <w:b w:val="0"/>
                <w:bCs w:val="0"/>
                <w:color w:val="auto"/>
                <w:sz w:val="24"/>
                <w:szCs w:val="24"/>
                <w:lang w:val="en-US" w:eastAsia="zh-CN"/>
              </w:rPr>
              <w:t>与环境质量底线的相符性分析</w:t>
            </w:r>
          </w:p>
        </w:tc>
      </w:tr>
    </w:tbl>
    <w:p>
      <w:pPr>
        <w:sectPr>
          <w:footerReference w:type="default" r:id="rId6"/>
          <w:type w:val="nextPage"/>
          <w:pgSz w:w="11906" w:h="16838"/>
          <w:pgMar w:top="1440" w:right="1080" w:bottom="1440" w:left="1080" w:header="851" w:footer="1077"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linePitch="312"/>
        </w:sectPr>
      </w:pPr>
    </w:p>
    <w:tbl>
      <w:tblPr>
        <w:tblStyle w:val="TableNormal"/>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33"/>
        <w:gridCol w:w="8572"/>
      </w:tblGrid>
      <w:tr>
        <w:tblPrEx>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533" w:type="dxa"/>
            <w:vAlign w:val="center"/>
          </w:tcPr>
          <w:p/>
        </w:tc>
        <w:tc>
          <w:tcPr>
            <w:tcW w:w="8572"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eastAsia"/>
                <w:b w:val="0"/>
                <w:bCs w:val="0"/>
                <w:color w:val="auto"/>
                <w:sz w:val="24"/>
              </w:rPr>
            </w:pPr>
            <w:r>
              <w:rPr>
                <w:rFonts w:ascii="Times New Roman" w:eastAsia="宋体" w:hAnsi="Times New Roman" w:cs="Times New Roman" w:hint="default"/>
                <w:color w:val="auto"/>
                <w:sz w:val="24"/>
                <w:szCs w:val="24"/>
              </w:rPr>
              <w:t>根据20</w:t>
            </w:r>
            <w:r>
              <w:rPr>
                <w:rFonts w:ascii="Times New Roman" w:eastAsia="宋体" w:hAnsi="Times New Roman" w:cs="Times New Roman" w:hint="eastAsia"/>
                <w:color w:val="auto"/>
                <w:sz w:val="24"/>
                <w:szCs w:val="24"/>
                <w:lang w:val="en-US" w:eastAsia="zh-CN"/>
              </w:rPr>
              <w:t>22</w:t>
            </w:r>
            <w:r>
              <w:rPr>
                <w:rFonts w:ascii="Times New Roman" w:eastAsia="宋体" w:hAnsi="Times New Roman" w:cs="Times New Roman" w:hint="default"/>
                <w:color w:val="auto"/>
                <w:sz w:val="24"/>
                <w:szCs w:val="24"/>
              </w:rPr>
              <w:t>年度高邮市生态环境质量公报</w:t>
            </w:r>
            <w:r>
              <w:rPr>
                <w:rFonts w:ascii="Times New Roman" w:eastAsia="宋体" w:hAnsi="Times New Roman" w:cs="Times New Roman" w:hint="eastAsia"/>
                <w:color w:val="auto"/>
                <w:sz w:val="24"/>
                <w:szCs w:val="24"/>
                <w:lang w:eastAsia="zh-CN"/>
              </w:rPr>
              <w:t>，项目所在区域的环境空气质量均达标，</w:t>
            </w:r>
            <w:r>
              <w:rPr>
                <w:color w:val="auto"/>
                <w:sz w:val="24"/>
              </w:rPr>
              <w:t>因此判定为达标区</w:t>
            </w:r>
            <w:r>
              <w:rPr>
                <w:rFonts w:ascii="Times New Roman" w:hAnsi="Times New Roman" w:cs="Times New Roman" w:hint="default"/>
                <w:color w:val="auto"/>
                <w:sz w:val="24"/>
                <w:szCs w:val="24"/>
              </w:rPr>
              <w:t>。</w:t>
            </w:r>
            <w:r>
              <w:rPr>
                <w:rFonts w:ascii="Times New Roman" w:eastAsia="宋体" w:hAnsi="Times New Roman" w:hint="eastAsia"/>
                <w:b w:val="0"/>
                <w:bCs w:val="0"/>
                <w:color w:val="auto"/>
                <w:sz w:val="24"/>
                <w:lang w:val="en-US" w:eastAsia="zh-CN"/>
              </w:rPr>
              <w:t>区域地表水环境质量可满足《地表水环境质量标准》（GB3838-2002</w:t>
            </w:r>
            <w:r>
              <w:rPr>
                <w:rFonts w:ascii="Times New Roman" w:eastAsia="宋体" w:hAnsi="Times New Roman" w:hint="eastAsia"/>
                <w:b w:val="0"/>
                <w:bCs w:val="0"/>
                <w:color w:val="auto"/>
                <w:sz w:val="24"/>
                <w:szCs w:val="24"/>
                <w:highlight w:val="none"/>
                <w:lang w:val="en-US" w:eastAsia="zh-CN"/>
              </w:rPr>
              <w:t>）中标准要求</w:t>
            </w:r>
            <w:r>
              <w:rPr>
                <w:rFonts w:ascii="Times New Roman" w:eastAsia="宋体" w:hAnsi="Times New Roman" w:cs="Times New Roman" w:hint="eastAsia"/>
                <w:b w:val="0"/>
                <w:bCs w:val="0"/>
                <w:color w:val="auto"/>
                <w:spacing w:val="0"/>
                <w:sz w:val="24"/>
                <w:lang w:val="en-US" w:eastAsia="zh-CN"/>
              </w:rPr>
              <w:t>。</w:t>
            </w:r>
            <w:r>
              <w:rPr>
                <w:rFonts w:ascii="Times New Roman" w:eastAsia="宋体" w:hAnsi="Times New Roman" w:hint="eastAsia"/>
                <w:b w:val="0"/>
                <w:bCs w:val="0"/>
                <w:color w:val="auto"/>
                <w:sz w:val="24"/>
                <w:szCs w:val="24"/>
                <w:highlight w:val="none"/>
              </w:rPr>
              <w:t>项目区域声环境达到《声环境质量标准》（GB3096-2008）</w:t>
            </w:r>
            <w:r>
              <w:rPr>
                <w:rFonts w:ascii="Times New Roman" w:eastAsia="宋体" w:hAnsi="Times New Roman" w:hint="eastAsia"/>
                <w:b w:val="0"/>
                <w:bCs w:val="0"/>
                <w:color w:val="auto"/>
                <w:sz w:val="24"/>
                <w:szCs w:val="24"/>
                <w:highlight w:val="none"/>
                <w:lang w:val="en-US" w:eastAsia="zh-CN"/>
              </w:rPr>
              <w:t>2</w:t>
            </w:r>
            <w:r>
              <w:rPr>
                <w:rFonts w:ascii="Times New Roman" w:eastAsia="宋体" w:hAnsi="Times New Roman" w:hint="eastAsia"/>
                <w:b w:val="0"/>
                <w:bCs w:val="0"/>
                <w:color w:val="auto"/>
                <w:sz w:val="24"/>
                <w:szCs w:val="24"/>
                <w:highlight w:val="none"/>
              </w:rPr>
              <w:t>类标准</w:t>
            </w:r>
            <w:r>
              <w:rPr>
                <w:rFonts w:ascii="Times New Roman" w:eastAsia="宋体" w:hAnsi="Times New Roman" w:cs="Times New Roman" w:hint="default"/>
                <w:b w:val="0"/>
                <w:bCs w:val="0"/>
                <w:color w:val="auto"/>
                <w:sz w:val="24"/>
                <w:szCs w:val="24"/>
                <w:lang w:val="en-US" w:eastAsia="zh-CN"/>
              </w:rPr>
              <w:t>。</w:t>
            </w:r>
            <w:r>
              <w:rPr>
                <w:rFonts w:ascii="Times New Roman" w:eastAsia="宋体" w:hAnsi="Times New Roman" w:cs="Times New Roman" w:hint="default"/>
                <w:b w:val="0"/>
                <w:bCs w:val="0"/>
                <w:color w:val="auto"/>
                <w:sz w:val="24"/>
                <w:szCs w:val="24"/>
                <w:lang w:val="en-US" w:eastAsia="zh-CN"/>
              </w:rPr>
              <w:t>本项目营运过程中产生</w:t>
            </w:r>
            <w:r>
              <w:rPr>
                <w:rFonts w:ascii="Times New Roman" w:eastAsia="宋体" w:hAnsi="Times New Roman" w:cs="Times New Roman" w:hint="eastAsia"/>
                <w:b w:val="0"/>
                <w:bCs w:val="0"/>
                <w:color w:val="auto"/>
                <w:sz w:val="24"/>
                <w:szCs w:val="24"/>
                <w:lang w:val="en-US" w:eastAsia="zh-CN"/>
              </w:rPr>
              <w:t>的</w:t>
            </w:r>
            <w:r>
              <w:rPr>
                <w:rFonts w:ascii="Times New Roman" w:eastAsia="宋体" w:hAnsi="Times New Roman" w:cs="Times New Roman" w:hint="default"/>
                <w:b w:val="0"/>
                <w:bCs w:val="0"/>
                <w:color w:val="auto"/>
                <w:sz w:val="24"/>
                <w:szCs w:val="24"/>
                <w:lang w:val="en-US" w:eastAsia="zh-CN"/>
              </w:rPr>
              <w:t>污染物采取相应的污染防治措施，各类污染物的排放不会对周围环境造成不良影响</w:t>
            </w:r>
            <w:r>
              <w:rPr>
                <w:rFonts w:ascii="宋体" w:eastAsia="宋体" w:hAnsi="宋体" w:cs="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b w:val="0"/>
                <w:bCs w:val="0"/>
                <w:color w:val="auto"/>
                <w:sz w:val="24"/>
              </w:rPr>
            </w:pPr>
            <w:r>
              <w:rPr>
                <w:rFonts w:ascii="Times New Roman" w:hAnsi="Times New Roman" w:cs="Times New Roman" w:hint="default"/>
                <w:b w:val="0"/>
                <w:bCs w:val="0"/>
                <w:color w:val="auto"/>
                <w:sz w:val="24"/>
                <w:szCs w:val="24"/>
                <w:lang w:val="en-US" w:eastAsia="zh-CN"/>
              </w:rPr>
              <w:t>（3）</w:t>
            </w:r>
            <w:r>
              <w:rPr>
                <w:rFonts w:ascii="Times New Roman" w:eastAsia="宋体" w:hAnsi="Times New Roman" w:cs="Times New Roman" w:hint="default"/>
                <w:b w:val="0"/>
                <w:bCs w:val="0"/>
                <w:color w:val="auto"/>
                <w:sz w:val="24"/>
                <w:szCs w:val="24"/>
                <w:lang w:val="en-US" w:eastAsia="zh-CN"/>
              </w:rPr>
              <w:t>与资源利用上线的对照分析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b w:val="0"/>
                <w:bCs w:val="0"/>
                <w:color w:val="auto"/>
                <w:sz w:val="24"/>
              </w:rPr>
            </w:pPr>
            <w:r>
              <w:rPr>
                <w:rFonts w:ascii="Times New Roman" w:eastAsia="宋体" w:hAnsi="Times New Roman" w:hint="eastAsia"/>
                <w:color w:val="auto"/>
                <w:sz w:val="24"/>
              </w:rPr>
              <w:t>本项目用水来自自来水管网，区域自来水厂可满足本项目新鲜水使用要求，不会达到资源利用上线；项目用电由市政电网所供给，区域电网可满足项目使用要求，不会达到资源利用上线；项目用地为工业用地，符合当地土地规划要求，亦不会达到资源利用上线</w:t>
            </w:r>
            <w:r>
              <w:rPr>
                <w:rFonts w:ascii="Times New Roman" w:eastAsia="宋体" w:hAnsi="Times New Roman" w:cs="Times New Roman" w:hint="default"/>
                <w:b w:val="0"/>
                <w:bCs w:val="0"/>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b w:val="0"/>
                <w:bCs w:val="0"/>
                <w:color w:val="auto"/>
                <w:sz w:val="24"/>
              </w:rPr>
            </w:pPr>
            <w:r>
              <w:rPr>
                <w:rFonts w:ascii="Times New Roman" w:hAnsi="Times New Roman" w:cs="Times New Roman" w:hint="default"/>
                <w:b w:val="0"/>
                <w:bCs w:val="0"/>
                <w:color w:val="auto"/>
                <w:sz w:val="24"/>
                <w:szCs w:val="24"/>
                <w:lang w:val="en-US" w:eastAsia="zh-CN"/>
              </w:rPr>
              <w:t>（4）</w:t>
            </w:r>
            <w:r>
              <w:rPr>
                <w:rFonts w:ascii="Times New Roman" w:eastAsia="宋体" w:hAnsi="Times New Roman" w:cs="Times New Roman" w:hint="default"/>
                <w:b w:val="0"/>
                <w:bCs w:val="0"/>
                <w:color w:val="auto"/>
                <w:sz w:val="24"/>
                <w:szCs w:val="24"/>
                <w:lang w:val="en-US" w:eastAsia="zh-CN"/>
              </w:rPr>
              <w:t>与环境准入负面清单的对照</w:t>
            </w:r>
            <w:r>
              <w:rPr>
                <w:rFonts w:ascii="Times New Roman" w:hAnsi="Times New Roman" w:cs="Times New Roman" w:hint="default"/>
                <w:b w:val="0"/>
                <w:bCs w:val="0"/>
                <w:color w:val="auto"/>
                <w:sz w:val="24"/>
                <w:szCs w:val="24"/>
                <w:lang w:val="en-US" w:eastAsia="zh-CN"/>
              </w:rPr>
              <w:t>分析</w:t>
            </w:r>
          </w:p>
          <w:p>
            <w:pPr>
              <w:spacing w:line="360" w:lineRule="auto"/>
              <w:ind w:firstLine="480" w:firstLineChars="200"/>
              <w:rPr>
                <w:rFonts w:ascii="Times New Roman" w:hAnsi="Times New Roman" w:cs="Times New Roman" w:hint="default"/>
                <w:color w:val="auto"/>
                <w:sz w:val="24"/>
              </w:rPr>
            </w:pPr>
            <w:r>
              <w:rPr>
                <w:rFonts w:ascii="Times New Roman" w:hAnsi="Times New Roman" w:cs="Times New Roman" w:hint="default"/>
                <w:color w:val="auto"/>
                <w:sz w:val="24"/>
              </w:rPr>
              <w:t>与</w:t>
            </w:r>
            <w:r>
              <w:rPr>
                <w:rFonts w:ascii="Times New Roman" w:hAnsi="Times New Roman" w:cs="Times New Roman" w:hint="default"/>
                <w:color w:val="auto"/>
                <w:sz w:val="24"/>
                <w:lang w:val="en-US" w:eastAsia="zh-CN"/>
              </w:rPr>
              <w:t>《长江经济带发展负面清单指南（试行</w:t>
            </w:r>
            <w:r>
              <w:rPr>
                <w:rFonts w:ascii="Times New Roman" w:hAnsi="Times New Roman" w:cs="Times New Roman" w:hint="eastAsia"/>
                <w:color w:val="auto"/>
                <w:sz w:val="24"/>
                <w:lang w:val="en-US" w:eastAsia="zh-CN"/>
              </w:rPr>
              <w:t>，</w:t>
            </w:r>
            <w:r>
              <w:rPr>
                <w:rFonts w:ascii="Times New Roman" w:hAnsi="Times New Roman" w:cs="Times New Roman" w:hint="default"/>
                <w:color w:val="auto"/>
                <w:sz w:val="24"/>
                <w:lang w:val="en-US" w:eastAsia="zh-CN"/>
              </w:rPr>
              <w:t>2022年版）》江苏省实施细则</w:t>
            </w:r>
            <w:r>
              <w:rPr>
                <w:rFonts w:ascii="Times New Roman" w:hAnsi="Times New Roman" w:cs="Times New Roman" w:hint="default"/>
                <w:color w:val="auto"/>
                <w:sz w:val="24"/>
              </w:rPr>
              <w:t>相符性分析，见表1-</w:t>
            </w:r>
            <w:r>
              <w:rPr>
                <w:rFonts w:ascii="Times New Roman" w:hAnsi="Times New Roman" w:cs="Times New Roman" w:hint="eastAsia"/>
                <w:color w:val="auto"/>
                <w:sz w:val="24"/>
                <w:lang w:val="en-US" w:eastAsia="zh-CN"/>
              </w:rPr>
              <w:t>3</w:t>
            </w:r>
            <w:r>
              <w:rPr>
                <w:rFonts w:ascii="Times New Roman" w:hAnsi="Times New Roman" w:cs="Times New Roman" w:hint="default"/>
                <w:color w:val="auto"/>
                <w:sz w:val="24"/>
              </w:rPr>
              <w:t>。</w:t>
            </w:r>
          </w:p>
          <w:p>
            <w:pPr>
              <w:spacing w:line="240" w:lineRule="auto"/>
              <w:jc w:val="center"/>
              <w:rPr>
                <w:rFonts w:ascii="Times New Roman" w:eastAsia="宋体" w:hAnsi="Times New Roman" w:cs="Times New Roman" w:hint="eastAsia"/>
                <w:b/>
                <w:bCs/>
                <w:color w:val="auto"/>
                <w:sz w:val="24"/>
              </w:rPr>
            </w:pPr>
            <w:r>
              <w:rPr>
                <w:rFonts w:ascii="Times New Roman" w:hAnsi="Times New Roman" w:cs="Times New Roman" w:hint="default"/>
                <w:b/>
                <w:bCs/>
                <w:color w:val="auto"/>
                <w:sz w:val="24"/>
              </w:rPr>
              <w:t>表1-</w:t>
            </w:r>
            <w:r>
              <w:rPr>
                <w:rFonts w:ascii="Times New Roman" w:hAnsi="Times New Roman" w:cs="Times New Roman" w:hint="eastAsia"/>
                <w:b/>
                <w:bCs/>
                <w:color w:val="auto"/>
                <w:sz w:val="24"/>
                <w:lang w:val="en-US" w:eastAsia="zh-CN"/>
              </w:rPr>
              <w:t>3</w:t>
            </w:r>
            <w:r>
              <w:rPr>
                <w:rFonts w:ascii="Times New Roman" w:hAnsi="Times New Roman" w:cs="Times New Roman" w:hint="default"/>
                <w:b/>
                <w:bCs/>
                <w:color w:val="auto"/>
                <w:sz w:val="24"/>
              </w:rPr>
              <w:t xml:space="preserve">  </w:t>
            </w:r>
            <w:r>
              <w:rPr>
                <w:rFonts w:ascii="Times New Roman" w:hAnsi="Times New Roman" w:cs="Times New Roman" w:hint="default"/>
                <w:b/>
                <w:bCs/>
                <w:color w:val="auto"/>
                <w:sz w:val="24"/>
                <w:lang w:val="en-US" w:eastAsia="zh-CN"/>
              </w:rPr>
              <w:t>长江经济带发展负面清单指南（试行，2022年版）江苏省实施细则</w:t>
            </w:r>
            <w:r>
              <w:rPr>
                <w:rFonts w:ascii="Times New Roman" w:hAnsi="Times New Roman" w:cs="Times New Roman" w:hint="eastAsia"/>
                <w:b/>
                <w:bCs/>
                <w:color w:val="auto"/>
                <w:sz w:val="24"/>
                <w:lang w:eastAsia="zh-CN"/>
              </w:rPr>
              <w:t>相符性分析表</w:t>
            </w:r>
          </w:p>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57"/>
              <w:gridCol w:w="6974"/>
              <w:gridCol w:w="82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49"/>
                <w:jc w:val="center"/>
              </w:trPr>
              <w:tc>
                <w:tcPr>
                  <w:tcW w:w="540" w:type="dxa"/>
                  <w:vAlign w:val="center"/>
                </w:tcPr>
                <w:p>
                  <w:pPr>
                    <w:pStyle w:val="NormalIndent"/>
                    <w:ind w:firstLine="0" w:firstLineChars="0"/>
                    <w:jc w:val="center"/>
                    <w:rPr>
                      <w:rFonts w:ascii="Times New Roman" w:eastAsia="宋体" w:hAnsi="Times New Roman" w:cs="Times New Roman" w:hint="default"/>
                      <w:b/>
                      <w:color w:val="auto"/>
                      <w:sz w:val="21"/>
                      <w:szCs w:val="21"/>
                    </w:rPr>
                  </w:pPr>
                  <w:r>
                    <w:rPr>
                      <w:rFonts w:ascii="Times New Roman" w:eastAsia="宋体" w:hAnsi="Times New Roman" w:cs="Times New Roman" w:hint="default"/>
                      <w:b/>
                      <w:color w:val="auto"/>
                      <w:sz w:val="21"/>
                      <w:szCs w:val="21"/>
                    </w:rPr>
                    <w:t>序号</w:t>
                  </w:r>
                </w:p>
              </w:tc>
              <w:tc>
                <w:tcPr>
                  <w:tcW w:w="6755" w:type="dxa"/>
                  <w:vAlign w:val="center"/>
                </w:tcPr>
                <w:p>
                  <w:pPr>
                    <w:pStyle w:val="NormalIndent"/>
                    <w:ind w:firstLine="0" w:firstLineChars="0"/>
                    <w:jc w:val="center"/>
                    <w:rPr>
                      <w:rFonts w:ascii="Times New Roman" w:eastAsia="宋体" w:hAnsi="Times New Roman" w:cs="Times New Roman" w:hint="default"/>
                      <w:b/>
                      <w:color w:val="auto"/>
                      <w:sz w:val="21"/>
                      <w:szCs w:val="21"/>
                    </w:rPr>
                  </w:pPr>
                  <w:r>
                    <w:rPr>
                      <w:rFonts w:ascii="Times New Roman" w:eastAsia="宋体" w:hAnsi="Times New Roman" w:cs="Times New Roman" w:hint="default"/>
                      <w:b/>
                      <w:color w:val="auto"/>
                      <w:sz w:val="21"/>
                      <w:szCs w:val="21"/>
                    </w:rPr>
                    <w:t>长江经济带发展负面清单</w:t>
                  </w:r>
                </w:p>
              </w:tc>
              <w:tc>
                <w:tcPr>
                  <w:tcW w:w="799" w:type="dxa"/>
                  <w:vAlign w:val="center"/>
                </w:tcPr>
                <w:p>
                  <w:pPr>
                    <w:pStyle w:val="NormalIndent"/>
                    <w:ind w:firstLine="0" w:firstLineChars="0"/>
                    <w:jc w:val="center"/>
                    <w:rPr>
                      <w:rFonts w:ascii="Times New Roman" w:eastAsia="宋体" w:hAnsi="Times New Roman" w:cs="Times New Roman" w:hint="default"/>
                      <w:b/>
                      <w:color w:val="auto"/>
                      <w:sz w:val="21"/>
                      <w:szCs w:val="21"/>
                    </w:rPr>
                  </w:pPr>
                  <w:r>
                    <w:rPr>
                      <w:rFonts w:ascii="Times New Roman" w:eastAsia="宋体" w:hAnsi="Times New Roman" w:cs="Times New Roman" w:hint="default"/>
                      <w:b/>
                      <w:color w:val="auto"/>
                      <w:sz w:val="21"/>
                      <w:szCs w:val="21"/>
                    </w:rPr>
                    <w:t>对照结果</w:t>
                  </w:r>
                </w:p>
              </w:tc>
            </w:tr>
            <w:tr>
              <w:tblPrEx>
                <w:tblW w:w="5000" w:type="pct"/>
                <w:jc w:val="center"/>
                <w:tblInd w:w="108" w:type="dxa"/>
                <w:tblLayout w:type="fixed"/>
                <w:tblCellMar>
                  <w:top w:w="0" w:type="dxa"/>
                  <w:left w:w="108" w:type="dxa"/>
                  <w:bottom w:w="0" w:type="dxa"/>
                  <w:right w:w="108" w:type="dxa"/>
                </w:tblCellMar>
                <w:tblLook w:val="0000"/>
              </w:tblPrEx>
              <w:trPr>
                <w:trHeight w:val="834"/>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1</w:t>
                  </w:r>
                </w:p>
              </w:tc>
              <w:tc>
                <w:tcPr>
                  <w:tcW w:w="6755" w:type="dxa"/>
                  <w:vAlign w:val="center"/>
                </w:tcPr>
                <w:p>
                  <w:pPr>
                    <w:rPr>
                      <w:rFonts w:ascii="Times New Roman" w:hAnsi="Times New Roman" w:cs="Times New Roman" w:hint="default"/>
                      <w:color w:val="auto"/>
                    </w:rPr>
                  </w:pPr>
                  <w:r>
                    <w:rPr>
                      <w:rFonts w:hint="eastAsia"/>
                      <w:color w:val="auto"/>
                      <w:lang w:eastAsia="zh-CN"/>
                    </w:rPr>
                    <w:t>禁止建设不符合国家港口布局规划和《江苏省沿江沿海港口布局规划（2015-2030年）》《江苏省内河港口布局规划（2017-2035年）》以及我省有关港口总体规划的码头项目，禁止建设未纳入《长江干线过江通道布局规划》的过长江通道项目。</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2</w:t>
                  </w:r>
                </w:p>
              </w:tc>
              <w:tc>
                <w:tcPr>
                  <w:tcW w:w="6755" w:type="dxa"/>
                  <w:vAlign w:val="center"/>
                </w:tcPr>
                <w:p>
                  <w:pPr>
                    <w:rPr>
                      <w:rFonts w:ascii="Times New Roman" w:hAnsi="Times New Roman" w:cs="Times New Roman" w:hint="default"/>
                      <w:color w:val="auto"/>
                    </w:rPr>
                  </w:pPr>
                  <w:r>
                    <w:rPr>
                      <w:rFonts w:hint="eastAsia"/>
                      <w:color w:val="auto"/>
                      <w:lang w:eastAsia="zh-CN"/>
                    </w:rPr>
                    <w:t>严格执行《中华人民共和国自然保护区条例》，禁止在自然保护区核心区、缓冲区的岸线和河段范围内投资建设旅游和生产经营项目。严格执行《风景名胜区条例》《江苏省风景名胜区管理条例》，禁止在国家级和省级风景名胜区核心景区的岸线和河段范围内投资建设与风景名胜资源保护无关的项目。自然保护区、风景名胜区由省林业局会同有关方面界定并落实管控责任。</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3</w:t>
                  </w:r>
                </w:p>
              </w:tc>
              <w:tc>
                <w:tcPr>
                  <w:tcW w:w="6755" w:type="dxa"/>
                  <w:vAlign w:val="center"/>
                </w:tcPr>
                <w:p>
                  <w:pPr>
                    <w:rPr>
                      <w:rFonts w:ascii="Times New Roman" w:eastAsia="宋体" w:hAnsi="Times New Roman" w:cs="Times New Roman" w:hint="eastAsia"/>
                      <w:color w:val="auto"/>
                    </w:rPr>
                  </w:pPr>
                  <w:r>
                    <w:rPr>
                      <w:rFonts w:hint="eastAsia"/>
                      <w:color w:val="auto"/>
                      <w:lang w:eastAsia="zh-CN"/>
                    </w:rPr>
                    <w:t>严格执行《中华人民共和国水污染防治法》《江苏省人民代表大会常务委员会关于加强饮用水源地保护的决定》《江苏省水污染防治条例》，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禁止在饮用水水源准保护区的岸线和河段范围内新建、扩建对水体污染严重的投资建设项目，改建项目应当消减排污量。饮用水水源一级保护区、二级保护区、准保护区由省生态环境厅会同水利等有关方面界定并落实管控责任。</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4</w:t>
                  </w:r>
                </w:p>
              </w:tc>
              <w:tc>
                <w:tcPr>
                  <w:tcW w:w="6755" w:type="dxa"/>
                  <w:vAlign w:val="center"/>
                </w:tcPr>
                <w:p>
                  <w:pPr>
                    <w:spacing w:after="0"/>
                    <w:rPr>
                      <w:rFonts w:ascii="Times New Roman" w:hAnsi="Times New Roman" w:cs="Times New Roman" w:hint="default"/>
                      <w:color w:val="auto"/>
                    </w:rPr>
                  </w:pP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bl>
          <w:p/>
        </w:tc>
      </w:tr>
    </w:tbl>
    <w:p>
      <w:pPr>
        <w:sectPr>
          <w:footerReference w:type="default" r:id="rId7"/>
          <w:type w:val="nextPage"/>
          <w:pgSz w:w="11906" w:h="16838"/>
          <w:pgMar w:top="1440" w:right="1080" w:bottom="1440" w:left="1080" w:header="851" w:footer="1077" w:gutter="0"/>
          <w:pgBorders w:zOrder="front" w:display="allPages" w:offsetFrom="text">
            <w:top w:val="none" w:sz="0" w:space="0" w:color="auto"/>
            <w:left w:val="none" w:sz="0" w:space="0" w:color="auto"/>
            <w:bottom w:val="none" w:sz="0" w:space="0" w:color="auto"/>
            <w:right w:val="none" w:sz="0" w:space="0" w:color="auto"/>
          </w:pgBorders>
          <w:pgNumType w:start="4"/>
          <w:cols w:space="708"/>
          <w:titlePg w:val="0"/>
          <w:docGrid w:linePitch="312"/>
        </w:sectPr>
      </w:pPr>
    </w:p>
    <w:tbl>
      <w:tblPr>
        <w:tblStyle w:val="TableNormal"/>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33"/>
        <w:gridCol w:w="8572"/>
      </w:tblGrid>
      <w:tr>
        <w:tblPrEx>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533" w:type="dxa"/>
            <w:vAlign w:val="center"/>
          </w:tcPr>
          <w:p/>
        </w:tc>
        <w:tc>
          <w:tcPr>
            <w:tcW w:w="8572" w:type="dxa"/>
            <w:vAlign w:val="center"/>
          </w:tcPr>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57"/>
              <w:gridCol w:w="6974"/>
              <w:gridCol w:w="82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3"/>
                <w:jc w:val="center"/>
              </w:trPr>
              <w:tc>
                <w:tcPr>
                  <w:tcW w:w="540" w:type="dxa"/>
                  <w:vAlign w:val="center"/>
                </w:tcPr>
                <w:p/>
              </w:tc>
              <w:tc>
                <w:tcPr>
                  <w:tcW w:w="6755" w:type="dxa"/>
                  <w:vAlign w:val="center"/>
                </w:tcPr>
                <w:p>
                  <w:pPr>
                    <w:spacing w:before="0"/>
                    <w:rPr>
                      <w:rFonts w:ascii="Times New Roman" w:hAnsi="Times New Roman" w:cs="Times New Roman" w:hint="default"/>
                      <w:color w:val="auto"/>
                    </w:rPr>
                  </w:pPr>
                  <w:r>
                    <w:rPr>
                      <w:rFonts w:hint="eastAsia"/>
                      <w:color w:val="auto"/>
                      <w:lang w:eastAsia="zh-CN"/>
                    </w:rPr>
                    <w:t>严格执行《水产种质资源保护区管理暂行办法》，禁止在国家级和省级水产种质资源保护区的岸线和河段范围内新建围湖造田、围海造地或围填海等投资建设项目。严格执行《中华人民共和国湿地保护法》《江苏省湿地保护条例》，禁止在国家湿地公园的岸线和河段范围内挖沙、采矿，以及任何不符合主体功能定位的投资建设项目。水产种质资源保护区、国家湿地公园分别由省农业农村厅、省林业局会同有关方面界定并落实管控责任</w:t>
                  </w:r>
                  <w:r>
                    <w:rPr>
                      <w:rFonts w:ascii="Times New Roman" w:hAnsi="Times New Roman" w:cs="Times New Roman" w:hint="default"/>
                      <w:color w:val="auto"/>
                    </w:rPr>
                    <w:t>。</w:t>
                  </w:r>
                </w:p>
              </w:tc>
              <w:tc>
                <w:tcPr>
                  <w:tcW w:w="799" w:type="dxa"/>
                  <w:vAlign w:val="center"/>
                </w:tcP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5</w:t>
                  </w:r>
                </w:p>
              </w:tc>
              <w:tc>
                <w:tcPr>
                  <w:tcW w:w="6755" w:type="dxa"/>
                  <w:vAlign w:val="center"/>
                </w:tcPr>
                <w:p>
                  <w:pPr>
                    <w:rPr>
                      <w:rFonts w:ascii="Times New Roman" w:hAnsi="Times New Roman" w:cs="Times New Roman" w:hint="default"/>
                      <w:color w:val="auto"/>
                    </w:rPr>
                  </w:pPr>
                  <w:r>
                    <w:rPr>
                      <w:rFonts w:hint="eastAsia"/>
                      <w:color w:val="auto"/>
                      <w:lang w:eastAsia="zh-CN"/>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长江干支流基础设施项目应按照《长江岸线保护和开发利用总体规划》和生态环境保护、岸线保护等要求，按规定开展项目前期论证并办理相关手续。禁止在《全国重要江河湖泊水功能区划》划定的河段及湖泊保护区、保留区内投资建设不利于水资源及自然生态保护的项目</w:t>
                  </w:r>
                  <w:r>
                    <w:rPr>
                      <w:rFonts w:ascii="Times New Roman" w:hAnsi="Times New Roman" w:cs="Times New Roman" w:hint="default"/>
                      <w:color w:val="auto"/>
                    </w:rPr>
                    <w:t>。</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6</w:t>
                  </w:r>
                </w:p>
              </w:tc>
              <w:tc>
                <w:tcPr>
                  <w:tcW w:w="6755" w:type="dxa"/>
                  <w:vAlign w:val="center"/>
                </w:tcPr>
                <w:p>
                  <w:pPr>
                    <w:rPr>
                      <w:rFonts w:ascii="Times New Roman" w:hAnsi="Times New Roman" w:cs="Times New Roman" w:hint="default"/>
                      <w:color w:val="auto"/>
                    </w:rPr>
                  </w:pPr>
                  <w:r>
                    <w:rPr>
                      <w:rFonts w:hint="eastAsia"/>
                      <w:color w:val="auto"/>
                      <w:lang w:eastAsia="zh-CN"/>
                    </w:rPr>
                    <w:t>禁止未经许可在长江干支流及湖泊新设、改设或扩大排污口。</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7</w:t>
                  </w:r>
                </w:p>
              </w:tc>
              <w:tc>
                <w:tcPr>
                  <w:tcW w:w="6755" w:type="dxa"/>
                  <w:vAlign w:val="center"/>
                </w:tcPr>
                <w:p>
                  <w:pPr>
                    <w:rPr>
                      <w:rFonts w:ascii="Times New Roman" w:eastAsia="宋体" w:hAnsi="Times New Roman" w:cs="Times New Roman" w:hint="eastAsia"/>
                      <w:color w:val="auto"/>
                    </w:rPr>
                  </w:pPr>
                  <w:r>
                    <w:rPr>
                      <w:rFonts w:hint="eastAsia"/>
                      <w:color w:val="auto"/>
                      <w:lang w:eastAsia="zh-CN"/>
                    </w:rPr>
                    <w:t>禁止长江干流、长江口、34个列入《率先全面禁捕的长江流域水生生物保护区名录》的水生生物保护区以及省规定的其它禁渔水域开展生产性捕捞</w:t>
                  </w:r>
                  <w:r>
                    <w:rPr>
                      <w:rFonts w:ascii="Times New Roman" w:hAnsi="Times New Roman" w:cs="Times New Roman" w:hint="eastAsia"/>
                      <w:color w:val="auto"/>
                      <w:lang w:eastAsia="zh-CN"/>
                    </w:rPr>
                    <w:t>。</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8</w:t>
                  </w:r>
                </w:p>
              </w:tc>
              <w:tc>
                <w:tcPr>
                  <w:tcW w:w="6755" w:type="dxa"/>
                  <w:vAlign w:val="center"/>
                </w:tcPr>
                <w:p>
                  <w:pPr>
                    <w:rPr>
                      <w:rFonts w:ascii="Times New Roman" w:eastAsia="宋体" w:hAnsi="Times New Roman" w:cs="Times New Roman" w:hint="eastAsia"/>
                      <w:color w:val="auto"/>
                    </w:rPr>
                  </w:pPr>
                  <w:r>
                    <w:rPr>
                      <w:rFonts w:hint="eastAsia"/>
                      <w:color w:val="auto"/>
                      <w:lang w:eastAsia="zh-CN"/>
                    </w:rPr>
                    <w:t>禁止在距离长江干支流岸线一公里范围内新建、扩建化工园区和化工项目。长江干支流一公里按照长江干支流岸线边界（即水利部门河道管理范围边界）向陆域纵深一公里执行。</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9</w:t>
                  </w:r>
                </w:p>
              </w:tc>
              <w:tc>
                <w:tcPr>
                  <w:tcW w:w="6755" w:type="dxa"/>
                  <w:vAlign w:val="center"/>
                </w:tcPr>
                <w:p>
                  <w:pPr>
                    <w:rPr>
                      <w:rFonts w:ascii="Times New Roman" w:hAnsi="Times New Roman" w:cs="Times New Roman" w:hint="default"/>
                      <w:color w:val="auto"/>
                    </w:rPr>
                  </w:pPr>
                  <w:r>
                    <w:rPr>
                      <w:rFonts w:ascii="Times New Roman" w:hAnsi="Times New Roman" w:cs="Times New Roman" w:hint="default"/>
                      <w:color w:val="auto"/>
                      <w:lang w:eastAsia="zh-CN"/>
                    </w:rPr>
                    <w:t>禁止在长江干流岸线三公里范围内新建、改建、扩建尾矿库、冶炼渣库和磷石膏库，以提升安全、生态环境保护水平为目的的改建除外。</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10</w:t>
                  </w:r>
                </w:p>
              </w:tc>
              <w:tc>
                <w:tcPr>
                  <w:tcW w:w="6755" w:type="dxa"/>
                  <w:vAlign w:val="center"/>
                </w:tcPr>
                <w:p>
                  <w:pPr>
                    <w:rPr>
                      <w:rFonts w:ascii="Times New Roman" w:hAnsi="Times New Roman" w:cs="Times New Roman" w:hint="default"/>
                      <w:color w:val="auto"/>
                    </w:rPr>
                  </w:pPr>
                  <w:r>
                    <w:rPr>
                      <w:rFonts w:ascii="Times New Roman" w:hAnsi="Times New Roman" w:cs="Times New Roman" w:hint="default"/>
                      <w:color w:val="auto"/>
                      <w:lang w:eastAsia="zh-CN"/>
                    </w:rPr>
                    <w:t>禁止在太湖流域一、二、三级保护区内开展《江苏省太湖水污染防治条例》禁止的投资建设活动</w:t>
                  </w:r>
                  <w:r>
                    <w:rPr>
                      <w:rFonts w:ascii="Times New Roman" w:hAnsi="Times New Roman" w:cs="Times New Roman" w:hint="eastAsia"/>
                      <w:color w:val="auto"/>
                      <w:lang w:eastAsia="zh-CN"/>
                    </w:rPr>
                    <w:t>。</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11</w:t>
                  </w:r>
                </w:p>
              </w:tc>
              <w:tc>
                <w:tcPr>
                  <w:tcW w:w="6755" w:type="dxa"/>
                  <w:vAlign w:val="center"/>
                </w:tcPr>
                <w:p>
                  <w:pPr>
                    <w:rPr>
                      <w:rFonts w:ascii="Times New Roman" w:eastAsia="宋体" w:hAnsi="Times New Roman" w:cs="Times New Roman" w:hint="eastAsia"/>
                      <w:color w:val="auto"/>
                    </w:rPr>
                  </w:pPr>
                  <w:r>
                    <w:rPr>
                      <w:rFonts w:ascii="Times New Roman" w:eastAsia="宋体" w:hAnsi="Times New Roman" w:cs="Times New Roman" w:hint="eastAsia"/>
                      <w:color w:val="auto"/>
                      <w:lang w:eastAsia="zh-CN"/>
                    </w:rPr>
                    <w:t>禁止在沿江地区新建、扩建未纳入国家和省布局规划的燃煤发电项目。</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hAnsi="Times New Roman" w:cs="Times New Roman" w:hint="default"/>
                      <w:color w:val="auto"/>
                      <w:szCs w:val="21"/>
                    </w:rPr>
                  </w:pPr>
                  <w:r>
                    <w:rPr>
                      <w:rFonts w:ascii="Times New Roman" w:hAnsi="Times New Roman" w:cs="Times New Roman" w:hint="default"/>
                      <w:color w:val="auto"/>
                      <w:szCs w:val="21"/>
                    </w:rPr>
                    <w:t>12</w:t>
                  </w:r>
                </w:p>
              </w:tc>
              <w:tc>
                <w:tcPr>
                  <w:tcW w:w="6755" w:type="dxa"/>
                  <w:vAlign w:val="center"/>
                </w:tcPr>
                <w:p>
                  <w:pPr>
                    <w:rPr>
                      <w:rFonts w:ascii="Times New Roman" w:eastAsia="宋体" w:hAnsi="Times New Roman" w:cs="Times New Roman" w:hint="eastAsia"/>
                      <w:color w:val="auto"/>
                    </w:rPr>
                  </w:pPr>
                  <w:r>
                    <w:rPr>
                      <w:rFonts w:ascii="Times New Roman" w:eastAsia="宋体" w:hAnsi="Times New Roman" w:cs="Times New Roman" w:hint="eastAsia"/>
                      <w:color w:val="auto"/>
                      <w:lang w:eastAsia="zh-CN"/>
                    </w:rPr>
                    <w:t>禁止在合规园区外新建、扩建钢铁、石化、化工、焦化、建材、有色、制浆造纸等高污染项目。合规园区名录按照《〈长江经济带发展负面清单指南（试行，2022年版）〉江苏省实施细则合规园区名录》执行。</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eastAsia="宋体" w:hAnsi="Times New Roman" w:cs="Times New Roman" w:hint="default"/>
                      <w:color w:val="auto"/>
                      <w:szCs w:val="21"/>
                    </w:rPr>
                  </w:pPr>
                  <w:r>
                    <w:rPr>
                      <w:rFonts w:ascii="Times New Roman" w:hAnsi="Times New Roman" w:cs="Times New Roman" w:hint="eastAsia"/>
                      <w:color w:val="auto"/>
                      <w:szCs w:val="21"/>
                      <w:lang w:val="en-US" w:eastAsia="zh-CN"/>
                    </w:rPr>
                    <w:t>13</w:t>
                  </w:r>
                </w:p>
              </w:tc>
              <w:tc>
                <w:tcPr>
                  <w:tcW w:w="6755" w:type="dxa"/>
                  <w:vAlign w:val="center"/>
                </w:tcPr>
                <w:p>
                  <w:pPr>
                    <w:rPr>
                      <w:rFonts w:ascii="Times New Roman" w:hAnsi="Times New Roman" w:cs="Times New Roman" w:hint="eastAsia"/>
                      <w:color w:val="auto"/>
                    </w:rPr>
                  </w:pPr>
                  <w:r>
                    <w:rPr>
                      <w:rFonts w:hint="eastAsia"/>
                      <w:color w:val="auto"/>
                      <w:lang w:eastAsia="zh-CN"/>
                    </w:rPr>
                    <w:t>禁止在取消化工定位的园区（集中区）内新建化工项目。</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eastAsia="宋体" w:hAnsi="Times New Roman" w:cs="Times New Roman" w:hint="default"/>
                      <w:color w:val="auto"/>
                      <w:szCs w:val="21"/>
                    </w:rPr>
                  </w:pPr>
                  <w:r>
                    <w:rPr>
                      <w:rFonts w:ascii="Times New Roman" w:hAnsi="Times New Roman" w:cs="Times New Roman" w:hint="eastAsia"/>
                      <w:color w:val="auto"/>
                      <w:szCs w:val="21"/>
                      <w:lang w:val="en-US" w:eastAsia="zh-CN"/>
                    </w:rPr>
                    <w:t>14</w:t>
                  </w:r>
                </w:p>
              </w:tc>
              <w:tc>
                <w:tcPr>
                  <w:tcW w:w="6755" w:type="dxa"/>
                  <w:vAlign w:val="center"/>
                </w:tcPr>
                <w:p>
                  <w:pPr>
                    <w:rPr>
                      <w:rFonts w:ascii="Times New Roman" w:hAnsi="Times New Roman" w:cs="Times New Roman" w:hint="eastAsia"/>
                      <w:color w:val="auto"/>
                    </w:rPr>
                  </w:pPr>
                  <w:r>
                    <w:rPr>
                      <w:rFonts w:hint="eastAsia"/>
                      <w:color w:val="auto"/>
                      <w:lang w:eastAsia="zh-CN"/>
                    </w:rPr>
                    <w:t>禁止在化工企业周边建设不符合安全距离规定的劳动密集型的非化工项目和其他人员密集的公共设施项目。</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eastAsia="宋体" w:hAnsi="Times New Roman" w:cs="Times New Roman" w:hint="default"/>
                      <w:color w:val="auto"/>
                      <w:szCs w:val="21"/>
                    </w:rPr>
                  </w:pPr>
                  <w:r>
                    <w:rPr>
                      <w:rFonts w:ascii="Times New Roman" w:hAnsi="Times New Roman" w:cs="Times New Roman" w:hint="eastAsia"/>
                      <w:color w:val="auto"/>
                      <w:szCs w:val="21"/>
                      <w:lang w:val="en-US" w:eastAsia="zh-CN"/>
                    </w:rPr>
                    <w:t>15</w:t>
                  </w:r>
                </w:p>
              </w:tc>
              <w:tc>
                <w:tcPr>
                  <w:tcW w:w="6755" w:type="dxa"/>
                  <w:vAlign w:val="center"/>
                </w:tcPr>
                <w:p>
                  <w:pPr>
                    <w:rPr>
                      <w:rFonts w:ascii="Times New Roman" w:hAnsi="Times New Roman" w:cs="Times New Roman" w:hint="eastAsia"/>
                      <w:color w:val="auto"/>
                    </w:rPr>
                  </w:pPr>
                  <w:r>
                    <w:rPr>
                      <w:rFonts w:ascii="Times New Roman" w:hAnsi="Times New Roman" w:cs="Times New Roman" w:hint="eastAsia"/>
                      <w:color w:val="auto"/>
                      <w:lang w:eastAsia="zh-CN"/>
                    </w:rPr>
                    <w:t>禁止新建、扩建不符合国家和省产业政策的尿素、磷铵、电石、烧碱、聚氯乙烯、纯碱等行业新增产能项目。</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eastAsia="宋体" w:hAnsi="Times New Roman" w:cs="Times New Roman" w:hint="default"/>
                      <w:color w:val="auto"/>
                      <w:szCs w:val="21"/>
                    </w:rPr>
                  </w:pPr>
                  <w:r>
                    <w:rPr>
                      <w:rFonts w:ascii="Times New Roman" w:hAnsi="Times New Roman" w:cs="Times New Roman" w:hint="eastAsia"/>
                      <w:color w:val="auto"/>
                      <w:szCs w:val="21"/>
                      <w:lang w:val="en-US" w:eastAsia="zh-CN"/>
                    </w:rPr>
                    <w:t>16</w:t>
                  </w:r>
                </w:p>
              </w:tc>
              <w:tc>
                <w:tcPr>
                  <w:tcW w:w="6755" w:type="dxa"/>
                  <w:vAlign w:val="center"/>
                </w:tcPr>
                <w:p>
                  <w:pPr>
                    <w:rPr>
                      <w:rFonts w:ascii="Times New Roman" w:hAnsi="Times New Roman" w:cs="Times New Roman" w:hint="eastAsia"/>
                      <w:color w:val="auto"/>
                    </w:rPr>
                  </w:pPr>
                  <w:r>
                    <w:rPr>
                      <w:rFonts w:ascii="Times New Roman" w:hAnsi="Times New Roman" w:cs="Times New Roman" w:hint="eastAsia"/>
                      <w:color w:val="auto"/>
                      <w:lang w:eastAsia="zh-CN"/>
                    </w:rPr>
                    <w:t>禁止新建、改建、扩建高毒、高残留以及对环境影响大的农药原药（化学合成类）项目，禁止新建、扩建不符合国家和省产业政策的农药、医药和染料中间体化工项目。</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eastAsia="宋体" w:hAnsi="Times New Roman" w:cs="Times New Roman" w:hint="default"/>
                      <w:color w:val="auto"/>
                      <w:szCs w:val="21"/>
                    </w:rPr>
                  </w:pPr>
                  <w:r>
                    <w:rPr>
                      <w:rFonts w:ascii="Times New Roman" w:hAnsi="Times New Roman" w:cs="Times New Roman" w:hint="eastAsia"/>
                      <w:color w:val="auto"/>
                      <w:szCs w:val="21"/>
                      <w:lang w:val="en-US" w:eastAsia="zh-CN"/>
                    </w:rPr>
                    <w:t>17</w:t>
                  </w:r>
                </w:p>
              </w:tc>
              <w:tc>
                <w:tcPr>
                  <w:tcW w:w="6755" w:type="dxa"/>
                  <w:vAlign w:val="center"/>
                </w:tcPr>
                <w:p>
                  <w:pPr>
                    <w:rPr>
                      <w:rFonts w:ascii="Times New Roman" w:hAnsi="Times New Roman" w:cs="Times New Roman" w:hint="eastAsia"/>
                      <w:color w:val="auto"/>
                    </w:rPr>
                  </w:pPr>
                  <w:r>
                    <w:rPr>
                      <w:rFonts w:ascii="Times New Roman" w:hAnsi="Times New Roman" w:cs="Times New Roman" w:hint="eastAsia"/>
                      <w:color w:val="auto"/>
                      <w:lang w:eastAsia="zh-CN"/>
                    </w:rPr>
                    <w:t>禁止新建、扩建不符合国家石化、现代煤化工等产业布局规划的项目，禁止新建独立焦化项目。</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eastAsia="宋体" w:hAnsi="Times New Roman" w:cs="Times New Roman" w:hint="default"/>
                      <w:color w:val="auto"/>
                      <w:szCs w:val="21"/>
                    </w:rPr>
                  </w:pPr>
                  <w:r>
                    <w:rPr>
                      <w:rFonts w:ascii="Times New Roman" w:hAnsi="Times New Roman" w:cs="Times New Roman" w:hint="eastAsia"/>
                      <w:color w:val="auto"/>
                      <w:szCs w:val="21"/>
                      <w:lang w:val="en-US" w:eastAsia="zh-CN"/>
                    </w:rPr>
                    <w:t>18</w:t>
                  </w:r>
                </w:p>
              </w:tc>
              <w:tc>
                <w:tcPr>
                  <w:tcW w:w="6755" w:type="dxa"/>
                  <w:vAlign w:val="center"/>
                </w:tcPr>
                <w:p>
                  <w:pPr>
                    <w:rPr>
                      <w:rFonts w:ascii="Times New Roman" w:hAnsi="Times New Roman" w:cs="Times New Roman" w:hint="eastAsia"/>
                      <w:color w:val="auto"/>
                    </w:rPr>
                  </w:pPr>
                  <w:r>
                    <w:rPr>
                      <w:rFonts w:ascii="Times New Roman" w:hAnsi="Times New Roman" w:cs="Times New Roman" w:hint="eastAsia"/>
                      <w:color w:val="auto"/>
                      <w:lang w:eastAsia="zh-CN"/>
                    </w:rPr>
                    <w:t>禁止新建、扩建国家《产业结构调整指导目录》《江苏省产业结构调整限制、淘汰和禁止目录》明确的限制类、淘汰类、禁止类项目，法律法规和相关政策明令禁止的落后产能项目，以及明令淘汰的安全生产落后工艺及装备项目。</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r>
              <w:tblPrEx>
                <w:tblW w:w="5000" w:type="pct"/>
                <w:jc w:val="center"/>
                <w:tblInd w:w="108" w:type="dxa"/>
                <w:tblLayout w:type="fixed"/>
                <w:tblCellMar>
                  <w:top w:w="0" w:type="dxa"/>
                  <w:left w:w="108" w:type="dxa"/>
                  <w:bottom w:w="0" w:type="dxa"/>
                  <w:right w:w="108" w:type="dxa"/>
                </w:tblCellMar>
                <w:tblLook w:val="0000"/>
              </w:tblPrEx>
              <w:trPr>
                <w:trHeight w:val="23"/>
                <w:jc w:val="center"/>
              </w:trPr>
              <w:tc>
                <w:tcPr>
                  <w:tcW w:w="540" w:type="dxa"/>
                  <w:vAlign w:val="center"/>
                </w:tcPr>
                <w:p>
                  <w:pPr>
                    <w:snapToGrid w:val="0"/>
                    <w:jc w:val="center"/>
                    <w:rPr>
                      <w:rFonts w:ascii="Times New Roman" w:eastAsia="宋体" w:hAnsi="Times New Roman" w:cs="Times New Roman" w:hint="default"/>
                      <w:color w:val="auto"/>
                      <w:szCs w:val="21"/>
                    </w:rPr>
                  </w:pPr>
                  <w:r>
                    <w:rPr>
                      <w:rFonts w:ascii="Times New Roman" w:hAnsi="Times New Roman" w:cs="Times New Roman" w:hint="eastAsia"/>
                      <w:color w:val="auto"/>
                      <w:szCs w:val="21"/>
                      <w:lang w:val="en-US" w:eastAsia="zh-CN"/>
                    </w:rPr>
                    <w:t>19</w:t>
                  </w:r>
                </w:p>
              </w:tc>
              <w:tc>
                <w:tcPr>
                  <w:tcW w:w="6755" w:type="dxa"/>
                  <w:vAlign w:val="center"/>
                </w:tcPr>
                <w:p>
                  <w:pPr>
                    <w:rPr>
                      <w:rFonts w:ascii="Times New Roman" w:hAnsi="Times New Roman" w:cs="Times New Roman" w:hint="eastAsia"/>
                      <w:color w:val="auto"/>
                    </w:rPr>
                  </w:pPr>
                  <w:r>
                    <w:rPr>
                      <w:rFonts w:ascii="Times New Roman" w:hAnsi="Times New Roman" w:cs="Times New Roman" w:hint="eastAsia"/>
                      <w:color w:val="auto"/>
                      <w:lang w:eastAsia="zh-CN"/>
                    </w:rPr>
                    <w:t>禁止新建、扩建不符合国家产能置换要求的严重过剩产能行业的项目。禁止新建、扩建不符合要求的高耗能高排放项目。</w:t>
                  </w:r>
                </w:p>
              </w:tc>
              <w:tc>
                <w:tcPr>
                  <w:tcW w:w="799" w:type="dxa"/>
                  <w:vAlign w:val="center"/>
                </w:tcPr>
                <w:p>
                  <w:pPr>
                    <w:jc w:val="center"/>
                    <w:rPr>
                      <w:rFonts w:ascii="Times New Roman" w:hAnsi="Times New Roman" w:cs="Times New Roman" w:hint="default"/>
                      <w:color w:val="auto"/>
                    </w:rPr>
                  </w:pPr>
                  <w:r>
                    <w:rPr>
                      <w:rFonts w:ascii="Times New Roman" w:hAnsi="Times New Roman" w:cs="Times New Roman" w:hint="default"/>
                      <w:color w:val="auto"/>
                    </w:rPr>
                    <w:t>不属于</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hint="eastAsia"/>
                <w:b w:val="0"/>
                <w:bCs w:val="0"/>
                <w:color w:val="auto"/>
                <w:sz w:val="24"/>
              </w:rPr>
            </w:pPr>
            <w:r>
              <w:rPr>
                <w:rFonts w:ascii="Times New Roman" w:hAnsi="Times New Roman" w:cs="Times New Roman" w:hint="eastAsia"/>
                <w:b w:val="0"/>
                <w:bCs w:val="0"/>
                <w:color w:val="auto"/>
                <w:sz w:val="24"/>
                <w:szCs w:val="24"/>
                <w:lang w:eastAsia="zh-CN"/>
              </w:rPr>
              <w:t>（</w:t>
            </w:r>
            <w:r>
              <w:rPr>
                <w:rFonts w:ascii="Times New Roman" w:hAnsi="Times New Roman" w:cs="Times New Roman" w:hint="eastAsia"/>
                <w:b w:val="0"/>
                <w:bCs w:val="0"/>
                <w:color w:val="auto"/>
                <w:sz w:val="24"/>
                <w:szCs w:val="24"/>
                <w:lang w:val="en-US" w:eastAsia="zh-CN"/>
              </w:rPr>
              <w:t>5</w:t>
            </w:r>
            <w:r>
              <w:rPr>
                <w:rFonts w:ascii="Times New Roman" w:hAnsi="Times New Roman" w:cs="Times New Roman" w:hint="eastAsia"/>
                <w:b w:val="0"/>
                <w:bCs w:val="0"/>
                <w:color w:val="auto"/>
                <w:sz w:val="24"/>
                <w:szCs w:val="24"/>
                <w:lang w:eastAsia="zh-CN"/>
              </w:rPr>
              <w:t>）与</w:t>
            </w:r>
            <w:r>
              <w:rPr>
                <w:rFonts w:ascii="Times New Roman" w:hAnsi="Times New Roman" w:cs="Times New Roman" w:hint="eastAsia"/>
                <w:b w:val="0"/>
                <w:bCs w:val="0"/>
                <w:color w:val="auto"/>
                <w:sz w:val="24"/>
                <w:szCs w:val="24"/>
                <w:lang w:val="en-US" w:eastAsia="zh-CN"/>
              </w:rPr>
              <w:t>《扬州市</w:t>
            </w:r>
            <w:r>
              <w:rPr>
                <w:rFonts w:ascii="Times New Roman" w:hAnsi="Times New Roman" w:cs="Times New Roman" w:hint="eastAsia"/>
                <w:b w:val="0"/>
                <w:bCs w:val="0"/>
                <w:color w:val="auto"/>
                <w:sz w:val="24"/>
                <w:szCs w:val="24"/>
                <w:lang w:val="en-US" w:eastAsia="zh-CN"/>
              </w:rPr>
              <w:t>“</w:t>
            </w:r>
            <w:r>
              <w:rPr>
                <w:rFonts w:ascii="Times New Roman" w:hAnsi="Times New Roman" w:cs="Times New Roman" w:hint="eastAsia"/>
                <w:b w:val="0"/>
                <w:bCs w:val="0"/>
                <w:color w:val="auto"/>
                <w:sz w:val="24"/>
                <w:szCs w:val="24"/>
                <w:lang w:val="en-US" w:eastAsia="zh-CN"/>
              </w:rPr>
              <w:t>三线一单</w:t>
            </w:r>
            <w:r>
              <w:rPr>
                <w:rFonts w:ascii="Times New Roman" w:hAnsi="Times New Roman" w:cs="Times New Roman" w:hint="eastAsia"/>
                <w:b w:val="0"/>
                <w:bCs w:val="0"/>
                <w:color w:val="auto"/>
                <w:sz w:val="24"/>
                <w:szCs w:val="24"/>
                <w:lang w:val="en-US" w:eastAsia="zh-CN"/>
              </w:rPr>
              <w:t>”</w:t>
            </w:r>
            <w:r>
              <w:rPr>
                <w:rFonts w:ascii="Times New Roman" w:hAnsi="Times New Roman" w:cs="Times New Roman" w:hint="eastAsia"/>
                <w:b w:val="0"/>
                <w:bCs w:val="0"/>
                <w:color w:val="auto"/>
                <w:sz w:val="24"/>
                <w:szCs w:val="24"/>
                <w:lang w:val="en-US" w:eastAsia="zh-CN"/>
              </w:rPr>
              <w:t>生态环境分区管控实施方案》（扬环[2021]2号）相符性分析。</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ascii="Times New Roman" w:hAnsi="Times New Roman" w:cs="Times New Roman" w:hint="default"/>
                <w:b w:val="0"/>
                <w:bCs w:val="0"/>
                <w:color w:val="auto"/>
                <w:sz w:val="24"/>
              </w:rPr>
            </w:pPr>
          </w:p>
        </w:tc>
      </w:tr>
    </w:tbl>
    <w:p>
      <w:pPr>
        <w:sectPr>
          <w:footerReference w:type="default" r:id="rId8"/>
          <w:type w:val="nextPage"/>
          <w:pgSz w:w="11906" w:h="16838"/>
          <w:pgMar w:top="1440" w:right="1080" w:bottom="1440" w:left="1080" w:header="851" w:footer="1077" w:gutter="0"/>
          <w:pgBorders w:zOrder="front" w:display="allPages" w:offsetFrom="text">
            <w:top w:val="none" w:sz="0" w:space="0" w:color="auto"/>
            <w:left w:val="none" w:sz="0" w:space="0" w:color="auto"/>
            <w:bottom w:val="none" w:sz="0" w:space="0" w:color="auto"/>
            <w:right w:val="none" w:sz="0" w:space="0" w:color="auto"/>
          </w:pgBorders>
          <w:pgNumType w:start="5"/>
          <w:cols w:space="708"/>
          <w:titlePg w:val="0"/>
          <w:docGrid w:linePitch="312"/>
        </w:sectPr>
      </w:pPr>
    </w:p>
    <w:tbl>
      <w:tblPr>
        <w:tblStyle w:val="TableNormal"/>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33"/>
        <w:gridCol w:w="8572"/>
      </w:tblGrid>
      <w:tr>
        <w:tblPrEx>
          <w:tblW w:w="10105" w:type="dxa"/>
          <w:jc w:val="center"/>
          <w:tblInd w:w="-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533" w:type="dxa"/>
            <w:vAlign w:val="center"/>
          </w:tcPr>
          <w:p/>
        </w:tc>
        <w:tc>
          <w:tcPr>
            <w:tcW w:w="8572" w:type="dxa"/>
            <w:vAlign w:val="center"/>
          </w:tcPr>
          <w:p>
            <w:pPr>
              <w:keepNext w:val="0"/>
              <w:keepLines w:val="0"/>
              <w:pageBreakBefore w:val="0"/>
              <w:widowControl w:val="0"/>
              <w:kinsoku/>
              <w:wordWrap/>
              <w:overflowPunct/>
              <w:topLinePunct w:val="0"/>
              <w:autoSpaceDE/>
              <w:autoSpaceDN/>
              <w:bidi w:val="0"/>
              <w:adjustRightInd/>
              <w:snapToGrid/>
              <w:spacing w:before="0" w:line="360" w:lineRule="auto"/>
              <w:ind w:firstLine="480" w:firstLineChars="200"/>
              <w:textAlignment w:val="auto"/>
              <w:rPr>
                <w:rFonts w:ascii="Times New Roman" w:hAnsi="Times New Roman" w:cs="Times New Roman" w:hint="default"/>
                <w:b w:val="0"/>
                <w:bCs w:val="0"/>
                <w:color w:val="auto"/>
                <w:sz w:val="24"/>
              </w:rPr>
            </w:pPr>
            <w:r>
              <w:rPr>
                <w:color w:val="auto"/>
                <w:sz w:val="24"/>
              </w:rPr>
              <w:t>根据《扬州市“三线一单”生态环境分区管控实施方案》，扬州市全市共划定环境管控单元281个，分为优先保护单元、重点管控单元和一般管控单元三类，实施分类管控。</w:t>
            </w:r>
            <w:r>
              <w:rPr>
                <w:rFonts w:ascii="Times New Roman" w:hAnsi="Times New Roman" w:cs="Times New Roman" w:hint="eastAsia"/>
                <w:b w:val="0"/>
                <w:bCs w:val="0"/>
                <w:color w:val="auto"/>
                <w:sz w:val="24"/>
                <w:szCs w:val="24"/>
                <w:lang w:val="en-US" w:eastAsia="zh-CN"/>
              </w:rPr>
              <w:t>本项目位于高邮市车逻镇太丰村，与扬州市环境管控单元中高邮市车逻镇的生态环境准入清单相符性分析见表1-4。</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ascii="Times New Roman" w:hAnsi="Times New Roman" w:cs="Times New Roman" w:hint="eastAsia"/>
                <w:b/>
                <w:bCs/>
                <w:color w:val="auto"/>
                <w:sz w:val="24"/>
              </w:rPr>
            </w:pPr>
            <w:r>
              <w:rPr>
                <w:rFonts w:ascii="Times New Roman" w:hAnsi="Times New Roman" w:cs="Times New Roman" w:hint="eastAsia"/>
                <w:b/>
                <w:bCs/>
                <w:color w:val="auto"/>
                <w:sz w:val="24"/>
                <w:szCs w:val="24"/>
                <w:lang w:val="en-US" w:eastAsia="zh-CN"/>
              </w:rPr>
              <w:t>表1-4  生态环境准入清单相符性分析表</w:t>
            </w:r>
            <w:r>
              <w:rPr>
                <w:rFonts w:ascii="Times New Roman" w:hAnsi="Times New Roman" w:cs="Times New Roman" w:hint="eastAsia"/>
                <w:b/>
                <w:bCs/>
                <w:color w:val="auto"/>
                <w:sz w:val="24"/>
                <w:szCs w:val="24"/>
                <w:lang w:val="en-US" w:eastAsia="zh-CN"/>
              </w:rPr>
              <w:t>相符性分析表</w:t>
            </w:r>
          </w:p>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0"/>
              <w:gridCol w:w="682"/>
              <w:gridCol w:w="1311"/>
              <w:gridCol w:w="505"/>
              <w:gridCol w:w="3901"/>
              <w:gridCol w:w="1587"/>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82"/>
                <w:jc w:val="center"/>
              </w:trPr>
              <w:tc>
                <w:tcPr>
                  <w:tcW w:w="352" w:type="dxa"/>
                  <w:vMerge w:val="restart"/>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default"/>
                      <w:b/>
                      <w:bCs/>
                      <w:color w:val="auto"/>
                      <w:sz w:val="21"/>
                      <w:szCs w:val="21"/>
                    </w:rPr>
                    <w:t>序号</w:t>
                  </w:r>
                </w:p>
              </w:tc>
              <w:tc>
                <w:tcPr>
                  <w:tcW w:w="1893" w:type="dxa"/>
                  <w:gridSpan w:val="2"/>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default"/>
                      <w:b/>
                      <w:bCs/>
                      <w:color w:val="auto"/>
                      <w:sz w:val="21"/>
                      <w:szCs w:val="21"/>
                      <w:lang w:val="en-US" w:eastAsia="zh-CN"/>
                    </w:rPr>
                    <w:t>环境管控单元空间属性</w:t>
                  </w:r>
                </w:p>
              </w:tc>
              <w:tc>
                <w:tcPr>
                  <w:tcW w:w="4185" w:type="dxa"/>
                  <w:gridSpan w:val="2"/>
                  <w:vMerge w:val="restart"/>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default"/>
                      <w:b/>
                      <w:bCs/>
                      <w:color w:val="auto"/>
                      <w:sz w:val="21"/>
                      <w:szCs w:val="21"/>
                      <w:lang w:val="en-US" w:eastAsia="zh-CN"/>
                    </w:rPr>
                    <w:t>生态环境准入清单</w:t>
                  </w:r>
                </w:p>
              </w:tc>
              <w:tc>
                <w:tcPr>
                  <w:tcW w:w="1507" w:type="dxa"/>
                  <w:vMerge w:val="restart"/>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eastAsia"/>
                      <w:b/>
                      <w:bCs/>
                      <w:color w:val="auto"/>
                      <w:sz w:val="21"/>
                      <w:szCs w:val="21"/>
                      <w:lang w:val="en-US" w:eastAsia="zh-CN"/>
                    </w:rPr>
                    <w:t>相符性分析</w:t>
                  </w:r>
                </w:p>
              </w:tc>
            </w:tr>
            <w:tr>
              <w:tblPrEx>
                <w:tblW w:w="5000" w:type="pct"/>
                <w:jc w:val="center"/>
                <w:tblInd w:w="108" w:type="dxa"/>
                <w:tblLayout w:type="fixed"/>
                <w:tblCellMar>
                  <w:top w:w="0" w:type="dxa"/>
                  <w:left w:w="108" w:type="dxa"/>
                  <w:bottom w:w="0" w:type="dxa"/>
                  <w:right w:w="108" w:type="dxa"/>
                </w:tblCellMar>
                <w:tblLook w:val="0000"/>
              </w:tblPrEx>
              <w:trPr>
                <w:trHeight w:val="242"/>
                <w:jc w:val="center"/>
              </w:trPr>
              <w:tc>
                <w:tcPr>
                  <w:tcW w:w="352" w:type="dxa"/>
                  <w:vMerge/>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color w:val="auto"/>
                      <w:sz w:val="21"/>
                      <w:szCs w:val="21"/>
                    </w:rPr>
                  </w:pPr>
                </w:p>
              </w:tc>
              <w:tc>
                <w:tcPr>
                  <w:tcW w:w="648"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eastAsia"/>
                      <w:b/>
                      <w:bCs/>
                      <w:color w:val="auto"/>
                      <w:sz w:val="21"/>
                      <w:szCs w:val="21"/>
                      <w:lang w:val="en-US" w:eastAsia="zh-CN"/>
                    </w:rPr>
                    <w:t>行政区划</w:t>
                  </w:r>
                </w:p>
              </w:tc>
              <w:tc>
                <w:tcPr>
                  <w:tcW w:w="1245"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default"/>
                      <w:b/>
                      <w:bCs/>
                      <w:color w:val="auto"/>
                      <w:sz w:val="21"/>
                      <w:szCs w:val="21"/>
                      <w:lang w:val="en-US" w:eastAsia="zh-CN"/>
                    </w:rPr>
                    <w:t>环境管控单元名称</w:t>
                  </w:r>
                </w:p>
              </w:tc>
              <w:tc>
                <w:tcPr>
                  <w:tcW w:w="4185" w:type="dxa"/>
                  <w:gridSpan w:val="2"/>
                  <w:vMerge/>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color w:val="auto"/>
                      <w:sz w:val="21"/>
                      <w:szCs w:val="21"/>
                      <w:lang w:val="en-US" w:eastAsia="zh-CN"/>
                    </w:rPr>
                  </w:pPr>
                </w:p>
              </w:tc>
              <w:tc>
                <w:tcPr>
                  <w:tcW w:w="1507" w:type="dxa"/>
                  <w:vMerge/>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eastAsia"/>
                      <w:b/>
                      <w:bCs/>
                      <w:color w:val="auto"/>
                      <w:sz w:val="21"/>
                      <w:szCs w:val="21"/>
                      <w:lang w:val="en-US" w:eastAsia="zh-CN"/>
                    </w:rPr>
                  </w:pPr>
                </w:p>
              </w:tc>
            </w:tr>
            <w:tr>
              <w:tblPrEx>
                <w:tblW w:w="5000" w:type="pct"/>
                <w:jc w:val="center"/>
                <w:tblInd w:w="108" w:type="dxa"/>
                <w:tblLayout w:type="fixed"/>
                <w:tblCellMar>
                  <w:top w:w="0" w:type="dxa"/>
                  <w:left w:w="108" w:type="dxa"/>
                  <w:bottom w:w="0" w:type="dxa"/>
                  <w:right w:w="108" w:type="dxa"/>
                </w:tblCellMar>
                <w:tblLook w:val="0000"/>
              </w:tblPrEx>
              <w:trPr>
                <w:trHeight w:val="546"/>
                <w:jc w:val="center"/>
              </w:trPr>
              <w:tc>
                <w:tcPr>
                  <w:tcW w:w="352" w:type="dxa"/>
                  <w:vMerge w:val="restart"/>
                  <w:tcBorders>
                    <w:tl2br w:val="nil"/>
                    <w:tr2bl w:val="nil"/>
                  </w:tcBorders>
                  <w:vAlign w:val="center"/>
                </w:tcPr>
                <w:p>
                  <w:pPr>
                    <w:snapToGrid w:val="0"/>
                    <w:spacing w:line="240" w:lineRule="auto"/>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eastAsia"/>
                      <w:b w:val="0"/>
                      <w:bCs w:val="0"/>
                      <w:color w:val="auto"/>
                      <w:sz w:val="21"/>
                      <w:szCs w:val="21"/>
                      <w:lang w:val="en-US" w:eastAsia="zh-CN"/>
                    </w:rPr>
                    <w:t>1</w:t>
                  </w:r>
                </w:p>
              </w:tc>
              <w:tc>
                <w:tcPr>
                  <w:tcW w:w="648" w:type="dxa"/>
                  <w:vMerge w:val="restart"/>
                  <w:tcBorders>
                    <w:tl2br w:val="nil"/>
                    <w:tr2bl w:val="nil"/>
                  </w:tcBorders>
                  <w:vAlign w:val="center"/>
                </w:tcPr>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高邮市</w:t>
                  </w:r>
                </w:p>
              </w:tc>
              <w:tc>
                <w:tcPr>
                  <w:tcW w:w="1245" w:type="dxa"/>
                  <w:vMerge w:val="restart"/>
                  <w:tcBorders>
                    <w:tl2br w:val="nil"/>
                    <w:tr2bl w:val="nil"/>
                  </w:tcBorders>
                  <w:vAlign w:val="center"/>
                </w:tcPr>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马棚街道、高邮街道、菱塘回族乡、车逻镇、界首镇、送桥镇、周山镇、龙虬</w:t>
                  </w:r>
                </w:p>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镇、卸甲镇、临泽镇、汤庄镇、三垛镇、甘垛镇、高邮湖</w:t>
                  </w:r>
                </w:p>
              </w:tc>
              <w:tc>
                <w:tcPr>
                  <w:tcW w:w="480"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val="0"/>
                      <w:bCs w:val="0"/>
                      <w:color w:val="auto"/>
                      <w:sz w:val="21"/>
                      <w:szCs w:val="21"/>
                      <w:lang w:val="en-US" w:eastAsia="zh-CN"/>
                    </w:rPr>
                  </w:pPr>
                  <w:r>
                    <w:rPr>
                      <w:rFonts w:ascii="Times New Roman" w:eastAsia="宋体" w:hAnsi="Times New Roman" w:cs="Times New Roman" w:hint="default"/>
                      <w:b w:val="0"/>
                      <w:bCs w:val="0"/>
                      <w:color w:val="auto"/>
                      <w:sz w:val="21"/>
                      <w:szCs w:val="21"/>
                      <w:lang w:val="en-US" w:eastAsia="zh-CN"/>
                    </w:rPr>
                    <w:t>空间布局约束</w:t>
                  </w:r>
                </w:p>
              </w:tc>
              <w:tc>
                <w:tcPr>
                  <w:tcW w:w="3705" w:type="dxa"/>
                  <w:tcBorders>
                    <w:tl2br w:val="nil"/>
                    <w:tr2bl w:val="nil"/>
                  </w:tcBorders>
                  <w:vAlign w:val="center"/>
                </w:tcPr>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 xml:space="preserve">（1）各类开发建设活动应符合扬州市总体规划、控制性详细规划、土地利用规划等相关要求。 </w:t>
                  </w:r>
                </w:p>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（2）位于通榆河流域的建设项目，符合《江苏省通榆河水污染防治条例》等相关要求。</w:t>
                  </w:r>
                </w:p>
              </w:tc>
              <w:tc>
                <w:tcPr>
                  <w:tcW w:w="1507" w:type="dxa"/>
                  <w:tcBorders>
                    <w:tl2br w:val="nil"/>
                    <w:tr2bl w:val="nil"/>
                  </w:tcBorders>
                  <w:vAlign w:val="center"/>
                </w:tcPr>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本项目</w:t>
                  </w:r>
                  <w:r>
                    <w:rPr>
                      <w:rFonts w:ascii="Times New Roman" w:eastAsia="宋体" w:hAnsi="Times New Roman" w:cs="Times New Roman" w:hint="eastAsia"/>
                      <w:b w:val="0"/>
                      <w:bCs w:val="0"/>
                      <w:color w:val="auto"/>
                      <w:sz w:val="21"/>
                      <w:szCs w:val="21"/>
                      <w:lang w:val="en-US" w:eastAsia="zh-CN"/>
                    </w:rPr>
                    <w:t>符合车逻镇总体规划，土地为工业用地，符合土地利用规划</w:t>
                  </w:r>
                </w:p>
              </w:tc>
            </w:tr>
            <w:tr>
              <w:tblPrEx>
                <w:tblW w:w="5000" w:type="pct"/>
                <w:jc w:val="center"/>
                <w:tblInd w:w="108" w:type="dxa"/>
                <w:tblLayout w:type="fixed"/>
                <w:tblCellMar>
                  <w:top w:w="0" w:type="dxa"/>
                  <w:left w:w="108" w:type="dxa"/>
                  <w:bottom w:w="0" w:type="dxa"/>
                  <w:right w:w="108" w:type="dxa"/>
                </w:tblCellMar>
                <w:tblLook w:val="0000"/>
              </w:tblPrEx>
              <w:trPr>
                <w:trHeight w:val="546"/>
                <w:jc w:val="center"/>
              </w:trPr>
              <w:tc>
                <w:tcPr>
                  <w:tcW w:w="352" w:type="dxa"/>
                  <w:vMerge/>
                  <w:tcBorders>
                    <w:tl2br w:val="nil"/>
                    <w:tr2bl w:val="nil"/>
                  </w:tcBorders>
                  <w:vAlign w:val="center"/>
                </w:tcPr>
                <w:p>
                  <w:pPr>
                    <w:snapToGrid w:val="0"/>
                    <w:spacing w:line="240" w:lineRule="auto"/>
                    <w:jc w:val="center"/>
                    <w:rPr>
                      <w:rFonts w:ascii="Times New Roman" w:eastAsia="宋体" w:hAnsi="Times New Roman" w:cs="Times New Roman" w:hint="eastAsia"/>
                      <w:b w:val="0"/>
                      <w:bCs w:val="0"/>
                      <w:color w:val="auto"/>
                      <w:szCs w:val="21"/>
                    </w:rPr>
                  </w:pPr>
                </w:p>
              </w:tc>
              <w:tc>
                <w:tcPr>
                  <w:tcW w:w="648" w:type="dxa"/>
                  <w:vMerge/>
                  <w:tcBorders>
                    <w:tl2br w:val="nil"/>
                    <w:tr2bl w:val="nil"/>
                  </w:tcBorders>
                  <w:vAlign w:val="center"/>
                </w:tcPr>
                <w:p>
                  <w:pPr>
                    <w:jc w:val="center"/>
                    <w:rPr>
                      <w:rFonts w:ascii="Times New Roman" w:eastAsia="宋体" w:hAnsi="Times New Roman" w:cs="Times New Roman" w:hint="eastAsia"/>
                      <w:b w:val="0"/>
                      <w:bCs w:val="0"/>
                      <w:color w:val="auto"/>
                      <w:szCs w:val="21"/>
                    </w:rPr>
                  </w:pPr>
                </w:p>
              </w:tc>
              <w:tc>
                <w:tcPr>
                  <w:tcW w:w="1245" w:type="dxa"/>
                  <w:vMerge/>
                  <w:tcBorders>
                    <w:tl2br w:val="nil"/>
                    <w:tr2bl w:val="nil"/>
                  </w:tcBorders>
                  <w:vAlign w:val="center"/>
                </w:tcPr>
                <w:p>
                  <w:pPr>
                    <w:jc w:val="center"/>
                    <w:rPr>
                      <w:rFonts w:ascii="Times New Roman" w:eastAsia="宋体" w:hAnsi="Times New Roman" w:cs="Times New Roman" w:hint="default"/>
                      <w:b w:val="0"/>
                      <w:bCs w:val="0"/>
                      <w:color w:val="auto"/>
                      <w:szCs w:val="21"/>
                    </w:rPr>
                  </w:pPr>
                </w:p>
              </w:tc>
              <w:tc>
                <w:tcPr>
                  <w:tcW w:w="480" w:type="dxa"/>
                  <w:tcBorders>
                    <w:tl2br w:val="nil"/>
                    <w:tr2bl w:val="nil"/>
                  </w:tcBorders>
                  <w:vAlign w:val="center"/>
                </w:tcPr>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污染物排放管控</w:t>
                  </w:r>
                </w:p>
              </w:tc>
              <w:tc>
                <w:tcPr>
                  <w:tcW w:w="3705" w:type="dxa"/>
                  <w:tcBorders>
                    <w:tl2br w:val="nil"/>
                    <w:tr2bl w:val="nil"/>
                  </w:tcBorders>
                  <w:vAlign w:val="center"/>
                </w:tcPr>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 xml:space="preserve">（1）落实污染物总量控制制度，根据区域环境质量改善目标，削减污染物排放总量。 </w:t>
                  </w:r>
                </w:p>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 xml:space="preserve">（2）进一步开展管网排查，提升污水收集效率。强化餐饮油烟治理，加强噪声污染防治，严格施工扬尘监管，加强土壤和地下水污染防治与修复。 </w:t>
                  </w:r>
                </w:p>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（3）加强农业面源污染治理，严格控制化肥农药施加量，合理水产养殖布局，控制水产养殖污染，逐步削减农业面源污染物排放量。</w:t>
                  </w:r>
                </w:p>
              </w:tc>
              <w:tc>
                <w:tcPr>
                  <w:tcW w:w="1507" w:type="dxa"/>
                  <w:tcBorders>
                    <w:tl2br w:val="nil"/>
                    <w:tr2bl w:val="nil"/>
                  </w:tcBorders>
                  <w:vAlign w:val="center"/>
                </w:tcPr>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color w:val="auto"/>
                      <w:sz w:val="21"/>
                      <w:szCs w:val="21"/>
                      <w:lang w:val="en-US" w:eastAsia="zh-CN"/>
                    </w:rPr>
                    <w:t>本项目实施污染物总量控制</w:t>
                  </w: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352" w:type="dxa"/>
                  <w:vMerge/>
                  <w:tcBorders>
                    <w:tl2br w:val="nil"/>
                    <w:tr2bl w:val="nil"/>
                  </w:tcBorders>
                  <w:vAlign w:val="center"/>
                </w:tcPr>
                <w:p>
                  <w:pPr>
                    <w:snapToGrid w:val="0"/>
                    <w:spacing w:line="240" w:lineRule="auto"/>
                    <w:jc w:val="center"/>
                    <w:rPr>
                      <w:rFonts w:ascii="Times New Roman" w:eastAsia="宋体" w:hAnsi="Times New Roman" w:cs="Times New Roman" w:hint="eastAsia"/>
                      <w:b w:val="0"/>
                      <w:bCs w:val="0"/>
                      <w:color w:val="auto"/>
                      <w:szCs w:val="21"/>
                    </w:rPr>
                  </w:pPr>
                </w:p>
              </w:tc>
              <w:tc>
                <w:tcPr>
                  <w:tcW w:w="648" w:type="dxa"/>
                  <w:vMerge/>
                  <w:tcBorders>
                    <w:tl2br w:val="nil"/>
                    <w:tr2bl w:val="nil"/>
                  </w:tcBorders>
                  <w:vAlign w:val="center"/>
                </w:tcPr>
                <w:p>
                  <w:pPr>
                    <w:jc w:val="center"/>
                    <w:rPr>
                      <w:rFonts w:ascii="Times New Roman" w:eastAsia="宋体" w:hAnsi="Times New Roman" w:cs="Times New Roman" w:hint="eastAsia"/>
                      <w:b w:val="0"/>
                      <w:bCs w:val="0"/>
                      <w:color w:val="auto"/>
                      <w:szCs w:val="21"/>
                    </w:rPr>
                  </w:pPr>
                </w:p>
              </w:tc>
              <w:tc>
                <w:tcPr>
                  <w:tcW w:w="1245" w:type="dxa"/>
                  <w:vMerge/>
                  <w:tcBorders>
                    <w:tl2br w:val="nil"/>
                    <w:tr2bl w:val="nil"/>
                  </w:tcBorders>
                  <w:vAlign w:val="center"/>
                </w:tcPr>
                <w:p>
                  <w:pPr>
                    <w:jc w:val="center"/>
                    <w:rPr>
                      <w:rFonts w:ascii="Times New Roman" w:eastAsia="宋体" w:hAnsi="Times New Roman" w:cs="Times New Roman" w:hint="default"/>
                      <w:b w:val="0"/>
                      <w:bCs w:val="0"/>
                      <w:color w:val="auto"/>
                      <w:szCs w:val="21"/>
                    </w:rPr>
                  </w:pPr>
                </w:p>
              </w:tc>
              <w:tc>
                <w:tcPr>
                  <w:tcW w:w="480" w:type="dxa"/>
                  <w:tcBorders>
                    <w:tl2br w:val="nil"/>
                    <w:tr2bl w:val="nil"/>
                  </w:tcBorders>
                  <w:vAlign w:val="center"/>
                </w:tcPr>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环境风险防控</w:t>
                  </w:r>
                </w:p>
              </w:tc>
              <w:tc>
                <w:tcPr>
                  <w:tcW w:w="3705" w:type="dxa"/>
                  <w:tcBorders>
                    <w:tl2br w:val="nil"/>
                    <w:tr2bl w:val="nil"/>
                  </w:tcBorders>
                  <w:vAlign w:val="center"/>
                </w:tcPr>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 xml:space="preserve">（1）加强环境风险防范应急体系建设，加强环境应急预案管理，定期开展应急演 练，持续开展环境安全隐患排查整治，提升应急监测能力，加强应急物资管理。 </w:t>
                  </w:r>
                </w:p>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（2）合理布局商业、居住、科教等功能区块，严格控制噪声、恶臭、油烟等污染排放较大的建设项目布局。</w:t>
                  </w:r>
                </w:p>
              </w:tc>
              <w:tc>
                <w:tcPr>
                  <w:tcW w:w="1507" w:type="dxa"/>
                  <w:tcBorders>
                    <w:tl2br w:val="nil"/>
                    <w:tr2bl w:val="nil"/>
                  </w:tcBorders>
                  <w:vAlign w:val="center"/>
                </w:tcPr>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color w:val="auto"/>
                      <w:sz w:val="21"/>
                      <w:szCs w:val="21"/>
                      <w:lang w:val="en-US" w:eastAsia="zh-CN"/>
                    </w:rPr>
                    <w:t>本项目将按要求执行风险防范措施</w:t>
                  </w:r>
                  <w:r>
                    <w:rPr>
                      <w:rFonts w:ascii="Times New Roman" w:eastAsia="宋体" w:hAnsi="Times New Roman" w:cs="Times New Roman" w:hint="eastAsia"/>
                      <w:color w:val="auto"/>
                      <w:sz w:val="21"/>
                      <w:szCs w:val="21"/>
                      <w:lang w:val="en-US" w:eastAsia="zh-CN"/>
                    </w:rPr>
                    <w:t>。</w:t>
                  </w:r>
                </w:p>
              </w:tc>
            </w:tr>
            <w:tr>
              <w:tblPrEx>
                <w:tblW w:w="5000" w:type="pct"/>
                <w:jc w:val="center"/>
                <w:tblInd w:w="108" w:type="dxa"/>
                <w:tblLayout w:type="fixed"/>
                <w:tblCellMar>
                  <w:top w:w="0" w:type="dxa"/>
                  <w:left w:w="108" w:type="dxa"/>
                  <w:bottom w:w="0" w:type="dxa"/>
                  <w:right w:w="108" w:type="dxa"/>
                </w:tblCellMar>
                <w:tblLook w:val="0000"/>
              </w:tblPrEx>
              <w:trPr>
                <w:trHeight w:val="305"/>
                <w:jc w:val="center"/>
              </w:trPr>
              <w:tc>
                <w:tcPr>
                  <w:tcW w:w="352" w:type="dxa"/>
                  <w:vMerge/>
                  <w:tcBorders>
                    <w:tl2br w:val="nil"/>
                    <w:tr2bl w:val="nil"/>
                  </w:tcBorders>
                  <w:vAlign w:val="center"/>
                </w:tcPr>
                <w:p>
                  <w:pPr>
                    <w:snapToGrid w:val="0"/>
                    <w:spacing w:line="240" w:lineRule="auto"/>
                    <w:jc w:val="center"/>
                    <w:rPr>
                      <w:rFonts w:ascii="Times New Roman" w:eastAsia="宋体" w:hAnsi="Times New Roman" w:cs="Times New Roman" w:hint="eastAsia"/>
                      <w:b w:val="0"/>
                      <w:bCs w:val="0"/>
                      <w:color w:val="auto"/>
                      <w:szCs w:val="21"/>
                    </w:rPr>
                  </w:pPr>
                </w:p>
              </w:tc>
              <w:tc>
                <w:tcPr>
                  <w:tcW w:w="648" w:type="dxa"/>
                  <w:vMerge/>
                  <w:tcBorders>
                    <w:tl2br w:val="nil"/>
                    <w:tr2bl w:val="nil"/>
                  </w:tcBorders>
                  <w:vAlign w:val="center"/>
                </w:tcPr>
                <w:p>
                  <w:pPr>
                    <w:jc w:val="center"/>
                    <w:rPr>
                      <w:rFonts w:ascii="Times New Roman" w:eastAsia="宋体" w:hAnsi="Times New Roman" w:cs="Times New Roman" w:hint="eastAsia"/>
                      <w:b w:val="0"/>
                      <w:bCs w:val="0"/>
                      <w:color w:val="auto"/>
                      <w:szCs w:val="21"/>
                    </w:rPr>
                  </w:pPr>
                </w:p>
              </w:tc>
              <w:tc>
                <w:tcPr>
                  <w:tcW w:w="1245" w:type="dxa"/>
                  <w:vMerge/>
                  <w:tcBorders>
                    <w:tl2br w:val="nil"/>
                    <w:tr2bl w:val="nil"/>
                  </w:tcBorders>
                  <w:vAlign w:val="center"/>
                </w:tcPr>
                <w:p>
                  <w:pPr>
                    <w:jc w:val="center"/>
                    <w:rPr>
                      <w:rFonts w:ascii="Times New Roman" w:eastAsia="宋体" w:hAnsi="Times New Roman" w:cs="Times New Roman" w:hint="default"/>
                      <w:b w:val="0"/>
                      <w:bCs w:val="0"/>
                      <w:color w:val="auto"/>
                      <w:szCs w:val="21"/>
                    </w:rPr>
                  </w:pPr>
                </w:p>
              </w:tc>
              <w:tc>
                <w:tcPr>
                  <w:tcW w:w="480" w:type="dxa"/>
                  <w:tcBorders>
                    <w:tl2br w:val="nil"/>
                    <w:tr2bl w:val="nil"/>
                  </w:tcBorders>
                  <w:vAlign w:val="center"/>
                </w:tcPr>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资源开发效率要求</w:t>
                  </w:r>
                </w:p>
              </w:tc>
              <w:tc>
                <w:tcPr>
                  <w:tcW w:w="3705" w:type="dxa"/>
                  <w:tcBorders>
                    <w:tl2br w:val="nil"/>
                    <w:tr2bl w:val="nil"/>
                  </w:tcBorders>
                  <w:vAlign w:val="center"/>
                </w:tcPr>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（1）优化能源结构，加强能源清洁利用。</w:t>
                  </w:r>
                </w:p>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（2）万元GDP能耗、万元GDP用水量等指标达到市定目标。</w:t>
                  </w:r>
                </w:p>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 xml:space="preserve">（3）提高土地利用效率，节约集约利用土地资源。 </w:t>
                  </w:r>
                </w:p>
                <w:p>
                  <w:pPr>
                    <w:jc w:val="left"/>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（4）根据《市政府关于扬州市长江岸线资源开发利用和管理的意见》（扬府发〔2016〕17号），长江岸线使用应符合《江苏省沿江开发总体规划》、《江苏省沿江产业空间布局规划》、 《扬州市城市总体规划》、《扬州市沿江发展总体规划》、《扬州港总体 规划》等规划，坚持科学规划、统筹管理、严格保护、集约开发、合理利用、有偿使用等原则。</w:t>
                  </w:r>
                </w:p>
              </w:tc>
              <w:tc>
                <w:tcPr>
                  <w:tcW w:w="1507" w:type="dxa"/>
                  <w:tcBorders>
                    <w:tl2br w:val="nil"/>
                    <w:tr2bl w:val="nil"/>
                  </w:tcBorders>
                  <w:vAlign w:val="center"/>
                </w:tcPr>
                <w:p>
                  <w:pPr>
                    <w:jc w:val="center"/>
                    <w:rPr>
                      <w:rFonts w:ascii="Times New Roman" w:eastAsia="宋体" w:hAnsi="Times New Roman" w:cs="Times New Roman" w:hint="default"/>
                      <w:b w:val="0"/>
                      <w:bCs w:val="0"/>
                      <w:color w:val="auto"/>
                      <w:szCs w:val="21"/>
                    </w:rPr>
                  </w:pPr>
                  <w:r>
                    <w:rPr>
                      <w:rFonts w:ascii="Times New Roman" w:eastAsia="宋体" w:hAnsi="Times New Roman" w:cs="Times New Roman" w:hint="default"/>
                      <w:b w:val="0"/>
                      <w:bCs w:val="0"/>
                      <w:color w:val="auto"/>
                      <w:sz w:val="21"/>
                      <w:szCs w:val="21"/>
                      <w:lang w:val="en-US" w:eastAsia="zh-CN"/>
                    </w:rPr>
                    <w:t>本项目将按要求控制单位工业能耗、水耗</w:t>
                  </w:r>
                  <w:r>
                    <w:rPr>
                      <w:rFonts w:ascii="Times New Roman" w:eastAsia="宋体" w:hAnsi="Times New Roman" w:cs="Times New Roman" w:hint="eastAsia"/>
                      <w:b w:val="0"/>
                      <w:bCs w:val="0"/>
                      <w:color w:val="auto"/>
                      <w:sz w:val="21"/>
                      <w:szCs w:val="21"/>
                      <w:lang w:val="en-US" w:eastAsia="zh-CN"/>
                    </w:rPr>
                    <w:t>等</w:t>
                  </w:r>
                </w:p>
              </w:tc>
            </w:tr>
          </w:tbl>
          <w:p>
            <w:pPr>
              <w:spacing w:before="120" w:beforeLines="50" w:line="360" w:lineRule="auto"/>
              <w:ind w:firstLine="480" w:firstLineChars="200"/>
              <w:rPr>
                <w:rFonts w:ascii="Times New Roman" w:cs="Times New Roman" w:hint="eastAsia"/>
                <w:color w:val="auto"/>
              </w:rPr>
            </w:pPr>
            <w:r>
              <w:rPr>
                <w:rFonts w:ascii="Times New Roman" w:hAnsi="Times New Roman" w:cs="Times New Roman" w:hint="default"/>
                <w:b w:val="0"/>
                <w:bCs w:val="0"/>
                <w:color w:val="auto"/>
                <w:sz w:val="24"/>
                <w:szCs w:val="24"/>
              </w:rPr>
              <w:t>综上所述，建设项目符合</w:t>
            </w:r>
            <w:r>
              <w:rPr>
                <w:rFonts w:ascii="Times New Roman" w:hAnsi="Times New Roman" w:cs="Times New Roman" w:hint="default"/>
                <w:b w:val="0"/>
                <w:bCs w:val="0"/>
                <w:color w:val="auto"/>
                <w:sz w:val="24"/>
                <w:szCs w:val="24"/>
              </w:rPr>
              <w:t>“</w:t>
            </w:r>
            <w:r>
              <w:rPr>
                <w:rFonts w:ascii="Times New Roman" w:hAnsi="Times New Roman" w:cs="Times New Roman" w:hint="default"/>
                <w:b w:val="0"/>
                <w:bCs w:val="0"/>
                <w:color w:val="auto"/>
                <w:sz w:val="24"/>
                <w:szCs w:val="24"/>
              </w:rPr>
              <w:t>三线一单</w:t>
            </w:r>
            <w:r>
              <w:rPr>
                <w:rFonts w:ascii="Times New Roman" w:hAnsi="Times New Roman" w:cs="Times New Roman" w:hint="default"/>
                <w:b w:val="0"/>
                <w:bCs w:val="0"/>
                <w:color w:val="auto"/>
                <w:sz w:val="24"/>
                <w:szCs w:val="24"/>
              </w:rPr>
              <w:t>”</w:t>
            </w:r>
            <w:r>
              <w:rPr>
                <w:rFonts w:ascii="Times New Roman" w:hAnsi="Times New Roman" w:cs="Times New Roman" w:hint="default"/>
                <w:b w:val="0"/>
                <w:bCs w:val="0"/>
                <w:color w:val="auto"/>
                <w:sz w:val="24"/>
                <w:szCs w:val="24"/>
              </w:rPr>
              <w:t>要求</w:t>
            </w:r>
            <w:r>
              <w:rPr>
                <w:rFonts w:ascii="Times New Roman" w:hAnsi="Times New Roman" w:cs="Times New Roman" w:hint="eastAsia"/>
                <w:b w:val="0"/>
                <w:bCs w:val="0"/>
                <w:color w:val="auto"/>
                <w:sz w:val="24"/>
                <w:szCs w:val="24"/>
                <w:lang w:eastAsia="zh-CN"/>
              </w:rPr>
              <w:t>。</w:t>
            </w:r>
          </w:p>
        </w:tc>
      </w:tr>
    </w:tbl>
    <w:p>
      <w:pPr>
        <w:spacing w:line="360" w:lineRule="auto"/>
        <w:outlineLvl w:val="0"/>
        <w:rPr>
          <w:rFonts w:eastAsia="黑体"/>
          <w:color w:val="auto"/>
          <w:sz w:val="30"/>
        </w:rPr>
      </w:pPr>
    </w:p>
    <w:p>
      <w:pPr>
        <w:pStyle w:val="Default"/>
        <w:rPr>
          <w:rFonts w:hint="eastAsia"/>
          <w:color w:val="auto"/>
        </w:rPr>
        <w:sectPr>
          <w:footerReference w:type="default" r:id="rId9"/>
          <w:type w:val="nextPage"/>
          <w:pgSz w:w="11906" w:h="16838"/>
          <w:pgMar w:top="1440" w:right="1080" w:bottom="1440" w:left="1080" w:header="851" w:footer="1077" w:gutter="0"/>
          <w:pgBorders w:zOrder="front" w:display="allPages" w:offsetFrom="text">
            <w:top w:val="none" w:sz="0" w:space="0" w:color="auto"/>
            <w:left w:val="none" w:sz="0" w:space="0" w:color="auto"/>
            <w:bottom w:val="none" w:sz="0" w:space="0" w:color="auto"/>
            <w:right w:val="none" w:sz="0" w:space="0" w:color="auto"/>
          </w:pgBorders>
          <w:pgNumType w:start="6"/>
          <w:cols w:space="708"/>
          <w:titlePg w:val="0"/>
          <w:docGrid w:linePitch="312"/>
        </w:sectPr>
      </w:pPr>
    </w:p>
    <w:p>
      <w:pPr>
        <w:pStyle w:val="NormalWeb"/>
        <w:jc w:val="center"/>
        <w:outlineLvl w:val="0"/>
        <w:rPr>
          <w:rFonts w:ascii="Times New Roman" w:eastAsia="黑体" w:hAnsi="Times New Roman"/>
          <w:snapToGrid w:val="0"/>
          <w:color w:val="auto"/>
          <w:sz w:val="30"/>
          <w:szCs w:val="30"/>
        </w:rPr>
      </w:pPr>
      <w:r>
        <w:rPr>
          <w:rFonts w:ascii="Times New Roman" w:eastAsia="黑体" w:hAnsi="Times New Roman"/>
          <w:snapToGrid w:val="0"/>
          <w:color w:val="auto"/>
          <w:sz w:val="30"/>
          <w:szCs w:val="30"/>
        </w:rPr>
        <w:t>二、建设项目工程分析</w:t>
      </w:r>
    </w:p>
    <w:tbl>
      <w:tblPr>
        <w:tblStyle w:val="TableNormal"/>
        <w:tblW w:w="1008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1"/>
        <w:gridCol w:w="9321"/>
      </w:tblGrid>
      <w:tr>
        <w:tblPrEx>
          <w:tblW w:w="1008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761" w:type="dxa"/>
            <w:vAlign w:val="center"/>
          </w:tcPr>
          <w:p>
            <w:pPr>
              <w:pStyle w:val="NormalWeb"/>
              <w:adjustRightInd w:val="0"/>
              <w:snapToGrid w:val="0"/>
              <w:spacing w:before="0" w:beforeAutospacing="0" w:after="0" w:afterAutospacing="0"/>
              <w:jc w:val="center"/>
              <w:rPr>
                <w:rFonts w:ascii="Times New Roman" w:hAnsi="Times New Roman"/>
                <w:color w:val="auto"/>
                <w:sz w:val="21"/>
                <w:szCs w:val="21"/>
              </w:rPr>
            </w:pPr>
            <w:r>
              <w:rPr>
                <w:rFonts w:ascii="Times New Roman" w:hAnsi="Times New Roman"/>
                <w:color w:val="auto"/>
                <w:sz w:val="21"/>
                <w:szCs w:val="21"/>
              </w:rPr>
              <w:t>建设内容</w:t>
            </w:r>
          </w:p>
        </w:tc>
        <w:tc>
          <w:tcPr>
            <w:tcW w:w="9321" w:type="dxa"/>
          </w:tcPr>
          <w:p>
            <w:pPr>
              <w:numPr>
                <w:ilvl w:val="0"/>
                <w:numId w:val="0"/>
              </w:numPr>
              <w:adjustRightInd w:val="0"/>
              <w:snapToGrid w:val="0"/>
              <w:spacing w:line="360" w:lineRule="auto"/>
              <w:ind w:left="420" w:leftChars="0"/>
              <w:jc w:val="left"/>
              <w:rPr>
                <w:b/>
                <w:bCs/>
                <w:color w:val="auto"/>
                <w:sz w:val="24"/>
              </w:rPr>
            </w:pPr>
            <w:r>
              <w:rPr>
                <w:rFonts w:hint="eastAsia"/>
                <w:b/>
                <w:bCs/>
                <w:color w:val="auto"/>
                <w:sz w:val="24"/>
                <w:lang w:eastAsia="zh-CN"/>
              </w:rPr>
              <w:t>一、</w:t>
            </w:r>
            <w:r>
              <w:rPr>
                <w:rFonts w:hint="eastAsia"/>
                <w:b/>
                <w:bCs/>
                <w:color w:val="auto"/>
                <w:sz w:val="24"/>
              </w:rPr>
              <w:t>项目由来</w:t>
            </w:r>
          </w:p>
          <w:p>
            <w:pPr>
              <w:pStyle w:val="Default"/>
              <w:spacing w:line="360" w:lineRule="auto"/>
              <w:ind w:firstLine="480" w:firstLineChars="200"/>
              <w:rPr>
                <w:rFonts w:ascii="Times New Roman" w:hAnsi="Times New Roman" w:cs="Times New Roman" w:hint="default"/>
                <w:b w:val="0"/>
                <w:bCs/>
                <w:color w:val="auto"/>
              </w:rPr>
            </w:pPr>
            <w:r>
              <w:rPr>
                <w:rFonts w:ascii="Times New Roman" w:hAnsi="Times New Roman" w:cs="Times New Roman" w:hint="eastAsia"/>
                <w:b w:val="0"/>
                <w:bCs/>
                <w:color w:val="auto"/>
                <w:lang w:eastAsia="zh-CN"/>
              </w:rPr>
              <w:t>江苏仁海贸易有限公司</w:t>
            </w:r>
            <w:r>
              <w:rPr>
                <w:rFonts w:ascii="Times New Roman" w:hAnsi="Times New Roman" w:cs="Times New Roman" w:hint="default"/>
                <w:b w:val="0"/>
                <w:bCs/>
                <w:color w:val="auto"/>
              </w:rPr>
              <w:t>位于</w:t>
            </w:r>
            <w:r>
              <w:rPr>
                <w:rFonts w:ascii="Times New Roman" w:hAnsi="Times New Roman" w:cs="Times New Roman" w:hint="eastAsia"/>
                <w:b w:val="0"/>
                <w:bCs/>
                <w:color w:val="auto"/>
                <w:lang w:eastAsia="zh-CN"/>
              </w:rPr>
              <w:t>高邮市车逻镇太丰村</w:t>
            </w:r>
            <w:r>
              <w:rPr>
                <w:rFonts w:ascii="Times New Roman" w:hAnsi="Times New Roman" w:cs="Times New Roman" w:hint="default"/>
                <w:b w:val="0"/>
                <w:bCs/>
                <w:color w:val="auto"/>
              </w:rPr>
              <w:t>，</w:t>
            </w:r>
            <w:r>
              <w:rPr>
                <w:rFonts w:ascii="Times New Roman" w:hAnsi="Times New Roman" w:cs="Times New Roman" w:hint="eastAsia"/>
                <w:b w:val="0"/>
                <w:bCs/>
                <w:color w:val="auto"/>
                <w:lang w:eastAsia="zh-CN"/>
              </w:rPr>
              <w:t>于</w:t>
            </w:r>
            <w:r>
              <w:rPr>
                <w:rFonts w:ascii="Times New Roman" w:hAnsi="Times New Roman" w:cs="Times New Roman" w:hint="eastAsia"/>
                <w:b w:val="0"/>
                <w:bCs/>
                <w:color w:val="auto"/>
                <w:lang w:val="en-US" w:eastAsia="zh-CN"/>
              </w:rPr>
              <w:t>2016年9月委托江苏叶萌环境技术有限公司编制了</w:t>
            </w:r>
            <w:r>
              <w:rPr>
                <w:rFonts w:ascii="Times New Roman" w:hAnsi="Times New Roman" w:cs="Times New Roman" w:hint="eastAsia"/>
                <w:b w:val="0"/>
                <w:bCs/>
                <w:color w:val="auto"/>
                <w:lang w:val="en-US" w:eastAsia="zh-CN"/>
              </w:rPr>
              <w:t>“</w:t>
            </w:r>
            <w:r>
              <w:rPr>
                <w:rFonts w:ascii="宋体" w:hAnsi="宋体" w:hint="eastAsia"/>
                <w:szCs w:val="21"/>
              </w:rPr>
              <w:t>工业仓储项目</w:t>
            </w:r>
            <w:r>
              <w:rPr>
                <w:rFonts w:ascii="Times New Roman" w:hAnsi="Times New Roman" w:cs="Times New Roman" w:hint="eastAsia"/>
                <w:b w:val="0"/>
                <w:bCs/>
                <w:color w:val="auto"/>
                <w:lang w:val="en-US" w:eastAsia="zh-CN"/>
              </w:rPr>
              <w:t>”</w:t>
            </w:r>
            <w:r>
              <w:rPr>
                <w:rFonts w:ascii="Times New Roman" w:hAnsi="Times New Roman" w:cs="Times New Roman" w:hint="eastAsia"/>
                <w:b w:val="0"/>
                <w:bCs/>
                <w:color w:val="auto"/>
                <w:lang w:val="en-US" w:eastAsia="zh-CN"/>
              </w:rPr>
              <w:t>环境影响报告表，于2016年10月12日取的高邮市环境保护局的批复（邮环许可[2016]58号）。企业于2019年6月29日通过</w:t>
            </w:r>
            <w:r>
              <w:rPr>
                <w:rFonts w:ascii="Times New Roman" w:hAnsi="Times New Roman" w:cs="Times New Roman" w:hint="eastAsia"/>
                <w:b w:val="0"/>
                <w:bCs/>
                <w:color w:val="auto"/>
                <w:lang w:val="en-US" w:eastAsia="zh-CN"/>
              </w:rPr>
              <w:t>“</w:t>
            </w:r>
            <w:r>
              <w:rPr>
                <w:rFonts w:ascii="宋体" w:hAnsi="宋体" w:hint="eastAsia"/>
                <w:szCs w:val="21"/>
              </w:rPr>
              <w:t>工业仓储项目</w:t>
            </w:r>
            <w:r>
              <w:rPr>
                <w:rFonts w:ascii="Times New Roman" w:hAnsi="Times New Roman" w:cs="Times New Roman" w:hint="eastAsia"/>
                <w:b w:val="0"/>
                <w:bCs/>
                <w:color w:val="auto"/>
                <w:lang w:val="en-US" w:eastAsia="zh-CN"/>
              </w:rPr>
              <w:t>”</w:t>
            </w:r>
            <w:r>
              <w:rPr>
                <w:rFonts w:ascii="Times New Roman" w:hAnsi="Times New Roman" w:cs="Times New Roman" w:hint="eastAsia"/>
                <w:b w:val="0"/>
                <w:bCs/>
                <w:color w:val="auto"/>
                <w:lang w:val="en-US" w:eastAsia="zh-CN"/>
              </w:rPr>
              <w:t>竣工阶段性环保验收（不包括天然气加热废气系统和粮食筛选工序）。企业已办理固定污染源排污登记（编号：91321084MA1MJXFWXA001X）</w:t>
            </w:r>
          </w:p>
          <w:p>
            <w:pPr>
              <w:pStyle w:val="Default"/>
              <w:spacing w:line="360" w:lineRule="auto"/>
              <w:ind w:firstLine="480" w:firstLineChars="200"/>
              <w:rPr>
                <w:rFonts w:ascii="Times New Roman" w:eastAsia="宋体" w:hAnsi="Times New Roman" w:cs="Times New Roman" w:hint="default"/>
                <w:b w:val="0"/>
                <w:bCs/>
                <w:color w:val="auto"/>
              </w:rPr>
            </w:pPr>
            <w:r>
              <w:rPr>
                <w:rFonts w:eastAsia="宋体" w:hint="eastAsia"/>
                <w:b w:val="0"/>
                <w:bCs w:val="0"/>
                <w:color w:val="auto"/>
                <w:sz w:val="24"/>
                <w:highlight w:val="none"/>
                <w:lang w:val="en-US" w:eastAsia="zh-CN"/>
              </w:rPr>
              <w:t>由于市场需求，</w:t>
            </w:r>
            <w:r>
              <w:rPr>
                <w:rFonts w:ascii="Times New Roman" w:eastAsia="宋体" w:hAnsi="Times New Roman" w:cs="Times New Roman" w:hint="default"/>
                <w:b w:val="0"/>
                <w:bCs/>
                <w:color w:val="auto"/>
                <w:sz w:val="24"/>
                <w:lang w:eastAsia="zh-CN"/>
              </w:rPr>
              <w:t>企业拟投资</w:t>
            </w:r>
            <w:r>
              <w:rPr>
                <w:rFonts w:ascii="Times New Roman" w:eastAsia="宋体" w:hAnsi="Times New Roman" w:cs="Times New Roman" w:hint="eastAsia"/>
                <w:b w:val="0"/>
                <w:bCs/>
                <w:color w:val="auto"/>
                <w:sz w:val="24"/>
                <w:lang w:val="en-US" w:eastAsia="zh-CN"/>
              </w:rPr>
              <w:t>596.6</w:t>
            </w:r>
            <w:r>
              <w:rPr>
                <w:rFonts w:ascii="Times New Roman" w:eastAsia="宋体" w:hAnsi="Times New Roman" w:cs="Times New Roman" w:hint="default"/>
                <w:b w:val="0"/>
                <w:bCs/>
                <w:color w:val="auto"/>
                <w:sz w:val="24"/>
                <w:lang w:val="en-US" w:eastAsia="zh-CN"/>
              </w:rPr>
              <w:t>万元，</w:t>
            </w:r>
            <w:r>
              <w:rPr>
                <w:rFonts w:ascii="Times New Roman" w:eastAsia="宋体" w:hAnsi="Times New Roman" w:cs="Times New Roman" w:hint="eastAsia"/>
                <w:b w:val="0"/>
                <w:bCs/>
                <w:color w:val="auto"/>
                <w:sz w:val="24"/>
                <w:lang w:val="en-US" w:eastAsia="zh-CN"/>
              </w:rPr>
              <w:t>建设秸秆全降解地膜生产项目。</w:t>
            </w:r>
            <w:r>
              <w:rPr>
                <w:rFonts w:ascii="Times New Roman" w:hAnsi="Times New Roman" w:cs="Times New Roman" w:hint="default"/>
                <w:b w:val="0"/>
                <w:bCs/>
                <w:color w:val="auto"/>
                <w:sz w:val="24"/>
                <w:lang w:eastAsia="zh-CN"/>
              </w:rPr>
              <w:t>项目建成后</w:t>
            </w:r>
            <w:r>
              <w:rPr>
                <w:rFonts w:ascii="Times New Roman" w:hAnsi="Times New Roman" w:cs="Times New Roman" w:hint="default"/>
                <w:b w:val="0"/>
                <w:bCs/>
                <w:color w:val="auto"/>
                <w:sz w:val="24"/>
                <w:lang w:val="en-US" w:eastAsia="zh-CN"/>
              </w:rPr>
              <w:t>年生产0.4万吨地膜</w:t>
            </w:r>
            <w:r>
              <w:rPr>
                <w:rFonts w:ascii="Times New Roman" w:hAnsi="Times New Roman" w:cs="Times New Roman" w:hint="eastAsia"/>
                <w:b w:val="0"/>
                <w:bCs/>
                <w:color w:val="auto"/>
                <w:sz w:val="24"/>
                <w:lang w:val="en-US" w:eastAsia="zh-CN"/>
              </w:rPr>
              <w:t>。</w:t>
            </w:r>
          </w:p>
          <w:p>
            <w:pPr>
              <w:pStyle w:val="Default"/>
              <w:spacing w:line="360" w:lineRule="auto"/>
              <w:ind w:firstLine="480" w:firstLineChars="200"/>
              <w:rPr>
                <w:rFonts w:hint="eastAsia"/>
                <w:color w:val="auto"/>
              </w:rPr>
            </w:pPr>
            <w:r>
              <w:rPr>
                <w:rFonts w:ascii="Times New Roman" w:hAnsi="Times New Roman" w:cs="Times New Roman" w:hint="default"/>
                <w:b w:val="0"/>
                <w:bCs w:val="0"/>
                <w:color w:val="auto"/>
                <w:sz w:val="24"/>
                <w:szCs w:val="24"/>
                <w:lang w:val="en-US" w:eastAsia="zh-CN"/>
              </w:rPr>
              <w:t>根据《中华人民共和国环境保护法》和《中华人民共和国环境影响评价法》，该项目应进行环境影响评价，对照《建设项目环境影响评价分类管理名录》（2021年版）</w:t>
            </w:r>
            <w:r>
              <w:rPr>
                <w:rFonts w:ascii="Times New Roman" w:hAnsi="Times New Roman" w:cs="Times New Roman" w:hint="default"/>
                <w:b w:val="0"/>
                <w:bCs w:val="0"/>
                <w:color w:val="auto"/>
                <w:sz w:val="24"/>
                <w:szCs w:val="24"/>
                <w:lang w:val="en-US" w:eastAsia="zh-CN"/>
              </w:rPr>
              <w:t>，</w:t>
            </w:r>
            <w:r>
              <w:rPr>
                <w:rFonts w:ascii="Times New Roman" w:hAnsi="Times New Roman" w:cs="Times New Roman" w:hint="default"/>
                <w:b w:val="0"/>
                <w:bCs w:val="0"/>
                <w:color w:val="auto"/>
                <w:sz w:val="24"/>
                <w:szCs w:val="24"/>
                <w:lang w:val="en-US" w:eastAsia="zh-CN"/>
              </w:rPr>
              <w:t>本项目主要生产秸秆地膜，属于</w:t>
            </w:r>
            <w:r>
              <w:rPr>
                <w:rFonts w:ascii="Times New Roman" w:hAnsi="Times New Roman" w:cs="Times New Roman" w:hint="default"/>
                <w:b w:val="0"/>
                <w:bCs w:val="0"/>
                <w:color w:val="auto"/>
                <w:sz w:val="24"/>
                <w:szCs w:val="24"/>
                <w:lang w:val="en-US" w:eastAsia="zh-CN"/>
              </w:rPr>
              <w:t>“</w:t>
            </w:r>
            <w:r>
              <w:rPr>
                <w:rFonts w:ascii="Times New Roman" w:hAnsi="Times New Roman" w:cs="Times New Roman" w:hint="default"/>
                <w:color w:val="auto"/>
                <w:sz w:val="24"/>
                <w:lang w:val="en-US" w:eastAsia="zh-CN"/>
              </w:rPr>
              <w:t>十七、木材加工和木、竹、藤、棕、草制品业20</w:t>
            </w:r>
            <w:r>
              <w:rPr>
                <w:rFonts w:ascii="Times New Roman" w:hAnsi="Times New Roman" w:cs="Times New Roman" w:hint="default"/>
                <w:b w:val="0"/>
                <w:bCs w:val="0"/>
                <w:color w:val="auto"/>
                <w:sz w:val="24"/>
                <w:szCs w:val="24"/>
                <w:lang w:val="en-US" w:eastAsia="zh-CN"/>
              </w:rPr>
              <w:t>”</w:t>
            </w:r>
            <w:r>
              <w:rPr>
                <w:rFonts w:ascii="Times New Roman" w:hAnsi="Times New Roman" w:cs="Times New Roman" w:hint="default"/>
                <w:b w:val="0"/>
                <w:bCs w:val="0"/>
                <w:color w:val="auto"/>
                <w:sz w:val="24"/>
                <w:szCs w:val="24"/>
                <w:lang w:val="en-US" w:eastAsia="zh-CN"/>
              </w:rPr>
              <w:t>中</w:t>
            </w:r>
            <w:r>
              <w:rPr>
                <w:rFonts w:ascii="Times New Roman" w:hAnsi="Times New Roman" w:cs="Times New Roman" w:hint="default"/>
                <w:b w:val="0"/>
                <w:bCs w:val="0"/>
                <w:color w:val="auto"/>
                <w:sz w:val="24"/>
                <w:szCs w:val="24"/>
                <w:lang w:val="en-US" w:eastAsia="zh-CN"/>
              </w:rPr>
              <w:t>“</w:t>
            </w:r>
            <w:r>
              <w:rPr>
                <w:rFonts w:ascii="Times New Roman" w:hAnsi="Times New Roman" w:cs="Times New Roman" w:hint="default"/>
                <w:color w:val="auto"/>
                <w:sz w:val="24"/>
                <w:lang w:val="en-US" w:eastAsia="zh-CN"/>
              </w:rPr>
              <w:t>35</w:t>
            </w:r>
            <w:r>
              <w:rPr>
                <w:rFonts w:ascii="Times New Roman" w:hAnsi="Times New Roman" w:cs="Times New Roman" w:hint="eastAsia"/>
                <w:color w:val="auto"/>
                <w:sz w:val="24"/>
                <w:lang w:val="en-US" w:eastAsia="zh-CN"/>
              </w:rPr>
              <w:t>、</w:t>
            </w:r>
            <w:r>
              <w:rPr>
                <w:rFonts w:ascii="Times New Roman" w:hAnsi="Times New Roman" w:cs="Times New Roman" w:hint="default"/>
                <w:color w:val="auto"/>
                <w:sz w:val="24"/>
                <w:lang w:val="en-US" w:eastAsia="zh-CN"/>
              </w:rPr>
              <w:t>竹、藤、棕、草等制品制造204</w:t>
            </w:r>
            <w:r>
              <w:rPr>
                <w:rFonts w:ascii="Times New Roman" w:hAnsi="Times New Roman" w:cs="Times New Roman" w:hint="default"/>
                <w:b w:val="0"/>
                <w:bCs w:val="0"/>
                <w:color w:val="auto"/>
                <w:sz w:val="24"/>
                <w:szCs w:val="24"/>
                <w:lang w:val="en-US" w:eastAsia="zh-CN"/>
              </w:rPr>
              <w:t>”</w:t>
            </w:r>
            <w:r>
              <w:rPr>
                <w:rFonts w:ascii="Times New Roman" w:hAnsi="Times New Roman" w:cs="Times New Roman" w:hint="eastAsia"/>
                <w:b w:val="0"/>
                <w:bCs w:val="0"/>
                <w:color w:val="auto"/>
                <w:sz w:val="24"/>
                <w:szCs w:val="24"/>
                <w:lang w:val="en-US" w:eastAsia="zh-CN"/>
              </w:rPr>
              <w:t>。同时本项目</w:t>
            </w:r>
            <w:r>
              <w:rPr>
                <w:rFonts w:ascii="Times New Roman" w:hAnsi="Times New Roman" w:cs="Times New Roman" w:hint="default"/>
                <w:b w:val="0"/>
                <w:bCs w:val="0"/>
                <w:color w:val="auto"/>
                <w:sz w:val="24"/>
                <w:szCs w:val="24"/>
                <w:lang w:val="en-US" w:eastAsia="zh-CN"/>
              </w:rPr>
              <w:t>生产过程中使用</w:t>
            </w:r>
            <w:r>
              <w:rPr>
                <w:rFonts w:ascii="Times New Roman" w:hAnsi="Times New Roman" w:cs="Times New Roman" w:hint="eastAsia"/>
                <w:b w:val="0"/>
                <w:bCs w:val="0"/>
                <w:color w:val="auto"/>
                <w:sz w:val="24"/>
                <w:szCs w:val="24"/>
                <w:lang w:val="en-US" w:eastAsia="zh-CN"/>
              </w:rPr>
              <w:t>2吨的天然气蒸汽锅炉</w:t>
            </w:r>
            <w:r>
              <w:rPr>
                <w:rFonts w:ascii="Times New Roman" w:hAnsi="Times New Roman" w:cs="Times New Roman" w:hint="default"/>
                <w:b w:val="0"/>
                <w:bCs w:val="0"/>
                <w:color w:val="auto"/>
                <w:sz w:val="24"/>
                <w:szCs w:val="24"/>
                <w:lang w:val="en-US" w:eastAsia="zh-CN"/>
              </w:rPr>
              <w:t>供热，</w:t>
            </w:r>
            <w:r>
              <w:rPr>
                <w:rFonts w:ascii="Times New Roman" w:hAnsi="Times New Roman" w:cs="Times New Roman" w:hint="eastAsia"/>
                <w:b w:val="0"/>
                <w:bCs w:val="0"/>
                <w:color w:val="auto"/>
                <w:sz w:val="24"/>
                <w:szCs w:val="24"/>
                <w:lang w:val="en-US" w:eastAsia="zh-CN"/>
              </w:rPr>
              <w:t>属于</w:t>
            </w:r>
            <w:r>
              <w:rPr>
                <w:rFonts w:ascii="Times New Roman" w:hAnsi="Times New Roman" w:cs="Times New Roman" w:hint="eastAsia"/>
                <w:b w:val="0"/>
                <w:bCs w:val="0"/>
                <w:color w:val="auto"/>
                <w:sz w:val="24"/>
                <w:szCs w:val="24"/>
                <w:lang w:val="en-US" w:eastAsia="zh-CN"/>
              </w:rPr>
              <w:t>“</w:t>
            </w:r>
            <w:r>
              <w:rPr>
                <w:rFonts w:ascii="Times New Roman" w:hAnsi="Times New Roman" w:cs="Times New Roman" w:hint="default"/>
                <w:color w:val="auto"/>
                <w:sz w:val="24"/>
                <w:szCs w:val="24"/>
                <w:lang w:val="en-US" w:eastAsia="zh-CN"/>
              </w:rPr>
              <w:t>四十一、电力、热力生产和供应业；91 热力生产和供应工程（包括建设单位自建自用的供热工程）</w:t>
            </w:r>
            <w:r>
              <w:rPr>
                <w:rFonts w:ascii="Times New Roman" w:hAnsi="Times New Roman" w:cs="Times New Roman" w:hint="eastAsia"/>
                <w:b w:val="0"/>
                <w:bCs w:val="0"/>
                <w:color w:val="auto"/>
                <w:sz w:val="24"/>
                <w:szCs w:val="24"/>
                <w:lang w:val="en-US" w:eastAsia="zh-CN"/>
              </w:rPr>
              <w:t>”</w:t>
            </w:r>
            <w:r>
              <w:rPr>
                <w:rFonts w:ascii="Times New Roman" w:hAnsi="Times New Roman" w:cs="Times New Roman" w:hint="eastAsia"/>
                <w:b w:val="0"/>
                <w:bCs w:val="0"/>
                <w:color w:val="auto"/>
                <w:sz w:val="24"/>
                <w:szCs w:val="24"/>
                <w:lang w:val="en-US" w:eastAsia="zh-CN"/>
              </w:rPr>
              <w:t>中</w:t>
            </w:r>
            <w:r>
              <w:rPr>
                <w:rFonts w:ascii="Times New Roman" w:hAnsi="Times New Roman" w:cs="Times New Roman" w:hint="eastAsia"/>
                <w:b w:val="0"/>
                <w:bCs w:val="0"/>
                <w:color w:val="auto"/>
                <w:sz w:val="24"/>
                <w:szCs w:val="24"/>
                <w:lang w:val="en-US" w:eastAsia="zh-CN"/>
              </w:rPr>
              <w:t>“</w:t>
            </w:r>
            <w:r>
              <w:rPr>
                <w:rFonts w:ascii="Times New Roman" w:hAnsi="Times New Roman" w:cs="Times New Roman" w:hint="eastAsia"/>
                <w:b w:val="0"/>
                <w:bCs w:val="0"/>
                <w:color w:val="auto"/>
                <w:sz w:val="24"/>
                <w:szCs w:val="24"/>
                <w:lang w:val="en-US" w:eastAsia="zh-CN"/>
              </w:rPr>
              <w:t>燃煤、燃油锅炉总容量65吨/小时(45. 5兆瓦)及以下的；天然气锅炉总容量1吨/小时(0.7兆瓦)以上的；使用其他高污染燃料的（高污染燃料指国环规大气（2017）2号《高污染燃料目录》中规定的燃料）</w:t>
            </w:r>
            <w:r>
              <w:rPr>
                <w:rFonts w:ascii="Times New Roman" w:hAnsi="Times New Roman" w:cs="Times New Roman" w:hint="eastAsia"/>
                <w:b w:val="0"/>
                <w:bCs w:val="0"/>
                <w:color w:val="auto"/>
                <w:sz w:val="24"/>
                <w:szCs w:val="24"/>
                <w:lang w:val="en-US" w:eastAsia="zh-CN"/>
              </w:rPr>
              <w:t>”</w:t>
            </w:r>
            <w:r>
              <w:rPr>
                <w:rFonts w:ascii="Times New Roman" w:hAnsi="Times New Roman" w:cs="Times New Roman" w:hint="default"/>
                <w:b w:val="0"/>
                <w:bCs w:val="0"/>
                <w:color w:val="auto"/>
                <w:sz w:val="24"/>
                <w:szCs w:val="24"/>
                <w:lang w:val="en-US" w:eastAsia="zh-CN"/>
              </w:rPr>
              <w:t>，</w:t>
            </w:r>
            <w:r>
              <w:rPr>
                <w:b w:val="0"/>
                <w:bCs w:val="0"/>
                <w:color w:val="auto"/>
                <w:szCs w:val="22"/>
              </w:rPr>
              <w:t>应编制环境影响报告表。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ascii="Times New Roman" w:hAnsi="Times New Roman" w:cs="Times New Roman" w:hint="default"/>
                <w:b/>
                <w:bCs/>
                <w:color w:val="auto"/>
                <w:sz w:val="24"/>
              </w:rPr>
            </w:pPr>
            <w:r>
              <w:rPr>
                <w:rFonts w:ascii="Times New Roman" w:hAnsi="Times New Roman" w:cs="Times New Roman" w:hint="eastAsia"/>
                <w:b/>
                <w:bCs/>
                <w:color w:val="auto"/>
                <w:sz w:val="24"/>
                <w:szCs w:val="24"/>
                <w:lang w:eastAsia="zh-CN"/>
              </w:rPr>
              <w:t>二、项目建设内容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ascii="Times New Roman" w:hAnsi="Times New Roman" w:cs="Times New Roman" w:hint="default"/>
                <w:color w:val="auto"/>
                <w:spacing w:val="-4"/>
                <w:sz w:val="24"/>
              </w:rPr>
            </w:pPr>
            <w:r>
              <w:rPr>
                <w:rFonts w:ascii="Times New Roman" w:hAnsi="Times New Roman" w:cs="Times New Roman" w:hint="eastAsia"/>
                <w:b/>
                <w:bCs/>
                <w:color w:val="auto"/>
                <w:sz w:val="24"/>
                <w:szCs w:val="24"/>
                <w:lang w:val="en-US" w:eastAsia="zh-CN"/>
              </w:rPr>
              <w:t>1、</w:t>
            </w:r>
            <w:r>
              <w:rPr>
                <w:rFonts w:ascii="Times New Roman" w:hAnsi="Times New Roman" w:cs="Times New Roman" w:hint="default"/>
                <w:b/>
                <w:bCs/>
                <w:color w:val="auto"/>
                <w:sz w:val="24"/>
                <w:szCs w:val="24"/>
                <w:lang w:eastAsia="zh-CN"/>
              </w:rPr>
              <w:t>建设规模：</w:t>
            </w:r>
            <w:r>
              <w:rPr>
                <w:rFonts w:ascii="Times New Roman" w:hAnsi="Times New Roman" w:cs="Times New Roman" w:hint="eastAsia"/>
                <w:b w:val="0"/>
                <w:bCs w:val="0"/>
                <w:color w:val="auto"/>
                <w:sz w:val="24"/>
                <w:szCs w:val="24"/>
                <w:lang w:eastAsia="zh-CN"/>
              </w:rPr>
              <w:t>本项目</w:t>
            </w:r>
            <w:r>
              <w:rPr>
                <w:rFonts w:ascii="Times New Roman" w:hAnsi="Times New Roman" w:cs="Times New Roman" w:hint="eastAsia"/>
                <w:b w:val="0"/>
                <w:bCs/>
                <w:color w:val="auto"/>
                <w:sz w:val="24"/>
                <w:lang w:eastAsia="zh-CN"/>
              </w:rPr>
              <w:t>年</w:t>
            </w:r>
            <w:r>
              <w:rPr>
                <w:rFonts w:ascii="Times New Roman" w:hAnsi="Times New Roman" w:cs="Times New Roman" w:hint="default"/>
                <w:b w:val="0"/>
                <w:bCs/>
                <w:color w:val="auto"/>
                <w:sz w:val="24"/>
                <w:lang w:val="en-US" w:eastAsia="zh-CN"/>
              </w:rPr>
              <w:t>产0.4万吨地膜</w:t>
            </w:r>
            <w:r>
              <w:rPr>
                <w:rFonts w:ascii="Times New Roman" w:hAnsi="Times New Roman" w:cs="Times New Roman" w:hint="default"/>
                <w:b w:val="0"/>
                <w:bCs w:val="0"/>
                <w:color w:val="auto"/>
                <w:sz w:val="24"/>
                <w:szCs w:val="24"/>
                <w:lang w:val="en-US" w:eastAsia="zh-CN"/>
              </w:rPr>
              <w:t>。</w:t>
            </w:r>
            <w:r>
              <w:rPr>
                <w:rFonts w:ascii="Times New Roman" w:hAnsi="Times New Roman" w:cs="Times New Roman" w:hint="default"/>
                <w:color w:val="auto"/>
                <w:sz w:val="24"/>
                <w:szCs w:val="24"/>
              </w:rPr>
              <w:t>建设</w:t>
            </w:r>
            <w:r>
              <w:rPr>
                <w:rFonts w:ascii="Times New Roman" w:hAnsi="Times New Roman" w:cs="Times New Roman" w:hint="default"/>
                <w:color w:val="auto"/>
                <w:spacing w:val="-4"/>
                <w:sz w:val="24"/>
                <w:szCs w:val="24"/>
              </w:rPr>
              <w:t>项目产品方案见表</w:t>
            </w:r>
            <w:r>
              <w:rPr>
                <w:rFonts w:ascii="Times New Roman" w:hAnsi="Times New Roman" w:cs="Times New Roman" w:hint="default"/>
                <w:color w:val="auto"/>
                <w:spacing w:val="-4"/>
                <w:sz w:val="24"/>
                <w:szCs w:val="24"/>
                <w:lang w:val="en-US" w:eastAsia="zh-CN"/>
              </w:rPr>
              <w:t>2-1</w:t>
            </w:r>
            <w:r>
              <w:rPr>
                <w:rFonts w:ascii="Times New Roman" w:hAnsi="Times New Roman" w:cs="Times New Roman" w:hint="default"/>
                <w:color w:val="auto"/>
                <w:spacing w:val="-4"/>
                <w:sz w:val="24"/>
                <w:szCs w:val="24"/>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hint="default"/>
                <w:b/>
                <w:color w:val="auto"/>
                <w:sz w:val="24"/>
              </w:rPr>
            </w:pPr>
            <w:r>
              <w:rPr>
                <w:rFonts w:ascii="Times New Roman" w:hAnsi="Times New Roman" w:cs="Times New Roman" w:hint="default"/>
                <w:b/>
                <w:color w:val="auto"/>
                <w:sz w:val="24"/>
                <w:szCs w:val="24"/>
              </w:rPr>
              <w:t>表</w:t>
            </w:r>
            <w:r>
              <w:rPr>
                <w:rFonts w:ascii="Times New Roman" w:hAnsi="Times New Roman" w:cs="Times New Roman" w:hint="default"/>
                <w:b/>
                <w:color w:val="auto"/>
                <w:sz w:val="24"/>
                <w:szCs w:val="24"/>
                <w:lang w:val="en-US" w:eastAsia="zh-CN"/>
              </w:rPr>
              <w:t xml:space="preserve">2-1 </w:t>
            </w:r>
            <w:r>
              <w:rPr>
                <w:rFonts w:ascii="Times New Roman" w:hAnsi="Times New Roman" w:cs="Times New Roman" w:hint="default"/>
                <w:b/>
                <w:color w:val="auto"/>
                <w:sz w:val="24"/>
                <w:szCs w:val="24"/>
              </w:rPr>
              <w:t xml:space="preserve"> </w:t>
            </w:r>
            <w:r>
              <w:rPr>
                <w:rFonts w:ascii="Times New Roman" w:hAnsi="Times New Roman" w:cs="Times New Roman" w:hint="default"/>
                <w:b/>
                <w:color w:val="auto"/>
                <w:sz w:val="24"/>
                <w:szCs w:val="24"/>
                <w:lang w:eastAsia="zh-CN"/>
              </w:rPr>
              <w:t>建设项目</w:t>
            </w:r>
            <w:r>
              <w:rPr>
                <w:rFonts w:ascii="Times New Roman" w:hAnsi="Times New Roman" w:cs="Times New Roman" w:hint="default"/>
                <w:b/>
                <w:color w:val="auto"/>
                <w:sz w:val="24"/>
                <w:szCs w:val="24"/>
              </w:rPr>
              <w:t>产品方案</w:t>
            </w:r>
          </w:p>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2"/>
              <w:gridCol w:w="2193"/>
              <w:gridCol w:w="1845"/>
              <w:gridCol w:w="1005"/>
              <w:gridCol w:w="960"/>
              <w:gridCol w:w="1005"/>
              <w:gridCol w:w="141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438"/>
                <w:jc w:val="center"/>
              </w:trPr>
              <w:tc>
                <w:tcPr>
                  <w:tcW w:w="682" w:type="dxa"/>
                  <w:vMerge w:val="restart"/>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val="0"/>
                      <w:color w:val="auto"/>
                      <w:sz w:val="21"/>
                      <w:szCs w:val="21"/>
                    </w:rPr>
                  </w:pPr>
                  <w:r>
                    <w:rPr>
                      <w:rFonts w:ascii="Times New Roman" w:eastAsia="宋体" w:hAnsi="Times New Roman" w:cs="Times New Roman" w:hint="default"/>
                      <w:b/>
                      <w:bCs w:val="0"/>
                      <w:color w:val="auto"/>
                      <w:sz w:val="21"/>
                      <w:szCs w:val="21"/>
                    </w:rPr>
                    <w:t>序号</w:t>
                  </w:r>
                </w:p>
              </w:tc>
              <w:tc>
                <w:tcPr>
                  <w:tcW w:w="2193" w:type="dxa"/>
                  <w:vMerge w:val="restart"/>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val="0"/>
                      <w:color w:val="auto"/>
                      <w:sz w:val="21"/>
                      <w:szCs w:val="21"/>
                    </w:rPr>
                  </w:pPr>
                  <w:r>
                    <w:rPr>
                      <w:rFonts w:ascii="Times New Roman" w:eastAsia="宋体" w:hAnsi="Times New Roman" w:cs="Times New Roman" w:hint="default"/>
                      <w:b/>
                      <w:bCs w:val="0"/>
                      <w:color w:val="auto"/>
                      <w:sz w:val="21"/>
                      <w:szCs w:val="21"/>
                    </w:rPr>
                    <w:t>工程名称（车间、生产装置或生产线）</w:t>
                  </w:r>
                </w:p>
              </w:tc>
              <w:tc>
                <w:tcPr>
                  <w:tcW w:w="1845" w:type="dxa"/>
                  <w:vMerge w:val="restart"/>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val="0"/>
                      <w:color w:val="auto"/>
                      <w:sz w:val="21"/>
                      <w:szCs w:val="21"/>
                    </w:rPr>
                  </w:pPr>
                  <w:r>
                    <w:rPr>
                      <w:rFonts w:ascii="Times New Roman" w:eastAsia="宋体" w:hAnsi="Times New Roman" w:cs="Times New Roman" w:hint="default"/>
                      <w:b/>
                      <w:bCs w:val="0"/>
                      <w:color w:val="auto"/>
                      <w:sz w:val="21"/>
                      <w:szCs w:val="21"/>
                    </w:rPr>
                    <w:t>产品名称及规格</w:t>
                  </w:r>
                </w:p>
              </w:tc>
              <w:tc>
                <w:tcPr>
                  <w:tcW w:w="2970" w:type="dxa"/>
                  <w:gridSpan w:val="3"/>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val="0"/>
                      <w:color w:val="auto"/>
                      <w:sz w:val="21"/>
                      <w:szCs w:val="21"/>
                    </w:rPr>
                  </w:pPr>
                  <w:r>
                    <w:rPr>
                      <w:rFonts w:ascii="Times New Roman" w:eastAsia="宋体" w:hAnsi="Times New Roman" w:cs="Times New Roman" w:hint="default"/>
                      <w:b/>
                      <w:bCs w:val="0"/>
                      <w:color w:val="auto"/>
                      <w:sz w:val="21"/>
                      <w:szCs w:val="21"/>
                    </w:rPr>
                    <w:t>设计能力（年）</w:t>
                  </w:r>
                </w:p>
              </w:tc>
              <w:tc>
                <w:tcPr>
                  <w:tcW w:w="1415" w:type="dxa"/>
                  <w:vMerge w:val="restart"/>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val="0"/>
                      <w:color w:val="auto"/>
                      <w:sz w:val="21"/>
                      <w:szCs w:val="21"/>
                    </w:rPr>
                  </w:pPr>
                  <w:r>
                    <w:rPr>
                      <w:rFonts w:ascii="Times New Roman" w:eastAsia="宋体" w:hAnsi="Times New Roman" w:cs="Times New Roman" w:hint="default"/>
                      <w:b/>
                      <w:bCs w:val="0"/>
                      <w:color w:val="auto"/>
                      <w:sz w:val="21"/>
                      <w:szCs w:val="21"/>
                    </w:rPr>
                    <w:t>年运行时数</w:t>
                  </w:r>
                </w:p>
              </w:tc>
            </w:tr>
            <w:tr>
              <w:tblPrEx>
                <w:tblW w:w="5000" w:type="pct"/>
                <w:jc w:val="center"/>
                <w:tblInd w:w="108" w:type="dxa"/>
                <w:tblLayout w:type="fixed"/>
                <w:tblCellMar>
                  <w:top w:w="0" w:type="dxa"/>
                  <w:left w:w="108" w:type="dxa"/>
                  <w:bottom w:w="0" w:type="dxa"/>
                  <w:right w:w="108" w:type="dxa"/>
                </w:tblCellMar>
                <w:tblLook w:val="0000"/>
              </w:tblPrEx>
              <w:trPr>
                <w:trHeight w:hRule="exact" w:val="351"/>
                <w:jc w:val="center"/>
              </w:trPr>
              <w:tc>
                <w:tcPr>
                  <w:tcW w:w="682" w:type="dxa"/>
                  <w:vMerge/>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val="0"/>
                      <w:color w:val="auto"/>
                      <w:sz w:val="21"/>
                      <w:szCs w:val="21"/>
                    </w:rPr>
                  </w:pPr>
                </w:p>
              </w:tc>
              <w:tc>
                <w:tcPr>
                  <w:tcW w:w="2193" w:type="dxa"/>
                  <w:vMerge/>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val="0"/>
                      <w:color w:val="auto"/>
                      <w:sz w:val="21"/>
                      <w:szCs w:val="21"/>
                    </w:rPr>
                  </w:pPr>
                </w:p>
              </w:tc>
              <w:tc>
                <w:tcPr>
                  <w:tcW w:w="1845" w:type="dxa"/>
                  <w:vMerge/>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val="0"/>
                      <w:color w:val="auto"/>
                      <w:sz w:val="21"/>
                      <w:szCs w:val="21"/>
                    </w:rPr>
                  </w:pPr>
                </w:p>
              </w:tc>
              <w:tc>
                <w:tcPr>
                  <w:tcW w:w="1005"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eastAsia"/>
                      <w:b/>
                      <w:bCs w:val="0"/>
                      <w:color w:val="auto"/>
                      <w:sz w:val="21"/>
                      <w:szCs w:val="21"/>
                      <w:lang w:eastAsia="zh-CN"/>
                    </w:rPr>
                  </w:pPr>
                  <w:r>
                    <w:rPr>
                      <w:rFonts w:ascii="Times New Roman" w:eastAsia="宋体" w:hAnsi="Times New Roman" w:cs="Times New Roman" w:hint="eastAsia"/>
                      <w:b/>
                      <w:bCs w:val="0"/>
                      <w:color w:val="auto"/>
                      <w:sz w:val="21"/>
                      <w:szCs w:val="21"/>
                      <w:lang w:eastAsia="zh-CN"/>
                    </w:rPr>
                    <w:t>改建前</w:t>
                  </w:r>
                </w:p>
              </w:tc>
              <w:tc>
                <w:tcPr>
                  <w:tcW w:w="960"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eastAsia"/>
                      <w:b/>
                      <w:bCs w:val="0"/>
                      <w:color w:val="auto"/>
                      <w:sz w:val="21"/>
                      <w:szCs w:val="21"/>
                      <w:lang w:eastAsia="zh-CN"/>
                    </w:rPr>
                  </w:pPr>
                  <w:r>
                    <w:rPr>
                      <w:rFonts w:ascii="Times New Roman" w:eastAsia="宋体" w:hAnsi="Times New Roman" w:cs="Times New Roman" w:hint="eastAsia"/>
                      <w:b/>
                      <w:bCs w:val="0"/>
                      <w:color w:val="auto"/>
                      <w:sz w:val="21"/>
                      <w:szCs w:val="21"/>
                      <w:lang w:eastAsia="zh-CN"/>
                    </w:rPr>
                    <w:t>改建后</w:t>
                  </w:r>
                </w:p>
              </w:tc>
              <w:tc>
                <w:tcPr>
                  <w:tcW w:w="1005"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eastAsia"/>
                      <w:b/>
                      <w:bCs w:val="0"/>
                      <w:color w:val="auto"/>
                      <w:sz w:val="21"/>
                      <w:szCs w:val="21"/>
                      <w:lang w:eastAsia="zh-CN"/>
                    </w:rPr>
                  </w:pPr>
                  <w:r>
                    <w:rPr>
                      <w:rFonts w:ascii="Times New Roman" w:eastAsia="宋体" w:hAnsi="Times New Roman" w:cs="Times New Roman" w:hint="eastAsia"/>
                      <w:b/>
                      <w:bCs w:val="0"/>
                      <w:color w:val="auto"/>
                      <w:sz w:val="21"/>
                      <w:szCs w:val="21"/>
                      <w:lang w:eastAsia="zh-CN"/>
                    </w:rPr>
                    <w:t>变化量</w:t>
                  </w:r>
                </w:p>
              </w:tc>
              <w:tc>
                <w:tcPr>
                  <w:tcW w:w="1415" w:type="dxa"/>
                  <w:vMerge/>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b/>
                      <w:bCs w:val="0"/>
                      <w:color w:val="auto"/>
                      <w:sz w:val="21"/>
                      <w:szCs w:val="21"/>
                    </w:rPr>
                  </w:pPr>
                </w:p>
              </w:tc>
            </w:tr>
            <w:tr>
              <w:tblPrEx>
                <w:tblW w:w="5000" w:type="pct"/>
                <w:jc w:val="center"/>
                <w:tblInd w:w="108" w:type="dxa"/>
                <w:tblLayout w:type="fixed"/>
                <w:tblCellMar>
                  <w:top w:w="0" w:type="dxa"/>
                  <w:left w:w="108" w:type="dxa"/>
                  <w:bottom w:w="0" w:type="dxa"/>
                  <w:right w:w="108" w:type="dxa"/>
                </w:tblCellMar>
                <w:tblLook w:val="0000"/>
              </w:tblPrEx>
              <w:trPr>
                <w:trHeight w:hRule="exact" w:val="485"/>
                <w:jc w:val="center"/>
              </w:trPr>
              <w:tc>
                <w:tcPr>
                  <w:tcW w:w="682" w:type="dxa"/>
                  <w:tcBorders>
                    <w:tl2br w:val="nil"/>
                    <w:tr2bl w:val="nil"/>
                  </w:tcBorders>
                  <w:vAlign w:val="center"/>
                </w:tcPr>
                <w:p>
                  <w:pPr>
                    <w:snapToGrid w:val="0"/>
                    <w:spacing w:line="240" w:lineRule="auto"/>
                    <w:jc w:val="center"/>
                    <w:rPr>
                      <w:rFonts w:ascii="Times New Roman" w:eastAsia="宋体" w:hAnsi="Times New Roman" w:cs="Times New Roman" w:hint="eastAsia"/>
                      <w:color w:val="auto"/>
                      <w:szCs w:val="21"/>
                    </w:rPr>
                  </w:pPr>
                  <w:r>
                    <w:rPr>
                      <w:rFonts w:ascii="Times New Roman" w:hAnsi="Times New Roman" w:cs="Times New Roman" w:hint="eastAsia"/>
                      <w:color w:val="auto"/>
                      <w:sz w:val="21"/>
                      <w:szCs w:val="21"/>
                      <w:lang w:val="en-US" w:eastAsia="zh-CN"/>
                    </w:rPr>
                    <w:t>1</w:t>
                  </w:r>
                </w:p>
              </w:tc>
              <w:tc>
                <w:tcPr>
                  <w:tcW w:w="2193" w:type="dxa"/>
                  <w:tcBorders>
                    <w:tl2br w:val="nil"/>
                    <w:tr2bl w:val="nil"/>
                  </w:tcBorders>
                  <w:vAlign w:val="center"/>
                </w:tcPr>
                <w:p>
                  <w:pPr>
                    <w:snapToGrid w:val="0"/>
                    <w:spacing w:line="240" w:lineRule="auto"/>
                    <w:jc w:val="center"/>
                    <w:rPr>
                      <w:rFonts w:ascii="Times New Roman" w:eastAsia="宋体" w:hAnsi="Times New Roman" w:cs="Times New Roman" w:hint="eastAsia"/>
                      <w:color w:val="auto"/>
                      <w:szCs w:val="21"/>
                    </w:rPr>
                  </w:pPr>
                  <w:r>
                    <w:rPr>
                      <w:rFonts w:ascii="Times New Roman" w:eastAsia="宋体" w:hAnsi="Times New Roman" w:cs="Times New Roman" w:hint="eastAsia"/>
                      <w:color w:val="auto"/>
                      <w:sz w:val="21"/>
                      <w:szCs w:val="21"/>
                      <w:lang w:val="en-US" w:eastAsia="zh-CN"/>
                    </w:rPr>
                    <w:t>稻谷加工生产线</w:t>
                  </w:r>
                </w:p>
              </w:tc>
              <w:tc>
                <w:tcPr>
                  <w:tcW w:w="1845" w:type="dxa"/>
                  <w:tcBorders>
                    <w:tl2br w:val="nil"/>
                    <w:tr2bl w:val="nil"/>
                  </w:tcBorders>
                  <w:vAlign w:val="center"/>
                </w:tcPr>
                <w:p>
                  <w:pPr>
                    <w:snapToGrid w:val="0"/>
                    <w:spacing w:line="240" w:lineRule="auto"/>
                    <w:jc w:val="center"/>
                    <w:rPr>
                      <w:rFonts w:ascii="Times New Roman" w:eastAsia="宋体" w:hAnsi="Times New Roman" w:cs="Times New Roman" w:hint="default"/>
                      <w:color w:val="auto"/>
                      <w:szCs w:val="21"/>
                    </w:rPr>
                  </w:pPr>
                  <w:r>
                    <w:rPr>
                      <w:rFonts w:ascii="Times New Roman" w:eastAsia="宋体" w:hAnsi="Times New Roman" w:cs="Times New Roman" w:hint="eastAsia"/>
                      <w:color w:val="auto"/>
                      <w:sz w:val="21"/>
                      <w:szCs w:val="21"/>
                      <w:lang w:val="en-US" w:eastAsia="zh-CN"/>
                    </w:rPr>
                    <w:t>稻谷（烘干）</w:t>
                  </w:r>
                </w:p>
              </w:tc>
              <w:tc>
                <w:tcPr>
                  <w:tcW w:w="1005"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color w:val="auto"/>
                      <w:sz w:val="21"/>
                      <w:szCs w:val="21"/>
                      <w:lang w:val="en-US" w:eastAsia="zh-CN"/>
                    </w:rPr>
                  </w:pPr>
                  <w:r>
                    <w:rPr>
                      <w:rFonts w:ascii="Times New Roman" w:eastAsia="宋体" w:hAnsi="Times New Roman" w:cs="Times New Roman" w:hint="eastAsia"/>
                      <w:color w:val="auto"/>
                      <w:sz w:val="21"/>
                      <w:szCs w:val="21"/>
                      <w:lang w:val="en-US" w:eastAsia="zh-CN"/>
                    </w:rPr>
                    <w:t>9000t/a</w:t>
                  </w:r>
                </w:p>
              </w:tc>
              <w:tc>
                <w:tcPr>
                  <w:tcW w:w="960"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eastAsia"/>
                      <w:color w:val="auto"/>
                      <w:sz w:val="21"/>
                      <w:szCs w:val="21"/>
                      <w:lang w:val="en-US" w:eastAsia="zh-CN"/>
                    </w:rPr>
                  </w:pPr>
                  <w:r>
                    <w:rPr>
                      <w:rFonts w:ascii="Times New Roman" w:eastAsia="宋体" w:hAnsi="Times New Roman" w:cs="Times New Roman" w:hint="eastAsia"/>
                      <w:color w:val="auto"/>
                      <w:sz w:val="21"/>
                      <w:szCs w:val="21"/>
                      <w:lang w:val="en-US" w:eastAsia="zh-CN"/>
                    </w:rPr>
                    <w:t>9000t/a</w:t>
                  </w:r>
                </w:p>
              </w:tc>
              <w:tc>
                <w:tcPr>
                  <w:tcW w:w="1005"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color w:val="auto"/>
                      <w:sz w:val="21"/>
                      <w:szCs w:val="21"/>
                      <w:lang w:val="en-US" w:eastAsia="zh-CN"/>
                    </w:rPr>
                  </w:pPr>
                  <w:r>
                    <w:rPr>
                      <w:rFonts w:ascii="Times New Roman" w:eastAsia="宋体" w:hAnsi="Times New Roman" w:cs="Times New Roman" w:hint="eastAsia"/>
                      <w:color w:val="auto"/>
                      <w:sz w:val="21"/>
                      <w:szCs w:val="21"/>
                      <w:lang w:val="en-US" w:eastAsia="zh-CN"/>
                    </w:rPr>
                    <w:t>0</w:t>
                  </w:r>
                </w:p>
              </w:tc>
              <w:tc>
                <w:tcPr>
                  <w:tcW w:w="1415"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color w:val="auto"/>
                      <w:kern w:val="0"/>
                      <w:sz w:val="21"/>
                      <w:szCs w:val="21"/>
                      <w:lang w:val="en-US" w:eastAsia="zh-CN"/>
                    </w:rPr>
                  </w:pPr>
                  <w:r>
                    <w:rPr>
                      <w:rFonts w:ascii="Times New Roman" w:eastAsia="宋体" w:hAnsi="Times New Roman" w:cs="Times New Roman" w:hint="eastAsia"/>
                      <w:color w:val="auto"/>
                      <w:kern w:val="0"/>
                      <w:sz w:val="21"/>
                      <w:szCs w:val="21"/>
                      <w:lang w:val="en-US" w:eastAsia="zh-CN"/>
                    </w:rPr>
                    <w:t>2400h</w:t>
                  </w:r>
                </w:p>
              </w:tc>
            </w:tr>
            <w:tr>
              <w:tblPrEx>
                <w:tblW w:w="5000" w:type="pct"/>
                <w:jc w:val="center"/>
                <w:tblInd w:w="108" w:type="dxa"/>
                <w:tblLayout w:type="fixed"/>
                <w:tblCellMar>
                  <w:top w:w="0" w:type="dxa"/>
                  <w:left w:w="108" w:type="dxa"/>
                  <w:bottom w:w="0" w:type="dxa"/>
                  <w:right w:w="108" w:type="dxa"/>
                </w:tblCellMar>
                <w:tblLook w:val="0000"/>
              </w:tblPrEx>
              <w:trPr>
                <w:trHeight w:hRule="exact" w:val="525"/>
                <w:jc w:val="center"/>
              </w:trPr>
              <w:tc>
                <w:tcPr>
                  <w:tcW w:w="682" w:type="dxa"/>
                  <w:tcBorders>
                    <w:tl2br w:val="nil"/>
                    <w:tr2bl w:val="nil"/>
                  </w:tcBorders>
                  <w:vAlign w:val="center"/>
                </w:tcPr>
                <w:p>
                  <w:pPr>
                    <w:snapToGrid w:val="0"/>
                    <w:spacing w:line="240" w:lineRule="auto"/>
                    <w:jc w:val="center"/>
                    <w:rPr>
                      <w:rFonts w:ascii="Times New Roman" w:eastAsia="宋体" w:hAnsi="Times New Roman" w:cs="Times New Roman" w:hint="eastAsia"/>
                      <w:color w:val="auto"/>
                      <w:szCs w:val="21"/>
                    </w:rPr>
                  </w:pPr>
                  <w:r>
                    <w:rPr>
                      <w:rFonts w:ascii="Times New Roman" w:hAnsi="Times New Roman" w:cs="Times New Roman" w:hint="eastAsia"/>
                      <w:color w:val="auto"/>
                      <w:sz w:val="21"/>
                      <w:szCs w:val="21"/>
                      <w:lang w:val="en-US" w:eastAsia="zh-CN"/>
                    </w:rPr>
                    <w:t>2</w:t>
                  </w:r>
                </w:p>
              </w:tc>
              <w:tc>
                <w:tcPr>
                  <w:tcW w:w="2193" w:type="dxa"/>
                  <w:tcBorders>
                    <w:tl2br w:val="nil"/>
                    <w:tr2bl w:val="nil"/>
                  </w:tcBorders>
                  <w:vAlign w:val="center"/>
                </w:tcPr>
                <w:p>
                  <w:pPr>
                    <w:snapToGrid w:val="0"/>
                    <w:spacing w:line="240" w:lineRule="auto"/>
                    <w:jc w:val="center"/>
                    <w:rPr>
                      <w:rFonts w:ascii="Times New Roman" w:eastAsia="宋体" w:hAnsi="Times New Roman" w:cs="Times New Roman" w:hint="eastAsia"/>
                      <w:color w:val="auto"/>
                      <w:szCs w:val="21"/>
                    </w:rPr>
                  </w:pPr>
                  <w:r>
                    <w:rPr>
                      <w:rFonts w:ascii="Times New Roman" w:eastAsia="宋体" w:hAnsi="Times New Roman" w:cs="Times New Roman" w:hint="eastAsia"/>
                      <w:color w:val="auto"/>
                      <w:sz w:val="21"/>
                      <w:szCs w:val="21"/>
                      <w:lang w:val="en-US" w:eastAsia="zh-CN"/>
                    </w:rPr>
                    <w:t>秸秆全降解地膜</w:t>
                  </w:r>
                  <w:r>
                    <w:rPr>
                      <w:rFonts w:ascii="Times New Roman" w:eastAsia="宋体" w:hAnsi="Times New Roman" w:cs="Times New Roman" w:hint="eastAsia"/>
                      <w:color w:val="auto"/>
                      <w:sz w:val="21"/>
                      <w:szCs w:val="21"/>
                      <w:lang w:eastAsia="zh-CN"/>
                    </w:rPr>
                    <w:t>生产线</w:t>
                  </w:r>
                </w:p>
              </w:tc>
              <w:tc>
                <w:tcPr>
                  <w:tcW w:w="1845" w:type="dxa"/>
                  <w:tcBorders>
                    <w:tl2br w:val="nil"/>
                    <w:tr2bl w:val="nil"/>
                  </w:tcBorders>
                  <w:vAlign w:val="center"/>
                </w:tcPr>
                <w:p>
                  <w:pPr>
                    <w:snapToGrid w:val="0"/>
                    <w:spacing w:line="240" w:lineRule="auto"/>
                    <w:jc w:val="center"/>
                    <w:rPr>
                      <w:rFonts w:ascii="Times New Roman" w:eastAsia="宋体" w:hAnsi="Times New Roman" w:cs="Times New Roman" w:hint="default"/>
                      <w:color w:val="auto"/>
                      <w:szCs w:val="21"/>
                    </w:rPr>
                  </w:pPr>
                  <w:r>
                    <w:rPr>
                      <w:rFonts w:ascii="Times New Roman" w:eastAsia="宋体" w:hAnsi="Times New Roman" w:cs="Times New Roman" w:hint="default"/>
                      <w:color w:val="auto"/>
                      <w:sz w:val="21"/>
                      <w:szCs w:val="21"/>
                      <w:lang w:val="en-US" w:eastAsia="zh-CN"/>
                    </w:rPr>
                    <w:t>地膜</w:t>
                  </w:r>
                </w:p>
              </w:tc>
              <w:tc>
                <w:tcPr>
                  <w:tcW w:w="1005"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color w:val="auto"/>
                      <w:sz w:val="21"/>
                      <w:szCs w:val="21"/>
                      <w:lang w:val="en-US" w:eastAsia="zh-CN"/>
                    </w:rPr>
                  </w:pPr>
                  <w:r>
                    <w:rPr>
                      <w:rFonts w:ascii="Times New Roman" w:eastAsia="宋体" w:hAnsi="Times New Roman" w:cs="Times New Roman" w:hint="eastAsia"/>
                      <w:color w:val="auto"/>
                      <w:sz w:val="21"/>
                      <w:szCs w:val="21"/>
                      <w:lang w:val="en-US" w:eastAsia="zh-CN"/>
                    </w:rPr>
                    <w:t>0</w:t>
                  </w:r>
                </w:p>
              </w:tc>
              <w:tc>
                <w:tcPr>
                  <w:tcW w:w="960"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color w:val="auto"/>
                      <w:sz w:val="21"/>
                      <w:szCs w:val="21"/>
                      <w:lang w:val="en-US" w:eastAsia="zh-CN"/>
                    </w:rPr>
                  </w:pPr>
                  <w:r>
                    <w:rPr>
                      <w:rFonts w:ascii="Times New Roman" w:eastAsia="宋体" w:hAnsi="Times New Roman" w:cs="Times New Roman" w:hint="eastAsia"/>
                      <w:color w:val="auto"/>
                      <w:sz w:val="21"/>
                      <w:szCs w:val="21"/>
                      <w:lang w:val="en-US" w:eastAsia="zh-CN"/>
                    </w:rPr>
                    <w:t>4000</w:t>
                  </w:r>
                  <w:r>
                    <w:rPr>
                      <w:rFonts w:ascii="Times New Roman" w:eastAsia="宋体" w:hAnsi="Times New Roman" w:cs="Times New Roman" w:hint="eastAsia"/>
                      <w:color w:val="auto"/>
                      <w:sz w:val="21"/>
                      <w:szCs w:val="21"/>
                      <w:lang w:val="en-US" w:eastAsia="zh-CN"/>
                    </w:rPr>
                    <w:t>t/a</w:t>
                  </w:r>
                </w:p>
              </w:tc>
              <w:tc>
                <w:tcPr>
                  <w:tcW w:w="1005"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color w:val="auto"/>
                      <w:sz w:val="21"/>
                      <w:szCs w:val="21"/>
                      <w:lang w:val="en-US" w:eastAsia="zh-CN"/>
                    </w:rPr>
                  </w:pPr>
                  <w:r>
                    <w:rPr>
                      <w:rFonts w:ascii="Times New Roman" w:eastAsia="宋体" w:hAnsi="Times New Roman" w:cs="Times New Roman" w:hint="eastAsia"/>
                      <w:color w:val="auto"/>
                      <w:sz w:val="21"/>
                      <w:szCs w:val="21"/>
                      <w:lang w:val="en-US" w:eastAsia="zh-CN"/>
                    </w:rPr>
                    <w:t>+4000</w:t>
                  </w:r>
                  <w:r>
                    <w:rPr>
                      <w:rFonts w:ascii="Times New Roman" w:eastAsia="宋体" w:hAnsi="Times New Roman" w:cs="Times New Roman" w:hint="eastAsia"/>
                      <w:color w:val="auto"/>
                      <w:sz w:val="21"/>
                      <w:szCs w:val="21"/>
                      <w:lang w:val="en-US" w:eastAsia="zh-CN"/>
                    </w:rPr>
                    <w:t>t/a</w:t>
                  </w:r>
                </w:p>
              </w:tc>
              <w:tc>
                <w:tcPr>
                  <w:tcW w:w="1415" w:type="dxa"/>
                  <w:tcBorders>
                    <w:tl2br w:val="nil"/>
                    <w:tr2bl w:val="nil"/>
                  </w:tcBorders>
                  <w:vAlign w:val="center"/>
                </w:tcPr>
                <w:p>
                  <w:pPr>
                    <w:pStyle w:val="NormalIndent"/>
                    <w:spacing w:line="240" w:lineRule="auto"/>
                    <w:ind w:firstLine="0" w:firstLineChars="0"/>
                    <w:jc w:val="center"/>
                    <w:rPr>
                      <w:rFonts w:ascii="Times New Roman" w:eastAsia="宋体" w:hAnsi="Times New Roman" w:cs="Times New Roman" w:hint="default"/>
                      <w:color w:val="auto"/>
                      <w:kern w:val="0"/>
                      <w:sz w:val="21"/>
                      <w:szCs w:val="21"/>
                      <w:lang w:val="en-US" w:eastAsia="zh-CN"/>
                    </w:rPr>
                  </w:pPr>
                  <w:r>
                    <w:rPr>
                      <w:rFonts w:ascii="Times New Roman" w:eastAsia="宋体" w:hAnsi="Times New Roman" w:cs="Times New Roman" w:hint="eastAsia"/>
                      <w:color w:val="auto"/>
                      <w:kern w:val="0"/>
                      <w:sz w:val="21"/>
                      <w:szCs w:val="21"/>
                      <w:lang w:val="en-US" w:eastAsia="zh-CN"/>
                    </w:rPr>
                    <w:t>2400</w:t>
                  </w:r>
                  <w:r>
                    <w:rPr>
                      <w:rFonts w:ascii="Times New Roman" w:eastAsia="宋体" w:hAnsi="Times New Roman" w:cs="Times New Roman" w:hint="default"/>
                      <w:color w:val="auto"/>
                      <w:kern w:val="0"/>
                      <w:sz w:val="21"/>
                      <w:szCs w:val="21"/>
                    </w:rPr>
                    <w:t>h</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Times New Roman" w:hAnsi="Times New Roman" w:cs="Times New Roman" w:hint="default"/>
                <w:b w:val="0"/>
                <w:bCs/>
                <w:color w:val="auto"/>
                <w:sz w:val="24"/>
              </w:rPr>
            </w:pPr>
            <w:r>
              <w:rPr>
                <w:rFonts w:ascii="Times New Roman" w:hAnsi="Times New Roman" w:cs="Times New Roman" w:hint="eastAsia"/>
                <w:b w:val="0"/>
                <w:bCs/>
                <w:color w:val="auto"/>
                <w:sz w:val="24"/>
                <w:szCs w:val="24"/>
                <w:lang w:val="en-US" w:eastAsia="zh-CN"/>
              </w:rPr>
              <w:t>注：改建前，企业年运输流转货物50万吨稻谷（其中稻谷烘干9000吨/年）。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Times New Roman" w:hAnsi="Times New Roman" w:cs="Times New Roman" w:hint="default"/>
                <w:b/>
                <w:bCs w:val="0"/>
                <w:color w:val="auto"/>
                <w:sz w:val="24"/>
              </w:rPr>
            </w:pPr>
            <w:r>
              <w:rPr>
                <w:rFonts w:ascii="Times New Roman" w:hAnsi="Times New Roman" w:cs="Times New Roman" w:hint="default"/>
                <w:b/>
                <w:bCs w:val="0"/>
                <w:color w:val="auto"/>
                <w:sz w:val="24"/>
                <w:szCs w:val="24"/>
                <w:lang w:val="en-US" w:eastAsia="zh-CN"/>
              </w:rPr>
              <w:t>2、项目组成及工程内容</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hAnsi="Times New Roman" w:cs="Times New Roman" w:hint="default"/>
                <w:b w:val="0"/>
                <w:bCs/>
                <w:color w:val="auto"/>
                <w:sz w:val="24"/>
              </w:rPr>
            </w:pPr>
            <w:r>
              <w:rPr>
                <w:rFonts w:ascii="Times New Roman" w:hAnsi="Times New Roman" w:cs="Times New Roman" w:hint="default"/>
                <w:b/>
                <w:color w:val="auto"/>
                <w:sz w:val="24"/>
                <w:szCs w:val="24"/>
                <w:lang w:val="en-US" w:eastAsia="zh-CN"/>
              </w:rPr>
              <w:t xml:space="preserve">   </w:t>
            </w:r>
            <w:r>
              <w:rPr>
                <w:rFonts w:ascii="Times New Roman" w:hAnsi="Times New Roman" w:cs="Times New Roman" w:hint="default"/>
                <w:b w:val="0"/>
                <w:bCs/>
                <w:color w:val="auto"/>
                <w:sz w:val="24"/>
                <w:szCs w:val="24"/>
                <w:lang w:val="en-US" w:eastAsia="zh-CN"/>
              </w:rPr>
              <w:t xml:space="preserve"> 项目组成及工程内容见下表。</w:t>
            </w:r>
          </w:p>
          <w:p>
            <w:pPr>
              <w:rPr>
                <w:color w:val="auto"/>
              </w:rPr>
            </w:pPr>
          </w:p>
          <w:p>
            <w:pPr>
              <w:pStyle w:val="Default"/>
              <w:spacing w:line="240" w:lineRule="auto"/>
              <w:jc w:val="center"/>
              <w:rPr>
                <w:rFonts w:ascii="Times New Roman" w:cs="Times New Roman"/>
                <w:b/>
                <w:bCs/>
                <w:color w:val="auto"/>
              </w:rPr>
            </w:pPr>
          </w:p>
        </w:tc>
      </w:tr>
    </w:tbl>
    <w:p>
      <w:pPr>
        <w:sectPr>
          <w:footerReference w:type="default" r:id="rId10"/>
          <w:pgSz w:w="11906" w:h="16838"/>
          <w:pgMar w:top="1440" w:right="1080" w:bottom="1440" w:left="1080" w:header="851" w:footer="851" w:gutter="0"/>
          <w:pgBorders w:zOrder="front" w:display="allPages" w:offsetFrom="text">
            <w:top w:val="none" w:sz="0" w:space="0" w:color="auto"/>
            <w:left w:val="none" w:sz="0" w:space="0" w:color="auto"/>
            <w:bottom w:val="none" w:sz="0" w:space="0" w:color="auto"/>
            <w:right w:val="none" w:sz="0" w:space="0" w:color="auto"/>
          </w:pgBorders>
          <w:pgNumType w:start="7"/>
          <w:cols w:space="708"/>
          <w:docGrid w:linePitch="312"/>
        </w:sectPr>
      </w:pPr>
    </w:p>
    <w:tbl>
      <w:tblPr>
        <w:tblStyle w:val="TableNormal"/>
        <w:tblW w:w="1008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1"/>
        <w:gridCol w:w="9321"/>
      </w:tblGrid>
      <w:tr>
        <w:tblPrEx>
          <w:tblW w:w="1008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761" w:type="dxa"/>
            <w:vAlign w:val="center"/>
          </w:tcPr>
          <w:p/>
        </w:tc>
        <w:tc>
          <w:tcPr>
            <w:tcW w:w="9321" w:type="dxa"/>
          </w:tcPr>
          <w:p>
            <w:pPr>
              <w:rPr>
                <w:rFonts w:ascii="Times New Roman" w:cs="Times New Roman"/>
                <w:b/>
                <w:bCs/>
                <w:color w:val="auto"/>
              </w:rPr>
            </w:pPr>
          </w:p>
          <w:p>
            <w:pPr>
              <w:pStyle w:val="Default"/>
              <w:spacing w:line="240" w:lineRule="auto"/>
              <w:jc w:val="center"/>
              <w:rPr>
                <w:rFonts w:ascii="Times New Roman" w:cs="Times New Roman"/>
                <w:b/>
                <w:bCs/>
                <w:color w:val="auto"/>
              </w:rPr>
            </w:pPr>
            <w:r>
              <w:rPr>
                <w:rFonts w:ascii="Times New Roman" w:cs="Times New Roman"/>
                <w:b/>
                <w:bCs/>
                <w:color w:val="auto"/>
              </w:rPr>
              <w:t>表2-2  项目工程组成一览表</w:t>
            </w:r>
          </w:p>
          <w:tbl>
            <w:tblPr>
              <w:tblStyle w:val="TableNormal"/>
              <w:tblW w:w="4873"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26"/>
              <w:gridCol w:w="722"/>
              <w:gridCol w:w="1212"/>
              <w:gridCol w:w="1423"/>
              <w:gridCol w:w="1274"/>
              <w:gridCol w:w="1097"/>
              <w:gridCol w:w="2020"/>
            </w:tblGrid>
            <w:tr>
              <w:tblPrEx>
                <w:tblW w:w="4873"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8"/>
                <w:jc w:val="center"/>
              </w:trPr>
              <w:tc>
                <w:tcPr>
                  <w:tcW w:w="634" w:type="pct"/>
                  <w:vMerge w:val="restart"/>
                  <w:vAlign w:val="center"/>
                </w:tcPr>
                <w:p>
                  <w:pPr>
                    <w:pStyle w:val="a12"/>
                    <w:rPr>
                      <w:rFonts w:cs="Times New Roman"/>
                      <w:b/>
                      <w:bCs/>
                      <w:color w:val="auto"/>
                    </w:rPr>
                  </w:pPr>
                  <w:r>
                    <w:rPr>
                      <w:rFonts w:cs="Times New Roman"/>
                      <w:b/>
                      <w:bCs/>
                      <w:color w:val="auto"/>
                      <w:kern w:val="0"/>
                    </w:rPr>
                    <w:t>类别</w:t>
                  </w:r>
                </w:p>
              </w:tc>
              <w:tc>
                <w:tcPr>
                  <w:tcW w:w="1089" w:type="pct"/>
                  <w:gridSpan w:val="2"/>
                  <w:vMerge w:val="restart"/>
                  <w:vAlign w:val="center"/>
                </w:tcPr>
                <w:p>
                  <w:pPr>
                    <w:pStyle w:val="a12"/>
                    <w:rPr>
                      <w:rFonts w:cs="Times New Roman"/>
                      <w:b/>
                      <w:bCs/>
                      <w:color w:val="auto"/>
                    </w:rPr>
                  </w:pPr>
                  <w:r>
                    <w:rPr>
                      <w:rFonts w:cs="Times New Roman"/>
                      <w:b/>
                      <w:bCs/>
                      <w:color w:val="auto"/>
                      <w:kern w:val="0"/>
                    </w:rPr>
                    <w:t>工程名称</w:t>
                  </w:r>
                </w:p>
              </w:tc>
              <w:tc>
                <w:tcPr>
                  <w:tcW w:w="2138" w:type="pct"/>
                  <w:gridSpan w:val="3"/>
                  <w:vAlign w:val="center"/>
                </w:tcPr>
                <w:p>
                  <w:pPr>
                    <w:pStyle w:val="a12"/>
                    <w:rPr>
                      <w:rFonts w:cs="Times New Roman"/>
                      <w:b/>
                      <w:bCs/>
                      <w:color w:val="auto"/>
                    </w:rPr>
                  </w:pPr>
                  <w:r>
                    <w:rPr>
                      <w:rFonts w:cs="Times New Roman"/>
                      <w:b/>
                      <w:bCs/>
                      <w:color w:val="auto"/>
                      <w:kern w:val="0"/>
                    </w:rPr>
                    <w:t>设计能力</w:t>
                  </w:r>
                </w:p>
              </w:tc>
              <w:tc>
                <w:tcPr>
                  <w:tcW w:w="1138" w:type="pct"/>
                  <w:vMerge w:val="restart"/>
                  <w:vAlign w:val="center"/>
                </w:tcPr>
                <w:p>
                  <w:pPr>
                    <w:pStyle w:val="a12"/>
                    <w:rPr>
                      <w:rFonts w:cs="Times New Roman"/>
                      <w:b/>
                      <w:bCs/>
                      <w:color w:val="auto"/>
                    </w:rPr>
                  </w:pPr>
                  <w:r>
                    <w:rPr>
                      <w:rFonts w:cs="Times New Roman"/>
                      <w:b/>
                      <w:bCs/>
                      <w:color w:val="auto"/>
                      <w:kern w:val="0"/>
                    </w:rPr>
                    <w:t>备注</w:t>
                  </w:r>
                </w:p>
              </w:tc>
            </w:tr>
            <w:tr>
              <w:tblPrEx>
                <w:tblW w:w="4873" w:type="pct"/>
                <w:jc w:val="center"/>
                <w:tblInd w:w="108" w:type="dxa"/>
                <w:tblLayout w:type="fixed"/>
                <w:tblCellMar>
                  <w:top w:w="0" w:type="dxa"/>
                  <w:left w:w="108" w:type="dxa"/>
                  <w:bottom w:w="0" w:type="dxa"/>
                  <w:right w:w="108" w:type="dxa"/>
                </w:tblCellMar>
                <w:tblLook w:val="0000"/>
              </w:tblPrEx>
              <w:trPr>
                <w:trHeight w:val="456"/>
                <w:jc w:val="center"/>
              </w:trPr>
              <w:tc>
                <w:tcPr>
                  <w:tcW w:w="634" w:type="pct"/>
                  <w:vMerge/>
                  <w:vAlign w:val="center"/>
                </w:tcPr>
                <w:p>
                  <w:pPr>
                    <w:pStyle w:val="a12"/>
                    <w:rPr>
                      <w:rFonts w:cs="Times New Roman"/>
                      <w:b/>
                      <w:bCs/>
                      <w:color w:val="auto"/>
                      <w:kern w:val="0"/>
                    </w:rPr>
                  </w:pPr>
                </w:p>
              </w:tc>
              <w:tc>
                <w:tcPr>
                  <w:tcW w:w="1089" w:type="pct"/>
                  <w:gridSpan w:val="2"/>
                  <w:vMerge/>
                  <w:vAlign w:val="center"/>
                </w:tcPr>
                <w:p>
                  <w:pPr>
                    <w:pStyle w:val="a12"/>
                    <w:rPr>
                      <w:rFonts w:cs="Times New Roman"/>
                      <w:b/>
                      <w:bCs/>
                      <w:color w:val="auto"/>
                      <w:kern w:val="0"/>
                    </w:rPr>
                  </w:pPr>
                </w:p>
              </w:tc>
              <w:tc>
                <w:tcPr>
                  <w:tcW w:w="802" w:type="pct"/>
                  <w:vAlign w:val="center"/>
                </w:tcPr>
                <w:p>
                  <w:pPr>
                    <w:pStyle w:val="a12"/>
                    <w:rPr>
                      <w:rFonts w:eastAsia="宋体" w:cs="Times New Roman" w:hint="eastAsia"/>
                      <w:b/>
                      <w:bCs/>
                      <w:color w:val="auto"/>
                      <w:kern w:val="0"/>
                      <w:lang w:eastAsia="zh-CN"/>
                    </w:rPr>
                  </w:pPr>
                  <w:r>
                    <w:rPr>
                      <w:rFonts w:cs="Times New Roman" w:hint="eastAsia"/>
                      <w:b/>
                      <w:bCs/>
                      <w:color w:val="auto"/>
                      <w:kern w:val="0"/>
                      <w:lang w:eastAsia="zh-CN"/>
                    </w:rPr>
                    <w:t>改建前</w:t>
                  </w:r>
                </w:p>
              </w:tc>
              <w:tc>
                <w:tcPr>
                  <w:tcW w:w="718" w:type="pct"/>
                  <w:vAlign w:val="center"/>
                </w:tcPr>
                <w:p>
                  <w:pPr>
                    <w:pStyle w:val="a12"/>
                    <w:rPr>
                      <w:rFonts w:eastAsia="宋体" w:cs="Times New Roman" w:hint="eastAsia"/>
                      <w:b/>
                      <w:bCs/>
                      <w:color w:val="auto"/>
                      <w:kern w:val="0"/>
                      <w:lang w:eastAsia="zh-CN"/>
                    </w:rPr>
                  </w:pPr>
                  <w:r>
                    <w:rPr>
                      <w:rFonts w:cs="Times New Roman" w:hint="eastAsia"/>
                      <w:b/>
                      <w:bCs/>
                      <w:color w:val="auto"/>
                      <w:kern w:val="0"/>
                      <w:lang w:eastAsia="zh-CN"/>
                    </w:rPr>
                    <w:t>改建后</w:t>
                  </w:r>
                </w:p>
              </w:tc>
              <w:tc>
                <w:tcPr>
                  <w:tcW w:w="616" w:type="pct"/>
                  <w:vAlign w:val="center"/>
                </w:tcPr>
                <w:p>
                  <w:pPr>
                    <w:pStyle w:val="a12"/>
                    <w:rPr>
                      <w:rFonts w:eastAsia="宋体" w:cs="Times New Roman" w:hint="eastAsia"/>
                      <w:b/>
                      <w:bCs/>
                      <w:color w:val="auto"/>
                      <w:kern w:val="0"/>
                      <w:lang w:eastAsia="zh-CN"/>
                    </w:rPr>
                  </w:pPr>
                  <w:r>
                    <w:rPr>
                      <w:rFonts w:cs="Times New Roman" w:hint="eastAsia"/>
                      <w:b/>
                      <w:bCs/>
                      <w:color w:val="auto"/>
                      <w:kern w:val="0"/>
                      <w:lang w:eastAsia="zh-CN"/>
                    </w:rPr>
                    <w:t>变化情况</w:t>
                  </w:r>
                </w:p>
              </w:tc>
              <w:tc>
                <w:tcPr>
                  <w:tcW w:w="1138" w:type="pct"/>
                  <w:vMerge/>
                  <w:vAlign w:val="center"/>
                </w:tcPr>
                <w:p>
                  <w:pPr>
                    <w:pStyle w:val="a12"/>
                    <w:rPr>
                      <w:rFonts w:cs="Times New Roman"/>
                      <w:b/>
                      <w:bCs/>
                      <w:color w:val="auto"/>
                      <w:kern w:val="0"/>
                    </w:rPr>
                  </w:pPr>
                </w:p>
              </w:tc>
            </w:tr>
            <w:tr>
              <w:tblPrEx>
                <w:tblW w:w="4873" w:type="pct"/>
                <w:jc w:val="center"/>
                <w:tblInd w:w="108" w:type="dxa"/>
                <w:tblLayout w:type="fixed"/>
                <w:tblCellMar>
                  <w:top w:w="0" w:type="dxa"/>
                  <w:left w:w="108" w:type="dxa"/>
                  <w:bottom w:w="0" w:type="dxa"/>
                  <w:right w:w="108" w:type="dxa"/>
                </w:tblCellMar>
                <w:tblLook w:val="0000"/>
              </w:tblPrEx>
              <w:trPr>
                <w:trHeight w:hRule="exact" w:val="665"/>
                <w:jc w:val="center"/>
              </w:trPr>
              <w:tc>
                <w:tcPr>
                  <w:tcW w:w="634" w:type="pct"/>
                  <w:vMerge w:val="restart"/>
                  <w:vAlign w:val="center"/>
                </w:tcPr>
                <w:p>
                  <w:pPr>
                    <w:snapToGrid w:val="0"/>
                    <w:jc w:val="center"/>
                    <w:rPr>
                      <w:color w:val="auto"/>
                      <w:szCs w:val="21"/>
                    </w:rPr>
                  </w:pPr>
                  <w:r>
                    <w:rPr>
                      <w:color w:val="auto"/>
                      <w:szCs w:val="21"/>
                    </w:rPr>
                    <w:t>主体工程</w:t>
                  </w:r>
                </w:p>
              </w:tc>
              <w:tc>
                <w:tcPr>
                  <w:tcW w:w="1089" w:type="pct"/>
                  <w:gridSpan w:val="2"/>
                  <w:vAlign w:val="center"/>
                </w:tcPr>
                <w:p>
                  <w:pPr>
                    <w:spacing w:line="240" w:lineRule="auto"/>
                    <w:jc w:val="center"/>
                    <w:rPr>
                      <w:rFonts w:eastAsia="宋体" w:hint="eastAsia"/>
                      <w:bCs/>
                      <w:color w:val="auto"/>
                      <w:szCs w:val="21"/>
                    </w:rPr>
                  </w:pPr>
                  <w:r>
                    <w:rPr>
                      <w:rFonts w:hint="eastAsia"/>
                      <w:bCs/>
                      <w:color w:val="auto"/>
                      <w:szCs w:val="21"/>
                      <w:lang w:eastAsia="zh-CN"/>
                    </w:rPr>
                    <w:t>厂房一</w:t>
                  </w:r>
                </w:p>
              </w:tc>
              <w:tc>
                <w:tcPr>
                  <w:tcW w:w="802" w:type="pct"/>
                  <w:vAlign w:val="center"/>
                </w:tcPr>
                <w:p>
                  <w:pPr>
                    <w:jc w:val="center"/>
                    <w:rPr>
                      <w:snapToGrid w:val="0"/>
                      <w:color w:val="auto"/>
                      <w:kern w:val="0"/>
                      <w:szCs w:val="21"/>
                    </w:rPr>
                  </w:pPr>
                  <w:r>
                    <w:rPr>
                      <w:rFonts w:hint="eastAsia"/>
                      <w:snapToGrid w:val="0"/>
                      <w:color w:val="auto"/>
                      <w:kern w:val="0"/>
                      <w:szCs w:val="21"/>
                      <w:lang w:val="en-US" w:eastAsia="zh-CN"/>
                    </w:rPr>
                    <w:t>1600</w:t>
                  </w:r>
                  <w:r>
                    <w:rPr>
                      <w:snapToGrid w:val="0"/>
                      <w:color w:val="auto"/>
                      <w:kern w:val="0"/>
                      <w:szCs w:val="21"/>
                    </w:rPr>
                    <w:t>m</w:t>
                  </w:r>
                  <w:r>
                    <w:rPr>
                      <w:snapToGrid w:val="0"/>
                      <w:color w:val="auto"/>
                      <w:kern w:val="0"/>
                      <w:szCs w:val="21"/>
                      <w:vertAlign w:val="superscript"/>
                    </w:rPr>
                    <w:t>2</w:t>
                  </w:r>
                </w:p>
              </w:tc>
              <w:tc>
                <w:tcPr>
                  <w:tcW w:w="718" w:type="pct"/>
                  <w:vAlign w:val="center"/>
                </w:tcPr>
                <w:p>
                  <w:pPr>
                    <w:jc w:val="center"/>
                    <w:rPr>
                      <w:rFonts w:hint="eastAsia"/>
                      <w:snapToGrid w:val="0"/>
                      <w:color w:val="auto"/>
                      <w:kern w:val="0"/>
                      <w:szCs w:val="21"/>
                    </w:rPr>
                  </w:pPr>
                  <w:r>
                    <w:rPr>
                      <w:rFonts w:hint="eastAsia"/>
                      <w:snapToGrid w:val="0"/>
                      <w:color w:val="auto"/>
                      <w:kern w:val="0"/>
                      <w:szCs w:val="21"/>
                      <w:lang w:val="en-US" w:eastAsia="zh-CN"/>
                    </w:rPr>
                    <w:t>1600</w:t>
                  </w:r>
                  <w:r>
                    <w:rPr>
                      <w:snapToGrid w:val="0"/>
                      <w:color w:val="auto"/>
                      <w:kern w:val="0"/>
                      <w:szCs w:val="21"/>
                    </w:rPr>
                    <w:t>m</w:t>
                  </w:r>
                  <w:r>
                    <w:rPr>
                      <w:snapToGrid w:val="0"/>
                      <w:color w:val="auto"/>
                      <w:kern w:val="0"/>
                      <w:szCs w:val="21"/>
                      <w:vertAlign w:val="superscript"/>
                    </w:rPr>
                    <w:t>2</w:t>
                  </w:r>
                </w:p>
              </w:tc>
              <w:tc>
                <w:tcPr>
                  <w:tcW w:w="616" w:type="pct"/>
                  <w:vAlign w:val="center"/>
                </w:tcPr>
                <w:p>
                  <w:pPr>
                    <w:jc w:val="center"/>
                    <w:rPr>
                      <w:rFonts w:hint="default"/>
                      <w:snapToGrid w:val="0"/>
                      <w:color w:val="auto"/>
                      <w:kern w:val="0"/>
                      <w:szCs w:val="21"/>
                    </w:rPr>
                  </w:pPr>
                  <w:r>
                    <w:rPr>
                      <w:rFonts w:hint="eastAsia"/>
                      <w:snapToGrid w:val="0"/>
                      <w:color w:val="auto"/>
                      <w:kern w:val="0"/>
                      <w:szCs w:val="21"/>
                      <w:lang w:val="en-US" w:eastAsia="zh-CN"/>
                    </w:rPr>
                    <w:t>/</w:t>
                  </w:r>
                </w:p>
              </w:tc>
              <w:tc>
                <w:tcPr>
                  <w:tcW w:w="1138" w:type="pct"/>
                  <w:vAlign w:val="center"/>
                </w:tcPr>
                <w:p>
                  <w:pPr>
                    <w:snapToGrid w:val="0"/>
                    <w:jc w:val="center"/>
                    <w:rPr>
                      <w:rFonts w:eastAsia="宋体" w:hint="default"/>
                      <w:color w:val="auto"/>
                      <w:szCs w:val="21"/>
                    </w:rPr>
                  </w:pPr>
                  <w:r>
                    <w:rPr>
                      <w:rFonts w:eastAsia="宋体" w:hint="eastAsia"/>
                      <w:color w:val="auto"/>
                      <w:szCs w:val="21"/>
                      <w:lang w:val="en-US" w:eastAsia="zh-CN"/>
                    </w:rPr>
                    <w:t>作为粮食仓储厂房</w:t>
                  </w:r>
                </w:p>
              </w:tc>
            </w:tr>
            <w:tr>
              <w:tblPrEx>
                <w:tblW w:w="4873" w:type="pct"/>
                <w:jc w:val="center"/>
                <w:tblInd w:w="108" w:type="dxa"/>
                <w:tblLayout w:type="fixed"/>
                <w:tblCellMar>
                  <w:top w:w="0" w:type="dxa"/>
                  <w:left w:w="108" w:type="dxa"/>
                  <w:bottom w:w="0" w:type="dxa"/>
                  <w:right w:w="108" w:type="dxa"/>
                </w:tblCellMar>
                <w:tblLook w:val="0000"/>
              </w:tblPrEx>
              <w:trPr>
                <w:trHeight w:hRule="exact" w:val="702"/>
                <w:jc w:val="center"/>
              </w:trPr>
              <w:tc>
                <w:tcPr>
                  <w:tcW w:w="634" w:type="pct"/>
                  <w:vMerge/>
                  <w:vAlign w:val="center"/>
                </w:tcPr>
                <w:p>
                  <w:pPr>
                    <w:snapToGrid w:val="0"/>
                    <w:jc w:val="center"/>
                    <w:rPr>
                      <w:color w:val="auto"/>
                      <w:szCs w:val="21"/>
                    </w:rPr>
                  </w:pPr>
                </w:p>
              </w:tc>
              <w:tc>
                <w:tcPr>
                  <w:tcW w:w="1089" w:type="pct"/>
                  <w:gridSpan w:val="2"/>
                  <w:vAlign w:val="center"/>
                </w:tcPr>
                <w:p>
                  <w:pPr>
                    <w:spacing w:line="240" w:lineRule="auto"/>
                    <w:jc w:val="center"/>
                    <w:rPr>
                      <w:rFonts w:eastAsia="宋体" w:hint="eastAsia"/>
                      <w:bCs/>
                      <w:color w:val="auto"/>
                      <w:szCs w:val="21"/>
                    </w:rPr>
                  </w:pPr>
                  <w:r>
                    <w:rPr>
                      <w:rFonts w:hint="eastAsia"/>
                      <w:bCs/>
                      <w:color w:val="auto"/>
                      <w:szCs w:val="21"/>
                      <w:lang w:eastAsia="zh-CN"/>
                    </w:rPr>
                    <w:t>厂房二</w:t>
                  </w:r>
                </w:p>
              </w:tc>
              <w:tc>
                <w:tcPr>
                  <w:tcW w:w="802" w:type="pct"/>
                  <w:vAlign w:val="center"/>
                </w:tcPr>
                <w:p>
                  <w:pPr>
                    <w:jc w:val="center"/>
                    <w:rPr>
                      <w:snapToGrid w:val="0"/>
                      <w:color w:val="auto"/>
                      <w:kern w:val="0"/>
                      <w:szCs w:val="21"/>
                    </w:rPr>
                  </w:pPr>
                  <w:r>
                    <w:rPr>
                      <w:rFonts w:hint="eastAsia"/>
                      <w:snapToGrid w:val="0"/>
                      <w:color w:val="auto"/>
                      <w:kern w:val="0"/>
                      <w:szCs w:val="21"/>
                      <w:lang w:val="en-US" w:eastAsia="zh-CN"/>
                    </w:rPr>
                    <w:t>1150</w:t>
                  </w:r>
                  <w:r>
                    <w:rPr>
                      <w:snapToGrid w:val="0"/>
                      <w:color w:val="auto"/>
                      <w:kern w:val="0"/>
                      <w:szCs w:val="21"/>
                    </w:rPr>
                    <w:t>m</w:t>
                  </w:r>
                  <w:r>
                    <w:rPr>
                      <w:snapToGrid w:val="0"/>
                      <w:color w:val="auto"/>
                      <w:kern w:val="0"/>
                      <w:szCs w:val="21"/>
                      <w:vertAlign w:val="superscript"/>
                    </w:rPr>
                    <w:t>2</w:t>
                  </w:r>
                </w:p>
              </w:tc>
              <w:tc>
                <w:tcPr>
                  <w:tcW w:w="718" w:type="pct"/>
                  <w:vAlign w:val="center"/>
                </w:tcPr>
                <w:p>
                  <w:pPr>
                    <w:jc w:val="center"/>
                    <w:rPr>
                      <w:rFonts w:hint="eastAsia"/>
                      <w:snapToGrid w:val="0"/>
                      <w:color w:val="auto"/>
                      <w:kern w:val="0"/>
                      <w:szCs w:val="21"/>
                    </w:rPr>
                  </w:pPr>
                  <w:r>
                    <w:rPr>
                      <w:rFonts w:hint="eastAsia"/>
                      <w:snapToGrid w:val="0"/>
                      <w:color w:val="auto"/>
                      <w:kern w:val="0"/>
                      <w:szCs w:val="21"/>
                      <w:lang w:val="en-US" w:eastAsia="zh-CN"/>
                    </w:rPr>
                    <w:t>1150</w:t>
                  </w:r>
                  <w:r>
                    <w:rPr>
                      <w:snapToGrid w:val="0"/>
                      <w:color w:val="auto"/>
                      <w:kern w:val="0"/>
                      <w:szCs w:val="21"/>
                    </w:rPr>
                    <w:t>m</w:t>
                  </w:r>
                  <w:r>
                    <w:rPr>
                      <w:snapToGrid w:val="0"/>
                      <w:color w:val="auto"/>
                      <w:kern w:val="0"/>
                      <w:szCs w:val="21"/>
                      <w:vertAlign w:val="superscript"/>
                    </w:rPr>
                    <w:t>2</w:t>
                  </w:r>
                </w:p>
              </w:tc>
              <w:tc>
                <w:tcPr>
                  <w:tcW w:w="616" w:type="pct"/>
                  <w:vAlign w:val="center"/>
                </w:tcPr>
                <w:p>
                  <w:pPr>
                    <w:jc w:val="center"/>
                    <w:rPr>
                      <w:rFonts w:hint="default"/>
                      <w:snapToGrid w:val="0"/>
                      <w:color w:val="auto"/>
                      <w:kern w:val="0"/>
                      <w:szCs w:val="21"/>
                    </w:rPr>
                  </w:pPr>
                  <w:r>
                    <w:rPr>
                      <w:rFonts w:hint="eastAsia"/>
                      <w:snapToGrid w:val="0"/>
                      <w:color w:val="auto"/>
                      <w:kern w:val="0"/>
                      <w:szCs w:val="21"/>
                      <w:lang w:val="en-US" w:eastAsia="zh-CN"/>
                    </w:rPr>
                    <w:t>/</w:t>
                  </w:r>
                </w:p>
              </w:tc>
              <w:tc>
                <w:tcPr>
                  <w:tcW w:w="1138" w:type="pct"/>
                  <w:vAlign w:val="center"/>
                </w:tcPr>
                <w:p>
                  <w:pPr>
                    <w:snapToGrid w:val="0"/>
                    <w:jc w:val="center"/>
                    <w:rPr>
                      <w:rFonts w:eastAsia="宋体" w:hint="default"/>
                      <w:color w:val="auto"/>
                      <w:szCs w:val="21"/>
                    </w:rPr>
                  </w:pPr>
                  <w:r>
                    <w:rPr>
                      <w:rFonts w:eastAsia="宋体" w:hint="eastAsia"/>
                      <w:color w:val="auto"/>
                      <w:szCs w:val="21"/>
                      <w:lang w:val="en-US" w:eastAsia="zh-CN"/>
                    </w:rPr>
                    <w:t>作为秸秆地膜生产厂房</w:t>
                  </w:r>
                </w:p>
              </w:tc>
            </w:tr>
            <w:tr>
              <w:tblPrEx>
                <w:tblW w:w="4873" w:type="pct"/>
                <w:jc w:val="center"/>
                <w:tblInd w:w="108" w:type="dxa"/>
                <w:tblLayout w:type="fixed"/>
                <w:tblCellMar>
                  <w:top w:w="0" w:type="dxa"/>
                  <w:left w:w="108" w:type="dxa"/>
                  <w:bottom w:w="0" w:type="dxa"/>
                  <w:right w:w="108" w:type="dxa"/>
                </w:tblCellMar>
                <w:tblLook w:val="0000"/>
              </w:tblPrEx>
              <w:trPr>
                <w:trHeight w:hRule="exact" w:val="920"/>
                <w:jc w:val="center"/>
              </w:trPr>
              <w:tc>
                <w:tcPr>
                  <w:tcW w:w="634" w:type="pct"/>
                  <w:vMerge/>
                  <w:vAlign w:val="center"/>
                </w:tcPr>
                <w:p>
                  <w:pPr>
                    <w:snapToGrid w:val="0"/>
                    <w:jc w:val="center"/>
                    <w:rPr>
                      <w:color w:val="auto"/>
                      <w:szCs w:val="21"/>
                    </w:rPr>
                  </w:pPr>
                </w:p>
              </w:tc>
              <w:tc>
                <w:tcPr>
                  <w:tcW w:w="1089" w:type="pct"/>
                  <w:gridSpan w:val="2"/>
                  <w:vAlign w:val="center"/>
                </w:tcPr>
                <w:p>
                  <w:pPr>
                    <w:spacing w:line="240" w:lineRule="auto"/>
                    <w:jc w:val="center"/>
                    <w:rPr>
                      <w:rFonts w:eastAsia="宋体" w:hint="eastAsia"/>
                      <w:bCs/>
                      <w:color w:val="auto"/>
                      <w:szCs w:val="21"/>
                    </w:rPr>
                  </w:pPr>
                  <w:r>
                    <w:rPr>
                      <w:rFonts w:hint="eastAsia"/>
                      <w:bCs/>
                      <w:color w:val="auto"/>
                      <w:szCs w:val="21"/>
                      <w:lang w:eastAsia="zh-CN"/>
                    </w:rPr>
                    <w:t>厂房三</w:t>
                  </w:r>
                </w:p>
              </w:tc>
              <w:tc>
                <w:tcPr>
                  <w:tcW w:w="802" w:type="pct"/>
                  <w:vAlign w:val="center"/>
                </w:tcPr>
                <w:p>
                  <w:pPr>
                    <w:snapToGrid w:val="0"/>
                    <w:jc w:val="center"/>
                    <w:rPr>
                      <w:color w:val="auto"/>
                      <w:szCs w:val="21"/>
                    </w:rPr>
                  </w:pPr>
                  <w:r>
                    <w:rPr>
                      <w:rFonts w:hint="eastAsia"/>
                      <w:snapToGrid w:val="0"/>
                      <w:color w:val="auto"/>
                      <w:kern w:val="0"/>
                      <w:szCs w:val="21"/>
                      <w:lang w:val="en-US" w:eastAsia="zh-CN"/>
                    </w:rPr>
                    <w:t>3750</w:t>
                  </w:r>
                  <w:r>
                    <w:rPr>
                      <w:snapToGrid w:val="0"/>
                      <w:color w:val="auto"/>
                      <w:kern w:val="0"/>
                      <w:szCs w:val="21"/>
                    </w:rPr>
                    <w:t>m</w:t>
                  </w:r>
                  <w:r>
                    <w:rPr>
                      <w:snapToGrid w:val="0"/>
                      <w:color w:val="auto"/>
                      <w:kern w:val="0"/>
                      <w:szCs w:val="21"/>
                      <w:vertAlign w:val="superscript"/>
                    </w:rPr>
                    <w:t>2</w:t>
                  </w:r>
                </w:p>
              </w:tc>
              <w:tc>
                <w:tcPr>
                  <w:tcW w:w="718" w:type="pct"/>
                  <w:vAlign w:val="center"/>
                </w:tcPr>
                <w:p>
                  <w:pPr>
                    <w:snapToGrid w:val="0"/>
                    <w:jc w:val="center"/>
                    <w:rPr>
                      <w:rFonts w:hint="eastAsia"/>
                      <w:snapToGrid w:val="0"/>
                      <w:color w:val="auto"/>
                      <w:kern w:val="0"/>
                      <w:szCs w:val="21"/>
                    </w:rPr>
                  </w:pPr>
                  <w:r>
                    <w:rPr>
                      <w:rFonts w:hint="eastAsia"/>
                      <w:snapToGrid w:val="0"/>
                      <w:color w:val="auto"/>
                      <w:kern w:val="0"/>
                      <w:szCs w:val="21"/>
                      <w:lang w:val="en-US" w:eastAsia="zh-CN"/>
                    </w:rPr>
                    <w:t>3750</w:t>
                  </w:r>
                  <w:r>
                    <w:rPr>
                      <w:snapToGrid w:val="0"/>
                      <w:color w:val="auto"/>
                      <w:kern w:val="0"/>
                      <w:szCs w:val="21"/>
                    </w:rPr>
                    <w:t>m</w:t>
                  </w:r>
                  <w:r>
                    <w:rPr>
                      <w:snapToGrid w:val="0"/>
                      <w:color w:val="auto"/>
                      <w:kern w:val="0"/>
                      <w:szCs w:val="21"/>
                      <w:vertAlign w:val="superscript"/>
                    </w:rPr>
                    <w:t>2</w:t>
                  </w:r>
                </w:p>
              </w:tc>
              <w:tc>
                <w:tcPr>
                  <w:tcW w:w="616" w:type="pct"/>
                  <w:vAlign w:val="center"/>
                </w:tcPr>
                <w:p>
                  <w:pPr>
                    <w:snapToGrid w:val="0"/>
                    <w:jc w:val="center"/>
                    <w:rPr>
                      <w:rFonts w:hint="default"/>
                      <w:snapToGrid w:val="0"/>
                      <w:color w:val="auto"/>
                      <w:kern w:val="0"/>
                      <w:szCs w:val="21"/>
                    </w:rPr>
                  </w:pPr>
                  <w:r>
                    <w:rPr>
                      <w:rFonts w:hint="eastAsia"/>
                      <w:snapToGrid w:val="0"/>
                      <w:color w:val="auto"/>
                      <w:kern w:val="0"/>
                      <w:szCs w:val="21"/>
                      <w:lang w:val="en-US" w:eastAsia="zh-CN"/>
                    </w:rPr>
                    <w:t>/</w:t>
                  </w:r>
                </w:p>
              </w:tc>
              <w:tc>
                <w:tcPr>
                  <w:tcW w:w="1138" w:type="pct"/>
                  <w:vAlign w:val="center"/>
                </w:tcPr>
                <w:p>
                  <w:pPr>
                    <w:snapToGrid w:val="0"/>
                    <w:jc w:val="center"/>
                    <w:rPr>
                      <w:rFonts w:eastAsia="宋体" w:hint="eastAsia"/>
                      <w:color w:val="auto"/>
                      <w:szCs w:val="21"/>
                    </w:rPr>
                  </w:pPr>
                  <w:r>
                    <w:rPr>
                      <w:rFonts w:hint="eastAsia"/>
                      <w:color w:val="auto"/>
                      <w:szCs w:val="21"/>
                      <w:lang w:eastAsia="zh-CN"/>
                    </w:rPr>
                    <w:t>部分厂房租赁给物流企业</w:t>
                  </w:r>
                  <w:r>
                    <w:rPr>
                      <w:rFonts w:hint="default"/>
                      <w:color w:val="auto"/>
                      <w:szCs w:val="21"/>
                      <w:lang w:eastAsia="zh-CN"/>
                    </w:rPr>
                    <w:t>仓储</w:t>
                  </w:r>
                  <w:r>
                    <w:rPr>
                      <w:rFonts w:hint="eastAsia"/>
                      <w:color w:val="auto"/>
                      <w:szCs w:val="21"/>
                      <w:lang w:eastAsia="zh-CN"/>
                    </w:rPr>
                    <w:t>，部分厂房作为粮食仓储</w:t>
                  </w:r>
                </w:p>
              </w:tc>
            </w:tr>
            <w:tr>
              <w:tblPrEx>
                <w:tblW w:w="4873" w:type="pct"/>
                <w:jc w:val="center"/>
                <w:tblInd w:w="108" w:type="dxa"/>
                <w:tblLayout w:type="fixed"/>
                <w:tblCellMar>
                  <w:top w:w="0" w:type="dxa"/>
                  <w:left w:w="108" w:type="dxa"/>
                  <w:bottom w:w="0" w:type="dxa"/>
                  <w:right w:w="108" w:type="dxa"/>
                </w:tblCellMar>
                <w:tblLook w:val="0000"/>
              </w:tblPrEx>
              <w:trPr>
                <w:trHeight w:hRule="exact" w:val="497"/>
                <w:jc w:val="center"/>
              </w:trPr>
              <w:tc>
                <w:tcPr>
                  <w:tcW w:w="634" w:type="pct"/>
                  <w:vMerge w:val="restart"/>
                  <w:vAlign w:val="center"/>
                </w:tcPr>
                <w:p>
                  <w:pPr>
                    <w:snapToGrid w:val="0"/>
                    <w:jc w:val="center"/>
                    <w:rPr>
                      <w:color w:val="auto"/>
                      <w:szCs w:val="21"/>
                    </w:rPr>
                  </w:pPr>
                  <w:r>
                    <w:rPr>
                      <w:color w:val="auto"/>
                      <w:kern w:val="0"/>
                      <w:szCs w:val="21"/>
                    </w:rPr>
                    <w:t>辅助工程</w:t>
                  </w:r>
                </w:p>
              </w:tc>
              <w:tc>
                <w:tcPr>
                  <w:tcW w:w="1089" w:type="pct"/>
                  <w:gridSpan w:val="2"/>
                  <w:vAlign w:val="center"/>
                </w:tcPr>
                <w:p>
                  <w:pPr>
                    <w:spacing w:line="240" w:lineRule="auto"/>
                    <w:jc w:val="center"/>
                    <w:rPr>
                      <w:rFonts w:ascii="Times New Roman" w:eastAsia="宋体" w:hAnsi="Times New Roman" w:cs="Times New Roman" w:hint="default"/>
                      <w:bCs/>
                      <w:color w:val="auto"/>
                      <w:szCs w:val="21"/>
                    </w:rPr>
                  </w:pPr>
                  <w:r>
                    <w:rPr>
                      <w:rFonts w:ascii="Times New Roman" w:eastAsia="宋体" w:hAnsi="Times New Roman" w:cs="Times New Roman" w:hint="eastAsia"/>
                      <w:bCs/>
                      <w:color w:val="auto"/>
                      <w:szCs w:val="21"/>
                      <w:lang w:eastAsia="zh-CN"/>
                    </w:rPr>
                    <w:t>办公用房</w:t>
                  </w:r>
                  <w:r>
                    <w:rPr>
                      <w:rFonts w:ascii="Times New Roman" w:eastAsia="宋体" w:hAnsi="Times New Roman" w:cs="Times New Roman" w:hint="eastAsia"/>
                      <w:bCs/>
                      <w:color w:val="auto"/>
                      <w:szCs w:val="21"/>
                      <w:lang w:val="en-US" w:eastAsia="zh-CN"/>
                    </w:rPr>
                    <w:t>1</w:t>
                  </w:r>
                </w:p>
              </w:tc>
              <w:tc>
                <w:tcPr>
                  <w:tcW w:w="802" w:type="pct"/>
                  <w:vAlign w:val="center"/>
                </w:tcPr>
                <w:p>
                  <w:pPr>
                    <w:spacing w:line="240" w:lineRule="auto"/>
                    <w:jc w:val="center"/>
                    <w:rPr>
                      <w:rFonts w:ascii="Times New Roman" w:eastAsia="宋体" w:hAnsi="Times New Roman" w:cs="Times New Roman" w:hint="eastAsia"/>
                      <w:bCs/>
                      <w:color w:val="auto"/>
                      <w:szCs w:val="21"/>
                    </w:rPr>
                  </w:pPr>
                  <w:r>
                    <w:rPr>
                      <w:rFonts w:ascii="Times New Roman" w:eastAsia="宋体" w:hAnsi="Times New Roman" w:cs="Times New Roman" w:hint="eastAsia"/>
                      <w:bCs/>
                      <w:color w:val="auto"/>
                      <w:szCs w:val="21"/>
                      <w:lang w:val="en-US" w:eastAsia="zh-CN"/>
                    </w:rPr>
                    <w:t>400</w:t>
                  </w:r>
                  <w:r>
                    <w:rPr>
                      <w:rFonts w:ascii="Times New Roman" w:eastAsia="宋体" w:hAnsi="Times New Roman" w:cs="Times New Roman" w:hint="eastAsia"/>
                      <w:bCs/>
                      <w:color w:val="auto"/>
                      <w:szCs w:val="21"/>
                      <w:lang w:eastAsia="zh-CN"/>
                    </w:rPr>
                    <w:t>m</w:t>
                  </w:r>
                  <w:r>
                    <w:rPr>
                      <w:rFonts w:ascii="Times New Roman" w:eastAsia="宋体" w:hAnsi="Times New Roman" w:cs="Times New Roman" w:hint="eastAsia"/>
                      <w:bCs/>
                      <w:color w:val="auto"/>
                      <w:szCs w:val="21"/>
                      <w:vertAlign w:val="superscript"/>
                      <w:lang w:eastAsia="zh-CN"/>
                    </w:rPr>
                    <w:t>2</w:t>
                  </w:r>
                </w:p>
              </w:tc>
              <w:tc>
                <w:tcPr>
                  <w:tcW w:w="718" w:type="pct"/>
                  <w:vAlign w:val="center"/>
                </w:tcPr>
                <w:p>
                  <w:pPr>
                    <w:spacing w:line="240" w:lineRule="auto"/>
                    <w:jc w:val="center"/>
                    <w:rPr>
                      <w:rFonts w:ascii="Times New Roman" w:eastAsia="宋体" w:hAnsi="Times New Roman" w:cs="Times New Roman" w:hint="eastAsia"/>
                      <w:bCs/>
                      <w:color w:val="auto"/>
                      <w:szCs w:val="21"/>
                    </w:rPr>
                  </w:pPr>
                  <w:r>
                    <w:rPr>
                      <w:rFonts w:ascii="Times New Roman" w:eastAsia="宋体" w:hAnsi="Times New Roman" w:cs="Times New Roman" w:hint="eastAsia"/>
                      <w:bCs/>
                      <w:color w:val="auto"/>
                      <w:szCs w:val="21"/>
                      <w:lang w:val="en-US" w:eastAsia="zh-CN"/>
                    </w:rPr>
                    <w:t>400</w:t>
                  </w:r>
                  <w:r>
                    <w:rPr>
                      <w:rFonts w:ascii="Times New Roman" w:eastAsia="宋体" w:hAnsi="Times New Roman" w:cs="Times New Roman" w:hint="eastAsia"/>
                      <w:bCs/>
                      <w:color w:val="auto"/>
                      <w:szCs w:val="21"/>
                      <w:lang w:eastAsia="zh-CN"/>
                    </w:rPr>
                    <w:t>m</w:t>
                  </w:r>
                  <w:r>
                    <w:rPr>
                      <w:rFonts w:ascii="Times New Roman" w:eastAsia="宋体" w:hAnsi="Times New Roman" w:cs="Times New Roman" w:hint="eastAsia"/>
                      <w:bCs/>
                      <w:color w:val="auto"/>
                      <w:szCs w:val="21"/>
                      <w:vertAlign w:val="superscript"/>
                      <w:lang w:eastAsia="zh-CN"/>
                    </w:rPr>
                    <w:t>2</w:t>
                  </w:r>
                </w:p>
              </w:tc>
              <w:tc>
                <w:tcPr>
                  <w:tcW w:w="616" w:type="pct"/>
                  <w:vAlign w:val="center"/>
                </w:tcPr>
                <w:p>
                  <w:pPr>
                    <w:spacing w:line="240" w:lineRule="auto"/>
                    <w:jc w:val="center"/>
                    <w:rPr>
                      <w:rFonts w:ascii="Times New Roman" w:eastAsia="宋体" w:hAnsi="Times New Roman" w:cs="Times New Roman" w:hint="default"/>
                      <w:bCs/>
                      <w:color w:val="auto"/>
                      <w:szCs w:val="21"/>
                    </w:rPr>
                  </w:pPr>
                  <w:r>
                    <w:rPr>
                      <w:rFonts w:ascii="Times New Roman" w:eastAsia="宋体" w:hAnsi="Times New Roman" w:cs="Times New Roman" w:hint="eastAsia"/>
                      <w:bCs/>
                      <w:color w:val="auto"/>
                      <w:szCs w:val="21"/>
                      <w:lang w:val="en-US" w:eastAsia="zh-CN"/>
                    </w:rPr>
                    <w:t>/</w:t>
                  </w:r>
                </w:p>
              </w:tc>
              <w:tc>
                <w:tcPr>
                  <w:tcW w:w="1138" w:type="pct"/>
                  <w:vAlign w:val="center"/>
                </w:tcPr>
                <w:p>
                  <w:pPr>
                    <w:spacing w:line="240" w:lineRule="auto"/>
                    <w:jc w:val="center"/>
                    <w:rPr>
                      <w:rFonts w:ascii="Times New Roman" w:eastAsia="宋体" w:hAnsi="Times New Roman" w:cs="Times New Roman" w:hint="eastAsia"/>
                      <w:bCs/>
                      <w:color w:val="auto"/>
                      <w:szCs w:val="21"/>
                    </w:rPr>
                  </w:pPr>
                  <w:r>
                    <w:rPr>
                      <w:rFonts w:ascii="Times New Roman" w:eastAsia="宋体" w:hAnsi="Times New Roman" w:cs="Times New Roman" w:hint="eastAsia"/>
                      <w:bCs/>
                      <w:color w:val="auto"/>
                      <w:szCs w:val="21"/>
                      <w:lang w:val="en-US" w:eastAsia="zh-CN"/>
                    </w:rPr>
                    <w:t>用于办公</w:t>
                  </w:r>
                </w:p>
              </w:tc>
            </w:tr>
            <w:tr>
              <w:tblPrEx>
                <w:tblW w:w="4873" w:type="pct"/>
                <w:jc w:val="center"/>
                <w:tblInd w:w="108" w:type="dxa"/>
                <w:tblLayout w:type="fixed"/>
                <w:tblCellMar>
                  <w:top w:w="0" w:type="dxa"/>
                  <w:left w:w="108" w:type="dxa"/>
                  <w:bottom w:w="0" w:type="dxa"/>
                  <w:right w:w="108" w:type="dxa"/>
                </w:tblCellMar>
                <w:tblLook w:val="0000"/>
              </w:tblPrEx>
              <w:trPr>
                <w:trHeight w:hRule="exact" w:val="461"/>
                <w:jc w:val="center"/>
              </w:trPr>
              <w:tc>
                <w:tcPr>
                  <w:tcW w:w="634" w:type="pct"/>
                  <w:vMerge/>
                  <w:vAlign w:val="center"/>
                </w:tcPr>
                <w:p>
                  <w:pPr>
                    <w:snapToGrid w:val="0"/>
                    <w:jc w:val="center"/>
                    <w:rPr>
                      <w:color w:val="auto"/>
                      <w:kern w:val="0"/>
                      <w:szCs w:val="21"/>
                    </w:rPr>
                  </w:pPr>
                </w:p>
              </w:tc>
              <w:tc>
                <w:tcPr>
                  <w:tcW w:w="1089" w:type="pct"/>
                  <w:gridSpan w:val="2"/>
                  <w:vAlign w:val="center"/>
                </w:tcPr>
                <w:p>
                  <w:pPr>
                    <w:spacing w:line="240" w:lineRule="auto"/>
                    <w:jc w:val="center"/>
                    <w:rPr>
                      <w:rFonts w:ascii="Times New Roman" w:eastAsia="宋体" w:hAnsi="Times New Roman" w:cs="Times New Roman" w:hint="default"/>
                      <w:bCs/>
                      <w:color w:val="auto"/>
                      <w:szCs w:val="21"/>
                    </w:rPr>
                  </w:pPr>
                  <w:r>
                    <w:rPr>
                      <w:rFonts w:ascii="Times New Roman" w:eastAsia="宋体" w:hAnsi="Times New Roman" w:cs="Times New Roman" w:hint="eastAsia"/>
                      <w:bCs/>
                      <w:color w:val="auto"/>
                      <w:szCs w:val="21"/>
                      <w:lang w:eastAsia="zh-CN"/>
                    </w:rPr>
                    <w:t>办公用房</w:t>
                  </w:r>
                  <w:r>
                    <w:rPr>
                      <w:rFonts w:ascii="Times New Roman" w:eastAsia="宋体" w:hAnsi="Times New Roman" w:cs="Times New Roman" w:hint="eastAsia"/>
                      <w:bCs/>
                      <w:color w:val="auto"/>
                      <w:szCs w:val="21"/>
                      <w:lang w:val="en-US" w:eastAsia="zh-CN"/>
                    </w:rPr>
                    <w:t>2</w:t>
                  </w:r>
                </w:p>
              </w:tc>
              <w:tc>
                <w:tcPr>
                  <w:tcW w:w="802" w:type="pct"/>
                  <w:vAlign w:val="center"/>
                </w:tcPr>
                <w:p>
                  <w:pPr>
                    <w:spacing w:line="240" w:lineRule="auto"/>
                    <w:jc w:val="center"/>
                    <w:rPr>
                      <w:rFonts w:ascii="Times New Roman" w:eastAsia="宋体" w:hAnsi="Times New Roman" w:cs="Times New Roman" w:hint="default"/>
                      <w:bCs/>
                      <w:color w:val="auto"/>
                      <w:szCs w:val="21"/>
                    </w:rPr>
                  </w:pPr>
                  <w:r>
                    <w:rPr>
                      <w:rFonts w:ascii="Times New Roman" w:eastAsia="宋体" w:hAnsi="Times New Roman" w:cs="Times New Roman" w:hint="eastAsia"/>
                      <w:bCs/>
                      <w:color w:val="auto"/>
                      <w:szCs w:val="21"/>
                      <w:lang w:val="en-US" w:eastAsia="zh-CN"/>
                    </w:rPr>
                    <w:t>450</w:t>
                  </w:r>
                  <w:r>
                    <w:rPr>
                      <w:rFonts w:ascii="Times New Roman" w:eastAsia="宋体" w:hAnsi="Times New Roman" w:cs="Times New Roman" w:hint="eastAsia"/>
                      <w:bCs/>
                      <w:color w:val="auto"/>
                      <w:szCs w:val="21"/>
                      <w:lang w:eastAsia="zh-CN"/>
                    </w:rPr>
                    <w:t>m</w:t>
                  </w:r>
                  <w:r>
                    <w:rPr>
                      <w:rFonts w:ascii="Times New Roman" w:eastAsia="宋体" w:hAnsi="Times New Roman" w:cs="Times New Roman" w:hint="eastAsia"/>
                      <w:bCs/>
                      <w:color w:val="auto"/>
                      <w:szCs w:val="21"/>
                      <w:vertAlign w:val="superscript"/>
                      <w:lang w:eastAsia="zh-CN"/>
                    </w:rPr>
                    <w:t>2</w:t>
                  </w:r>
                </w:p>
              </w:tc>
              <w:tc>
                <w:tcPr>
                  <w:tcW w:w="718" w:type="pct"/>
                  <w:vAlign w:val="center"/>
                </w:tcPr>
                <w:p>
                  <w:pPr>
                    <w:spacing w:line="240" w:lineRule="auto"/>
                    <w:jc w:val="center"/>
                    <w:rPr>
                      <w:rFonts w:ascii="Times New Roman" w:eastAsia="宋体" w:hAnsi="Times New Roman" w:cs="Times New Roman" w:hint="eastAsia"/>
                      <w:bCs/>
                      <w:color w:val="auto"/>
                      <w:szCs w:val="21"/>
                    </w:rPr>
                  </w:pPr>
                  <w:r>
                    <w:rPr>
                      <w:rFonts w:ascii="Times New Roman" w:eastAsia="宋体" w:hAnsi="Times New Roman" w:cs="Times New Roman" w:hint="eastAsia"/>
                      <w:bCs/>
                      <w:color w:val="auto"/>
                      <w:szCs w:val="21"/>
                      <w:lang w:val="en-US" w:eastAsia="zh-CN"/>
                    </w:rPr>
                    <w:t>450</w:t>
                  </w:r>
                  <w:r>
                    <w:rPr>
                      <w:rFonts w:ascii="Times New Roman" w:eastAsia="宋体" w:hAnsi="Times New Roman" w:cs="Times New Roman" w:hint="eastAsia"/>
                      <w:bCs/>
                      <w:color w:val="auto"/>
                      <w:szCs w:val="21"/>
                      <w:lang w:eastAsia="zh-CN"/>
                    </w:rPr>
                    <w:t>m</w:t>
                  </w:r>
                  <w:r>
                    <w:rPr>
                      <w:rFonts w:ascii="Times New Roman" w:eastAsia="宋体" w:hAnsi="Times New Roman" w:cs="Times New Roman" w:hint="eastAsia"/>
                      <w:bCs/>
                      <w:color w:val="auto"/>
                      <w:szCs w:val="21"/>
                      <w:vertAlign w:val="superscript"/>
                      <w:lang w:eastAsia="zh-CN"/>
                    </w:rPr>
                    <w:t>2</w:t>
                  </w:r>
                </w:p>
              </w:tc>
              <w:tc>
                <w:tcPr>
                  <w:tcW w:w="616" w:type="pct"/>
                  <w:vAlign w:val="center"/>
                </w:tcPr>
                <w:p>
                  <w:pPr>
                    <w:spacing w:line="240" w:lineRule="auto"/>
                    <w:jc w:val="center"/>
                    <w:rPr>
                      <w:rFonts w:ascii="Times New Roman" w:eastAsia="宋体" w:hAnsi="Times New Roman" w:cs="Times New Roman" w:hint="default"/>
                      <w:bCs/>
                      <w:color w:val="auto"/>
                      <w:szCs w:val="21"/>
                    </w:rPr>
                  </w:pPr>
                  <w:r>
                    <w:rPr>
                      <w:rFonts w:ascii="Times New Roman" w:eastAsia="宋体" w:hAnsi="Times New Roman" w:cs="Times New Roman" w:hint="eastAsia"/>
                      <w:bCs/>
                      <w:color w:val="auto"/>
                      <w:szCs w:val="21"/>
                      <w:lang w:val="en-US" w:eastAsia="zh-CN"/>
                    </w:rPr>
                    <w:t>/</w:t>
                  </w:r>
                </w:p>
              </w:tc>
              <w:tc>
                <w:tcPr>
                  <w:tcW w:w="1138" w:type="pct"/>
                  <w:vAlign w:val="center"/>
                </w:tcPr>
                <w:p>
                  <w:pPr>
                    <w:spacing w:line="240" w:lineRule="auto"/>
                    <w:jc w:val="center"/>
                    <w:rPr>
                      <w:rFonts w:ascii="Times New Roman" w:eastAsia="宋体" w:hAnsi="Times New Roman" w:cs="Times New Roman" w:hint="eastAsia"/>
                      <w:bCs/>
                      <w:color w:val="auto"/>
                      <w:szCs w:val="21"/>
                    </w:rPr>
                  </w:pPr>
                  <w:r>
                    <w:rPr>
                      <w:rFonts w:ascii="Times New Roman" w:eastAsia="宋体" w:hAnsi="Times New Roman" w:cs="Times New Roman" w:hint="eastAsia"/>
                      <w:bCs/>
                      <w:color w:val="auto"/>
                      <w:szCs w:val="21"/>
                      <w:lang w:eastAsia="zh-CN"/>
                    </w:rPr>
                    <w:t>用于办公</w:t>
                  </w:r>
                </w:p>
              </w:tc>
            </w:tr>
            <w:tr>
              <w:tblPrEx>
                <w:tblW w:w="4873" w:type="pct"/>
                <w:jc w:val="center"/>
                <w:tblInd w:w="108" w:type="dxa"/>
                <w:tblLayout w:type="fixed"/>
                <w:tblCellMar>
                  <w:top w:w="0" w:type="dxa"/>
                  <w:left w:w="108" w:type="dxa"/>
                  <w:bottom w:w="0" w:type="dxa"/>
                  <w:right w:w="108" w:type="dxa"/>
                </w:tblCellMar>
                <w:tblLook w:val="0000"/>
              </w:tblPrEx>
              <w:trPr>
                <w:trHeight w:hRule="exact" w:val="480"/>
                <w:jc w:val="center"/>
              </w:trPr>
              <w:tc>
                <w:tcPr>
                  <w:tcW w:w="634" w:type="pct"/>
                  <w:vMerge w:val="restart"/>
                  <w:vAlign w:val="center"/>
                </w:tcPr>
                <w:p>
                  <w:pPr>
                    <w:snapToGrid w:val="0"/>
                    <w:jc w:val="center"/>
                    <w:rPr>
                      <w:color w:val="auto"/>
                      <w:szCs w:val="21"/>
                    </w:rPr>
                  </w:pPr>
                  <w:r>
                    <w:rPr>
                      <w:color w:val="auto"/>
                      <w:szCs w:val="21"/>
                    </w:rPr>
                    <w:t>公用工程</w:t>
                  </w:r>
                </w:p>
              </w:tc>
              <w:tc>
                <w:tcPr>
                  <w:tcW w:w="1089" w:type="pct"/>
                  <w:gridSpan w:val="2"/>
                  <w:vAlign w:val="center"/>
                </w:tcPr>
                <w:p>
                  <w:pPr>
                    <w:pStyle w:val="a12"/>
                    <w:rPr>
                      <w:rFonts w:cs="Times New Roman"/>
                      <w:color w:val="auto"/>
                    </w:rPr>
                  </w:pPr>
                  <w:r>
                    <w:rPr>
                      <w:rFonts w:cs="Times New Roman"/>
                      <w:color w:val="auto"/>
                      <w:kern w:val="0"/>
                    </w:rPr>
                    <w:t>供水</w:t>
                  </w:r>
                </w:p>
              </w:tc>
              <w:tc>
                <w:tcPr>
                  <w:tcW w:w="802" w:type="pct"/>
                  <w:vAlign w:val="center"/>
                </w:tcPr>
                <w:p>
                  <w:pPr>
                    <w:pStyle w:val="a12"/>
                    <w:rPr>
                      <w:rFonts w:cs="Times New Roman"/>
                      <w:color w:val="auto"/>
                    </w:rPr>
                  </w:pPr>
                  <w:r>
                    <w:rPr>
                      <w:rFonts w:cs="Times New Roman" w:hint="eastAsia"/>
                      <w:color w:val="auto"/>
                      <w:lang w:val="en-US" w:eastAsia="zh-CN"/>
                    </w:rPr>
                    <w:t>300</w:t>
                  </w:r>
                  <w:r>
                    <w:rPr>
                      <w:rFonts w:cs="Times New Roman"/>
                      <w:color w:val="auto"/>
                    </w:rPr>
                    <w:t>t/a</w:t>
                  </w:r>
                </w:p>
              </w:tc>
              <w:tc>
                <w:tcPr>
                  <w:tcW w:w="718" w:type="pct"/>
                  <w:vAlign w:val="center"/>
                </w:tcPr>
                <w:p>
                  <w:pPr>
                    <w:pStyle w:val="a12"/>
                    <w:rPr>
                      <w:rFonts w:cs="Times New Roman" w:hint="default"/>
                      <w:color w:val="auto"/>
                      <w:lang w:val="en-US" w:eastAsia="zh-CN"/>
                    </w:rPr>
                  </w:pPr>
                  <w:r>
                    <w:rPr>
                      <w:rFonts w:cs="Times New Roman" w:hint="eastAsia"/>
                      <w:color w:val="auto"/>
                      <w:lang w:val="en-US" w:eastAsia="zh-CN"/>
                    </w:rPr>
                    <w:t>11295</w:t>
                  </w:r>
                  <w:r>
                    <w:rPr>
                      <w:rFonts w:cs="Times New Roman"/>
                      <w:color w:val="auto"/>
                    </w:rPr>
                    <w:t>t/a</w:t>
                  </w:r>
                </w:p>
              </w:tc>
              <w:tc>
                <w:tcPr>
                  <w:tcW w:w="616" w:type="pct"/>
                  <w:vAlign w:val="center"/>
                </w:tcPr>
                <w:p>
                  <w:pPr>
                    <w:pStyle w:val="a12"/>
                    <w:rPr>
                      <w:rFonts w:cs="Times New Roman" w:hint="eastAsia"/>
                      <w:color w:val="auto"/>
                      <w:lang w:val="en-US" w:eastAsia="zh-CN"/>
                    </w:rPr>
                  </w:pPr>
                  <w:r>
                    <w:rPr>
                      <w:rFonts w:cs="Times New Roman" w:hint="eastAsia"/>
                      <w:color w:val="auto"/>
                      <w:lang w:val="en-US" w:eastAsia="zh-CN"/>
                    </w:rPr>
                    <w:t>+10995</w:t>
                  </w:r>
                  <w:r>
                    <w:rPr>
                      <w:rFonts w:cs="Times New Roman"/>
                      <w:color w:val="auto"/>
                    </w:rPr>
                    <w:t>t/a</w:t>
                  </w:r>
                </w:p>
              </w:tc>
              <w:tc>
                <w:tcPr>
                  <w:tcW w:w="1138" w:type="pct"/>
                  <w:vAlign w:val="center"/>
                </w:tcPr>
                <w:p>
                  <w:pPr>
                    <w:tabs>
                      <w:tab w:val="left" w:pos="2005"/>
                    </w:tabs>
                    <w:jc w:val="center"/>
                    <w:rPr>
                      <w:color w:val="auto"/>
                      <w:szCs w:val="21"/>
                    </w:rPr>
                  </w:pPr>
                  <w:r>
                    <w:rPr>
                      <w:color w:val="auto"/>
                      <w:szCs w:val="21"/>
                    </w:rPr>
                    <w:t>自来水管网供给</w:t>
                  </w:r>
                </w:p>
              </w:tc>
            </w:tr>
            <w:tr>
              <w:tblPrEx>
                <w:tblW w:w="4873" w:type="pct"/>
                <w:jc w:val="center"/>
                <w:tblInd w:w="108" w:type="dxa"/>
                <w:tblLayout w:type="fixed"/>
                <w:tblCellMar>
                  <w:top w:w="0" w:type="dxa"/>
                  <w:left w:w="108" w:type="dxa"/>
                  <w:bottom w:w="0" w:type="dxa"/>
                  <w:right w:w="108" w:type="dxa"/>
                </w:tblCellMar>
                <w:tblLook w:val="0000"/>
              </w:tblPrEx>
              <w:trPr>
                <w:trHeight w:hRule="exact" w:val="799"/>
                <w:jc w:val="center"/>
              </w:trPr>
              <w:tc>
                <w:tcPr>
                  <w:tcW w:w="634" w:type="pct"/>
                  <w:vMerge/>
                  <w:vAlign w:val="center"/>
                </w:tcPr>
                <w:p>
                  <w:pPr>
                    <w:snapToGrid w:val="0"/>
                    <w:jc w:val="center"/>
                    <w:rPr>
                      <w:color w:val="auto"/>
                      <w:szCs w:val="21"/>
                    </w:rPr>
                  </w:pPr>
                </w:p>
              </w:tc>
              <w:tc>
                <w:tcPr>
                  <w:tcW w:w="1089" w:type="pct"/>
                  <w:gridSpan w:val="2"/>
                  <w:vAlign w:val="center"/>
                </w:tcPr>
                <w:p>
                  <w:pPr>
                    <w:pStyle w:val="a12"/>
                    <w:rPr>
                      <w:rFonts w:cs="Times New Roman"/>
                      <w:color w:val="auto"/>
                      <w:kern w:val="0"/>
                    </w:rPr>
                  </w:pPr>
                  <w:r>
                    <w:rPr>
                      <w:rFonts w:cs="Times New Roman"/>
                      <w:color w:val="auto"/>
                      <w:kern w:val="0"/>
                    </w:rPr>
                    <w:t>排水</w:t>
                  </w:r>
                </w:p>
              </w:tc>
              <w:tc>
                <w:tcPr>
                  <w:tcW w:w="802" w:type="pct"/>
                  <w:vAlign w:val="center"/>
                </w:tcPr>
                <w:p>
                  <w:pPr>
                    <w:pStyle w:val="a12"/>
                    <w:rPr>
                      <w:rFonts w:cs="Times New Roman"/>
                      <w:color w:val="auto"/>
                    </w:rPr>
                  </w:pPr>
                  <w:r>
                    <w:rPr>
                      <w:rFonts w:cs="Times New Roman" w:hint="eastAsia"/>
                      <w:color w:val="auto"/>
                      <w:lang w:val="en-US" w:eastAsia="zh-CN"/>
                    </w:rPr>
                    <w:t>240</w:t>
                  </w:r>
                  <w:r>
                    <w:rPr>
                      <w:rFonts w:cs="Times New Roman"/>
                      <w:color w:val="auto"/>
                    </w:rPr>
                    <w:t>t/a</w:t>
                  </w:r>
                </w:p>
              </w:tc>
              <w:tc>
                <w:tcPr>
                  <w:tcW w:w="718" w:type="pct"/>
                  <w:vAlign w:val="center"/>
                </w:tcPr>
                <w:p>
                  <w:pPr>
                    <w:pStyle w:val="a12"/>
                    <w:rPr>
                      <w:rFonts w:cs="Times New Roman" w:hint="default"/>
                      <w:color w:val="auto"/>
                      <w:lang w:val="en-US" w:eastAsia="zh-CN"/>
                    </w:rPr>
                  </w:pPr>
                  <w:r>
                    <w:rPr>
                      <w:rFonts w:cs="Times New Roman" w:hint="default"/>
                      <w:color w:val="auto"/>
                      <w:lang w:val="en-US" w:eastAsia="zh-CN"/>
                    </w:rPr>
                    <w:t>10576.8</w:t>
                  </w:r>
                  <w:r>
                    <w:rPr>
                      <w:rFonts w:cs="Times New Roman"/>
                      <w:color w:val="auto"/>
                    </w:rPr>
                    <w:t>t/a</w:t>
                  </w:r>
                </w:p>
              </w:tc>
              <w:tc>
                <w:tcPr>
                  <w:tcW w:w="616" w:type="pct"/>
                  <w:vAlign w:val="center"/>
                </w:tcPr>
                <w:p>
                  <w:pPr>
                    <w:pStyle w:val="a12"/>
                    <w:rPr>
                      <w:rFonts w:cs="Times New Roman" w:hint="eastAsia"/>
                      <w:color w:val="auto"/>
                      <w:lang w:val="en-US" w:eastAsia="zh-CN"/>
                    </w:rPr>
                  </w:pPr>
                  <w:r>
                    <w:rPr>
                      <w:rFonts w:cs="Times New Roman" w:hint="eastAsia"/>
                      <w:color w:val="auto"/>
                      <w:lang w:val="en-US" w:eastAsia="zh-CN"/>
                    </w:rPr>
                    <w:t>+10336.8</w:t>
                  </w:r>
                  <w:r>
                    <w:rPr>
                      <w:rFonts w:cs="Times New Roman"/>
                      <w:color w:val="auto"/>
                    </w:rPr>
                    <w:t>t/a</w:t>
                  </w:r>
                </w:p>
              </w:tc>
              <w:tc>
                <w:tcPr>
                  <w:tcW w:w="1138" w:type="pct"/>
                  <w:vAlign w:val="center"/>
                </w:tcPr>
                <w:p>
                  <w:pPr>
                    <w:tabs>
                      <w:tab w:val="left" w:pos="2005"/>
                    </w:tabs>
                    <w:ind w:left="105" w:leftChars="50"/>
                    <w:jc w:val="center"/>
                    <w:rPr>
                      <w:rFonts w:eastAsia="宋体" w:hint="eastAsia"/>
                      <w:color w:val="auto"/>
                      <w:szCs w:val="21"/>
                    </w:rPr>
                  </w:pPr>
                  <w:r>
                    <w:rPr>
                      <w:rFonts w:hint="eastAsia"/>
                      <w:color w:val="auto"/>
                      <w:szCs w:val="21"/>
                      <w:lang w:eastAsia="zh-CN"/>
                    </w:rPr>
                    <w:t>污水接管至高邮市珠光污水处理厂处理</w:t>
                  </w:r>
                </w:p>
              </w:tc>
            </w:tr>
            <w:tr>
              <w:tblPrEx>
                <w:tblW w:w="4873" w:type="pct"/>
                <w:jc w:val="center"/>
                <w:tblInd w:w="108" w:type="dxa"/>
                <w:tblLayout w:type="fixed"/>
                <w:tblCellMar>
                  <w:top w:w="0" w:type="dxa"/>
                  <w:left w:w="108" w:type="dxa"/>
                  <w:bottom w:w="0" w:type="dxa"/>
                  <w:right w:w="108" w:type="dxa"/>
                </w:tblCellMar>
                <w:tblLook w:val="0000"/>
              </w:tblPrEx>
              <w:trPr>
                <w:trHeight w:hRule="exact" w:val="572"/>
                <w:jc w:val="center"/>
              </w:trPr>
              <w:tc>
                <w:tcPr>
                  <w:tcW w:w="634" w:type="pct"/>
                  <w:vMerge/>
                  <w:vAlign w:val="center"/>
                </w:tcPr>
                <w:p>
                  <w:pPr>
                    <w:snapToGrid w:val="0"/>
                    <w:jc w:val="center"/>
                    <w:rPr>
                      <w:color w:val="auto"/>
                      <w:szCs w:val="21"/>
                    </w:rPr>
                  </w:pPr>
                </w:p>
              </w:tc>
              <w:tc>
                <w:tcPr>
                  <w:tcW w:w="1089" w:type="pct"/>
                  <w:gridSpan w:val="2"/>
                  <w:vAlign w:val="center"/>
                </w:tcPr>
                <w:p>
                  <w:pPr>
                    <w:pStyle w:val="a12"/>
                    <w:rPr>
                      <w:rFonts w:eastAsia="宋体" w:cs="Times New Roman" w:hint="eastAsia"/>
                      <w:color w:val="auto"/>
                      <w:kern w:val="0"/>
                      <w:lang w:eastAsia="zh-CN"/>
                    </w:rPr>
                  </w:pPr>
                  <w:r>
                    <w:rPr>
                      <w:rFonts w:cs="Times New Roman" w:hint="eastAsia"/>
                      <w:color w:val="auto"/>
                      <w:kern w:val="0"/>
                      <w:lang w:eastAsia="zh-CN"/>
                    </w:rPr>
                    <w:t>供气</w:t>
                  </w:r>
                </w:p>
              </w:tc>
              <w:tc>
                <w:tcPr>
                  <w:tcW w:w="802" w:type="pct"/>
                  <w:vAlign w:val="center"/>
                </w:tcPr>
                <w:p>
                  <w:pPr>
                    <w:pStyle w:val="a12"/>
                    <w:rPr>
                      <w:rFonts w:cs="Times New Roman" w:hint="default"/>
                      <w:color w:val="auto"/>
                      <w:lang w:val="en-US" w:eastAsia="zh-CN"/>
                    </w:rPr>
                  </w:pPr>
                  <w:r>
                    <w:rPr>
                      <w:rFonts w:cs="Times New Roman" w:hint="eastAsia"/>
                      <w:color w:val="auto"/>
                      <w:lang w:val="en-US" w:eastAsia="zh-CN"/>
                    </w:rPr>
                    <w:t>6.25万m</w:t>
                  </w:r>
                  <w:r>
                    <w:rPr>
                      <w:rFonts w:cs="Times New Roman" w:hint="eastAsia"/>
                      <w:color w:val="auto"/>
                      <w:vertAlign w:val="superscript"/>
                      <w:lang w:val="en-US" w:eastAsia="zh-CN"/>
                    </w:rPr>
                    <w:t>3</w:t>
                  </w:r>
                  <w:r>
                    <w:rPr>
                      <w:rFonts w:cs="Times New Roman" w:hint="eastAsia"/>
                      <w:color w:val="auto"/>
                      <w:lang w:val="en-US" w:eastAsia="zh-CN"/>
                    </w:rPr>
                    <w:t>/a</w:t>
                  </w:r>
                </w:p>
              </w:tc>
              <w:tc>
                <w:tcPr>
                  <w:tcW w:w="718" w:type="pct"/>
                  <w:vAlign w:val="center"/>
                </w:tcPr>
                <w:p>
                  <w:pPr>
                    <w:pStyle w:val="a12"/>
                    <w:rPr>
                      <w:rFonts w:cs="Times New Roman" w:hint="default"/>
                      <w:color w:val="auto"/>
                      <w:lang w:val="en-US" w:eastAsia="zh-CN"/>
                    </w:rPr>
                  </w:pPr>
                  <w:r>
                    <w:rPr>
                      <w:rFonts w:cs="Times New Roman" w:hint="eastAsia"/>
                      <w:color w:val="auto"/>
                      <w:lang w:val="en-US" w:eastAsia="zh-CN"/>
                    </w:rPr>
                    <w:t>86.25万</w:t>
                  </w:r>
                  <w:r>
                    <w:rPr>
                      <w:rFonts w:cs="Times New Roman" w:hint="eastAsia"/>
                      <w:color w:val="auto"/>
                      <w:lang w:val="en-US" w:eastAsia="zh-CN"/>
                    </w:rPr>
                    <w:t>m</w:t>
                  </w:r>
                  <w:r>
                    <w:rPr>
                      <w:rFonts w:cs="Times New Roman" w:hint="eastAsia"/>
                      <w:color w:val="auto"/>
                      <w:vertAlign w:val="superscript"/>
                      <w:lang w:val="en-US" w:eastAsia="zh-CN"/>
                    </w:rPr>
                    <w:t>3</w:t>
                  </w:r>
                  <w:r>
                    <w:rPr>
                      <w:rFonts w:cs="Times New Roman" w:hint="eastAsia"/>
                      <w:color w:val="auto"/>
                      <w:lang w:val="en-US" w:eastAsia="zh-CN"/>
                    </w:rPr>
                    <w:t>/a</w:t>
                  </w:r>
                </w:p>
              </w:tc>
              <w:tc>
                <w:tcPr>
                  <w:tcW w:w="616" w:type="pct"/>
                  <w:vAlign w:val="center"/>
                </w:tcPr>
                <w:p>
                  <w:pPr>
                    <w:pStyle w:val="a12"/>
                    <w:rPr>
                      <w:rFonts w:cs="Times New Roman" w:hint="default"/>
                      <w:color w:val="auto"/>
                      <w:lang w:val="en-US" w:eastAsia="zh-CN"/>
                    </w:rPr>
                  </w:pPr>
                  <w:r>
                    <w:rPr>
                      <w:rFonts w:cs="Times New Roman" w:hint="eastAsia"/>
                      <w:color w:val="auto"/>
                      <w:lang w:val="en-US" w:eastAsia="zh-CN"/>
                    </w:rPr>
                    <w:t>+80</w:t>
                  </w:r>
                  <w:r>
                    <w:rPr>
                      <w:rFonts w:cs="Times New Roman" w:hint="eastAsia"/>
                      <w:color w:val="auto"/>
                      <w:lang w:val="en-US" w:eastAsia="zh-CN"/>
                    </w:rPr>
                    <w:t>万m</w:t>
                  </w:r>
                  <w:r>
                    <w:rPr>
                      <w:rFonts w:cs="Times New Roman" w:hint="eastAsia"/>
                      <w:color w:val="auto"/>
                      <w:vertAlign w:val="superscript"/>
                      <w:lang w:val="en-US" w:eastAsia="zh-CN"/>
                    </w:rPr>
                    <w:t>3</w:t>
                  </w:r>
                  <w:r>
                    <w:rPr>
                      <w:rFonts w:cs="Times New Roman" w:hint="eastAsia"/>
                      <w:color w:val="auto"/>
                      <w:lang w:val="en-US" w:eastAsia="zh-CN"/>
                    </w:rPr>
                    <w:t>/a</w:t>
                  </w:r>
                </w:p>
              </w:tc>
              <w:tc>
                <w:tcPr>
                  <w:tcW w:w="1138" w:type="pct"/>
                  <w:vAlign w:val="center"/>
                </w:tcPr>
                <w:p>
                  <w:pPr>
                    <w:jc w:val="center"/>
                    <w:rPr>
                      <w:rFonts w:eastAsia="宋体" w:hint="eastAsia"/>
                      <w:color w:val="auto"/>
                      <w:szCs w:val="21"/>
                    </w:rPr>
                  </w:pPr>
                  <w:r>
                    <w:rPr>
                      <w:rFonts w:hint="eastAsia"/>
                      <w:color w:val="auto"/>
                      <w:szCs w:val="21"/>
                      <w:lang w:eastAsia="zh-CN"/>
                    </w:rPr>
                    <w:t>市政燃气管道供应</w:t>
                  </w:r>
                </w:p>
              </w:tc>
            </w:tr>
            <w:tr>
              <w:tblPrEx>
                <w:tblW w:w="4873" w:type="pct"/>
                <w:jc w:val="center"/>
                <w:tblInd w:w="108" w:type="dxa"/>
                <w:tblLayout w:type="fixed"/>
                <w:tblCellMar>
                  <w:top w:w="0" w:type="dxa"/>
                  <w:left w:w="108" w:type="dxa"/>
                  <w:bottom w:w="0" w:type="dxa"/>
                  <w:right w:w="108" w:type="dxa"/>
                </w:tblCellMar>
                <w:tblLook w:val="0000"/>
              </w:tblPrEx>
              <w:trPr>
                <w:trHeight w:hRule="exact" w:val="512"/>
                <w:jc w:val="center"/>
              </w:trPr>
              <w:tc>
                <w:tcPr>
                  <w:tcW w:w="634" w:type="pct"/>
                  <w:vMerge/>
                  <w:vAlign w:val="center"/>
                </w:tcPr>
                <w:p>
                  <w:pPr>
                    <w:snapToGrid w:val="0"/>
                    <w:jc w:val="center"/>
                    <w:rPr>
                      <w:color w:val="auto"/>
                      <w:szCs w:val="21"/>
                    </w:rPr>
                  </w:pPr>
                </w:p>
              </w:tc>
              <w:tc>
                <w:tcPr>
                  <w:tcW w:w="1089" w:type="pct"/>
                  <w:gridSpan w:val="2"/>
                  <w:vAlign w:val="center"/>
                </w:tcPr>
                <w:p>
                  <w:pPr>
                    <w:pStyle w:val="a12"/>
                    <w:rPr>
                      <w:rFonts w:cs="Times New Roman"/>
                      <w:color w:val="auto"/>
                    </w:rPr>
                  </w:pPr>
                  <w:r>
                    <w:rPr>
                      <w:rFonts w:cs="Times New Roman"/>
                      <w:color w:val="auto"/>
                      <w:kern w:val="0"/>
                    </w:rPr>
                    <w:t>供电</w:t>
                  </w:r>
                </w:p>
              </w:tc>
              <w:tc>
                <w:tcPr>
                  <w:tcW w:w="802" w:type="pct"/>
                  <w:vAlign w:val="center"/>
                </w:tcPr>
                <w:p>
                  <w:pPr>
                    <w:pStyle w:val="a12"/>
                    <w:rPr>
                      <w:rFonts w:cs="Times New Roman"/>
                      <w:color w:val="auto"/>
                    </w:rPr>
                  </w:pPr>
                  <w:r>
                    <w:rPr>
                      <w:rFonts w:cs="Times New Roman" w:hint="eastAsia"/>
                      <w:color w:val="auto"/>
                      <w:lang w:val="en-US" w:eastAsia="zh-CN"/>
                    </w:rPr>
                    <w:t>2</w:t>
                  </w:r>
                  <w:r>
                    <w:rPr>
                      <w:rFonts w:cs="Times New Roman"/>
                      <w:color w:val="auto"/>
                    </w:rPr>
                    <w:t>万kWh/年</w:t>
                  </w:r>
                </w:p>
              </w:tc>
              <w:tc>
                <w:tcPr>
                  <w:tcW w:w="718" w:type="pct"/>
                  <w:vAlign w:val="center"/>
                </w:tcPr>
                <w:p>
                  <w:pPr>
                    <w:pStyle w:val="a12"/>
                    <w:rPr>
                      <w:rFonts w:cs="Times New Roman" w:hint="default"/>
                      <w:color w:val="auto"/>
                      <w:lang w:val="en-US" w:eastAsia="zh-CN"/>
                    </w:rPr>
                  </w:pPr>
                  <w:r>
                    <w:rPr>
                      <w:rFonts w:cs="Times New Roman" w:hint="eastAsia"/>
                      <w:color w:val="auto"/>
                      <w:lang w:val="en-US" w:eastAsia="zh-CN"/>
                    </w:rPr>
                    <w:t>14</w:t>
                  </w:r>
                  <w:r>
                    <w:rPr>
                      <w:rFonts w:cs="Times New Roman"/>
                      <w:color w:val="auto"/>
                    </w:rPr>
                    <w:t>万kWh/年</w:t>
                  </w:r>
                </w:p>
              </w:tc>
              <w:tc>
                <w:tcPr>
                  <w:tcW w:w="616" w:type="pct"/>
                  <w:vAlign w:val="center"/>
                </w:tcPr>
                <w:p>
                  <w:pPr>
                    <w:pStyle w:val="a12"/>
                    <w:rPr>
                      <w:rFonts w:cs="Times New Roman" w:hint="default"/>
                      <w:color w:val="auto"/>
                      <w:lang w:val="en-US" w:eastAsia="zh-CN"/>
                    </w:rPr>
                  </w:pPr>
                  <w:r>
                    <w:rPr>
                      <w:rFonts w:cs="Times New Roman" w:hint="eastAsia"/>
                      <w:color w:val="auto"/>
                      <w:lang w:val="en-US" w:eastAsia="zh-CN"/>
                    </w:rPr>
                    <w:t>+12</w:t>
                  </w:r>
                  <w:r>
                    <w:rPr>
                      <w:rFonts w:cs="Times New Roman"/>
                      <w:color w:val="auto"/>
                    </w:rPr>
                    <w:t>万kWh/年</w:t>
                  </w:r>
                </w:p>
              </w:tc>
              <w:tc>
                <w:tcPr>
                  <w:tcW w:w="1138" w:type="pct"/>
                  <w:vAlign w:val="center"/>
                </w:tcPr>
                <w:p>
                  <w:pPr>
                    <w:jc w:val="center"/>
                    <w:rPr>
                      <w:color w:val="auto"/>
                      <w:szCs w:val="21"/>
                    </w:rPr>
                  </w:pPr>
                  <w:r>
                    <w:rPr>
                      <w:color w:val="auto"/>
                      <w:szCs w:val="21"/>
                    </w:rPr>
                    <w:t>市政电网提供</w:t>
                  </w:r>
                </w:p>
              </w:tc>
            </w:tr>
            <w:tr>
              <w:tblPrEx>
                <w:tblW w:w="4873" w:type="pct"/>
                <w:jc w:val="center"/>
                <w:tblInd w:w="108" w:type="dxa"/>
                <w:tblLayout w:type="fixed"/>
                <w:tblCellMar>
                  <w:top w:w="0" w:type="dxa"/>
                  <w:left w:w="108" w:type="dxa"/>
                  <w:bottom w:w="0" w:type="dxa"/>
                  <w:right w:w="108" w:type="dxa"/>
                </w:tblCellMar>
                <w:tblLook w:val="0000"/>
              </w:tblPrEx>
              <w:trPr>
                <w:trHeight w:hRule="exact" w:val="890"/>
                <w:jc w:val="center"/>
              </w:trPr>
              <w:tc>
                <w:tcPr>
                  <w:tcW w:w="634" w:type="pct"/>
                  <w:vMerge w:val="restart"/>
                  <w:vAlign w:val="center"/>
                </w:tcPr>
                <w:p>
                  <w:pPr>
                    <w:pStyle w:val="a12"/>
                    <w:rPr>
                      <w:rFonts w:cs="Times New Roman"/>
                      <w:color w:val="auto"/>
                      <w:kern w:val="0"/>
                    </w:rPr>
                  </w:pPr>
                  <w:r>
                    <w:rPr>
                      <w:rFonts w:cs="Times New Roman"/>
                      <w:color w:val="auto"/>
                      <w:kern w:val="0"/>
                    </w:rPr>
                    <w:t>环保</w:t>
                  </w:r>
                </w:p>
                <w:p>
                  <w:pPr>
                    <w:pStyle w:val="a12"/>
                    <w:rPr>
                      <w:rFonts w:cs="Times New Roman"/>
                      <w:color w:val="auto"/>
                    </w:rPr>
                  </w:pPr>
                  <w:r>
                    <w:rPr>
                      <w:rFonts w:cs="Times New Roman"/>
                      <w:color w:val="auto"/>
                      <w:kern w:val="0"/>
                    </w:rPr>
                    <w:t>工程</w:t>
                  </w:r>
                </w:p>
              </w:tc>
              <w:tc>
                <w:tcPr>
                  <w:tcW w:w="406" w:type="pct"/>
                  <w:vMerge w:val="restart"/>
                  <w:vAlign w:val="center"/>
                </w:tcPr>
                <w:p>
                  <w:pPr>
                    <w:pStyle w:val="a12"/>
                    <w:rPr>
                      <w:rFonts w:cs="Times New Roman"/>
                      <w:color w:val="auto"/>
                      <w:kern w:val="0"/>
                    </w:rPr>
                  </w:pPr>
                  <w:r>
                    <w:rPr>
                      <w:rFonts w:cs="Times New Roman"/>
                      <w:color w:val="auto"/>
                      <w:kern w:val="0"/>
                    </w:rPr>
                    <w:t>废气处理</w:t>
                  </w:r>
                </w:p>
              </w:tc>
              <w:tc>
                <w:tcPr>
                  <w:tcW w:w="682" w:type="pct"/>
                  <w:vAlign w:val="center"/>
                </w:tcPr>
                <w:p>
                  <w:pPr>
                    <w:pStyle w:val="a12"/>
                    <w:rPr>
                      <w:rFonts w:eastAsia="宋体" w:cs="Times New Roman" w:hint="eastAsia"/>
                      <w:color w:val="auto"/>
                      <w:kern w:val="0"/>
                      <w:lang w:eastAsia="zh-CN"/>
                    </w:rPr>
                  </w:pPr>
                  <w:r>
                    <w:rPr>
                      <w:rFonts w:eastAsia="宋体" w:cs="Times New Roman" w:hint="eastAsia"/>
                      <w:color w:val="auto"/>
                      <w:kern w:val="0"/>
                      <w:lang w:eastAsia="zh-CN"/>
                    </w:rPr>
                    <w:t>振动筛选废气</w:t>
                  </w:r>
                </w:p>
              </w:tc>
              <w:tc>
                <w:tcPr>
                  <w:tcW w:w="802" w:type="pct"/>
                  <w:vAlign w:val="center"/>
                </w:tcPr>
                <w:p>
                  <w:pPr>
                    <w:pStyle w:val="20"/>
                    <w:spacing w:line="240" w:lineRule="auto"/>
                    <w:jc w:val="center"/>
                    <w:rPr>
                      <w:rFonts w:ascii="Times New Roman" w:eastAsia="宋体" w:hAnsi="Times New Roman" w:hint="default"/>
                      <w:b w:val="0"/>
                      <w:color w:val="auto"/>
                      <w:sz w:val="21"/>
                      <w:szCs w:val="21"/>
                      <w:lang w:val="en-US" w:eastAsia="zh-CN"/>
                    </w:rPr>
                  </w:pPr>
                  <w:r>
                    <w:rPr>
                      <w:rFonts w:ascii="Times New Roman" w:eastAsia="宋体" w:hAnsi="Times New Roman" w:hint="eastAsia"/>
                      <w:b w:val="0"/>
                      <w:color w:val="auto"/>
                      <w:sz w:val="21"/>
                      <w:szCs w:val="21"/>
                      <w:lang w:val="en-US" w:eastAsia="zh-CN"/>
                    </w:rPr>
                    <w:t>布袋除尘器+15米高排气筒</w:t>
                  </w:r>
                </w:p>
              </w:tc>
              <w:tc>
                <w:tcPr>
                  <w:tcW w:w="718" w:type="pct"/>
                  <w:vAlign w:val="center"/>
                </w:tcPr>
                <w:p>
                  <w:pPr>
                    <w:pStyle w:val="20"/>
                    <w:spacing w:line="240" w:lineRule="auto"/>
                    <w:jc w:val="center"/>
                    <w:rPr>
                      <w:rFonts w:ascii="Times New Roman" w:eastAsia="宋体" w:hAnsi="Times New Roman" w:hint="default"/>
                      <w:b w:val="0"/>
                      <w:color w:val="auto"/>
                      <w:sz w:val="21"/>
                      <w:szCs w:val="21"/>
                      <w:lang w:val="en-US" w:eastAsia="zh-CN"/>
                    </w:rPr>
                  </w:pPr>
                  <w:r>
                    <w:rPr>
                      <w:rFonts w:ascii="Times New Roman" w:eastAsia="宋体" w:hAnsi="Times New Roman" w:hint="eastAsia"/>
                      <w:b w:val="0"/>
                      <w:color w:val="auto"/>
                      <w:sz w:val="21"/>
                      <w:szCs w:val="21"/>
                      <w:lang w:val="en-US" w:eastAsia="zh-CN"/>
                    </w:rPr>
                    <w:t>/</w:t>
                  </w:r>
                </w:p>
              </w:tc>
              <w:tc>
                <w:tcPr>
                  <w:tcW w:w="616" w:type="pct"/>
                  <w:vAlign w:val="center"/>
                </w:tcPr>
                <w:p>
                  <w:pPr>
                    <w:pStyle w:val="20"/>
                    <w:spacing w:line="240" w:lineRule="auto"/>
                    <w:jc w:val="center"/>
                    <w:rPr>
                      <w:rFonts w:ascii="Times New Roman" w:eastAsia="宋体" w:hAnsi="Times New Roman" w:hint="default"/>
                      <w:b w:val="0"/>
                      <w:color w:val="auto"/>
                      <w:sz w:val="21"/>
                      <w:szCs w:val="21"/>
                      <w:lang w:val="en-US" w:eastAsia="zh-CN"/>
                    </w:rPr>
                  </w:pPr>
                  <w:r>
                    <w:rPr>
                      <w:rFonts w:ascii="Times New Roman" w:eastAsia="宋体" w:hAnsi="Times New Roman" w:hint="eastAsia"/>
                      <w:b w:val="0"/>
                      <w:color w:val="auto"/>
                      <w:sz w:val="21"/>
                      <w:szCs w:val="21"/>
                      <w:lang w:val="en-US" w:eastAsia="zh-CN"/>
                    </w:rPr>
                    <w:t>取消布袋除尘器和排气筒</w:t>
                  </w:r>
                </w:p>
              </w:tc>
              <w:tc>
                <w:tcPr>
                  <w:tcW w:w="1138" w:type="pct"/>
                  <w:vAlign w:val="center"/>
                </w:tcPr>
                <w:p>
                  <w:pPr>
                    <w:jc w:val="center"/>
                    <w:rPr>
                      <w:rFonts w:eastAsia="宋体" w:hint="eastAsia"/>
                      <w:color w:val="auto"/>
                      <w:szCs w:val="21"/>
                    </w:rPr>
                  </w:pPr>
                  <w:r>
                    <w:rPr>
                      <w:rFonts w:eastAsia="宋体" w:hint="eastAsia"/>
                      <w:color w:val="auto"/>
                      <w:szCs w:val="21"/>
                      <w:lang w:eastAsia="zh-CN"/>
                    </w:rPr>
                    <w:t>已取消筛选工序，无筛选粉尘产生</w:t>
                  </w:r>
                </w:p>
              </w:tc>
            </w:tr>
            <w:tr>
              <w:tblPrEx>
                <w:tblW w:w="4873" w:type="pct"/>
                <w:jc w:val="center"/>
                <w:tblInd w:w="108" w:type="dxa"/>
                <w:tblLayout w:type="fixed"/>
                <w:tblCellMar>
                  <w:top w:w="0" w:type="dxa"/>
                  <w:left w:w="108" w:type="dxa"/>
                  <w:bottom w:w="0" w:type="dxa"/>
                  <w:right w:w="108" w:type="dxa"/>
                </w:tblCellMar>
                <w:tblLook w:val="0000"/>
              </w:tblPrEx>
              <w:trPr>
                <w:trHeight w:hRule="exact" w:val="935"/>
                <w:jc w:val="center"/>
              </w:trPr>
              <w:tc>
                <w:tcPr>
                  <w:tcW w:w="634" w:type="pct"/>
                  <w:vMerge/>
                  <w:vAlign w:val="center"/>
                </w:tcPr>
                <w:p>
                  <w:pPr>
                    <w:pStyle w:val="a12"/>
                    <w:rPr>
                      <w:rFonts w:cs="Times New Roman"/>
                      <w:color w:val="auto"/>
                      <w:kern w:val="0"/>
                    </w:rPr>
                  </w:pPr>
                </w:p>
              </w:tc>
              <w:tc>
                <w:tcPr>
                  <w:tcW w:w="406" w:type="pct"/>
                  <w:vMerge/>
                  <w:vAlign w:val="center"/>
                </w:tcPr>
                <w:p>
                  <w:pPr>
                    <w:pStyle w:val="a12"/>
                    <w:rPr>
                      <w:rFonts w:cs="Times New Roman"/>
                      <w:color w:val="auto"/>
                      <w:kern w:val="0"/>
                    </w:rPr>
                  </w:pPr>
                </w:p>
              </w:tc>
              <w:tc>
                <w:tcPr>
                  <w:tcW w:w="682" w:type="pct"/>
                  <w:vAlign w:val="center"/>
                </w:tcPr>
                <w:p>
                  <w:pPr>
                    <w:pStyle w:val="a12"/>
                    <w:rPr>
                      <w:rFonts w:eastAsia="宋体" w:cs="Times New Roman" w:hint="eastAsia"/>
                      <w:color w:val="auto"/>
                      <w:kern w:val="0"/>
                      <w:lang w:eastAsia="zh-CN"/>
                    </w:rPr>
                  </w:pPr>
                  <w:r>
                    <w:rPr>
                      <w:rFonts w:eastAsia="宋体" w:cs="Times New Roman" w:hint="eastAsia"/>
                      <w:color w:val="auto"/>
                      <w:kern w:val="0"/>
                      <w:lang w:eastAsia="zh-CN"/>
                    </w:rPr>
                    <w:t>生物质燃烧废气</w:t>
                  </w:r>
                </w:p>
              </w:tc>
              <w:tc>
                <w:tcPr>
                  <w:tcW w:w="802" w:type="pct"/>
                  <w:vAlign w:val="center"/>
                </w:tcPr>
                <w:p>
                  <w:pPr>
                    <w:pStyle w:val="20"/>
                    <w:spacing w:line="240" w:lineRule="auto"/>
                    <w:jc w:val="center"/>
                    <w:rPr>
                      <w:rFonts w:ascii="Times New Roman" w:eastAsia="宋体" w:hAnsi="Times New Roman" w:hint="default"/>
                      <w:b w:val="0"/>
                      <w:color w:val="auto"/>
                      <w:sz w:val="21"/>
                      <w:szCs w:val="21"/>
                      <w:lang w:val="en-US" w:eastAsia="zh-CN"/>
                    </w:rPr>
                  </w:pPr>
                  <w:r>
                    <w:rPr>
                      <w:rFonts w:ascii="Times New Roman" w:eastAsia="宋体" w:hAnsi="Times New Roman" w:hint="eastAsia"/>
                      <w:b w:val="0"/>
                      <w:color w:val="auto"/>
                      <w:sz w:val="21"/>
                      <w:szCs w:val="21"/>
                      <w:lang w:val="en-US" w:eastAsia="zh-CN"/>
                    </w:rPr>
                    <w:t>水膜除尘器+15米高排气筒</w:t>
                  </w:r>
                </w:p>
              </w:tc>
              <w:tc>
                <w:tcPr>
                  <w:tcW w:w="718" w:type="pct"/>
                  <w:vAlign w:val="center"/>
                </w:tcPr>
                <w:p>
                  <w:pPr>
                    <w:pStyle w:val="20"/>
                    <w:spacing w:line="240" w:lineRule="auto"/>
                    <w:jc w:val="center"/>
                    <w:rPr>
                      <w:rFonts w:ascii="Times New Roman" w:eastAsia="宋体" w:hAnsi="Times New Roman" w:hint="default"/>
                      <w:b w:val="0"/>
                      <w:color w:val="auto"/>
                      <w:sz w:val="21"/>
                      <w:szCs w:val="21"/>
                      <w:lang w:val="en-US" w:eastAsia="zh-CN"/>
                    </w:rPr>
                  </w:pPr>
                  <w:r>
                    <w:rPr>
                      <w:rFonts w:ascii="Times New Roman" w:eastAsia="宋体" w:hAnsi="Times New Roman" w:hint="eastAsia"/>
                      <w:b w:val="0"/>
                      <w:color w:val="auto"/>
                      <w:sz w:val="21"/>
                      <w:szCs w:val="21"/>
                      <w:lang w:val="en-US" w:eastAsia="zh-CN"/>
                    </w:rPr>
                    <w:t>/</w:t>
                  </w:r>
                </w:p>
              </w:tc>
              <w:tc>
                <w:tcPr>
                  <w:tcW w:w="616" w:type="pct"/>
                  <w:vAlign w:val="center"/>
                </w:tcPr>
                <w:p>
                  <w:pPr>
                    <w:pStyle w:val="20"/>
                    <w:spacing w:line="240" w:lineRule="auto"/>
                    <w:jc w:val="center"/>
                    <w:rPr>
                      <w:rFonts w:ascii="Times New Roman" w:eastAsia="宋体" w:hAnsi="Times New Roman" w:hint="default"/>
                      <w:b w:val="0"/>
                      <w:color w:val="auto"/>
                      <w:sz w:val="21"/>
                      <w:szCs w:val="21"/>
                      <w:lang w:val="en-US" w:eastAsia="zh-CN"/>
                    </w:rPr>
                  </w:pPr>
                  <w:r>
                    <w:rPr>
                      <w:rFonts w:ascii="Times New Roman" w:eastAsia="宋体" w:hAnsi="Times New Roman" w:hint="eastAsia"/>
                      <w:b w:val="0"/>
                      <w:color w:val="auto"/>
                      <w:sz w:val="21"/>
                      <w:szCs w:val="21"/>
                      <w:lang w:val="en-US" w:eastAsia="zh-CN"/>
                    </w:rPr>
                    <w:t>取消水膜除尘器</w:t>
                  </w:r>
                </w:p>
              </w:tc>
              <w:tc>
                <w:tcPr>
                  <w:tcW w:w="1138" w:type="pct"/>
                  <w:vAlign w:val="center"/>
                </w:tcPr>
                <w:p>
                  <w:pPr>
                    <w:jc w:val="center"/>
                    <w:rPr>
                      <w:rFonts w:eastAsia="宋体" w:hint="eastAsia"/>
                      <w:color w:val="auto"/>
                      <w:szCs w:val="21"/>
                    </w:rPr>
                  </w:pPr>
                  <w:r>
                    <w:rPr>
                      <w:rFonts w:ascii="Times New Roman" w:eastAsia="宋体" w:hAnsi="Times New Roman" w:hint="eastAsia"/>
                      <w:b w:val="0"/>
                      <w:color w:val="auto"/>
                      <w:sz w:val="21"/>
                      <w:szCs w:val="21"/>
                      <w:lang w:val="en-US" w:eastAsia="zh-CN"/>
                    </w:rPr>
                    <w:t>已取消生物质烘干炉</w:t>
                  </w:r>
                </w:p>
              </w:tc>
            </w:tr>
            <w:tr>
              <w:tblPrEx>
                <w:tblW w:w="4873" w:type="pct"/>
                <w:jc w:val="center"/>
                <w:tblInd w:w="108" w:type="dxa"/>
                <w:tblLayout w:type="fixed"/>
                <w:tblCellMar>
                  <w:top w:w="0" w:type="dxa"/>
                  <w:left w:w="108" w:type="dxa"/>
                  <w:bottom w:w="0" w:type="dxa"/>
                  <w:right w:w="108" w:type="dxa"/>
                </w:tblCellMar>
                <w:tblLook w:val="0000"/>
              </w:tblPrEx>
              <w:trPr>
                <w:trHeight w:hRule="exact" w:val="853"/>
                <w:jc w:val="center"/>
              </w:trPr>
              <w:tc>
                <w:tcPr>
                  <w:tcW w:w="634" w:type="pct"/>
                  <w:vMerge/>
                  <w:vAlign w:val="center"/>
                </w:tcPr>
                <w:p>
                  <w:pPr>
                    <w:pStyle w:val="a12"/>
                    <w:rPr>
                      <w:rFonts w:cs="Times New Roman"/>
                      <w:color w:val="auto"/>
                      <w:kern w:val="0"/>
                    </w:rPr>
                  </w:pPr>
                </w:p>
              </w:tc>
              <w:tc>
                <w:tcPr>
                  <w:tcW w:w="406" w:type="pct"/>
                  <w:vMerge/>
                  <w:vAlign w:val="center"/>
                </w:tcPr>
                <w:p>
                  <w:pPr>
                    <w:pStyle w:val="a12"/>
                    <w:rPr>
                      <w:rFonts w:cs="Times New Roman"/>
                      <w:color w:val="auto"/>
                      <w:kern w:val="0"/>
                    </w:rPr>
                  </w:pPr>
                </w:p>
              </w:tc>
              <w:tc>
                <w:tcPr>
                  <w:tcW w:w="682" w:type="pct"/>
                  <w:vAlign w:val="center"/>
                </w:tcPr>
                <w:p>
                  <w:pPr>
                    <w:pStyle w:val="a12"/>
                    <w:rPr>
                      <w:rFonts w:eastAsia="宋体" w:cs="Times New Roman" w:hint="eastAsia"/>
                      <w:color w:val="auto"/>
                      <w:kern w:val="0"/>
                      <w:lang w:val="en-US" w:eastAsia="zh-CN"/>
                    </w:rPr>
                  </w:pPr>
                  <w:r>
                    <w:rPr>
                      <w:rFonts w:eastAsia="宋体" w:cs="Times New Roman" w:hint="eastAsia"/>
                      <w:color w:val="auto"/>
                      <w:kern w:val="0"/>
                      <w:lang w:val="en-US" w:eastAsia="zh-CN"/>
                    </w:rPr>
                    <w:t>天然气锅炉燃烧废气</w:t>
                  </w:r>
                </w:p>
              </w:tc>
              <w:tc>
                <w:tcPr>
                  <w:tcW w:w="802" w:type="pct"/>
                  <w:vAlign w:val="center"/>
                </w:tcPr>
                <w:p>
                  <w:pPr>
                    <w:pStyle w:val="20"/>
                    <w:spacing w:line="240" w:lineRule="auto"/>
                    <w:jc w:val="center"/>
                    <w:rPr>
                      <w:rFonts w:ascii="Times New Roman" w:eastAsia="宋体" w:hAnsi="Times New Roman" w:hint="default"/>
                      <w:b w:val="0"/>
                      <w:color w:val="auto"/>
                      <w:sz w:val="21"/>
                      <w:szCs w:val="21"/>
                      <w:lang w:val="en-US" w:eastAsia="zh-CN"/>
                    </w:rPr>
                  </w:pPr>
                  <w:r>
                    <w:rPr>
                      <w:rFonts w:ascii="Times New Roman" w:eastAsia="宋体" w:hAnsi="Times New Roman" w:hint="eastAsia"/>
                      <w:b w:val="0"/>
                      <w:color w:val="auto"/>
                      <w:sz w:val="21"/>
                      <w:szCs w:val="21"/>
                      <w:lang w:val="en-US" w:eastAsia="zh-CN"/>
                    </w:rPr>
                    <w:t>/</w:t>
                  </w:r>
                </w:p>
              </w:tc>
              <w:tc>
                <w:tcPr>
                  <w:tcW w:w="718" w:type="pct"/>
                  <w:vAlign w:val="center"/>
                </w:tcPr>
                <w:p>
                  <w:pPr>
                    <w:pStyle w:val="20"/>
                    <w:spacing w:line="240" w:lineRule="auto"/>
                    <w:jc w:val="center"/>
                    <w:rPr>
                      <w:rFonts w:ascii="Times New Roman" w:eastAsia="宋体" w:hAnsi="Times New Roman" w:hint="default"/>
                      <w:b w:val="0"/>
                      <w:color w:val="auto"/>
                      <w:sz w:val="21"/>
                      <w:szCs w:val="21"/>
                      <w:lang w:val="en-US" w:eastAsia="zh-CN"/>
                    </w:rPr>
                  </w:pPr>
                  <w:r>
                    <w:rPr>
                      <w:rFonts w:ascii="Times New Roman" w:eastAsia="宋体" w:hAnsi="Times New Roman" w:hint="eastAsia"/>
                      <w:b w:val="0"/>
                      <w:color w:val="auto"/>
                      <w:sz w:val="21"/>
                      <w:szCs w:val="21"/>
                      <w:lang w:val="en-US" w:eastAsia="zh-CN"/>
                    </w:rPr>
                    <w:t>8米高排气筒</w:t>
                  </w:r>
                </w:p>
              </w:tc>
              <w:tc>
                <w:tcPr>
                  <w:tcW w:w="616" w:type="pct"/>
                  <w:vAlign w:val="center"/>
                </w:tcPr>
                <w:p>
                  <w:pPr>
                    <w:pStyle w:val="20"/>
                    <w:spacing w:line="240" w:lineRule="auto"/>
                    <w:jc w:val="center"/>
                    <w:rPr>
                      <w:rFonts w:ascii="Times New Roman" w:eastAsia="宋体" w:hAnsi="Times New Roman" w:hint="default"/>
                      <w:b w:val="0"/>
                      <w:color w:val="auto"/>
                      <w:sz w:val="21"/>
                      <w:szCs w:val="21"/>
                      <w:lang w:val="en-US" w:eastAsia="zh-CN"/>
                    </w:rPr>
                  </w:pPr>
                  <w:r>
                    <w:rPr>
                      <w:rFonts w:ascii="Times New Roman" w:eastAsia="宋体" w:hAnsi="Times New Roman" w:hint="eastAsia"/>
                      <w:b w:val="0"/>
                      <w:color w:val="auto"/>
                      <w:sz w:val="21"/>
                      <w:szCs w:val="21"/>
                      <w:lang w:val="en-US" w:eastAsia="zh-CN"/>
                    </w:rPr>
                    <w:t>新增排气筒</w:t>
                  </w:r>
                </w:p>
              </w:tc>
              <w:tc>
                <w:tcPr>
                  <w:tcW w:w="1138" w:type="pct"/>
                  <w:vAlign w:val="center"/>
                </w:tcPr>
                <w:p>
                  <w:pPr>
                    <w:jc w:val="center"/>
                    <w:rPr>
                      <w:rFonts w:eastAsia="宋体" w:hint="eastAsia"/>
                      <w:color w:val="auto"/>
                      <w:szCs w:val="21"/>
                    </w:rPr>
                  </w:pPr>
                  <w:r>
                    <w:rPr>
                      <w:rFonts w:hint="eastAsia"/>
                      <w:color w:val="auto"/>
                      <w:szCs w:val="21"/>
                      <w:lang w:val="en-US" w:eastAsia="zh-CN"/>
                    </w:rPr>
                    <w:t>/</w:t>
                  </w:r>
                </w:p>
              </w:tc>
            </w:tr>
            <w:tr>
              <w:tblPrEx>
                <w:tblW w:w="4873" w:type="pct"/>
                <w:jc w:val="center"/>
                <w:tblInd w:w="108" w:type="dxa"/>
                <w:tblLayout w:type="fixed"/>
                <w:tblCellMar>
                  <w:top w:w="0" w:type="dxa"/>
                  <w:left w:w="108" w:type="dxa"/>
                  <w:bottom w:w="0" w:type="dxa"/>
                  <w:right w:w="108" w:type="dxa"/>
                </w:tblCellMar>
                <w:tblLook w:val="0000"/>
              </w:tblPrEx>
              <w:trPr>
                <w:trHeight w:hRule="exact" w:val="456"/>
                <w:jc w:val="center"/>
              </w:trPr>
              <w:tc>
                <w:tcPr>
                  <w:tcW w:w="634" w:type="pct"/>
                  <w:vMerge/>
                  <w:vAlign w:val="center"/>
                </w:tcPr>
                <w:p>
                  <w:pPr>
                    <w:pStyle w:val="a12"/>
                    <w:rPr>
                      <w:rFonts w:cs="Times New Roman"/>
                      <w:color w:val="auto"/>
                      <w:kern w:val="0"/>
                    </w:rPr>
                  </w:pPr>
                </w:p>
              </w:tc>
              <w:tc>
                <w:tcPr>
                  <w:tcW w:w="406" w:type="pct"/>
                  <w:vMerge w:val="restart"/>
                  <w:vAlign w:val="center"/>
                </w:tcPr>
                <w:p>
                  <w:pPr>
                    <w:pStyle w:val="a12"/>
                    <w:rPr>
                      <w:rFonts w:cs="Times New Roman"/>
                      <w:color w:val="auto"/>
                      <w:kern w:val="0"/>
                    </w:rPr>
                  </w:pPr>
                  <w:r>
                    <w:rPr>
                      <w:rFonts w:cs="Times New Roman"/>
                      <w:color w:val="auto"/>
                      <w:kern w:val="0"/>
                    </w:rPr>
                    <w:t>废水处理</w:t>
                  </w:r>
                </w:p>
              </w:tc>
              <w:tc>
                <w:tcPr>
                  <w:tcW w:w="682" w:type="pct"/>
                  <w:vAlign w:val="center"/>
                </w:tcPr>
                <w:p>
                  <w:pPr>
                    <w:pStyle w:val="a12"/>
                    <w:rPr>
                      <w:rFonts w:eastAsia="宋体" w:cs="Times New Roman" w:hint="eastAsia"/>
                      <w:color w:val="auto"/>
                      <w:kern w:val="0"/>
                      <w:lang w:eastAsia="zh-CN"/>
                    </w:rPr>
                  </w:pPr>
                  <w:r>
                    <w:rPr>
                      <w:rFonts w:cs="Times New Roman" w:hint="eastAsia"/>
                      <w:color w:val="auto"/>
                      <w:kern w:val="0"/>
                      <w:lang w:eastAsia="zh-CN"/>
                    </w:rPr>
                    <w:t>生活污水</w:t>
                  </w:r>
                </w:p>
              </w:tc>
              <w:tc>
                <w:tcPr>
                  <w:tcW w:w="802" w:type="pct"/>
                  <w:vAlign w:val="center"/>
                </w:tcPr>
                <w:p>
                  <w:pPr>
                    <w:jc w:val="center"/>
                    <w:rPr>
                      <w:color w:val="auto"/>
                      <w:kern w:val="0"/>
                      <w:szCs w:val="21"/>
                    </w:rPr>
                  </w:pPr>
                  <w:r>
                    <w:rPr>
                      <w:color w:val="auto"/>
                      <w:kern w:val="0"/>
                      <w:szCs w:val="21"/>
                    </w:rPr>
                    <w:t>化粪池</w:t>
                  </w:r>
                </w:p>
              </w:tc>
              <w:tc>
                <w:tcPr>
                  <w:tcW w:w="718" w:type="pct"/>
                  <w:vAlign w:val="center"/>
                </w:tcPr>
                <w:p>
                  <w:pPr>
                    <w:jc w:val="center"/>
                    <w:rPr>
                      <w:rFonts w:eastAsia="宋体" w:hint="eastAsia"/>
                      <w:color w:val="auto"/>
                      <w:kern w:val="0"/>
                      <w:szCs w:val="21"/>
                    </w:rPr>
                  </w:pPr>
                  <w:r>
                    <w:rPr>
                      <w:rFonts w:hint="eastAsia"/>
                      <w:color w:val="auto"/>
                      <w:kern w:val="0"/>
                      <w:szCs w:val="21"/>
                      <w:lang w:eastAsia="zh-CN"/>
                    </w:rPr>
                    <w:t>化粪池</w:t>
                  </w:r>
                </w:p>
              </w:tc>
              <w:tc>
                <w:tcPr>
                  <w:tcW w:w="616" w:type="pct"/>
                  <w:vAlign w:val="center"/>
                </w:tcPr>
                <w:p>
                  <w:pPr>
                    <w:jc w:val="center"/>
                    <w:rPr>
                      <w:rFonts w:eastAsia="宋体" w:hint="eastAsia"/>
                      <w:color w:val="auto"/>
                      <w:kern w:val="0"/>
                      <w:szCs w:val="21"/>
                    </w:rPr>
                  </w:pPr>
                  <w:r>
                    <w:rPr>
                      <w:rFonts w:hint="eastAsia"/>
                      <w:color w:val="auto"/>
                      <w:kern w:val="0"/>
                      <w:szCs w:val="21"/>
                      <w:lang w:val="en-US" w:eastAsia="zh-CN"/>
                    </w:rPr>
                    <w:t>/</w:t>
                  </w:r>
                </w:p>
              </w:tc>
              <w:tc>
                <w:tcPr>
                  <w:tcW w:w="1138" w:type="pct"/>
                  <w:vMerge w:val="restart"/>
                  <w:vAlign w:val="center"/>
                </w:tcPr>
                <w:p>
                  <w:pPr>
                    <w:jc w:val="center"/>
                    <w:rPr>
                      <w:rFonts w:eastAsia="宋体" w:hint="eastAsia"/>
                      <w:color w:val="auto"/>
                      <w:szCs w:val="21"/>
                    </w:rPr>
                  </w:pPr>
                  <w:r>
                    <w:rPr>
                      <w:rFonts w:hint="eastAsia"/>
                      <w:color w:val="auto"/>
                      <w:szCs w:val="21"/>
                      <w:lang w:eastAsia="zh-CN"/>
                    </w:rPr>
                    <w:t>污水接管至高邮市珠光污水处理厂处理</w:t>
                  </w:r>
                </w:p>
              </w:tc>
            </w:tr>
            <w:tr>
              <w:tblPrEx>
                <w:tblW w:w="4873" w:type="pct"/>
                <w:jc w:val="center"/>
                <w:tblInd w:w="108" w:type="dxa"/>
                <w:tblLayout w:type="fixed"/>
                <w:tblCellMar>
                  <w:top w:w="0" w:type="dxa"/>
                  <w:left w:w="108" w:type="dxa"/>
                  <w:bottom w:w="0" w:type="dxa"/>
                  <w:right w:w="108" w:type="dxa"/>
                </w:tblCellMar>
                <w:tblLook w:val="0000"/>
              </w:tblPrEx>
              <w:trPr>
                <w:trHeight w:hRule="exact" w:val="623"/>
                <w:jc w:val="center"/>
              </w:trPr>
              <w:tc>
                <w:tcPr>
                  <w:tcW w:w="634" w:type="pct"/>
                  <w:vMerge/>
                  <w:vAlign w:val="center"/>
                </w:tcPr>
                <w:p>
                  <w:pPr>
                    <w:pStyle w:val="a12"/>
                    <w:rPr>
                      <w:rFonts w:cs="Times New Roman"/>
                      <w:color w:val="auto"/>
                      <w:kern w:val="0"/>
                    </w:rPr>
                  </w:pPr>
                </w:p>
              </w:tc>
              <w:tc>
                <w:tcPr>
                  <w:tcW w:w="406" w:type="pct"/>
                  <w:vMerge/>
                  <w:vAlign w:val="center"/>
                </w:tcPr>
                <w:p>
                  <w:pPr>
                    <w:pStyle w:val="a12"/>
                    <w:rPr>
                      <w:rFonts w:cs="Times New Roman"/>
                      <w:color w:val="auto"/>
                      <w:kern w:val="0"/>
                    </w:rPr>
                  </w:pPr>
                </w:p>
              </w:tc>
              <w:tc>
                <w:tcPr>
                  <w:tcW w:w="682" w:type="pct"/>
                  <w:vAlign w:val="center"/>
                </w:tcPr>
                <w:p>
                  <w:pPr>
                    <w:pStyle w:val="a12"/>
                    <w:rPr>
                      <w:rFonts w:eastAsia="宋体" w:cs="Times New Roman" w:hint="eastAsia"/>
                      <w:color w:val="auto"/>
                      <w:kern w:val="0"/>
                      <w:lang w:eastAsia="zh-CN"/>
                    </w:rPr>
                  </w:pPr>
                  <w:r>
                    <w:rPr>
                      <w:rFonts w:cs="Times New Roman" w:hint="eastAsia"/>
                      <w:color w:val="auto"/>
                      <w:kern w:val="0"/>
                      <w:lang w:eastAsia="zh-CN"/>
                    </w:rPr>
                    <w:t>生产废水</w:t>
                  </w:r>
                </w:p>
              </w:tc>
              <w:tc>
                <w:tcPr>
                  <w:tcW w:w="802" w:type="pct"/>
                  <w:vAlign w:val="center"/>
                </w:tcPr>
                <w:p>
                  <w:pPr>
                    <w:jc w:val="center"/>
                    <w:rPr>
                      <w:rFonts w:eastAsia="宋体" w:hint="eastAsia"/>
                      <w:color w:val="auto"/>
                      <w:kern w:val="0"/>
                      <w:szCs w:val="21"/>
                    </w:rPr>
                  </w:pPr>
                  <w:r>
                    <w:rPr>
                      <w:rFonts w:hint="eastAsia"/>
                      <w:color w:val="auto"/>
                      <w:kern w:val="0"/>
                      <w:szCs w:val="21"/>
                      <w:lang w:val="en-US" w:eastAsia="zh-CN"/>
                    </w:rPr>
                    <w:t>/</w:t>
                  </w:r>
                </w:p>
              </w:tc>
              <w:tc>
                <w:tcPr>
                  <w:tcW w:w="718" w:type="pct"/>
                  <w:vAlign w:val="center"/>
                </w:tcPr>
                <w:p>
                  <w:pPr>
                    <w:jc w:val="center"/>
                    <w:rPr>
                      <w:rFonts w:eastAsia="宋体" w:hint="eastAsia"/>
                      <w:color w:val="auto"/>
                      <w:kern w:val="0"/>
                      <w:szCs w:val="21"/>
                    </w:rPr>
                  </w:pPr>
                  <w:r>
                    <w:rPr>
                      <w:rFonts w:hint="eastAsia"/>
                      <w:color w:val="auto"/>
                      <w:kern w:val="0"/>
                      <w:szCs w:val="21"/>
                      <w:lang w:eastAsia="zh-CN"/>
                    </w:rPr>
                    <w:t>污水处理站</w:t>
                  </w:r>
                </w:p>
              </w:tc>
              <w:tc>
                <w:tcPr>
                  <w:tcW w:w="616" w:type="pct"/>
                  <w:vAlign w:val="center"/>
                </w:tcPr>
                <w:p>
                  <w:pPr>
                    <w:jc w:val="center"/>
                    <w:rPr>
                      <w:rFonts w:eastAsia="宋体" w:hint="eastAsia"/>
                      <w:color w:val="auto"/>
                      <w:kern w:val="0"/>
                      <w:szCs w:val="21"/>
                    </w:rPr>
                  </w:pPr>
                  <w:r>
                    <w:rPr>
                      <w:rFonts w:hint="eastAsia"/>
                      <w:color w:val="auto"/>
                      <w:kern w:val="0"/>
                      <w:szCs w:val="21"/>
                      <w:lang w:eastAsia="zh-CN"/>
                    </w:rPr>
                    <w:t>新增污水处理站</w:t>
                  </w:r>
                </w:p>
              </w:tc>
              <w:tc>
                <w:tcPr>
                  <w:tcW w:w="1138" w:type="pct"/>
                  <w:vMerge/>
                  <w:vAlign w:val="center"/>
                </w:tcPr>
                <w:p>
                  <w:pPr>
                    <w:jc w:val="center"/>
                    <w:rPr>
                      <w:color w:val="auto"/>
                      <w:szCs w:val="21"/>
                    </w:rPr>
                  </w:pPr>
                </w:p>
              </w:tc>
            </w:tr>
            <w:tr>
              <w:tblPrEx>
                <w:tblW w:w="4873" w:type="pct"/>
                <w:jc w:val="center"/>
                <w:tblInd w:w="108" w:type="dxa"/>
                <w:tblLayout w:type="fixed"/>
                <w:tblCellMar>
                  <w:top w:w="0" w:type="dxa"/>
                  <w:left w:w="108" w:type="dxa"/>
                  <w:bottom w:w="0" w:type="dxa"/>
                  <w:right w:w="108" w:type="dxa"/>
                </w:tblCellMar>
                <w:tblLook w:val="0000"/>
              </w:tblPrEx>
              <w:trPr>
                <w:trHeight w:hRule="exact" w:val="619"/>
                <w:jc w:val="center"/>
              </w:trPr>
              <w:tc>
                <w:tcPr>
                  <w:tcW w:w="634" w:type="pct"/>
                  <w:vMerge/>
                  <w:vAlign w:val="center"/>
                </w:tcPr>
                <w:p>
                  <w:pPr>
                    <w:pStyle w:val="a12"/>
                    <w:rPr>
                      <w:rFonts w:cs="Times New Roman"/>
                      <w:color w:val="auto"/>
                      <w:kern w:val="0"/>
                    </w:rPr>
                  </w:pPr>
                </w:p>
              </w:tc>
              <w:tc>
                <w:tcPr>
                  <w:tcW w:w="1089" w:type="pct"/>
                  <w:gridSpan w:val="2"/>
                  <w:vAlign w:val="center"/>
                </w:tcPr>
                <w:p>
                  <w:pPr>
                    <w:pStyle w:val="a12"/>
                    <w:rPr>
                      <w:rFonts w:cs="Times New Roman"/>
                      <w:color w:val="auto"/>
                      <w:kern w:val="0"/>
                    </w:rPr>
                  </w:pPr>
                  <w:r>
                    <w:rPr>
                      <w:rFonts w:cs="Times New Roman"/>
                      <w:color w:val="auto"/>
                      <w:kern w:val="0"/>
                    </w:rPr>
                    <w:t>噪声治理</w:t>
                  </w:r>
                </w:p>
              </w:tc>
              <w:tc>
                <w:tcPr>
                  <w:tcW w:w="802" w:type="pct"/>
                  <w:vAlign w:val="center"/>
                </w:tcPr>
                <w:p>
                  <w:pPr>
                    <w:jc w:val="center"/>
                    <w:rPr>
                      <w:rFonts w:eastAsia="宋体" w:hint="eastAsia"/>
                      <w:color w:val="auto"/>
                      <w:kern w:val="0"/>
                      <w:szCs w:val="21"/>
                    </w:rPr>
                  </w:pPr>
                  <w:r>
                    <w:rPr>
                      <w:color w:val="auto"/>
                      <w:kern w:val="0"/>
                      <w:szCs w:val="21"/>
                    </w:rPr>
                    <w:t>减</w:t>
                  </w:r>
                  <w:r>
                    <w:rPr>
                      <w:rFonts w:hint="eastAsia"/>
                      <w:color w:val="auto"/>
                      <w:kern w:val="0"/>
                      <w:szCs w:val="21"/>
                      <w:lang w:eastAsia="zh-CN"/>
                    </w:rPr>
                    <w:t>振</w:t>
                  </w:r>
                  <w:r>
                    <w:rPr>
                      <w:color w:val="auto"/>
                      <w:kern w:val="0"/>
                      <w:szCs w:val="21"/>
                    </w:rPr>
                    <w:t>、隔声</w:t>
                  </w:r>
                  <w:r>
                    <w:rPr>
                      <w:rFonts w:hint="eastAsia"/>
                      <w:color w:val="auto"/>
                      <w:kern w:val="0"/>
                      <w:szCs w:val="21"/>
                      <w:lang w:eastAsia="zh-CN"/>
                    </w:rPr>
                    <w:t>措施</w:t>
                  </w:r>
                </w:p>
              </w:tc>
              <w:tc>
                <w:tcPr>
                  <w:tcW w:w="718" w:type="pct"/>
                  <w:vAlign w:val="center"/>
                </w:tcPr>
                <w:p>
                  <w:pPr>
                    <w:jc w:val="center"/>
                    <w:rPr>
                      <w:color w:val="auto"/>
                      <w:kern w:val="0"/>
                      <w:szCs w:val="21"/>
                    </w:rPr>
                  </w:pPr>
                  <w:r>
                    <w:rPr>
                      <w:color w:val="auto"/>
                      <w:kern w:val="0"/>
                      <w:szCs w:val="21"/>
                    </w:rPr>
                    <w:t>减</w:t>
                  </w:r>
                  <w:r>
                    <w:rPr>
                      <w:rFonts w:hint="eastAsia"/>
                      <w:color w:val="auto"/>
                      <w:kern w:val="0"/>
                      <w:szCs w:val="21"/>
                      <w:lang w:eastAsia="zh-CN"/>
                    </w:rPr>
                    <w:t>振</w:t>
                  </w:r>
                  <w:r>
                    <w:rPr>
                      <w:color w:val="auto"/>
                      <w:kern w:val="0"/>
                      <w:szCs w:val="21"/>
                    </w:rPr>
                    <w:t>、隔声</w:t>
                  </w:r>
                  <w:r>
                    <w:rPr>
                      <w:rFonts w:hint="eastAsia"/>
                      <w:color w:val="auto"/>
                      <w:kern w:val="0"/>
                      <w:szCs w:val="21"/>
                      <w:lang w:eastAsia="zh-CN"/>
                    </w:rPr>
                    <w:t>措施</w:t>
                  </w:r>
                </w:p>
              </w:tc>
              <w:tc>
                <w:tcPr>
                  <w:tcW w:w="616" w:type="pct"/>
                  <w:vAlign w:val="center"/>
                </w:tcPr>
                <w:p>
                  <w:pPr>
                    <w:jc w:val="center"/>
                    <w:rPr>
                      <w:rFonts w:eastAsia="宋体" w:hint="eastAsia"/>
                      <w:color w:val="auto"/>
                      <w:kern w:val="0"/>
                      <w:szCs w:val="21"/>
                    </w:rPr>
                  </w:pPr>
                  <w:r>
                    <w:rPr>
                      <w:rFonts w:hint="eastAsia"/>
                      <w:color w:val="auto"/>
                      <w:kern w:val="0"/>
                      <w:szCs w:val="21"/>
                      <w:lang w:val="en-US" w:eastAsia="zh-CN"/>
                    </w:rPr>
                    <w:t>/</w:t>
                  </w:r>
                </w:p>
              </w:tc>
              <w:tc>
                <w:tcPr>
                  <w:tcW w:w="1138" w:type="pct"/>
                  <w:vAlign w:val="center"/>
                </w:tcPr>
                <w:p>
                  <w:pPr>
                    <w:jc w:val="center"/>
                    <w:rPr>
                      <w:color w:val="auto"/>
                      <w:szCs w:val="21"/>
                    </w:rPr>
                  </w:pPr>
                  <w:r>
                    <w:rPr>
                      <w:color w:val="auto"/>
                      <w:szCs w:val="21"/>
                    </w:rPr>
                    <w:t>达标排放</w:t>
                  </w:r>
                </w:p>
              </w:tc>
            </w:tr>
            <w:tr>
              <w:tblPrEx>
                <w:tblW w:w="4873" w:type="pct"/>
                <w:jc w:val="center"/>
                <w:tblInd w:w="108" w:type="dxa"/>
                <w:tblLayout w:type="fixed"/>
                <w:tblCellMar>
                  <w:top w:w="0" w:type="dxa"/>
                  <w:left w:w="108" w:type="dxa"/>
                  <w:bottom w:w="0" w:type="dxa"/>
                  <w:right w:w="108" w:type="dxa"/>
                </w:tblCellMar>
                <w:tblLook w:val="0000"/>
              </w:tblPrEx>
              <w:trPr>
                <w:trHeight w:hRule="exact" w:val="595"/>
                <w:jc w:val="center"/>
              </w:trPr>
              <w:tc>
                <w:tcPr>
                  <w:tcW w:w="634" w:type="pct"/>
                  <w:vMerge/>
                  <w:vAlign w:val="center"/>
                </w:tcPr>
                <w:p>
                  <w:pPr>
                    <w:pStyle w:val="a12"/>
                    <w:rPr>
                      <w:rFonts w:cs="Times New Roman"/>
                      <w:color w:val="auto"/>
                      <w:kern w:val="0"/>
                    </w:rPr>
                  </w:pPr>
                </w:p>
              </w:tc>
              <w:tc>
                <w:tcPr>
                  <w:tcW w:w="406" w:type="pct"/>
                  <w:vAlign w:val="center"/>
                </w:tcPr>
                <w:p>
                  <w:pPr>
                    <w:pStyle w:val="a12"/>
                    <w:rPr>
                      <w:rFonts w:cs="Times New Roman"/>
                      <w:color w:val="auto"/>
                      <w:kern w:val="0"/>
                    </w:rPr>
                  </w:pPr>
                  <w:r>
                    <w:rPr>
                      <w:rFonts w:cs="Times New Roman"/>
                      <w:color w:val="auto"/>
                      <w:kern w:val="0"/>
                    </w:rPr>
                    <w:t>固废处理</w:t>
                  </w:r>
                </w:p>
              </w:tc>
              <w:tc>
                <w:tcPr>
                  <w:tcW w:w="682" w:type="pct"/>
                  <w:vAlign w:val="center"/>
                </w:tcPr>
                <w:p>
                  <w:pPr>
                    <w:pStyle w:val="a12"/>
                    <w:rPr>
                      <w:rFonts w:eastAsia="宋体" w:cs="Times New Roman" w:hint="eastAsia"/>
                      <w:color w:val="auto"/>
                      <w:kern w:val="0"/>
                      <w:lang w:eastAsia="zh-CN"/>
                    </w:rPr>
                  </w:pPr>
                  <w:r>
                    <w:rPr>
                      <w:rFonts w:eastAsia="宋体" w:cs="Times New Roman" w:hint="eastAsia"/>
                      <w:color w:val="auto"/>
                      <w:kern w:val="0"/>
                      <w:lang w:eastAsia="zh-CN"/>
                    </w:rPr>
                    <w:t>一般固废库</w:t>
                  </w:r>
                </w:p>
              </w:tc>
              <w:tc>
                <w:tcPr>
                  <w:tcW w:w="802" w:type="pct"/>
                  <w:vAlign w:val="center"/>
                </w:tcPr>
                <w:p>
                  <w:pPr>
                    <w:snapToGrid w:val="0"/>
                    <w:jc w:val="center"/>
                    <w:rPr>
                      <w:color w:val="auto"/>
                      <w:szCs w:val="21"/>
                    </w:rPr>
                  </w:pPr>
                  <w:r>
                    <w:rPr>
                      <w:rFonts w:hint="eastAsia"/>
                      <w:color w:val="auto"/>
                      <w:szCs w:val="21"/>
                      <w:lang w:val="en-US" w:eastAsia="zh-CN"/>
                    </w:rPr>
                    <w:t>/</w:t>
                  </w:r>
                </w:p>
              </w:tc>
              <w:tc>
                <w:tcPr>
                  <w:tcW w:w="718" w:type="pct"/>
                  <w:vAlign w:val="center"/>
                </w:tcPr>
                <w:p>
                  <w:pPr>
                    <w:snapToGrid w:val="0"/>
                    <w:jc w:val="center"/>
                    <w:rPr>
                      <w:rFonts w:hint="eastAsia"/>
                      <w:color w:val="auto"/>
                      <w:szCs w:val="21"/>
                    </w:rPr>
                  </w:pPr>
                  <w:r>
                    <w:rPr>
                      <w:rFonts w:hint="eastAsia"/>
                      <w:color w:val="auto"/>
                      <w:szCs w:val="21"/>
                      <w:lang w:val="en-US" w:eastAsia="zh-CN"/>
                    </w:rPr>
                    <w:t>5</w:t>
                  </w:r>
                  <w:r>
                    <w:rPr>
                      <w:color w:val="auto"/>
                      <w:szCs w:val="21"/>
                    </w:rPr>
                    <w:t>m</w:t>
                  </w:r>
                  <w:r>
                    <w:rPr>
                      <w:color w:val="auto"/>
                      <w:szCs w:val="21"/>
                      <w:vertAlign w:val="superscript"/>
                    </w:rPr>
                    <w:t>2</w:t>
                  </w:r>
                </w:p>
              </w:tc>
              <w:tc>
                <w:tcPr>
                  <w:tcW w:w="616" w:type="pct"/>
                  <w:vAlign w:val="center"/>
                </w:tcPr>
                <w:p>
                  <w:pPr>
                    <w:snapToGrid w:val="0"/>
                    <w:jc w:val="center"/>
                    <w:rPr>
                      <w:rFonts w:hint="eastAsia"/>
                      <w:color w:val="auto"/>
                      <w:szCs w:val="21"/>
                    </w:rPr>
                  </w:pPr>
                  <w:r>
                    <w:rPr>
                      <w:rFonts w:hint="eastAsia"/>
                      <w:color w:val="auto"/>
                      <w:szCs w:val="21"/>
                      <w:lang w:val="en-US" w:eastAsia="zh-CN"/>
                    </w:rPr>
                    <w:t>5</w:t>
                  </w:r>
                  <w:r>
                    <w:rPr>
                      <w:color w:val="auto"/>
                      <w:szCs w:val="21"/>
                    </w:rPr>
                    <w:t>m</w:t>
                  </w:r>
                  <w:r>
                    <w:rPr>
                      <w:color w:val="auto"/>
                      <w:szCs w:val="21"/>
                      <w:vertAlign w:val="superscript"/>
                    </w:rPr>
                    <w:t>2</w:t>
                  </w:r>
                </w:p>
              </w:tc>
              <w:tc>
                <w:tcPr>
                  <w:tcW w:w="1138" w:type="pct"/>
                  <w:vAlign w:val="center"/>
                </w:tcPr>
                <w:p>
                  <w:pPr>
                    <w:jc w:val="center"/>
                    <w:rPr>
                      <w:color w:val="auto"/>
                      <w:szCs w:val="21"/>
                    </w:rPr>
                  </w:pPr>
                  <w:r>
                    <w:rPr>
                      <w:rFonts w:hint="eastAsia"/>
                      <w:color w:val="auto"/>
                      <w:szCs w:val="21"/>
                      <w:lang w:eastAsia="zh-CN"/>
                    </w:rPr>
                    <w:t>位于厂区南侧</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ascii="Times New Roman" w:hAnsi="Times New Roman" w:cs="Times New Roman" w:hint="default"/>
                <w:b w:val="0"/>
                <w:bCs/>
                <w:color w:val="auto"/>
                <w:sz w:val="24"/>
              </w:rPr>
            </w:pPr>
            <w:r>
              <w:rPr>
                <w:rFonts w:ascii="Times New Roman" w:hAnsi="Times New Roman" w:cs="Times New Roman" w:hint="eastAsia"/>
                <w:b w:val="0"/>
                <w:bCs/>
                <w:color w:val="auto"/>
                <w:sz w:val="24"/>
                <w:szCs w:val="24"/>
                <w:lang w:val="en-US" w:eastAsia="zh-CN"/>
              </w:rPr>
              <w:fldChar w:fldCharType="begin" w:dirty="1"/>
            </w:r>
            <w:r>
              <w:rPr>
                <w:rFonts w:ascii="Times New Roman" w:hAnsi="Times New Roman" w:cs="Times New Roman" w:hint="eastAsia"/>
                <w:b w:val="0"/>
                <w:bCs/>
                <w:color w:val="auto"/>
                <w:sz w:val="24"/>
                <w:szCs w:val="24"/>
                <w:lang w:val="en-US" w:eastAsia="zh-CN"/>
              </w:rPr>
              <w:instrText xml:space="preserve"> = 1 \* GB3 \* MERGEFORMAT </w:instrText>
            </w:r>
            <w:r>
              <w:rPr>
                <w:rFonts w:ascii="Times New Roman" w:hAnsi="Times New Roman" w:cs="Times New Roman" w:hint="eastAsia"/>
                <w:b w:val="0"/>
                <w:bCs/>
                <w:color w:val="auto"/>
                <w:sz w:val="24"/>
                <w:szCs w:val="24"/>
                <w:lang w:val="en-US" w:eastAsia="zh-CN"/>
              </w:rPr>
              <w:fldChar w:fldCharType="separate"/>
            </w:r>
            <w:r>
              <w:rPr>
                <w:color w:val="auto"/>
              </w:rPr>
              <w:t>①</w:t>
            </w:r>
            <w:r>
              <w:rPr>
                <w:rFonts w:ascii="Times New Roman" w:hAnsi="Times New Roman" w:cs="Times New Roman" w:hint="eastAsia"/>
                <w:b w:val="0"/>
                <w:bCs/>
                <w:color w:val="auto"/>
                <w:sz w:val="24"/>
                <w:szCs w:val="24"/>
                <w:lang w:val="en-US" w:eastAsia="zh-CN"/>
              </w:rPr>
              <w:fldChar w:fldCharType="end"/>
            </w:r>
            <w:r>
              <w:rPr>
                <w:rFonts w:ascii="Times New Roman" w:hAnsi="Times New Roman" w:cs="Times New Roman" w:hint="eastAsia"/>
                <w:b w:val="0"/>
                <w:bCs/>
                <w:color w:val="auto"/>
                <w:sz w:val="24"/>
                <w:szCs w:val="24"/>
                <w:lang w:val="en-US" w:eastAsia="zh-CN"/>
              </w:rPr>
              <w:t>给水工程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b w:val="0"/>
                <w:bCs w:val="0"/>
                <w:color w:val="auto"/>
                <w:sz w:val="24"/>
              </w:rPr>
            </w:pPr>
            <w:r>
              <w:rPr>
                <w:rFonts w:ascii="Times New Roman" w:eastAsia="宋体" w:hAnsi="Times New Roman" w:cs="Times New Roman" w:hint="default"/>
                <w:b w:val="0"/>
                <w:bCs w:val="0"/>
                <w:color w:val="auto"/>
                <w:sz w:val="24"/>
                <w:lang w:val="en-US" w:eastAsia="zh-CN"/>
              </w:rPr>
              <w:t>本项目由</w:t>
            </w:r>
            <w:r>
              <w:rPr>
                <w:rFonts w:ascii="Times New Roman" w:eastAsia="宋体" w:hAnsi="Times New Roman" w:cs="Times New Roman" w:hint="eastAsia"/>
                <w:b w:val="0"/>
                <w:bCs w:val="0"/>
                <w:color w:val="auto"/>
                <w:sz w:val="24"/>
                <w:lang w:val="en-US" w:eastAsia="zh-CN"/>
              </w:rPr>
              <w:t>高邮市车逻镇</w:t>
            </w:r>
            <w:r>
              <w:rPr>
                <w:rFonts w:ascii="Times New Roman" w:eastAsia="宋体" w:hAnsi="Times New Roman" w:cs="Times New Roman" w:hint="default"/>
                <w:b w:val="0"/>
                <w:bCs w:val="0"/>
                <w:color w:val="auto"/>
                <w:sz w:val="24"/>
                <w:lang w:val="en-US" w:eastAsia="zh-CN"/>
              </w:rPr>
              <w:t>自来水管网供水。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color w:val="auto"/>
                <w:sz w:val="24"/>
              </w:rPr>
            </w:pPr>
            <w:r>
              <w:rPr>
                <w:rFonts w:ascii="Times New Roman" w:eastAsia="宋体" w:hAnsi="Times New Roman" w:cs="Times New Roman" w:hint="default"/>
                <w:color w:val="auto"/>
                <w:sz w:val="24"/>
                <w:szCs w:val="24"/>
                <w:lang w:val="en-US" w:eastAsia="zh-CN"/>
              </w:rPr>
              <w:fldChar w:fldCharType="begin" w:dirty="1"/>
            </w:r>
            <w:r>
              <w:rPr>
                <w:rFonts w:ascii="Times New Roman" w:eastAsia="宋体" w:hAnsi="Times New Roman" w:cs="Times New Roman" w:hint="default"/>
                <w:color w:val="auto"/>
                <w:sz w:val="24"/>
                <w:szCs w:val="24"/>
                <w:lang w:val="en-US" w:eastAsia="zh-CN"/>
              </w:rPr>
              <w:instrText xml:space="preserve"> = 2 \* GB3 \* MERGEFORMAT </w:instrText>
            </w:r>
            <w:r>
              <w:rPr>
                <w:rFonts w:ascii="Times New Roman" w:eastAsia="宋体" w:hAnsi="Times New Roman" w:cs="Times New Roman" w:hint="default"/>
                <w:color w:val="auto"/>
                <w:sz w:val="24"/>
                <w:szCs w:val="24"/>
                <w:lang w:val="en-US" w:eastAsia="zh-CN"/>
              </w:rPr>
              <w:fldChar w:fldCharType="separate"/>
            </w:r>
            <w:r>
              <w:rPr>
                <w:color w:val="auto"/>
              </w:rPr>
              <w:t>②</w:t>
            </w:r>
            <w:r>
              <w:rPr>
                <w:rFonts w:ascii="Times New Roman" w:eastAsia="宋体" w:hAnsi="Times New Roman" w:cs="Times New Roman" w:hint="default"/>
                <w:color w:val="auto"/>
                <w:sz w:val="24"/>
                <w:szCs w:val="24"/>
                <w:lang w:val="en-US" w:eastAsia="zh-CN"/>
              </w:rPr>
              <w:fldChar w:fldCharType="end"/>
            </w:r>
            <w:r>
              <w:rPr>
                <w:rFonts w:ascii="Times New Roman" w:eastAsia="宋体" w:hAnsi="Times New Roman" w:cs="Times New Roman" w:hint="default"/>
                <w:color w:val="auto"/>
                <w:sz w:val="24"/>
                <w:szCs w:val="24"/>
                <w:lang w:val="en-US" w:eastAsia="zh-CN"/>
              </w:rPr>
              <w:t>排水</w:t>
            </w:r>
            <w:r>
              <w:rPr>
                <w:rFonts w:ascii="Times New Roman" w:eastAsia="宋体" w:hAnsi="Times New Roman" w:cs="Times New Roman" w:hint="eastAsia"/>
                <w:color w:val="auto"/>
                <w:sz w:val="24"/>
                <w:szCs w:val="24"/>
                <w:lang w:val="en-US" w:eastAsia="zh-CN"/>
              </w:rPr>
              <w:t>工程</w:t>
            </w:r>
          </w:p>
          <w:p>
            <w:pPr>
              <w:pStyle w:val="Default"/>
              <w:keepNext w:val="0"/>
              <w:keepLines w:val="0"/>
              <w:pageBreakBefore w:val="0"/>
              <w:widowControl w:val="0"/>
              <w:kinsoku/>
              <w:wordWrap/>
              <w:overflowPunct/>
              <w:topLinePunct w:val="0"/>
              <w:bidi w:val="0"/>
              <w:adjustRightInd/>
              <w:snapToGrid/>
              <w:spacing w:after="0" w:line="360" w:lineRule="auto"/>
              <w:ind w:firstLine="480" w:firstLineChars="200"/>
              <w:textAlignment w:val="auto"/>
              <w:rPr>
                <w:rFonts w:ascii="Times New Roman" w:eastAsia="宋体" w:hAnsi="Times New Roman" w:cs="Times New Roman" w:hint="default"/>
                <w:b w:val="0"/>
                <w:bCs/>
                <w:color w:val="auto"/>
              </w:rPr>
            </w:pPr>
            <w:r>
              <w:rPr>
                <w:rFonts w:ascii="Times New Roman" w:eastAsia="宋体" w:hAnsi="Times New Roman" w:cs="Times New Roman" w:hint="default"/>
                <w:b w:val="0"/>
                <w:bCs/>
                <w:color w:val="auto"/>
                <w:lang w:val="en-US" w:eastAsia="zh-CN"/>
              </w:rPr>
              <w:t>本项目厂区内实行</w:t>
            </w:r>
            <w:r>
              <w:rPr>
                <w:rFonts w:ascii="Times New Roman" w:eastAsia="宋体" w:hAnsi="Times New Roman" w:cs="Times New Roman" w:hint="default"/>
                <w:b w:val="0"/>
                <w:bCs/>
                <w:color w:val="auto"/>
                <w:lang w:val="en-US" w:eastAsia="zh-CN"/>
              </w:rPr>
              <w:t>“</w:t>
            </w:r>
            <w:r>
              <w:rPr>
                <w:rFonts w:ascii="Times New Roman" w:eastAsia="宋体" w:hAnsi="Times New Roman" w:cs="Times New Roman" w:hint="default"/>
                <w:b w:val="0"/>
                <w:bCs/>
                <w:color w:val="auto"/>
                <w:lang w:val="en-US" w:eastAsia="zh-CN"/>
              </w:rPr>
              <w:t>清污分流、雨污分流</w:t>
            </w:r>
            <w:r>
              <w:rPr>
                <w:rFonts w:ascii="Times New Roman" w:eastAsia="宋体" w:hAnsi="Times New Roman" w:cs="Times New Roman" w:hint="default"/>
                <w:b w:val="0"/>
                <w:bCs/>
                <w:color w:val="auto"/>
                <w:lang w:val="en-US" w:eastAsia="zh-CN"/>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https://d.book118.com/578052031003006046</w:t>
        </w:r>
      </w:hyperlink>
    </w:p>
    <w:p/>
    <w:sectPr>
      <w:footerReference w:type="default" r:id="rId12"/>
      <w:type w:val="nextPage"/>
      <w:pgSz w:w="11906" w:h="16838"/>
      <w:pgMar w:top="1440" w:right="1080" w:bottom="1440" w:left="1080" w:header="851" w:footer="851" w:gutter="0"/>
      <w:pgBorders w:zOrder="front" w:display="allPages" w:offsetFrom="text">
        <w:top w:val="none" w:sz="0" w:space="0" w:color="auto"/>
        <w:left w:val="none" w:sz="0" w:space="0" w:color="auto"/>
        <w:bottom w:val="none" w:sz="0" w:space="0" w:color="auto"/>
        <w:right w:val="none" w:sz="0" w:space="0" w:color="auto"/>
      </w:pgBorders>
      <w:pgNumType w:start="8"/>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0"/>
    <w:family w:val="auto"/>
    <w:pitch w:val="default"/>
    <w:sig w:usb0="E0002EFF" w:usb1="C000785B" w:usb2="00000009" w:usb3="00000000" w:csb0="4002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1" w:usb1="080E0000" w:usb2="00000000" w:usb3="00000000" w:csb0="00040000" w:csb1="00000000"/>
  </w:font>
  <w:font w:name="TimesNewRomanPSMT">
    <w:altName w:val="Times New Roman"/>
    <w:panose1 w:val="00000000000000000000"/>
    <w:charset w:val="86"/>
    <w:family w:val="roman"/>
    <w:pitch w:val="default"/>
    <w:sig w:usb0="00000001" w:usb1="080E0000" w:usb2="00000010" w:usb3="00000000" w:csb0="00040001" w:csb1="00000000"/>
  </w:font>
  <w:font w:name="Courier New">
    <w:panose1 w:val="02070309020205020404"/>
    <w:charset w:val="00"/>
    <w:family w:val="modern"/>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Arial">
    <w:panose1 w:val="020B0604020202020204"/>
    <w:charset w:val="01"/>
    <w:family w:val="swiss"/>
    <w:pitch w:val="default"/>
    <w:sig w:usb0="E0002EFF" w:usb1="C000785B" w:usb2="00000009" w:usb3="00000000" w:csb0="400001FF" w:csb1="FFFF0000"/>
  </w:font>
  <w:font w:name="仿宋体">
    <w:altName w:val="宋体"/>
    <w:panose1 w:val="00000000000000000000"/>
    <w:charset w:val="01"/>
    <w:family w:val="auto"/>
    <w:pitch w:val="default"/>
    <w:sig w:usb0="00000003" w:usb1="080E0000" w:usb2="00000010" w:usb3="00000000" w:csb0="00040001" w:csb1="00000000"/>
  </w:font>
  <w:font w:name="Calibri">
    <w:panose1 w:val="020F0502020204030204"/>
    <w:charset w:val="00"/>
    <w:family w:val="swiss"/>
    <w:pitch w:val="default"/>
    <w:sig w:usb0="E4002EFF" w:usb1="C000247B" w:usb2="00000009" w:usb3="00000000" w:csb0="200001FF" w:csb1="00000000"/>
  </w:font>
  <w:font w:name="Tms Rmn">
    <w:altName w:val="Segoe Print"/>
    <w:panose1 w:val="02020603040505020304"/>
    <w:charset w:val="00"/>
    <w:family w:val="roman"/>
    <w:pitch w:val="default"/>
    <w:sig w:usb0="00000003" w:usb1="00000000" w:usb2="00000000" w:usb3="00000000" w:csb0="00000001" w:csb1="00000000"/>
  </w:font>
  <w:font w:name="T T 846o 00">
    <w:altName w:val="宋体"/>
    <w:panose1 w:val="00000000000000000000"/>
    <w:charset w:val="86"/>
    <w:family w:val="swiss"/>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F7FFAFFF" w:usb1="E9DFFFFF" w:usb2="0000003F" w:usb3="00000000" w:csb0="003F01F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r>
      <w:pict>
        <v:shapetype id="_x0000_t202" coordsize="21600,21600" o:spt="202" path="m,l,21600r21600,l21600,xe">
          <v:stroke joinstyle="miter"/>
          <v:path gradientshapeok="t" o:connecttype="rect"/>
        </v:shapetype>
        <v:shape id="文本框 2063"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1</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r>
      <w:pict>
        <v:shapetype id="_x0000_t202" coordsize="21600,21600" o:spt="202" path="m,l,21600r21600,l21600,xe">
          <v:stroke joinstyle="miter"/>
          <v:path gradientshapeok="t" o:connecttype="rect"/>
        </v:shapetype>
        <v:shape id="文本框 2063"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2</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r>
      <w:pict>
        <v:shapetype id="_x0000_t202" coordsize="21600,21600" o:spt="202" path="m,l,21600r21600,l21600,xe">
          <v:stroke joinstyle="miter"/>
          <v:path gradientshapeok="t" o:connecttype="rect"/>
        </v:shapetype>
        <v:shape id="文本框 2063" o:spid="_x0000_s2051" type="#_x0000_t202" style="width:2in;height:2in;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4</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r>
      <w:pict>
        <v:shapetype id="_x0000_t202" coordsize="21600,21600" o:spt="202" path="m,l,21600r21600,l21600,xe">
          <v:stroke joinstyle="miter"/>
          <v:path gradientshapeok="t" o:connecttype="rect"/>
        </v:shapetype>
        <v:shape id="文本框 2063" o:spid="_x0000_s2052" type="#_x0000_t202" style="width:2in;height:2in;margin-top:0;margin-left:0;mso-position-horizontal:center;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4</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r>
      <w:pict>
        <v:shapetype id="_x0000_t202" coordsize="21600,21600" o:spt="202" path="m,l,21600r21600,l21600,xe">
          <v:stroke joinstyle="miter"/>
          <v:path gradientshapeok="t" o:connecttype="rect"/>
        </v:shapetype>
        <v:shape id="文本框 2063" o:spid="_x0000_s2053" type="#_x0000_t202" style="width:2in;height:2in;margin-top:0;margin-left:0;mso-position-horizontal:center;mso-position-horizontal-relative:margin;mso-wrap-style:none;position:absolute;z-index:251662336" filled="f" stroked="f">
          <v:fill o:detectmouseclick="t"/>
          <v:stroke linestyle="single"/>
          <o:lock v:ext="edit" aspectratio="f"/>
          <v:textbox style="mso-fit-shape-to-text:t" inset="0,0,0,0">
            <w:txbxContent>
              <w:p>
                <w:pPr>
                  <w:pStyle w:val="Footer"/>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6</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r>
      <w:pict>
        <v:shapetype id="_x0000_t202" coordsize="21600,21600" o:spt="202" path="m,l,21600r21600,l21600,xe">
          <v:stroke joinstyle="miter"/>
          <v:path gradientshapeok="t" o:connecttype="rect"/>
        </v:shapetype>
        <v:shape id="文本框 2063" o:spid="_x0000_s2054" type="#_x0000_t202" style="width:2in;height:2in;margin-top:0;margin-left:0;mso-position-horizontal:center;mso-position-horizontal-relative:margin;mso-wrap-style:none;position:absolute;z-index:251663360" filled="f" stroked="f">
          <v:fill o:detectmouseclick="t"/>
          <v:stroke linestyle="single"/>
          <o:lock v:ext="edit" aspectratio="f"/>
          <v:textbox style="mso-fit-shape-to-text:t" inset="0,0,0,0">
            <w:txbxContent>
              <w:p>
                <w:pPr>
                  <w:pStyle w:val="Footer"/>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7</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r>
      <w:pict>
        <v:shapetype id="_x0000_t202" coordsize="21600,21600" o:spt="202" path="m,l,21600r21600,l21600,xe">
          <v:stroke joinstyle="miter"/>
          <v:path gradientshapeok="t" o:connecttype="rect"/>
        </v:shapetype>
        <v:shape id="文本框 2063" o:spid="_x0000_s2055" type="#_x0000_t202" style="width:2in;height:2in;margin-top:0;margin-left:0;mso-position-horizontal:center;mso-position-horizontal-relative:margin;mso-wrap-style:none;position:absolute;z-index:251664384" filled="f" stroked="f">
          <v:fill o:detectmouseclick="t"/>
          <v:stroke linestyle="single"/>
          <o:lock v:ext="edit" aspectratio="f"/>
          <v:textbox style="mso-fit-shape-to-text:t" inset="0,0,0,0">
            <w:txbxContent>
              <w:p>
                <w:pPr>
                  <w:pStyle w:val="Footer"/>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7</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r>
      <w:pict>
        <v:shapetype id="_x0000_t202" coordsize="21600,21600" o:spt="202" path="m,l,21600r21600,l21600,xe">
          <v:stroke joinstyle="miter"/>
          <v:path gradientshapeok="t" o:connecttype="rect"/>
        </v:shapetype>
        <v:shape id="文本框 2063" o:spid="_x0000_s2056" type="#_x0000_t202" style="width:2in;height:2in;margin-top:0;margin-left:0;mso-position-horizontal:center;mso-position-horizontal-relative:margin;mso-wrap-style:none;position:absolute;z-index:251665408" filled="f" stroked="f">
          <v:fill o:detectmouseclick="t"/>
          <v:stroke linestyle="single"/>
          <o:lock v:ext="edit" aspectratio="f"/>
          <v:textbox style="mso-fit-shape-to-text:t" inset="0,0,0,0">
            <w:txbxContent>
              <w:p>
                <w:pPr>
                  <w:pStyle w:val="Footer"/>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9</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CF46B"/>
    <w:multiLevelType w:val="singleLevel"/>
    <w:tmpl w:val="0C8CF46B"/>
    <w:lvl w:ilvl="0">
      <w:start w:val="1"/>
      <w:numFmt w:val="bullet"/>
      <w:lvlText w:val=""/>
      <w:lvlJc w:val="left"/>
      <w:pPr>
        <w:tabs>
          <w:tab w:val="num" w:pos="2040"/>
        </w:tabs>
        <w:ind w:left="2040" w:hanging="360"/>
      </w:pPr>
      <w:rPr>
        <w:rFonts w:ascii="Wingdings" w:hAnsi="Wingdings" w:hint="default"/>
      </w:rPr>
    </w:lvl>
  </w:abstractNum>
  <w:abstractNum w:abstractNumId="1">
    <w:nsid w:val="21E9FC1E"/>
    <w:multiLevelType w:val="singleLevel"/>
    <w:tmpl w:val="21E9FC1E"/>
    <w:lvl w:ilvl="0">
      <w:start w:val="2"/>
      <w:numFmt w:val="chineseCounting"/>
      <w:suff w:val="nothing"/>
      <w:lvlText w:val="%1、"/>
      <w:lvlJc w:val="left"/>
      <w:rPr>
        <w:rFonts w:hint="eastAsia"/>
      </w:rPr>
    </w:lvl>
  </w:abstractNum>
  <w:abstractNum w:abstractNumId="2">
    <w:nsid w:val="4B38933B"/>
    <w:multiLevelType w:val="singleLevel"/>
    <w:tmpl w:val="4B38933B"/>
    <w:lvl w:ilvl="0">
      <w:start w:val="3"/>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ocumentProtection w:edit="trackedChanges" w:enforcement="0"/>
  <w:defaultTabStop w:val="420"/>
  <w:doNotHyphenateCaps/>
  <w:drawingGridVerticalSpacing w:val="162"/>
  <w:noPunctuationKerning/>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4947"/>
    <w:rsid w:val="000060B3"/>
    <w:rsid w:val="0001276B"/>
    <w:rsid w:val="00013B4C"/>
    <w:rsid w:val="0002781D"/>
    <w:rsid w:val="0004364B"/>
    <w:rsid w:val="0004751F"/>
    <w:rsid w:val="00051001"/>
    <w:rsid w:val="00053370"/>
    <w:rsid w:val="00061B1F"/>
    <w:rsid w:val="000733C4"/>
    <w:rsid w:val="00074783"/>
    <w:rsid w:val="00077574"/>
    <w:rsid w:val="0008070B"/>
    <w:rsid w:val="000810AC"/>
    <w:rsid w:val="00081A02"/>
    <w:rsid w:val="00082231"/>
    <w:rsid w:val="0008299C"/>
    <w:rsid w:val="00092D38"/>
    <w:rsid w:val="0009377B"/>
    <w:rsid w:val="0009472C"/>
    <w:rsid w:val="00095845"/>
    <w:rsid w:val="000A20C9"/>
    <w:rsid w:val="000B058F"/>
    <w:rsid w:val="000B4467"/>
    <w:rsid w:val="000B4DB9"/>
    <w:rsid w:val="000C09AC"/>
    <w:rsid w:val="000C767F"/>
    <w:rsid w:val="000D363E"/>
    <w:rsid w:val="000D5A44"/>
    <w:rsid w:val="000E3ED2"/>
    <w:rsid w:val="000E6AA1"/>
    <w:rsid w:val="00102D78"/>
    <w:rsid w:val="00105D90"/>
    <w:rsid w:val="00111F16"/>
    <w:rsid w:val="00123180"/>
    <w:rsid w:val="00131F42"/>
    <w:rsid w:val="001357F1"/>
    <w:rsid w:val="00140D9E"/>
    <w:rsid w:val="00140FA8"/>
    <w:rsid w:val="00142FEB"/>
    <w:rsid w:val="00143A2D"/>
    <w:rsid w:val="001444F0"/>
    <w:rsid w:val="00145A41"/>
    <w:rsid w:val="00151675"/>
    <w:rsid w:val="00153C4F"/>
    <w:rsid w:val="00157435"/>
    <w:rsid w:val="00171C82"/>
    <w:rsid w:val="0017504D"/>
    <w:rsid w:val="0017671A"/>
    <w:rsid w:val="00177422"/>
    <w:rsid w:val="00183CDB"/>
    <w:rsid w:val="00184590"/>
    <w:rsid w:val="001870D1"/>
    <w:rsid w:val="0018781E"/>
    <w:rsid w:val="0019262D"/>
    <w:rsid w:val="001A1B35"/>
    <w:rsid w:val="001A48A2"/>
    <w:rsid w:val="001A63DF"/>
    <w:rsid w:val="001A6F61"/>
    <w:rsid w:val="001B595D"/>
    <w:rsid w:val="001B72B8"/>
    <w:rsid w:val="001B7981"/>
    <w:rsid w:val="001C69B3"/>
    <w:rsid w:val="001C7178"/>
    <w:rsid w:val="001D0093"/>
    <w:rsid w:val="001D5595"/>
    <w:rsid w:val="001D7874"/>
    <w:rsid w:val="001D7F22"/>
    <w:rsid w:val="001E2EAC"/>
    <w:rsid w:val="001F0F17"/>
    <w:rsid w:val="001F3347"/>
    <w:rsid w:val="001F69E4"/>
    <w:rsid w:val="00202EBB"/>
    <w:rsid w:val="00206876"/>
    <w:rsid w:val="002078E2"/>
    <w:rsid w:val="002125B4"/>
    <w:rsid w:val="002155B8"/>
    <w:rsid w:val="00224839"/>
    <w:rsid w:val="002249B2"/>
    <w:rsid w:val="00226574"/>
    <w:rsid w:val="002278EC"/>
    <w:rsid w:val="0023280E"/>
    <w:rsid w:val="002377D1"/>
    <w:rsid w:val="002417D2"/>
    <w:rsid w:val="002506BC"/>
    <w:rsid w:val="00254345"/>
    <w:rsid w:val="0025728C"/>
    <w:rsid w:val="00264557"/>
    <w:rsid w:val="00267DBA"/>
    <w:rsid w:val="00270A52"/>
    <w:rsid w:val="002716F0"/>
    <w:rsid w:val="002805AB"/>
    <w:rsid w:val="00284204"/>
    <w:rsid w:val="00291773"/>
    <w:rsid w:val="00293F25"/>
    <w:rsid w:val="002A168C"/>
    <w:rsid w:val="002A3DC7"/>
    <w:rsid w:val="002A4A4B"/>
    <w:rsid w:val="002A64F1"/>
    <w:rsid w:val="002B49E2"/>
    <w:rsid w:val="002B7B00"/>
    <w:rsid w:val="002B7C44"/>
    <w:rsid w:val="002C2A0D"/>
    <w:rsid w:val="002C2B17"/>
    <w:rsid w:val="002C2FDB"/>
    <w:rsid w:val="002D3DD0"/>
    <w:rsid w:val="002E1F3A"/>
    <w:rsid w:val="002E298A"/>
    <w:rsid w:val="002E6C02"/>
    <w:rsid w:val="00301978"/>
    <w:rsid w:val="00302B80"/>
    <w:rsid w:val="0030332C"/>
    <w:rsid w:val="003051C2"/>
    <w:rsid w:val="00312296"/>
    <w:rsid w:val="00314F0E"/>
    <w:rsid w:val="00321D8E"/>
    <w:rsid w:val="00325928"/>
    <w:rsid w:val="003317B8"/>
    <w:rsid w:val="00332863"/>
    <w:rsid w:val="00335D51"/>
    <w:rsid w:val="0033684D"/>
    <w:rsid w:val="00337B42"/>
    <w:rsid w:val="00341B42"/>
    <w:rsid w:val="0034348F"/>
    <w:rsid w:val="00356653"/>
    <w:rsid w:val="0035743F"/>
    <w:rsid w:val="00357BE2"/>
    <w:rsid w:val="0036170C"/>
    <w:rsid w:val="00366E0F"/>
    <w:rsid w:val="00376777"/>
    <w:rsid w:val="00381A72"/>
    <w:rsid w:val="00384676"/>
    <w:rsid w:val="00390857"/>
    <w:rsid w:val="00395D87"/>
    <w:rsid w:val="003A4BF3"/>
    <w:rsid w:val="003B0BD1"/>
    <w:rsid w:val="003B420D"/>
    <w:rsid w:val="003B46A6"/>
    <w:rsid w:val="003C3822"/>
    <w:rsid w:val="003C6C16"/>
    <w:rsid w:val="003D794D"/>
    <w:rsid w:val="003E3058"/>
    <w:rsid w:val="003E76A9"/>
    <w:rsid w:val="003F0809"/>
    <w:rsid w:val="003F0D65"/>
    <w:rsid w:val="003F3B58"/>
    <w:rsid w:val="003F6A8C"/>
    <w:rsid w:val="003F755C"/>
    <w:rsid w:val="00406F01"/>
    <w:rsid w:val="00416D50"/>
    <w:rsid w:val="00416FD5"/>
    <w:rsid w:val="00417772"/>
    <w:rsid w:val="00420E6A"/>
    <w:rsid w:val="00425A9E"/>
    <w:rsid w:val="00426D6B"/>
    <w:rsid w:val="00431E6C"/>
    <w:rsid w:val="00433CE7"/>
    <w:rsid w:val="00433DB9"/>
    <w:rsid w:val="00443735"/>
    <w:rsid w:val="004521BC"/>
    <w:rsid w:val="00452738"/>
    <w:rsid w:val="00456091"/>
    <w:rsid w:val="00461200"/>
    <w:rsid w:val="00461237"/>
    <w:rsid w:val="00466321"/>
    <w:rsid w:val="00482A74"/>
    <w:rsid w:val="00484B9B"/>
    <w:rsid w:val="004855F6"/>
    <w:rsid w:val="0048661E"/>
    <w:rsid w:val="00494670"/>
    <w:rsid w:val="004A3823"/>
    <w:rsid w:val="004B43A5"/>
    <w:rsid w:val="004C1CE4"/>
    <w:rsid w:val="004D15D8"/>
    <w:rsid w:val="004D780D"/>
    <w:rsid w:val="004E23B8"/>
    <w:rsid w:val="004E6946"/>
    <w:rsid w:val="004F1AD8"/>
    <w:rsid w:val="005039CB"/>
    <w:rsid w:val="0050558F"/>
    <w:rsid w:val="00506286"/>
    <w:rsid w:val="00510813"/>
    <w:rsid w:val="0051138C"/>
    <w:rsid w:val="00511990"/>
    <w:rsid w:val="00511DE0"/>
    <w:rsid w:val="00514870"/>
    <w:rsid w:val="00514B9B"/>
    <w:rsid w:val="0051737B"/>
    <w:rsid w:val="005175FD"/>
    <w:rsid w:val="00517F02"/>
    <w:rsid w:val="00524303"/>
    <w:rsid w:val="005252FA"/>
    <w:rsid w:val="005258A2"/>
    <w:rsid w:val="005401AE"/>
    <w:rsid w:val="00542E07"/>
    <w:rsid w:val="005435F9"/>
    <w:rsid w:val="00545424"/>
    <w:rsid w:val="00554A7B"/>
    <w:rsid w:val="0055572C"/>
    <w:rsid w:val="0056106A"/>
    <w:rsid w:val="00567C3F"/>
    <w:rsid w:val="005720AE"/>
    <w:rsid w:val="00587BD0"/>
    <w:rsid w:val="00592D28"/>
    <w:rsid w:val="0059350D"/>
    <w:rsid w:val="00593D38"/>
    <w:rsid w:val="00594D77"/>
    <w:rsid w:val="005969E4"/>
    <w:rsid w:val="005A06B7"/>
    <w:rsid w:val="005A1759"/>
    <w:rsid w:val="005A68A7"/>
    <w:rsid w:val="005A6A00"/>
    <w:rsid w:val="005D36AB"/>
    <w:rsid w:val="005E1ACC"/>
    <w:rsid w:val="005F76C4"/>
    <w:rsid w:val="00617543"/>
    <w:rsid w:val="00617CC3"/>
    <w:rsid w:val="006377A6"/>
    <w:rsid w:val="00637A3D"/>
    <w:rsid w:val="006411EF"/>
    <w:rsid w:val="00644A42"/>
    <w:rsid w:val="00646D65"/>
    <w:rsid w:val="006748B8"/>
    <w:rsid w:val="006764AC"/>
    <w:rsid w:val="006775C3"/>
    <w:rsid w:val="0069290A"/>
    <w:rsid w:val="0069775A"/>
    <w:rsid w:val="00697813"/>
    <w:rsid w:val="006A3EE8"/>
    <w:rsid w:val="006A72BF"/>
    <w:rsid w:val="006B03F2"/>
    <w:rsid w:val="006B37DC"/>
    <w:rsid w:val="006B4F68"/>
    <w:rsid w:val="006C0592"/>
    <w:rsid w:val="006C17C9"/>
    <w:rsid w:val="006C272E"/>
    <w:rsid w:val="006C5479"/>
    <w:rsid w:val="006D13B5"/>
    <w:rsid w:val="006E12FF"/>
    <w:rsid w:val="006E551F"/>
    <w:rsid w:val="006E607E"/>
    <w:rsid w:val="006E6ED9"/>
    <w:rsid w:val="006F1605"/>
    <w:rsid w:val="006F1992"/>
    <w:rsid w:val="006F1F9D"/>
    <w:rsid w:val="00706C5D"/>
    <w:rsid w:val="00707994"/>
    <w:rsid w:val="00732922"/>
    <w:rsid w:val="0074360E"/>
    <w:rsid w:val="00750F02"/>
    <w:rsid w:val="0075162E"/>
    <w:rsid w:val="00754034"/>
    <w:rsid w:val="00756556"/>
    <w:rsid w:val="007618C4"/>
    <w:rsid w:val="00766EF3"/>
    <w:rsid w:val="00767980"/>
    <w:rsid w:val="00770B19"/>
    <w:rsid w:val="0077463F"/>
    <w:rsid w:val="00777264"/>
    <w:rsid w:val="007836EA"/>
    <w:rsid w:val="00784CDA"/>
    <w:rsid w:val="007906C4"/>
    <w:rsid w:val="007940EA"/>
    <w:rsid w:val="007967E8"/>
    <w:rsid w:val="007A2170"/>
    <w:rsid w:val="007A22BF"/>
    <w:rsid w:val="007A3323"/>
    <w:rsid w:val="007B1C32"/>
    <w:rsid w:val="007B1F6A"/>
    <w:rsid w:val="007B72B8"/>
    <w:rsid w:val="007B7A58"/>
    <w:rsid w:val="007C21B5"/>
    <w:rsid w:val="007E166A"/>
    <w:rsid w:val="007E4BD2"/>
    <w:rsid w:val="00801393"/>
    <w:rsid w:val="00802F88"/>
    <w:rsid w:val="0081293E"/>
    <w:rsid w:val="00815465"/>
    <w:rsid w:val="00817787"/>
    <w:rsid w:val="00817E9A"/>
    <w:rsid w:val="00824B63"/>
    <w:rsid w:val="008306BD"/>
    <w:rsid w:val="00831A80"/>
    <w:rsid w:val="00832255"/>
    <w:rsid w:val="00833743"/>
    <w:rsid w:val="008340A4"/>
    <w:rsid w:val="00835447"/>
    <w:rsid w:val="008359C8"/>
    <w:rsid w:val="00836289"/>
    <w:rsid w:val="00840A2B"/>
    <w:rsid w:val="008542B7"/>
    <w:rsid w:val="00860659"/>
    <w:rsid w:val="00860F63"/>
    <w:rsid w:val="0087135F"/>
    <w:rsid w:val="00872D94"/>
    <w:rsid w:val="00880364"/>
    <w:rsid w:val="00891592"/>
    <w:rsid w:val="00891E9E"/>
    <w:rsid w:val="00894E36"/>
    <w:rsid w:val="00896B3E"/>
    <w:rsid w:val="008A2F68"/>
    <w:rsid w:val="008B4FA6"/>
    <w:rsid w:val="008B5282"/>
    <w:rsid w:val="008B7C17"/>
    <w:rsid w:val="008B7E27"/>
    <w:rsid w:val="008C0D6F"/>
    <w:rsid w:val="008C267A"/>
    <w:rsid w:val="008C2BB8"/>
    <w:rsid w:val="008C2D01"/>
    <w:rsid w:val="008C40E6"/>
    <w:rsid w:val="008D0F7A"/>
    <w:rsid w:val="008D4304"/>
    <w:rsid w:val="008D68E4"/>
    <w:rsid w:val="008E0506"/>
    <w:rsid w:val="008E0A7C"/>
    <w:rsid w:val="008E0CFF"/>
    <w:rsid w:val="008E5D6B"/>
    <w:rsid w:val="008E76F0"/>
    <w:rsid w:val="008F15FE"/>
    <w:rsid w:val="008F2D29"/>
    <w:rsid w:val="008F5187"/>
    <w:rsid w:val="008F60D8"/>
    <w:rsid w:val="00902727"/>
    <w:rsid w:val="0090312B"/>
    <w:rsid w:val="00903DB6"/>
    <w:rsid w:val="00914BE7"/>
    <w:rsid w:val="0091736D"/>
    <w:rsid w:val="00917755"/>
    <w:rsid w:val="00926076"/>
    <w:rsid w:val="0093037A"/>
    <w:rsid w:val="0094154D"/>
    <w:rsid w:val="00942DBC"/>
    <w:rsid w:val="00943957"/>
    <w:rsid w:val="00945271"/>
    <w:rsid w:val="0095155F"/>
    <w:rsid w:val="00951672"/>
    <w:rsid w:val="00954429"/>
    <w:rsid w:val="009563CE"/>
    <w:rsid w:val="00966907"/>
    <w:rsid w:val="0097179A"/>
    <w:rsid w:val="00976328"/>
    <w:rsid w:val="0097680D"/>
    <w:rsid w:val="00982438"/>
    <w:rsid w:val="0098404C"/>
    <w:rsid w:val="00985283"/>
    <w:rsid w:val="00995992"/>
    <w:rsid w:val="009A03E5"/>
    <w:rsid w:val="009A0F3B"/>
    <w:rsid w:val="009A1BB4"/>
    <w:rsid w:val="009A2628"/>
    <w:rsid w:val="009A3200"/>
    <w:rsid w:val="009A3272"/>
    <w:rsid w:val="009B0897"/>
    <w:rsid w:val="009B3A60"/>
    <w:rsid w:val="009B7BD9"/>
    <w:rsid w:val="009C7DD5"/>
    <w:rsid w:val="009D194C"/>
    <w:rsid w:val="009D1C87"/>
    <w:rsid w:val="009D234B"/>
    <w:rsid w:val="009D6A07"/>
    <w:rsid w:val="009E227D"/>
    <w:rsid w:val="009E3BDB"/>
    <w:rsid w:val="009E4D6B"/>
    <w:rsid w:val="009E5019"/>
    <w:rsid w:val="00A04F1B"/>
    <w:rsid w:val="00A0501B"/>
    <w:rsid w:val="00A14729"/>
    <w:rsid w:val="00A14947"/>
    <w:rsid w:val="00A1526A"/>
    <w:rsid w:val="00A216FE"/>
    <w:rsid w:val="00A236A1"/>
    <w:rsid w:val="00A30F78"/>
    <w:rsid w:val="00A32A83"/>
    <w:rsid w:val="00A368DB"/>
    <w:rsid w:val="00A423AA"/>
    <w:rsid w:val="00A524DE"/>
    <w:rsid w:val="00A53EC6"/>
    <w:rsid w:val="00A55C0F"/>
    <w:rsid w:val="00A57AA0"/>
    <w:rsid w:val="00A722F7"/>
    <w:rsid w:val="00A8713F"/>
    <w:rsid w:val="00A90BA1"/>
    <w:rsid w:val="00A94EFE"/>
    <w:rsid w:val="00A97A9A"/>
    <w:rsid w:val="00AA0671"/>
    <w:rsid w:val="00AA0E6F"/>
    <w:rsid w:val="00AA2531"/>
    <w:rsid w:val="00AB04B2"/>
    <w:rsid w:val="00AB1E09"/>
    <w:rsid w:val="00AB5330"/>
    <w:rsid w:val="00AB7747"/>
    <w:rsid w:val="00AC14CE"/>
    <w:rsid w:val="00AC2A56"/>
    <w:rsid w:val="00AC6391"/>
    <w:rsid w:val="00AC6707"/>
    <w:rsid w:val="00AD055E"/>
    <w:rsid w:val="00AD47A7"/>
    <w:rsid w:val="00AE28CE"/>
    <w:rsid w:val="00AF0CBF"/>
    <w:rsid w:val="00AF257F"/>
    <w:rsid w:val="00AF2C71"/>
    <w:rsid w:val="00AF33CF"/>
    <w:rsid w:val="00AF4D50"/>
    <w:rsid w:val="00AF6179"/>
    <w:rsid w:val="00B1295A"/>
    <w:rsid w:val="00B1575B"/>
    <w:rsid w:val="00B2018D"/>
    <w:rsid w:val="00B20A45"/>
    <w:rsid w:val="00B22C5C"/>
    <w:rsid w:val="00B24F30"/>
    <w:rsid w:val="00B25924"/>
    <w:rsid w:val="00B31ABF"/>
    <w:rsid w:val="00B33BE3"/>
    <w:rsid w:val="00B3445E"/>
    <w:rsid w:val="00B34ACA"/>
    <w:rsid w:val="00B53B5D"/>
    <w:rsid w:val="00B6055E"/>
    <w:rsid w:val="00B6317D"/>
    <w:rsid w:val="00B76B02"/>
    <w:rsid w:val="00B7723F"/>
    <w:rsid w:val="00B80534"/>
    <w:rsid w:val="00B8433C"/>
    <w:rsid w:val="00B87491"/>
    <w:rsid w:val="00B874F0"/>
    <w:rsid w:val="00B9239B"/>
    <w:rsid w:val="00BA220C"/>
    <w:rsid w:val="00BA29E9"/>
    <w:rsid w:val="00BA7142"/>
    <w:rsid w:val="00BA7845"/>
    <w:rsid w:val="00BB157A"/>
    <w:rsid w:val="00BB237C"/>
    <w:rsid w:val="00BB41A3"/>
    <w:rsid w:val="00BC32DC"/>
    <w:rsid w:val="00BC35B6"/>
    <w:rsid w:val="00BD0113"/>
    <w:rsid w:val="00BD1B51"/>
    <w:rsid w:val="00BD4596"/>
    <w:rsid w:val="00BD70E8"/>
    <w:rsid w:val="00BE1405"/>
    <w:rsid w:val="00BE312D"/>
    <w:rsid w:val="00BF1C20"/>
    <w:rsid w:val="00BF1C3A"/>
    <w:rsid w:val="00BF6587"/>
    <w:rsid w:val="00C10578"/>
    <w:rsid w:val="00C135BC"/>
    <w:rsid w:val="00C15C95"/>
    <w:rsid w:val="00C25236"/>
    <w:rsid w:val="00C2596A"/>
    <w:rsid w:val="00C27537"/>
    <w:rsid w:val="00C328FE"/>
    <w:rsid w:val="00C33507"/>
    <w:rsid w:val="00C4409D"/>
    <w:rsid w:val="00C44E72"/>
    <w:rsid w:val="00C45A06"/>
    <w:rsid w:val="00C46E0F"/>
    <w:rsid w:val="00C47E5B"/>
    <w:rsid w:val="00C564C9"/>
    <w:rsid w:val="00C61E4B"/>
    <w:rsid w:val="00C62BE3"/>
    <w:rsid w:val="00C64BFF"/>
    <w:rsid w:val="00C704E9"/>
    <w:rsid w:val="00C763C9"/>
    <w:rsid w:val="00C80057"/>
    <w:rsid w:val="00C82232"/>
    <w:rsid w:val="00C82913"/>
    <w:rsid w:val="00C857C1"/>
    <w:rsid w:val="00C866D4"/>
    <w:rsid w:val="00C972B1"/>
    <w:rsid w:val="00CA2CCE"/>
    <w:rsid w:val="00CA43FD"/>
    <w:rsid w:val="00CA7430"/>
    <w:rsid w:val="00CA7EF8"/>
    <w:rsid w:val="00CC489B"/>
    <w:rsid w:val="00CD2BCD"/>
    <w:rsid w:val="00CD3A4C"/>
    <w:rsid w:val="00CE10E9"/>
    <w:rsid w:val="00CE1277"/>
    <w:rsid w:val="00CE2910"/>
    <w:rsid w:val="00CE3036"/>
    <w:rsid w:val="00CE5393"/>
    <w:rsid w:val="00CF36BE"/>
    <w:rsid w:val="00CF4CB3"/>
    <w:rsid w:val="00CF6000"/>
    <w:rsid w:val="00CF7FA5"/>
    <w:rsid w:val="00D003F3"/>
    <w:rsid w:val="00D0364F"/>
    <w:rsid w:val="00D04CE8"/>
    <w:rsid w:val="00D06834"/>
    <w:rsid w:val="00D16219"/>
    <w:rsid w:val="00D308ED"/>
    <w:rsid w:val="00D33820"/>
    <w:rsid w:val="00D36D86"/>
    <w:rsid w:val="00D428AA"/>
    <w:rsid w:val="00D50A34"/>
    <w:rsid w:val="00D53EFA"/>
    <w:rsid w:val="00D551C0"/>
    <w:rsid w:val="00D72728"/>
    <w:rsid w:val="00D92403"/>
    <w:rsid w:val="00D94A7C"/>
    <w:rsid w:val="00D95896"/>
    <w:rsid w:val="00DB2983"/>
    <w:rsid w:val="00DC1257"/>
    <w:rsid w:val="00DC2EB0"/>
    <w:rsid w:val="00DC3DC0"/>
    <w:rsid w:val="00DC5B2B"/>
    <w:rsid w:val="00DD24F9"/>
    <w:rsid w:val="00DD318D"/>
    <w:rsid w:val="00DF2E12"/>
    <w:rsid w:val="00DF514A"/>
    <w:rsid w:val="00DF5243"/>
    <w:rsid w:val="00DF6690"/>
    <w:rsid w:val="00DF6804"/>
    <w:rsid w:val="00E0358D"/>
    <w:rsid w:val="00E04323"/>
    <w:rsid w:val="00E070A2"/>
    <w:rsid w:val="00E21973"/>
    <w:rsid w:val="00E2656A"/>
    <w:rsid w:val="00E412D0"/>
    <w:rsid w:val="00E552A7"/>
    <w:rsid w:val="00E56322"/>
    <w:rsid w:val="00E60982"/>
    <w:rsid w:val="00E62C62"/>
    <w:rsid w:val="00E654C1"/>
    <w:rsid w:val="00E65D97"/>
    <w:rsid w:val="00E72A5A"/>
    <w:rsid w:val="00E73354"/>
    <w:rsid w:val="00E75BE3"/>
    <w:rsid w:val="00E9242D"/>
    <w:rsid w:val="00EA364C"/>
    <w:rsid w:val="00EB5255"/>
    <w:rsid w:val="00EB5C47"/>
    <w:rsid w:val="00ED0639"/>
    <w:rsid w:val="00ED0D0A"/>
    <w:rsid w:val="00ED1699"/>
    <w:rsid w:val="00ED7920"/>
    <w:rsid w:val="00EE1DBA"/>
    <w:rsid w:val="00EF4755"/>
    <w:rsid w:val="00EF4FF3"/>
    <w:rsid w:val="00EF7135"/>
    <w:rsid w:val="00F027DB"/>
    <w:rsid w:val="00F066E7"/>
    <w:rsid w:val="00F14A7A"/>
    <w:rsid w:val="00F22985"/>
    <w:rsid w:val="00F25819"/>
    <w:rsid w:val="00F3383E"/>
    <w:rsid w:val="00F41B68"/>
    <w:rsid w:val="00F465A7"/>
    <w:rsid w:val="00F50B7C"/>
    <w:rsid w:val="00F550E6"/>
    <w:rsid w:val="00F60A89"/>
    <w:rsid w:val="00F74345"/>
    <w:rsid w:val="00F80A0A"/>
    <w:rsid w:val="00F82B19"/>
    <w:rsid w:val="00F9212D"/>
    <w:rsid w:val="00F928A4"/>
    <w:rsid w:val="00F952AD"/>
    <w:rsid w:val="00F965DA"/>
    <w:rsid w:val="00FA406A"/>
    <w:rsid w:val="00FB503A"/>
    <w:rsid w:val="00FB516C"/>
    <w:rsid w:val="00FC3116"/>
    <w:rsid w:val="00FD0236"/>
    <w:rsid w:val="00FD05BE"/>
    <w:rsid w:val="00FD05F1"/>
    <w:rsid w:val="00FD18F4"/>
    <w:rsid w:val="00FD54DB"/>
    <w:rsid w:val="00FD619F"/>
    <w:rsid w:val="00FE45AC"/>
    <w:rsid w:val="00FF574C"/>
    <w:rsid w:val="01290F7E"/>
    <w:rsid w:val="0136732D"/>
    <w:rsid w:val="01472F99"/>
    <w:rsid w:val="0154520F"/>
    <w:rsid w:val="015D1E09"/>
    <w:rsid w:val="01696301"/>
    <w:rsid w:val="019602DC"/>
    <w:rsid w:val="01D22CA9"/>
    <w:rsid w:val="02191B0A"/>
    <w:rsid w:val="0220795E"/>
    <w:rsid w:val="02697903"/>
    <w:rsid w:val="02B31730"/>
    <w:rsid w:val="02F96569"/>
    <w:rsid w:val="0340131B"/>
    <w:rsid w:val="03B962A8"/>
    <w:rsid w:val="03EA7B21"/>
    <w:rsid w:val="03F3698E"/>
    <w:rsid w:val="04290952"/>
    <w:rsid w:val="042E253E"/>
    <w:rsid w:val="04510922"/>
    <w:rsid w:val="04733276"/>
    <w:rsid w:val="047B14FB"/>
    <w:rsid w:val="04F5067C"/>
    <w:rsid w:val="054160C5"/>
    <w:rsid w:val="056C5A14"/>
    <w:rsid w:val="05726C3F"/>
    <w:rsid w:val="05C17DC9"/>
    <w:rsid w:val="05EB7D6C"/>
    <w:rsid w:val="05F078E6"/>
    <w:rsid w:val="05F60E54"/>
    <w:rsid w:val="05F83EAE"/>
    <w:rsid w:val="06040693"/>
    <w:rsid w:val="063E7D85"/>
    <w:rsid w:val="064504DC"/>
    <w:rsid w:val="066F5090"/>
    <w:rsid w:val="067F52D3"/>
    <w:rsid w:val="068762A9"/>
    <w:rsid w:val="06971525"/>
    <w:rsid w:val="07293490"/>
    <w:rsid w:val="07293586"/>
    <w:rsid w:val="07295285"/>
    <w:rsid w:val="07591F04"/>
    <w:rsid w:val="07636392"/>
    <w:rsid w:val="07752022"/>
    <w:rsid w:val="07770C56"/>
    <w:rsid w:val="07A80E7B"/>
    <w:rsid w:val="07DB4B2C"/>
    <w:rsid w:val="080A32C2"/>
    <w:rsid w:val="0824587A"/>
    <w:rsid w:val="0850116D"/>
    <w:rsid w:val="08546F02"/>
    <w:rsid w:val="08721117"/>
    <w:rsid w:val="08A336A9"/>
    <w:rsid w:val="08D06D38"/>
    <w:rsid w:val="08E66AB8"/>
    <w:rsid w:val="092217DD"/>
    <w:rsid w:val="093A7294"/>
    <w:rsid w:val="093B2DD9"/>
    <w:rsid w:val="093F28DD"/>
    <w:rsid w:val="097908BF"/>
    <w:rsid w:val="0988610C"/>
    <w:rsid w:val="09CF7BEB"/>
    <w:rsid w:val="09E10052"/>
    <w:rsid w:val="09ED2E9B"/>
    <w:rsid w:val="09ED69F7"/>
    <w:rsid w:val="09F22473"/>
    <w:rsid w:val="0A0675D8"/>
    <w:rsid w:val="0A263993"/>
    <w:rsid w:val="0A2D3AC2"/>
    <w:rsid w:val="0A624D62"/>
    <w:rsid w:val="0A78760D"/>
    <w:rsid w:val="0A791196"/>
    <w:rsid w:val="0A814291"/>
    <w:rsid w:val="0A843F76"/>
    <w:rsid w:val="0A921D63"/>
    <w:rsid w:val="0A941589"/>
    <w:rsid w:val="0A96612E"/>
    <w:rsid w:val="0AA755DF"/>
    <w:rsid w:val="0AE25E04"/>
    <w:rsid w:val="0B120D44"/>
    <w:rsid w:val="0B584344"/>
    <w:rsid w:val="0B79368E"/>
    <w:rsid w:val="0B79602A"/>
    <w:rsid w:val="0BA53A2D"/>
    <w:rsid w:val="0BC80B0B"/>
    <w:rsid w:val="0BD27BF6"/>
    <w:rsid w:val="0BED7900"/>
    <w:rsid w:val="0BFE50D5"/>
    <w:rsid w:val="0C25691C"/>
    <w:rsid w:val="0C2C59EF"/>
    <w:rsid w:val="0C2D18DC"/>
    <w:rsid w:val="0C2F779B"/>
    <w:rsid w:val="0C3B3C7D"/>
    <w:rsid w:val="0C7D59C0"/>
    <w:rsid w:val="0C935F81"/>
    <w:rsid w:val="0CAB2EAE"/>
    <w:rsid w:val="0CB86B08"/>
    <w:rsid w:val="0CC41F2E"/>
    <w:rsid w:val="0CFB3451"/>
    <w:rsid w:val="0D1241D7"/>
    <w:rsid w:val="0D18022F"/>
    <w:rsid w:val="0D442DD2"/>
    <w:rsid w:val="0D621C7D"/>
    <w:rsid w:val="0D74403F"/>
    <w:rsid w:val="0DBC505E"/>
    <w:rsid w:val="0E2826F4"/>
    <w:rsid w:val="0E2906FB"/>
    <w:rsid w:val="0E73034D"/>
    <w:rsid w:val="0E7476AF"/>
    <w:rsid w:val="0E7D2A40"/>
    <w:rsid w:val="0EBD5C3C"/>
    <w:rsid w:val="0F13775A"/>
    <w:rsid w:val="0F495CC6"/>
    <w:rsid w:val="0F5F45FE"/>
    <w:rsid w:val="0F734169"/>
    <w:rsid w:val="0F981785"/>
    <w:rsid w:val="0F9A112B"/>
    <w:rsid w:val="0FF4103C"/>
    <w:rsid w:val="103C5FE2"/>
    <w:rsid w:val="10414420"/>
    <w:rsid w:val="106D2F64"/>
    <w:rsid w:val="10710382"/>
    <w:rsid w:val="10A1053B"/>
    <w:rsid w:val="10AE33DE"/>
    <w:rsid w:val="10B61E57"/>
    <w:rsid w:val="10B63710"/>
    <w:rsid w:val="10F10820"/>
    <w:rsid w:val="11021117"/>
    <w:rsid w:val="11034202"/>
    <w:rsid w:val="111C2F7A"/>
    <w:rsid w:val="112D4CC8"/>
    <w:rsid w:val="114E66C5"/>
    <w:rsid w:val="11665CA1"/>
    <w:rsid w:val="117227AE"/>
    <w:rsid w:val="11A55E09"/>
    <w:rsid w:val="12152F8F"/>
    <w:rsid w:val="12241BED"/>
    <w:rsid w:val="124E6BC9"/>
    <w:rsid w:val="124F64A1"/>
    <w:rsid w:val="125A472E"/>
    <w:rsid w:val="12761FBA"/>
    <w:rsid w:val="128E074B"/>
    <w:rsid w:val="12B153C5"/>
    <w:rsid w:val="12E12E71"/>
    <w:rsid w:val="1300253C"/>
    <w:rsid w:val="13114A30"/>
    <w:rsid w:val="13220EF9"/>
    <w:rsid w:val="132642A6"/>
    <w:rsid w:val="13293133"/>
    <w:rsid w:val="136441CE"/>
    <w:rsid w:val="13645F7C"/>
    <w:rsid w:val="13951726"/>
    <w:rsid w:val="13B46D35"/>
    <w:rsid w:val="13FA0E17"/>
    <w:rsid w:val="14124A5C"/>
    <w:rsid w:val="142B3977"/>
    <w:rsid w:val="143817F5"/>
    <w:rsid w:val="14396509"/>
    <w:rsid w:val="144464FE"/>
    <w:rsid w:val="147C1CDD"/>
    <w:rsid w:val="14A23EC5"/>
    <w:rsid w:val="14AF7DDE"/>
    <w:rsid w:val="14B545B5"/>
    <w:rsid w:val="14C5325B"/>
    <w:rsid w:val="14DD2C3C"/>
    <w:rsid w:val="14EA539C"/>
    <w:rsid w:val="14F02AB4"/>
    <w:rsid w:val="155572BB"/>
    <w:rsid w:val="15583EAD"/>
    <w:rsid w:val="16087E1D"/>
    <w:rsid w:val="162B5FFE"/>
    <w:rsid w:val="166C5148"/>
    <w:rsid w:val="16895520"/>
    <w:rsid w:val="16D868DA"/>
    <w:rsid w:val="16FF1202"/>
    <w:rsid w:val="173059F6"/>
    <w:rsid w:val="17701D14"/>
    <w:rsid w:val="17735226"/>
    <w:rsid w:val="177A38F1"/>
    <w:rsid w:val="17A77857"/>
    <w:rsid w:val="17C63833"/>
    <w:rsid w:val="187D363C"/>
    <w:rsid w:val="189F624C"/>
    <w:rsid w:val="18D25B4C"/>
    <w:rsid w:val="18FC6C57"/>
    <w:rsid w:val="18FD466A"/>
    <w:rsid w:val="19067AD5"/>
    <w:rsid w:val="193A32DB"/>
    <w:rsid w:val="193A7B25"/>
    <w:rsid w:val="19DA0A52"/>
    <w:rsid w:val="19E522AB"/>
    <w:rsid w:val="19EB1EEE"/>
    <w:rsid w:val="1A0E09F0"/>
    <w:rsid w:val="1A1C66C0"/>
    <w:rsid w:val="1A235B7E"/>
    <w:rsid w:val="1A253617"/>
    <w:rsid w:val="1A3002D8"/>
    <w:rsid w:val="1A42393B"/>
    <w:rsid w:val="1A5D32A3"/>
    <w:rsid w:val="1A9554A2"/>
    <w:rsid w:val="1AAD45DE"/>
    <w:rsid w:val="1AC34FF0"/>
    <w:rsid w:val="1AFB0E44"/>
    <w:rsid w:val="1B046F80"/>
    <w:rsid w:val="1B24411E"/>
    <w:rsid w:val="1B3267B5"/>
    <w:rsid w:val="1B40161D"/>
    <w:rsid w:val="1B441859"/>
    <w:rsid w:val="1B4A3EC6"/>
    <w:rsid w:val="1B617245"/>
    <w:rsid w:val="1B6606B1"/>
    <w:rsid w:val="1B7032B1"/>
    <w:rsid w:val="1B75323D"/>
    <w:rsid w:val="1BD6378F"/>
    <w:rsid w:val="1BE020D2"/>
    <w:rsid w:val="1BEB14AC"/>
    <w:rsid w:val="1C0726F9"/>
    <w:rsid w:val="1C22233F"/>
    <w:rsid w:val="1C5E7925"/>
    <w:rsid w:val="1C6A3ED7"/>
    <w:rsid w:val="1C72171C"/>
    <w:rsid w:val="1C972A9E"/>
    <w:rsid w:val="1CC253C7"/>
    <w:rsid w:val="1CFD070F"/>
    <w:rsid w:val="1D444728"/>
    <w:rsid w:val="1D4569A3"/>
    <w:rsid w:val="1D56284A"/>
    <w:rsid w:val="1D57445C"/>
    <w:rsid w:val="1D5F6196"/>
    <w:rsid w:val="1D6132A5"/>
    <w:rsid w:val="1D667F92"/>
    <w:rsid w:val="1D6E2B3B"/>
    <w:rsid w:val="1D840FC9"/>
    <w:rsid w:val="1D8E56D5"/>
    <w:rsid w:val="1DBD70AE"/>
    <w:rsid w:val="1E025609"/>
    <w:rsid w:val="1E125EF4"/>
    <w:rsid w:val="1E153C46"/>
    <w:rsid w:val="1E43649A"/>
    <w:rsid w:val="1E5B6116"/>
    <w:rsid w:val="1E7A43DA"/>
    <w:rsid w:val="1E7B79E5"/>
    <w:rsid w:val="1E853F20"/>
    <w:rsid w:val="1EF449CA"/>
    <w:rsid w:val="1FA3607E"/>
    <w:rsid w:val="1FC760B7"/>
    <w:rsid w:val="1FE7539E"/>
    <w:rsid w:val="1FE866C5"/>
    <w:rsid w:val="20341BF8"/>
    <w:rsid w:val="20671BE0"/>
    <w:rsid w:val="206A094A"/>
    <w:rsid w:val="20963CB8"/>
    <w:rsid w:val="20A81A1B"/>
    <w:rsid w:val="20B07FB6"/>
    <w:rsid w:val="20B646FB"/>
    <w:rsid w:val="20C339B0"/>
    <w:rsid w:val="20E1320A"/>
    <w:rsid w:val="213B74B1"/>
    <w:rsid w:val="215A2310"/>
    <w:rsid w:val="21974AD4"/>
    <w:rsid w:val="21A858DA"/>
    <w:rsid w:val="21AE4866"/>
    <w:rsid w:val="21DE318A"/>
    <w:rsid w:val="21EF5B80"/>
    <w:rsid w:val="22342FBD"/>
    <w:rsid w:val="224C53AD"/>
    <w:rsid w:val="224D5E56"/>
    <w:rsid w:val="22576990"/>
    <w:rsid w:val="2260293B"/>
    <w:rsid w:val="22663A1C"/>
    <w:rsid w:val="22A530BF"/>
    <w:rsid w:val="22E208A1"/>
    <w:rsid w:val="22F47480"/>
    <w:rsid w:val="231352C9"/>
    <w:rsid w:val="23400DD5"/>
    <w:rsid w:val="23922691"/>
    <w:rsid w:val="23DE1C48"/>
    <w:rsid w:val="23E24B8E"/>
    <w:rsid w:val="23FF0628"/>
    <w:rsid w:val="2400212D"/>
    <w:rsid w:val="240210CD"/>
    <w:rsid w:val="245E2574"/>
    <w:rsid w:val="247D4E1C"/>
    <w:rsid w:val="2483467D"/>
    <w:rsid w:val="24837C7A"/>
    <w:rsid w:val="24992EEE"/>
    <w:rsid w:val="24BF09F7"/>
    <w:rsid w:val="24E862E1"/>
    <w:rsid w:val="250811A3"/>
    <w:rsid w:val="250A32A2"/>
    <w:rsid w:val="252D53FE"/>
    <w:rsid w:val="256444C1"/>
    <w:rsid w:val="25BE4B17"/>
    <w:rsid w:val="25E073EB"/>
    <w:rsid w:val="25E2239D"/>
    <w:rsid w:val="25EC2D81"/>
    <w:rsid w:val="25F80A39"/>
    <w:rsid w:val="26F76EF2"/>
    <w:rsid w:val="273717E1"/>
    <w:rsid w:val="273B6B9C"/>
    <w:rsid w:val="273E668C"/>
    <w:rsid w:val="277057A2"/>
    <w:rsid w:val="27C32914"/>
    <w:rsid w:val="27E77029"/>
    <w:rsid w:val="28001620"/>
    <w:rsid w:val="282E04AF"/>
    <w:rsid w:val="2846350F"/>
    <w:rsid w:val="28767604"/>
    <w:rsid w:val="288971FD"/>
    <w:rsid w:val="28D50537"/>
    <w:rsid w:val="28EC03DC"/>
    <w:rsid w:val="28EE525E"/>
    <w:rsid w:val="28FE4325"/>
    <w:rsid w:val="291C600D"/>
    <w:rsid w:val="29206EB8"/>
    <w:rsid w:val="29477A7A"/>
    <w:rsid w:val="29595666"/>
    <w:rsid w:val="29874881"/>
    <w:rsid w:val="29AB7F18"/>
    <w:rsid w:val="29B26465"/>
    <w:rsid w:val="29E325E0"/>
    <w:rsid w:val="2A015B4F"/>
    <w:rsid w:val="2A2D2A55"/>
    <w:rsid w:val="2A331DAD"/>
    <w:rsid w:val="2A3E08AE"/>
    <w:rsid w:val="2A443D1B"/>
    <w:rsid w:val="2A452503"/>
    <w:rsid w:val="2A48159F"/>
    <w:rsid w:val="2A5C7555"/>
    <w:rsid w:val="2A7C4380"/>
    <w:rsid w:val="2A85657E"/>
    <w:rsid w:val="2A9F7442"/>
    <w:rsid w:val="2AAF43DA"/>
    <w:rsid w:val="2ACA0963"/>
    <w:rsid w:val="2B572895"/>
    <w:rsid w:val="2B6761B2"/>
    <w:rsid w:val="2BA936A8"/>
    <w:rsid w:val="2BE912BD"/>
    <w:rsid w:val="2C315A5A"/>
    <w:rsid w:val="2C3C763E"/>
    <w:rsid w:val="2C4B1C25"/>
    <w:rsid w:val="2C882884"/>
    <w:rsid w:val="2CE43832"/>
    <w:rsid w:val="2CFF066C"/>
    <w:rsid w:val="2D15410E"/>
    <w:rsid w:val="2D157E8F"/>
    <w:rsid w:val="2D375814"/>
    <w:rsid w:val="2D595579"/>
    <w:rsid w:val="2D932212"/>
    <w:rsid w:val="2D9E0A23"/>
    <w:rsid w:val="2D9E56F5"/>
    <w:rsid w:val="2DBD47AF"/>
    <w:rsid w:val="2DDB69E3"/>
    <w:rsid w:val="2DF65CCA"/>
    <w:rsid w:val="2DFE26D1"/>
    <w:rsid w:val="2E361677"/>
    <w:rsid w:val="2E4B698A"/>
    <w:rsid w:val="2E667F96"/>
    <w:rsid w:val="2E67296D"/>
    <w:rsid w:val="2E8226AB"/>
    <w:rsid w:val="2EA32ECC"/>
    <w:rsid w:val="2EB84AEB"/>
    <w:rsid w:val="2EBE493E"/>
    <w:rsid w:val="2EC70A29"/>
    <w:rsid w:val="2EE1627B"/>
    <w:rsid w:val="2EE93618"/>
    <w:rsid w:val="2EED69D6"/>
    <w:rsid w:val="2EFD54E9"/>
    <w:rsid w:val="2F6A001E"/>
    <w:rsid w:val="2F9763D5"/>
    <w:rsid w:val="2FCB33F0"/>
    <w:rsid w:val="2FD065E6"/>
    <w:rsid w:val="2FD06AFC"/>
    <w:rsid w:val="2FD96870"/>
    <w:rsid w:val="2FF95A69"/>
    <w:rsid w:val="30074EF7"/>
    <w:rsid w:val="30116076"/>
    <w:rsid w:val="30286CE6"/>
    <w:rsid w:val="3039021C"/>
    <w:rsid w:val="30580BC9"/>
    <w:rsid w:val="306453B6"/>
    <w:rsid w:val="30703D5A"/>
    <w:rsid w:val="30703EA0"/>
    <w:rsid w:val="309923A3"/>
    <w:rsid w:val="30DF2C8E"/>
    <w:rsid w:val="30E43E01"/>
    <w:rsid w:val="310620F4"/>
    <w:rsid w:val="311765B9"/>
    <w:rsid w:val="311E2318"/>
    <w:rsid w:val="311E2ED7"/>
    <w:rsid w:val="31280814"/>
    <w:rsid w:val="313A76CE"/>
    <w:rsid w:val="315619EE"/>
    <w:rsid w:val="315C449C"/>
    <w:rsid w:val="31750EFD"/>
    <w:rsid w:val="31AA1970"/>
    <w:rsid w:val="31B82709"/>
    <w:rsid w:val="31D05482"/>
    <w:rsid w:val="31FA43BD"/>
    <w:rsid w:val="3202598B"/>
    <w:rsid w:val="320F75A3"/>
    <w:rsid w:val="32400B34"/>
    <w:rsid w:val="32790BE7"/>
    <w:rsid w:val="329E6876"/>
    <w:rsid w:val="32B04434"/>
    <w:rsid w:val="32C10194"/>
    <w:rsid w:val="32D1369A"/>
    <w:rsid w:val="32E96E78"/>
    <w:rsid w:val="33266E9B"/>
    <w:rsid w:val="333015F2"/>
    <w:rsid w:val="334B6320"/>
    <w:rsid w:val="335A65FC"/>
    <w:rsid w:val="3370483D"/>
    <w:rsid w:val="337B6B4A"/>
    <w:rsid w:val="337F2735"/>
    <w:rsid w:val="33D934D4"/>
    <w:rsid w:val="33E7701D"/>
    <w:rsid w:val="33FE2F6A"/>
    <w:rsid w:val="340225C1"/>
    <w:rsid w:val="34073862"/>
    <w:rsid w:val="340E07E5"/>
    <w:rsid w:val="34235BF7"/>
    <w:rsid w:val="34274F61"/>
    <w:rsid w:val="34751F10"/>
    <w:rsid w:val="348C4EDE"/>
    <w:rsid w:val="34DA3E98"/>
    <w:rsid w:val="350D7169"/>
    <w:rsid w:val="351D5B33"/>
    <w:rsid w:val="354C0FC7"/>
    <w:rsid w:val="35834566"/>
    <w:rsid w:val="358C5FA8"/>
    <w:rsid w:val="35C15DF1"/>
    <w:rsid w:val="360067A3"/>
    <w:rsid w:val="36074A7F"/>
    <w:rsid w:val="363D0D6A"/>
    <w:rsid w:val="366B5D86"/>
    <w:rsid w:val="36923549"/>
    <w:rsid w:val="36B75FBF"/>
    <w:rsid w:val="36BD0C45"/>
    <w:rsid w:val="36E103F5"/>
    <w:rsid w:val="37184804"/>
    <w:rsid w:val="371A4A20"/>
    <w:rsid w:val="373B6744"/>
    <w:rsid w:val="37451BA0"/>
    <w:rsid w:val="37507700"/>
    <w:rsid w:val="37516B17"/>
    <w:rsid w:val="37747F2C"/>
    <w:rsid w:val="3780197E"/>
    <w:rsid w:val="37E00298"/>
    <w:rsid w:val="37F91DFC"/>
    <w:rsid w:val="37FD3869"/>
    <w:rsid w:val="383C2774"/>
    <w:rsid w:val="38B302F9"/>
    <w:rsid w:val="38F12CD3"/>
    <w:rsid w:val="38F94775"/>
    <w:rsid w:val="3915547D"/>
    <w:rsid w:val="39217BFC"/>
    <w:rsid w:val="392971ED"/>
    <w:rsid w:val="39325651"/>
    <w:rsid w:val="393838A9"/>
    <w:rsid w:val="395064D7"/>
    <w:rsid w:val="398C3287"/>
    <w:rsid w:val="39A07F34"/>
    <w:rsid w:val="39D76BE6"/>
    <w:rsid w:val="3A041870"/>
    <w:rsid w:val="3A611DE7"/>
    <w:rsid w:val="3A872856"/>
    <w:rsid w:val="3A9156B2"/>
    <w:rsid w:val="3ACC7E3C"/>
    <w:rsid w:val="3B003F2D"/>
    <w:rsid w:val="3B3763D1"/>
    <w:rsid w:val="3B5A648C"/>
    <w:rsid w:val="3B722D63"/>
    <w:rsid w:val="3BAC628D"/>
    <w:rsid w:val="3BD56AB5"/>
    <w:rsid w:val="3C031CF3"/>
    <w:rsid w:val="3C067321"/>
    <w:rsid w:val="3C0B058F"/>
    <w:rsid w:val="3C2853F3"/>
    <w:rsid w:val="3C2E5359"/>
    <w:rsid w:val="3C2F6E1E"/>
    <w:rsid w:val="3C3D3D5F"/>
    <w:rsid w:val="3C4F64BA"/>
    <w:rsid w:val="3C522566"/>
    <w:rsid w:val="3CB111DE"/>
    <w:rsid w:val="3CC47AF8"/>
    <w:rsid w:val="3CDA245A"/>
    <w:rsid w:val="3D101FEB"/>
    <w:rsid w:val="3D1E06B7"/>
    <w:rsid w:val="3D5231EF"/>
    <w:rsid w:val="3D6E2F8B"/>
    <w:rsid w:val="3DA66102"/>
    <w:rsid w:val="3DAE1A1E"/>
    <w:rsid w:val="3DD575F5"/>
    <w:rsid w:val="3E0D2837"/>
    <w:rsid w:val="3E3616CF"/>
    <w:rsid w:val="3E402964"/>
    <w:rsid w:val="3E470969"/>
    <w:rsid w:val="3E517632"/>
    <w:rsid w:val="3E886713"/>
    <w:rsid w:val="3EC05EAD"/>
    <w:rsid w:val="3EDA0523"/>
    <w:rsid w:val="3F1C6DF3"/>
    <w:rsid w:val="3F290D12"/>
    <w:rsid w:val="3F5F6F4D"/>
    <w:rsid w:val="3F934C4B"/>
    <w:rsid w:val="3F9A0617"/>
    <w:rsid w:val="3FC85BB1"/>
    <w:rsid w:val="3FF31A9B"/>
    <w:rsid w:val="3FF4778E"/>
    <w:rsid w:val="40490A94"/>
    <w:rsid w:val="404B79F8"/>
    <w:rsid w:val="407A6407"/>
    <w:rsid w:val="40970E8F"/>
    <w:rsid w:val="409E1D3D"/>
    <w:rsid w:val="40D82ED1"/>
    <w:rsid w:val="40E01CD0"/>
    <w:rsid w:val="40F46F38"/>
    <w:rsid w:val="4108712E"/>
    <w:rsid w:val="41101E73"/>
    <w:rsid w:val="411C5AE4"/>
    <w:rsid w:val="414145EE"/>
    <w:rsid w:val="41466CEB"/>
    <w:rsid w:val="41847666"/>
    <w:rsid w:val="41D869DB"/>
    <w:rsid w:val="41E12ECE"/>
    <w:rsid w:val="41EB0ED4"/>
    <w:rsid w:val="4200449D"/>
    <w:rsid w:val="423A3BCC"/>
    <w:rsid w:val="424961B9"/>
    <w:rsid w:val="424E57D2"/>
    <w:rsid w:val="426052B1"/>
    <w:rsid w:val="428270C4"/>
    <w:rsid w:val="42B26C49"/>
    <w:rsid w:val="42C41E2D"/>
    <w:rsid w:val="42CD54E6"/>
    <w:rsid w:val="42DF10AC"/>
    <w:rsid w:val="433A6FE6"/>
    <w:rsid w:val="43480868"/>
    <w:rsid w:val="4350713C"/>
    <w:rsid w:val="435C1F1C"/>
    <w:rsid w:val="436653E0"/>
    <w:rsid w:val="436A4639"/>
    <w:rsid w:val="43BD0C0D"/>
    <w:rsid w:val="43C26223"/>
    <w:rsid w:val="43C4431A"/>
    <w:rsid w:val="43CC6C23"/>
    <w:rsid w:val="43D91EA2"/>
    <w:rsid w:val="43DB1F4D"/>
    <w:rsid w:val="43F47C68"/>
    <w:rsid w:val="43F6411F"/>
    <w:rsid w:val="441647C1"/>
    <w:rsid w:val="441B1DD7"/>
    <w:rsid w:val="442073EE"/>
    <w:rsid w:val="44230847"/>
    <w:rsid w:val="4430358B"/>
    <w:rsid w:val="44351B96"/>
    <w:rsid w:val="4447497A"/>
    <w:rsid w:val="44547675"/>
    <w:rsid w:val="4499660A"/>
    <w:rsid w:val="44B951CC"/>
    <w:rsid w:val="44CA6ED0"/>
    <w:rsid w:val="44CD14E0"/>
    <w:rsid w:val="44F20B0B"/>
    <w:rsid w:val="452E5F4C"/>
    <w:rsid w:val="45612018"/>
    <w:rsid w:val="45684BA8"/>
    <w:rsid w:val="458946E9"/>
    <w:rsid w:val="45A47C0E"/>
    <w:rsid w:val="463762D1"/>
    <w:rsid w:val="46577FD6"/>
    <w:rsid w:val="468E0255"/>
    <w:rsid w:val="469138D7"/>
    <w:rsid w:val="46BB227E"/>
    <w:rsid w:val="46D955A7"/>
    <w:rsid w:val="46E1544B"/>
    <w:rsid w:val="4703102D"/>
    <w:rsid w:val="47133957"/>
    <w:rsid w:val="4755115C"/>
    <w:rsid w:val="47590C4D"/>
    <w:rsid w:val="476C4278"/>
    <w:rsid w:val="478024CA"/>
    <w:rsid w:val="47A07E0C"/>
    <w:rsid w:val="47D5299C"/>
    <w:rsid w:val="47FD4C6F"/>
    <w:rsid w:val="48151F26"/>
    <w:rsid w:val="482B29E2"/>
    <w:rsid w:val="48480CF6"/>
    <w:rsid w:val="48570937"/>
    <w:rsid w:val="4870272E"/>
    <w:rsid w:val="48914416"/>
    <w:rsid w:val="48E17094"/>
    <w:rsid w:val="4901159C"/>
    <w:rsid w:val="491B3737"/>
    <w:rsid w:val="494C35EB"/>
    <w:rsid w:val="494E4BED"/>
    <w:rsid w:val="4974451A"/>
    <w:rsid w:val="498036ED"/>
    <w:rsid w:val="49835064"/>
    <w:rsid w:val="49C76E03"/>
    <w:rsid w:val="49D26E8C"/>
    <w:rsid w:val="49DC7715"/>
    <w:rsid w:val="49DE7B2F"/>
    <w:rsid w:val="49E07403"/>
    <w:rsid w:val="49E73364"/>
    <w:rsid w:val="4A023139"/>
    <w:rsid w:val="4A2C03D3"/>
    <w:rsid w:val="4A7B576F"/>
    <w:rsid w:val="4A8A736F"/>
    <w:rsid w:val="4AF561A9"/>
    <w:rsid w:val="4B271062"/>
    <w:rsid w:val="4B5F25AA"/>
    <w:rsid w:val="4B645E12"/>
    <w:rsid w:val="4B6F3F87"/>
    <w:rsid w:val="4BB25899"/>
    <w:rsid w:val="4BE5538A"/>
    <w:rsid w:val="4BEB3C50"/>
    <w:rsid w:val="4C157F0D"/>
    <w:rsid w:val="4C4A0649"/>
    <w:rsid w:val="4C7E5ECA"/>
    <w:rsid w:val="4C84353B"/>
    <w:rsid w:val="4C876AA5"/>
    <w:rsid w:val="4C8817BB"/>
    <w:rsid w:val="4C9646F1"/>
    <w:rsid w:val="4C971FC1"/>
    <w:rsid w:val="4CD11FAE"/>
    <w:rsid w:val="4D0E00FB"/>
    <w:rsid w:val="4D176606"/>
    <w:rsid w:val="4D7D1B31"/>
    <w:rsid w:val="4D8702C0"/>
    <w:rsid w:val="4D952297"/>
    <w:rsid w:val="4DA41222"/>
    <w:rsid w:val="4DCC40AD"/>
    <w:rsid w:val="4DEC4FB0"/>
    <w:rsid w:val="4E075D8A"/>
    <w:rsid w:val="4E3B72FE"/>
    <w:rsid w:val="4E5A52AA"/>
    <w:rsid w:val="4E7914EC"/>
    <w:rsid w:val="4E892A43"/>
    <w:rsid w:val="4E920EE8"/>
    <w:rsid w:val="4EC00FAD"/>
    <w:rsid w:val="4ECC427E"/>
    <w:rsid w:val="4F1777EB"/>
    <w:rsid w:val="4F393A65"/>
    <w:rsid w:val="4F4B6F48"/>
    <w:rsid w:val="4F9843DC"/>
    <w:rsid w:val="4FC62A8C"/>
    <w:rsid w:val="4FE20F0D"/>
    <w:rsid w:val="4FE51552"/>
    <w:rsid w:val="4FF84A82"/>
    <w:rsid w:val="503E2640"/>
    <w:rsid w:val="50504C4B"/>
    <w:rsid w:val="509C6E7C"/>
    <w:rsid w:val="50B0138F"/>
    <w:rsid w:val="50B92BBB"/>
    <w:rsid w:val="5162104E"/>
    <w:rsid w:val="51786173"/>
    <w:rsid w:val="51C972C4"/>
    <w:rsid w:val="51DE3408"/>
    <w:rsid w:val="51E30B9B"/>
    <w:rsid w:val="51E667EB"/>
    <w:rsid w:val="51F213EA"/>
    <w:rsid w:val="51F82175"/>
    <w:rsid w:val="523778A1"/>
    <w:rsid w:val="526112FD"/>
    <w:rsid w:val="52B073FB"/>
    <w:rsid w:val="52B729E6"/>
    <w:rsid w:val="52DC0984"/>
    <w:rsid w:val="532C5467"/>
    <w:rsid w:val="53531373"/>
    <w:rsid w:val="5372357C"/>
    <w:rsid w:val="53A039CC"/>
    <w:rsid w:val="53A1505A"/>
    <w:rsid w:val="53B918B3"/>
    <w:rsid w:val="53EB70D0"/>
    <w:rsid w:val="53FA37B7"/>
    <w:rsid w:val="54063E08"/>
    <w:rsid w:val="540C4EF0"/>
    <w:rsid w:val="54204817"/>
    <w:rsid w:val="543437E8"/>
    <w:rsid w:val="54422A68"/>
    <w:rsid w:val="544C58C5"/>
    <w:rsid w:val="546B6E00"/>
    <w:rsid w:val="549356DB"/>
    <w:rsid w:val="54B03E76"/>
    <w:rsid w:val="54BC375E"/>
    <w:rsid w:val="54F73313"/>
    <w:rsid w:val="54F80955"/>
    <w:rsid w:val="550B5550"/>
    <w:rsid w:val="55257679"/>
    <w:rsid w:val="55344AA7"/>
    <w:rsid w:val="553C35D1"/>
    <w:rsid w:val="55446B15"/>
    <w:rsid w:val="555170A7"/>
    <w:rsid w:val="555B6847"/>
    <w:rsid w:val="5587536D"/>
    <w:rsid w:val="558971EE"/>
    <w:rsid w:val="55923320"/>
    <w:rsid w:val="559A7000"/>
    <w:rsid w:val="559B174B"/>
    <w:rsid w:val="55CE0CF4"/>
    <w:rsid w:val="55DF2C65"/>
    <w:rsid w:val="55F61F34"/>
    <w:rsid w:val="55F66200"/>
    <w:rsid w:val="55FD30EB"/>
    <w:rsid w:val="56066443"/>
    <w:rsid w:val="56B22A9C"/>
    <w:rsid w:val="56F02C50"/>
    <w:rsid w:val="57091CBE"/>
    <w:rsid w:val="571B5570"/>
    <w:rsid w:val="57284198"/>
    <w:rsid w:val="57513534"/>
    <w:rsid w:val="576E6ED6"/>
    <w:rsid w:val="57734EC2"/>
    <w:rsid w:val="57B72A76"/>
    <w:rsid w:val="57C3426C"/>
    <w:rsid w:val="57CB0208"/>
    <w:rsid w:val="57CD0385"/>
    <w:rsid w:val="57CE1F93"/>
    <w:rsid w:val="588743D1"/>
    <w:rsid w:val="5887701A"/>
    <w:rsid w:val="588B65C4"/>
    <w:rsid w:val="58B32187"/>
    <w:rsid w:val="58C372DB"/>
    <w:rsid w:val="58D40EA4"/>
    <w:rsid w:val="58DC0252"/>
    <w:rsid w:val="597E09E7"/>
    <w:rsid w:val="59B245CE"/>
    <w:rsid w:val="59C0439F"/>
    <w:rsid w:val="59EA238B"/>
    <w:rsid w:val="59EB0340"/>
    <w:rsid w:val="59EF5A71"/>
    <w:rsid w:val="59FE5684"/>
    <w:rsid w:val="5A116D38"/>
    <w:rsid w:val="5A24333C"/>
    <w:rsid w:val="5A3966BC"/>
    <w:rsid w:val="5A470DD9"/>
    <w:rsid w:val="5A7406CF"/>
    <w:rsid w:val="5A9545B4"/>
    <w:rsid w:val="5A9A29E7"/>
    <w:rsid w:val="5A9D6C4B"/>
    <w:rsid w:val="5ABD109B"/>
    <w:rsid w:val="5ABE2233"/>
    <w:rsid w:val="5B101B12"/>
    <w:rsid w:val="5B3B39E0"/>
    <w:rsid w:val="5B7E0A18"/>
    <w:rsid w:val="5BA6614B"/>
    <w:rsid w:val="5BB61133"/>
    <w:rsid w:val="5BD9120D"/>
    <w:rsid w:val="5BDF5D95"/>
    <w:rsid w:val="5BF3760E"/>
    <w:rsid w:val="5BFE7528"/>
    <w:rsid w:val="5C0056E3"/>
    <w:rsid w:val="5C4001D5"/>
    <w:rsid w:val="5C7B2FBB"/>
    <w:rsid w:val="5C983B6D"/>
    <w:rsid w:val="5CA6628A"/>
    <w:rsid w:val="5CA94BFF"/>
    <w:rsid w:val="5CDF79EE"/>
    <w:rsid w:val="5D061C3E"/>
    <w:rsid w:val="5D5950A5"/>
    <w:rsid w:val="5D9639CE"/>
    <w:rsid w:val="5DA85012"/>
    <w:rsid w:val="5DBC69CF"/>
    <w:rsid w:val="5DF377DD"/>
    <w:rsid w:val="5E2467F1"/>
    <w:rsid w:val="5E370D40"/>
    <w:rsid w:val="5E4D17D9"/>
    <w:rsid w:val="5E794C7D"/>
    <w:rsid w:val="5ED21497"/>
    <w:rsid w:val="5EEC63F2"/>
    <w:rsid w:val="5F013200"/>
    <w:rsid w:val="5F172606"/>
    <w:rsid w:val="5F1A2B43"/>
    <w:rsid w:val="5F2B2A77"/>
    <w:rsid w:val="5FB837BB"/>
    <w:rsid w:val="60182FB0"/>
    <w:rsid w:val="603B1997"/>
    <w:rsid w:val="60573856"/>
    <w:rsid w:val="605F0459"/>
    <w:rsid w:val="608531FB"/>
    <w:rsid w:val="609D1752"/>
    <w:rsid w:val="609F357C"/>
    <w:rsid w:val="60A84A08"/>
    <w:rsid w:val="60CC405A"/>
    <w:rsid w:val="60E22725"/>
    <w:rsid w:val="612148CD"/>
    <w:rsid w:val="613C6D5F"/>
    <w:rsid w:val="616E1341"/>
    <w:rsid w:val="617526CF"/>
    <w:rsid w:val="618952C5"/>
    <w:rsid w:val="61E215D8"/>
    <w:rsid w:val="6201410B"/>
    <w:rsid w:val="621B3775"/>
    <w:rsid w:val="62364782"/>
    <w:rsid w:val="625D59FE"/>
    <w:rsid w:val="629D0BC8"/>
    <w:rsid w:val="62A0536D"/>
    <w:rsid w:val="62A3326C"/>
    <w:rsid w:val="62B13E15"/>
    <w:rsid w:val="630C5FBA"/>
    <w:rsid w:val="63620A31"/>
    <w:rsid w:val="6372071E"/>
    <w:rsid w:val="6388587F"/>
    <w:rsid w:val="638B442C"/>
    <w:rsid w:val="6394356A"/>
    <w:rsid w:val="639A466F"/>
    <w:rsid w:val="63A44B67"/>
    <w:rsid w:val="63B3695A"/>
    <w:rsid w:val="63B774F7"/>
    <w:rsid w:val="63C61B2C"/>
    <w:rsid w:val="63D40BE9"/>
    <w:rsid w:val="63E7545A"/>
    <w:rsid w:val="640B2E77"/>
    <w:rsid w:val="64102431"/>
    <w:rsid w:val="64591E34"/>
    <w:rsid w:val="645C1924"/>
    <w:rsid w:val="648F07F3"/>
    <w:rsid w:val="64A5243A"/>
    <w:rsid w:val="64C71ED6"/>
    <w:rsid w:val="64CE229F"/>
    <w:rsid w:val="64F531DE"/>
    <w:rsid w:val="650C43FF"/>
    <w:rsid w:val="65373578"/>
    <w:rsid w:val="653D52B2"/>
    <w:rsid w:val="65BE28F1"/>
    <w:rsid w:val="65CD093A"/>
    <w:rsid w:val="65EB11B2"/>
    <w:rsid w:val="66083899"/>
    <w:rsid w:val="664601B1"/>
    <w:rsid w:val="66522FDF"/>
    <w:rsid w:val="66552ACF"/>
    <w:rsid w:val="66911D59"/>
    <w:rsid w:val="66AE2FFF"/>
    <w:rsid w:val="66B01B09"/>
    <w:rsid w:val="66E1327D"/>
    <w:rsid w:val="66F10A4A"/>
    <w:rsid w:val="67184229"/>
    <w:rsid w:val="671D192D"/>
    <w:rsid w:val="671F124A"/>
    <w:rsid w:val="672D262C"/>
    <w:rsid w:val="677A33C6"/>
    <w:rsid w:val="681F6961"/>
    <w:rsid w:val="68207184"/>
    <w:rsid w:val="6845258C"/>
    <w:rsid w:val="68483CC8"/>
    <w:rsid w:val="68610A2F"/>
    <w:rsid w:val="68805514"/>
    <w:rsid w:val="69316E2F"/>
    <w:rsid w:val="6942558D"/>
    <w:rsid w:val="694E2071"/>
    <w:rsid w:val="69766163"/>
    <w:rsid w:val="697A3B33"/>
    <w:rsid w:val="69842E6C"/>
    <w:rsid w:val="69B34AE6"/>
    <w:rsid w:val="69D16911"/>
    <w:rsid w:val="69D44377"/>
    <w:rsid w:val="69D44760"/>
    <w:rsid w:val="69E6518F"/>
    <w:rsid w:val="6A1011E7"/>
    <w:rsid w:val="6A3804E7"/>
    <w:rsid w:val="6A520EC7"/>
    <w:rsid w:val="6A7B0A97"/>
    <w:rsid w:val="6A856DC5"/>
    <w:rsid w:val="6A89272A"/>
    <w:rsid w:val="6A9C0CCD"/>
    <w:rsid w:val="6AA87968"/>
    <w:rsid w:val="6AB4560A"/>
    <w:rsid w:val="6AF87E20"/>
    <w:rsid w:val="6AF93F84"/>
    <w:rsid w:val="6B101722"/>
    <w:rsid w:val="6B322639"/>
    <w:rsid w:val="6B811F76"/>
    <w:rsid w:val="6B873909"/>
    <w:rsid w:val="6B8C02A7"/>
    <w:rsid w:val="6BBD0EFB"/>
    <w:rsid w:val="6BC350F9"/>
    <w:rsid w:val="6BCA6012"/>
    <w:rsid w:val="6BFB7C75"/>
    <w:rsid w:val="6C0B610A"/>
    <w:rsid w:val="6C24541E"/>
    <w:rsid w:val="6C636C38"/>
    <w:rsid w:val="6C681B99"/>
    <w:rsid w:val="6CE16E6B"/>
    <w:rsid w:val="6CF41E3F"/>
    <w:rsid w:val="6D5C551F"/>
    <w:rsid w:val="6D7C0AE9"/>
    <w:rsid w:val="6DB26AA6"/>
    <w:rsid w:val="6DB34098"/>
    <w:rsid w:val="6DB545B6"/>
    <w:rsid w:val="6DB7406A"/>
    <w:rsid w:val="6DE02FB4"/>
    <w:rsid w:val="6DFF027B"/>
    <w:rsid w:val="6E4E1756"/>
    <w:rsid w:val="6E514CED"/>
    <w:rsid w:val="6E5F44EB"/>
    <w:rsid w:val="6E7E5A24"/>
    <w:rsid w:val="6EB563D5"/>
    <w:rsid w:val="6ED92677"/>
    <w:rsid w:val="6F056402"/>
    <w:rsid w:val="6F202B41"/>
    <w:rsid w:val="6F225983"/>
    <w:rsid w:val="6F4A6F49"/>
    <w:rsid w:val="6FAB4C25"/>
    <w:rsid w:val="6FE423F7"/>
    <w:rsid w:val="6FFC5590"/>
    <w:rsid w:val="704A74DD"/>
    <w:rsid w:val="70655034"/>
    <w:rsid w:val="706D1DD0"/>
    <w:rsid w:val="70824ED7"/>
    <w:rsid w:val="70856B87"/>
    <w:rsid w:val="70C617D9"/>
    <w:rsid w:val="70CF1D32"/>
    <w:rsid w:val="70D527EE"/>
    <w:rsid w:val="70FF1FB5"/>
    <w:rsid w:val="710B2708"/>
    <w:rsid w:val="713D663A"/>
    <w:rsid w:val="714764F0"/>
    <w:rsid w:val="715B5300"/>
    <w:rsid w:val="71630796"/>
    <w:rsid w:val="71771B4C"/>
    <w:rsid w:val="71D27F8A"/>
    <w:rsid w:val="72037E40"/>
    <w:rsid w:val="72091D7F"/>
    <w:rsid w:val="720D652E"/>
    <w:rsid w:val="72227D09"/>
    <w:rsid w:val="722A5174"/>
    <w:rsid w:val="723C597E"/>
    <w:rsid w:val="72495AA5"/>
    <w:rsid w:val="72553024"/>
    <w:rsid w:val="725613B0"/>
    <w:rsid w:val="7258787F"/>
    <w:rsid w:val="727F4EFC"/>
    <w:rsid w:val="72952BD1"/>
    <w:rsid w:val="729A1F96"/>
    <w:rsid w:val="72BD22A8"/>
    <w:rsid w:val="72DB0CEA"/>
    <w:rsid w:val="72DB435C"/>
    <w:rsid w:val="72E96407"/>
    <w:rsid w:val="73122968"/>
    <w:rsid w:val="731F5D5E"/>
    <w:rsid w:val="73497D6F"/>
    <w:rsid w:val="737D6629"/>
    <w:rsid w:val="73B01775"/>
    <w:rsid w:val="73C51AD5"/>
    <w:rsid w:val="741D2E7E"/>
    <w:rsid w:val="741E793C"/>
    <w:rsid w:val="743D52CE"/>
    <w:rsid w:val="745E3944"/>
    <w:rsid w:val="74687E72"/>
    <w:rsid w:val="7479207F"/>
    <w:rsid w:val="74795BDB"/>
    <w:rsid w:val="747E7E73"/>
    <w:rsid w:val="74876B1F"/>
    <w:rsid w:val="74B2780B"/>
    <w:rsid w:val="74CE01A5"/>
    <w:rsid w:val="74FE583E"/>
    <w:rsid w:val="752B3379"/>
    <w:rsid w:val="753A35BC"/>
    <w:rsid w:val="7546457C"/>
    <w:rsid w:val="757545F4"/>
    <w:rsid w:val="75C767E0"/>
    <w:rsid w:val="75D70E78"/>
    <w:rsid w:val="75DE2E63"/>
    <w:rsid w:val="76325877"/>
    <w:rsid w:val="7635099D"/>
    <w:rsid w:val="764A3CD3"/>
    <w:rsid w:val="76595CC4"/>
    <w:rsid w:val="76663CFC"/>
    <w:rsid w:val="766C1260"/>
    <w:rsid w:val="76C176A8"/>
    <w:rsid w:val="76C43A85"/>
    <w:rsid w:val="77323F24"/>
    <w:rsid w:val="774424D0"/>
    <w:rsid w:val="77762421"/>
    <w:rsid w:val="779B13AA"/>
    <w:rsid w:val="77A2369A"/>
    <w:rsid w:val="77B56B1F"/>
    <w:rsid w:val="77F14811"/>
    <w:rsid w:val="780F09F4"/>
    <w:rsid w:val="781016CE"/>
    <w:rsid w:val="781D0BC2"/>
    <w:rsid w:val="78393FFF"/>
    <w:rsid w:val="785030F6"/>
    <w:rsid w:val="787501AB"/>
    <w:rsid w:val="78A90480"/>
    <w:rsid w:val="78AC4C67"/>
    <w:rsid w:val="78B47B29"/>
    <w:rsid w:val="78FD0610"/>
    <w:rsid w:val="7907039A"/>
    <w:rsid w:val="794A4208"/>
    <w:rsid w:val="797963BF"/>
    <w:rsid w:val="79E675CF"/>
    <w:rsid w:val="79EF5927"/>
    <w:rsid w:val="79F71A7C"/>
    <w:rsid w:val="7A056A5A"/>
    <w:rsid w:val="7A25551D"/>
    <w:rsid w:val="7A364017"/>
    <w:rsid w:val="7A50522C"/>
    <w:rsid w:val="7A765096"/>
    <w:rsid w:val="7A8265E1"/>
    <w:rsid w:val="7A8A6E80"/>
    <w:rsid w:val="7AE65957"/>
    <w:rsid w:val="7B087976"/>
    <w:rsid w:val="7B4E03F5"/>
    <w:rsid w:val="7B5951B2"/>
    <w:rsid w:val="7B686D42"/>
    <w:rsid w:val="7B841746"/>
    <w:rsid w:val="7BC23354"/>
    <w:rsid w:val="7BEE01FD"/>
    <w:rsid w:val="7C3E7E36"/>
    <w:rsid w:val="7C6C5AC7"/>
    <w:rsid w:val="7CAA1027"/>
    <w:rsid w:val="7CC6544B"/>
    <w:rsid w:val="7D0239FF"/>
    <w:rsid w:val="7D2C4132"/>
    <w:rsid w:val="7D5E40CD"/>
    <w:rsid w:val="7DC545B5"/>
    <w:rsid w:val="7DCD56F2"/>
    <w:rsid w:val="7E01179A"/>
    <w:rsid w:val="7E221091"/>
    <w:rsid w:val="7E221D3B"/>
    <w:rsid w:val="7E7A711F"/>
    <w:rsid w:val="7E9640E7"/>
    <w:rsid w:val="7E9A5A22"/>
    <w:rsid w:val="7F001CE7"/>
    <w:rsid w:val="7F7F36B6"/>
    <w:rsid w:val="7F9D1317"/>
    <w:rsid w:val="7FB32B5A"/>
    <w:rsid w:val="7FC64A8F"/>
    <w:rsid w:val="7FE47E50"/>
    <w:rsid w:val="7FF13F6C"/>
    <w:rsid w:val="7FFC30B1"/>
  </w:rsids>
  <w:docVars>
    <w:docVar w:name="commondata" w:val="eyJoZGlkIjoiODgxYTcwM2NmYzI1NzhmNTc1MjIxOGY3NzExODVmZjcifQ=="/>
  </w:docVar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qFormat="1"/>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qFormat="1"/>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39" w:qFormat="1"/>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qFormat="1"/>
    <w:lsdException w:name="footnote text" w:locked="1" w:semiHidden="0" w:uiPriority="0" w:unhideWhenUsed="0"/>
    <w:lsdException w:name="annotation text" w:uiPriority="0" w:unhideWhenUsed="0"/>
    <w:lsdException w:name="header" w:semiHidden="0" w:uiPriority="0" w:unhideWhenUsed="0"/>
    <w:lsdException w:name="footer" w:semiHidden="0" w:unhideWhenUsed="0"/>
    <w:lsdException w:name="index heading" w:locked="1" w:uiPriority="0" w:unhideWhenUsed="0" w:qFormat="1"/>
    <w:lsdException w:name="caption" w:locked="1" w:semiHidden="0" w:uiPriority="0" w:unhideWhenUsed="0" w:qFormat="1"/>
    <w:lsdException w:name="table of figures" w:locked="1" w:semiHidden="0" w:uiPriority="0" w:unhideWhenUsed="0" w:qFormat="1"/>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uiPriority="0" w:unhideWhenUsed="0"/>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qFormat="1"/>
    <w:lsdException w:name="macro" w:locked="1" w:semiHidden="0" w:uiPriority="0" w:unhideWhenUsed="0"/>
    <w:lsdException w:name="toa heading" w:locked="1" w:semiHidden="0" w:uiPriority="0" w:unhideWhenUsed="0"/>
    <w:lsdException w:name="List" w:locked="1" w:semiHidden="0" w:uiPriority="0" w:unhideWhenUsed="0"/>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qFormat="1"/>
    <w:lsdException w:name="Body Text Indent"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uiPriority="0" w:unhideWhenUsed="0"/>
    <w:lsdException w:name="Body Text First Indent 2" w:locked="1" w:semiHidden="0" w:unhideWhenUsed="0" w:qFormat="1"/>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Block Text"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qFormat="1"/>
    <w:lsdException w:name="E-mail Signature" w:locked="1" w:semiHidden="0" w:uiPriority="0" w:unhideWhenUsed="0"/>
    <w:lsdException w:name="Normal (Web)" w:semiHidden="0" w:unhideWhenUsed="0" w:qFormat="1"/>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uiPriority="0" w:unhideWhenUsed="0"/>
    <w:lsdException w:name="annotation subject"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uiPriority="0" w:unhideWhenUsed="0"/>
    <w:lsdException w:name="Table Grid" w:semiHidden="0" w:uiPriority="0" w:unhideWhenUsed="0" w:qFormat="1"/>
    <w:lsdException w:name="Table Theme"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Default"/>
    <w:qFormat/>
    <w:pPr>
      <w:widowControl w:val="0"/>
      <w:jc w:val="both"/>
    </w:pPr>
    <w:rPr>
      <w:kern w:val="2"/>
      <w:sz w:val="21"/>
      <w:szCs w:val="24"/>
      <w:lang w:val="en-US" w:eastAsia="zh-CN" w:bidi="ar-SA"/>
    </w:rPr>
  </w:style>
  <w:style w:type="paragraph" w:styleId="Heading1">
    <w:name w:val="heading 1"/>
    <w:basedOn w:val="Normal"/>
    <w:next w:val="Normal"/>
    <w:uiPriority w:val="99"/>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heading 2"/>
    <w:basedOn w:val="Normal"/>
    <w:next w:val="Normal"/>
    <w:qFormat/>
    <w:locked/>
    <w:pPr>
      <w:spacing w:before="100" w:beforeAutospacing="1" w:after="100" w:afterAutospacing="1"/>
      <w:jc w:val="left"/>
      <w:outlineLvl w:val="1"/>
    </w:pPr>
    <w:rPr>
      <w:rFonts w:ascii="宋体" w:eastAsia="宋体" w:hAnsi="宋体" w:cs="宋体" w:hint="eastAsia"/>
      <w:b/>
      <w:bCs/>
      <w:kern w:val="0"/>
      <w:sz w:val="36"/>
      <w:szCs w:val="36"/>
      <w:lang w:val="en-US" w:eastAsia="zh-CN" w:bidi="ar"/>
    </w:rPr>
  </w:style>
  <w:style w:type="paragraph" w:styleId="Heading3">
    <w:name w:val="heading 3"/>
    <w:basedOn w:val="Normal"/>
    <w:next w:val="Normal"/>
    <w:qFormat/>
    <w:locked/>
    <w:pPr>
      <w:keepNext/>
      <w:keepLines/>
      <w:widowControl/>
      <w:spacing w:before="260" w:after="260" w:line="416" w:lineRule="atLeast"/>
      <w:textAlignment w:val="baseline"/>
      <w:outlineLvl w:val="2"/>
    </w:pPr>
    <w:rPr>
      <w:b/>
      <w:color w:val="000000"/>
      <w:kern w:val="0"/>
      <w:sz w:val="32"/>
      <w:u w:val="none" w:color="000000"/>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2Char">
    <w:name w:val="正文文本缩进 2 Char"/>
    <w:link w:val="BodyTextIndent2"/>
    <w:rPr>
      <w:kern w:val="2"/>
      <w:sz w:val="21"/>
      <w:szCs w:val="24"/>
    </w:rPr>
  </w:style>
  <w:style w:type="character" w:customStyle="1" w:styleId="a">
    <w:name w:val="正文文本 字符"/>
    <w:link w:val="BodyText"/>
    <w:locked/>
    <w:rPr>
      <w:sz w:val="18"/>
    </w:rPr>
  </w:style>
  <w:style w:type="character" w:customStyle="1" w:styleId="a0">
    <w:name w:val="正文缩进 字符"/>
    <w:link w:val="NormalIndent"/>
    <w:qFormat/>
    <w:rPr>
      <w:rFonts w:eastAsia="仿宋_GB2312"/>
      <w:kern w:val="2"/>
      <w:sz w:val="28"/>
      <w:szCs w:val="24"/>
    </w:rPr>
  </w:style>
  <w:style w:type="character" w:styleId="PageNumber">
    <w:name w:val="page number"/>
    <w:locked/>
  </w:style>
  <w:style w:type="character" w:customStyle="1" w:styleId="fontstyle01">
    <w:name w:val="fontstyle01"/>
    <w:rPr>
      <w:rFonts w:ascii="宋体" w:eastAsia="宋体" w:hAnsi="宋体" w:hint="eastAsia"/>
      <w:color w:val="000000"/>
      <w:sz w:val="22"/>
      <w:szCs w:val="22"/>
    </w:rPr>
  </w:style>
  <w:style w:type="character" w:customStyle="1" w:styleId="fontstyle11">
    <w:name w:val="fontstyle11"/>
    <w:rPr>
      <w:rFonts w:ascii="TimesNewRomanPSMT" w:eastAsia="TimesNewRomanPSMT" w:hint="eastAsia"/>
      <w:color w:val="000000"/>
      <w:sz w:val="18"/>
      <w:szCs w:val="18"/>
    </w:rPr>
  </w:style>
  <w:style w:type="character" w:customStyle="1" w:styleId="font01">
    <w:name w:val="font01"/>
    <w:basedOn w:val="DefaultParagraphFont"/>
    <w:qFormat/>
    <w:rPr>
      <w:rFonts w:ascii="宋体" w:eastAsia="宋体" w:hAnsi="宋体" w:cs="宋体" w:hint="eastAsia"/>
      <w:color w:val="000000"/>
      <w:sz w:val="21"/>
      <w:szCs w:val="21"/>
      <w:u w:val="none"/>
    </w:rPr>
  </w:style>
  <w:style w:type="character" w:customStyle="1" w:styleId="1">
    <w:name w:val="批注文字 字符1"/>
    <w:semiHidden/>
    <w:rPr>
      <w:rFonts w:ascii="Times New Roman" w:eastAsia="宋体" w:hAnsi="Times New Roman"/>
      <w:sz w:val="24"/>
    </w:rPr>
  </w:style>
  <w:style w:type="character" w:customStyle="1" w:styleId="a1">
    <w:name w:val="批注主题 字符"/>
    <w:link w:val="CommentSubject"/>
    <w:semiHidden/>
    <w:locked/>
    <w:rPr>
      <w:rFonts w:ascii="Times New Roman" w:eastAsia="宋体" w:hAnsi="Times New Roman"/>
      <w:b/>
      <w:kern w:val="2"/>
      <w:sz w:val="24"/>
    </w:rPr>
  </w:style>
  <w:style w:type="character" w:styleId="Hyperlink">
    <w:name w:val="Hyperlink"/>
    <w:locked/>
    <w:rPr>
      <w:color w:val="333333"/>
      <w:u w:val="none"/>
    </w:rPr>
  </w:style>
  <w:style w:type="character" w:customStyle="1" w:styleId="Char">
    <w:name w:val="正文缩进 Char"/>
    <w:qFormat/>
    <w:rPr>
      <w:rFonts w:eastAsia="仿宋_GB2312"/>
      <w:kern w:val="2"/>
      <w:sz w:val="28"/>
      <w:szCs w:val="24"/>
    </w:rPr>
  </w:style>
  <w:style w:type="character" w:customStyle="1" w:styleId="a2">
    <w:name w:val="日期 字符"/>
    <w:semiHidden/>
    <w:rPr>
      <w:rFonts w:ascii="Times New Roman" w:eastAsia="宋体" w:hAnsi="Times New Roman"/>
      <w:sz w:val="24"/>
    </w:rPr>
  </w:style>
  <w:style w:type="character" w:styleId="Emphasis">
    <w:name w:val="Emphasis"/>
    <w:basedOn w:val="DefaultParagraphFont"/>
    <w:qFormat/>
    <w:locked/>
    <w:rPr>
      <w:i/>
    </w:rPr>
  </w:style>
  <w:style w:type="character" w:customStyle="1" w:styleId="2">
    <w:name w:val="正文文本 2 字符"/>
    <w:link w:val="BodyText2"/>
    <w:rPr>
      <w:kern w:val="2"/>
      <w:sz w:val="21"/>
      <w:szCs w:val="24"/>
    </w:rPr>
  </w:style>
  <w:style w:type="character" w:styleId="Strong">
    <w:name w:val="Strong"/>
    <w:qFormat/>
    <w:locked/>
    <w:rPr>
      <w:b/>
    </w:rPr>
  </w:style>
  <w:style w:type="character" w:customStyle="1" w:styleId="10">
    <w:name w:val="页脚 字符1"/>
    <w:link w:val="Footer"/>
    <w:uiPriority w:val="99"/>
    <w:locked/>
    <w:rPr>
      <w:sz w:val="18"/>
    </w:rPr>
  </w:style>
  <w:style w:type="character" w:customStyle="1" w:styleId="3Char">
    <w:name w:val="正文文本缩进 3 Char"/>
    <w:link w:val="BodyTextIndent3"/>
    <w:rPr>
      <w:kern w:val="2"/>
      <w:sz w:val="16"/>
      <w:szCs w:val="16"/>
    </w:rPr>
  </w:style>
  <w:style w:type="character" w:customStyle="1" w:styleId="a3">
    <w:name w:val="页眉 字符"/>
    <w:link w:val="Header"/>
    <w:locked/>
    <w:rPr>
      <w:sz w:val="18"/>
    </w:rPr>
  </w:style>
  <w:style w:type="character" w:customStyle="1" w:styleId="11">
    <w:name w:val="日期 字符1"/>
    <w:link w:val="Date"/>
    <w:locked/>
    <w:rPr>
      <w:rFonts w:ascii="Times New Roman" w:eastAsia="宋体" w:hAnsi="Times New Roman"/>
      <w:sz w:val="24"/>
    </w:rPr>
  </w:style>
  <w:style w:type="character" w:customStyle="1" w:styleId="Char0">
    <w:name w:val="纯文本 Char"/>
    <w:aliases w:val="文字缩进 Char Char,文字缩进 Char1,普通文字 Char Char Char,普通文字 Char Char Char Char Char Char Char Char Char,普通文字 Char Char Char Char Char Char Char Char1,普通文字 Char Char1,标题3 Char,纯文本 Char Char Char,纯文本 Char Char Char Char Char Char Char,表格文字 Char Char"/>
    <w:qFormat/>
    <w:rPr>
      <w:rFonts w:ascii="宋体" w:hAnsi="Courier New" w:cs="Courier New"/>
      <w:kern w:val="2"/>
      <w:sz w:val="21"/>
      <w:szCs w:val="21"/>
    </w:rPr>
  </w:style>
  <w:style w:type="character" w:customStyle="1" w:styleId="a4">
    <w:name w:val="正文文本缩进 字符"/>
    <w:link w:val="BodyTextIndent"/>
    <w:semiHidden/>
    <w:locked/>
    <w:rPr>
      <w:rFonts w:ascii="Times New Roman" w:eastAsia="宋体" w:hAnsi="Times New Roman"/>
      <w:sz w:val="24"/>
    </w:rPr>
  </w:style>
  <w:style w:type="character" w:styleId="CommentReference">
    <w:name w:val="annotation reference"/>
    <w:semiHidden/>
    <w:rPr>
      <w:sz w:val="21"/>
    </w:rPr>
  </w:style>
  <w:style w:type="character" w:styleId="HTMLVariable">
    <w:name w:val="HTML Variable"/>
    <w:locked/>
    <w:rPr/>
  </w:style>
  <w:style w:type="character" w:customStyle="1" w:styleId="1Char">
    <w:name w:val="表内容1 Char"/>
    <w:link w:val="17"/>
    <w:rPr>
      <w:kern w:val="2"/>
      <w:sz w:val="21"/>
      <w:szCs w:val="21"/>
    </w:rPr>
  </w:style>
  <w:style w:type="character" w:customStyle="1" w:styleId="a5">
    <w:name w:val="普通(网站) 字符"/>
    <w:link w:val="NormalWeb"/>
    <w:locked/>
    <w:rPr>
      <w:rFonts w:ascii="宋体" w:eastAsia="宋体" w:hAnsi="宋体"/>
      <w:sz w:val="24"/>
    </w:rPr>
  </w:style>
  <w:style w:type="character" w:customStyle="1" w:styleId="NormalCharacter">
    <w:name w:val="NormalCharacter"/>
    <w:semiHidden/>
    <w:qFormat/>
  </w:style>
  <w:style w:type="character" w:customStyle="1" w:styleId="a6">
    <w:name w:val="页脚 字符"/>
    <w:uiPriority w:val="99"/>
  </w:style>
  <w:style w:type="character" w:customStyle="1" w:styleId="a7">
    <w:name w:val="批注文字 字符"/>
    <w:link w:val="CommentText"/>
    <w:locked/>
    <w:rPr>
      <w:rFonts w:ascii="Times New Roman" w:eastAsia="宋体" w:hAnsi="Times New Roman"/>
      <w:sz w:val="24"/>
    </w:rPr>
  </w:style>
  <w:style w:type="character" w:customStyle="1" w:styleId="a8">
    <w:name w:val="纯文本 字符"/>
    <w:aliases w:val="文字缩进 Char 字符,文字缩进 字符,普通文字 Char Char Char Char Char Char Char Char 字符,普通文字 Char Char Char Char Char Char Char 字符,普通文字 Char Char 字符,普通文字 Char 字符,普通文字 字符,标题3 字符,纯文本 Char Char Char Char Char Char 字符,纯文本 Char Char 字符,表内 字符,表内文字 字符,表格内容 字符,表格文字 Char 字符"/>
    <w:link w:val="PlainText"/>
    <w:uiPriority w:val="99"/>
    <w:qFormat/>
    <w:rPr>
      <w:rFonts w:ascii="宋体" w:hAnsi="Courier New"/>
      <w:color w:val="000000"/>
      <w:sz w:val="21"/>
      <w:szCs w:val="24"/>
      <w:u w:color="000000"/>
    </w:rPr>
  </w:style>
  <w:style w:type="character" w:customStyle="1" w:styleId="a9">
    <w:name w:val="批注框文本 字符"/>
    <w:link w:val="BalloonText"/>
    <w:semiHidden/>
    <w:locked/>
    <w:rPr>
      <w:rFonts w:ascii="Times New Roman" w:eastAsia="宋体" w:hAnsi="Times New Roman"/>
      <w:sz w:val="18"/>
    </w:rPr>
  </w:style>
  <w:style w:type="character" w:customStyle="1" w:styleId="Char5">
    <w:name w:val="表格 Char"/>
    <w:link w:val="a24"/>
    <w:locked/>
    <w:rPr>
      <w:rFonts w:ascii="宋体"/>
      <w:sz w:val="21"/>
    </w:rPr>
  </w:style>
  <w:style w:type="character" w:customStyle="1" w:styleId="12">
    <w:name w:val="正文文本 字符1"/>
    <w:semiHidden/>
    <w:rPr>
      <w:rFonts w:ascii="Times New Roman" w:eastAsia="宋体" w:hAnsi="Times New Roman"/>
      <w:sz w:val="24"/>
    </w:rPr>
  </w:style>
  <w:style w:type="character" w:customStyle="1" w:styleId="Char10">
    <w:name w:val="文本 Char1"/>
    <w:qFormat/>
    <w:rPr>
      <w:rFonts w:eastAsia="宋体"/>
      <w:kern w:val="2"/>
      <w:sz w:val="24"/>
      <w:szCs w:val="24"/>
      <w:lang w:val="en-US" w:eastAsia="zh-CN" w:bidi="ar-SA"/>
    </w:rPr>
  </w:style>
  <w:style w:type="paragraph" w:customStyle="1" w:styleId="a10">
    <w:name w:val="表格。。"/>
    <w:basedOn w:val="Normal"/>
    <w:qFormat/>
    <w:pPr>
      <w:jc w:val="center"/>
    </w:pPr>
  </w:style>
  <w:style w:type="paragraph" w:customStyle="1" w:styleId="13">
    <w:name w:val="表头1"/>
    <w:basedOn w:val="PlainText"/>
    <w:qFormat/>
    <w:pPr>
      <w:widowControl w:val="0"/>
      <w:adjustRightInd w:val="0"/>
      <w:snapToGrid w:val="0"/>
      <w:spacing w:before="124" w:beforeLines="40" w:line="240" w:lineRule="auto"/>
      <w:jc w:val="center"/>
      <w:textAlignment w:val="auto"/>
    </w:pPr>
    <w:rPr>
      <w:rFonts w:ascii="Times New Roman" w:hAnsi="Times New Roman"/>
      <w:b/>
      <w:color w:val="auto"/>
      <w:szCs w:val="21"/>
      <w:u w:color="auto"/>
    </w:rPr>
  </w:style>
  <w:style w:type="paragraph" w:customStyle="1" w:styleId="4">
    <w:name w:val="标题4"/>
    <w:basedOn w:val="Normal"/>
    <w:uiPriority w:val="99"/>
    <w:qFormat/>
    <w:rPr>
      <w:rFonts w:eastAsia="宋体"/>
      <w:b/>
    </w:rPr>
  </w:style>
  <w:style w:type="paragraph" w:customStyle="1" w:styleId="14">
    <w:name w:val="正文1"/>
    <w:basedOn w:val="Normal"/>
    <w:qFormat/>
    <w:pPr>
      <w:spacing w:before="78" w:beforeLines="25" w:after="78" w:afterLines="25" w:line="360" w:lineRule="auto"/>
      <w:ind w:firstLine="480" w:firstLineChars="200"/>
    </w:pPr>
    <w:rPr>
      <w:sz w:val="24"/>
    </w:rPr>
  </w:style>
  <w:style w:type="paragraph" w:styleId="BodyText2">
    <w:name w:val="Body Text 2"/>
    <w:basedOn w:val="Normal"/>
    <w:link w:val="2"/>
    <w:locked/>
    <w:pPr>
      <w:spacing w:after="120" w:line="480" w:lineRule="auto"/>
    </w:pPr>
  </w:style>
  <w:style w:type="paragraph" w:customStyle="1" w:styleId="a11">
    <w:name w:val="表格文字"/>
    <w:basedOn w:val="BodyText"/>
    <w:qFormat/>
    <w:pPr>
      <w:spacing w:line="240" w:lineRule="auto"/>
      <w:jc w:val="center"/>
    </w:pPr>
    <w:rPr>
      <w:rFonts w:ascii="Times New Roman"/>
      <w:sz w:val="21"/>
      <w:szCs w:val="21"/>
    </w:rPr>
  </w:style>
  <w:style w:type="paragraph" w:customStyle="1" w:styleId="5">
    <w:name w:val="样式5"/>
    <w:basedOn w:val="30"/>
    <w:qFormat/>
    <w:pPr>
      <w:autoSpaceDE/>
      <w:autoSpaceDN/>
      <w:spacing w:before="0" w:line="240" w:lineRule="auto"/>
    </w:pPr>
    <w:rPr>
      <w:rFonts w:ascii="黑体"/>
      <w:color w:val="000000"/>
      <w:sz w:val="24"/>
    </w:rPr>
  </w:style>
  <w:style w:type="paragraph" w:customStyle="1" w:styleId="Normal40">
    <w:name w:val="Normal_40"/>
    <w:qFormat/>
    <w:pPr>
      <w:spacing w:before="120" w:after="240"/>
      <w:jc w:val="both"/>
    </w:pPr>
    <w:rPr>
      <w:rFonts w:eastAsia="Times New Roman"/>
      <w:sz w:val="22"/>
      <w:szCs w:val="22"/>
      <w:lang w:val="en-US" w:eastAsia="en-US" w:bidi="ar-SA"/>
    </w:rPr>
  </w:style>
  <w:style w:type="paragraph" w:styleId="PlainText">
    <w:name w:val="Plain Text"/>
    <w:basedOn w:val="Normal"/>
    <w:next w:val="TOC1"/>
    <w:link w:val="a8"/>
    <w:qFormat/>
    <w:locked/>
    <w:pPr>
      <w:widowControl/>
      <w:spacing w:line="357" w:lineRule="atLeast"/>
      <w:textAlignment w:val="baseline"/>
    </w:pPr>
    <w:rPr>
      <w:rFonts w:ascii="宋体" w:hAnsi="Courier New"/>
      <w:color w:val="000000"/>
      <w:kern w:val="0"/>
      <w:u w:val="none" w:color="000000"/>
    </w:rPr>
  </w:style>
  <w:style w:type="paragraph" w:customStyle="1" w:styleId="wyc-">
    <w:name w:val="wyc-表文字"/>
    <w:basedOn w:val="wyc-0"/>
    <w:qFormat/>
    <w:pPr>
      <w:snapToGrid w:val="0"/>
    </w:pPr>
    <w:rPr>
      <w:b w:val="0"/>
      <w:bCs w:val="0"/>
      <w:sz w:val="21"/>
      <w:szCs w:val="21"/>
    </w:rPr>
  </w:style>
  <w:style w:type="paragraph" w:styleId="Caption">
    <w:name w:val="caption"/>
    <w:basedOn w:val="Normal"/>
    <w:next w:val="Normal"/>
    <w:qFormat/>
    <w:locked/>
    <w:rPr>
      <w:rFonts w:ascii="Arial" w:eastAsia="黑体" w:hAnsi="Arial" w:cs="Arial"/>
      <w:sz w:val="20"/>
      <w:szCs w:val="20"/>
    </w:rPr>
  </w:style>
  <w:style w:type="paragraph" w:customStyle="1" w:styleId="15">
    <w:name w:val="无间隔1"/>
    <w:pPr>
      <w:widowControl w:val="0"/>
      <w:spacing w:line="360" w:lineRule="auto"/>
      <w:jc w:val="center"/>
    </w:pPr>
    <w:rPr>
      <w:b/>
      <w:kern w:val="2"/>
      <w:sz w:val="24"/>
      <w:lang w:val="en-US" w:eastAsia="zh-CN" w:bidi="ar-SA"/>
    </w:rPr>
  </w:style>
  <w:style w:type="paragraph" w:customStyle="1" w:styleId="20">
    <w:name w:val="样式 正文文本 + 首行缩进:  2 字符"/>
    <w:basedOn w:val="BodyText"/>
    <w:qFormat/>
    <w:pPr>
      <w:widowControl w:val="0"/>
      <w:snapToGrid/>
      <w:spacing w:before="0" w:after="0" w:line="540" w:lineRule="exact"/>
      <w:ind w:right="0"/>
      <w:jc w:val="center"/>
    </w:pPr>
    <w:rPr>
      <w:rFonts w:ascii="黑体" w:eastAsia="黑体" w:hAnsi="黑体"/>
      <w:b/>
      <w:kern w:val="2"/>
      <w:sz w:val="24"/>
      <w:szCs w:val="24"/>
    </w:rPr>
  </w:style>
  <w:style w:type="paragraph" w:styleId="BodyText">
    <w:name w:val="Body Text"/>
    <w:basedOn w:val="Normal"/>
    <w:next w:val="Normal"/>
    <w:link w:val="a"/>
    <w:qFormat/>
    <w:pPr>
      <w:widowControl/>
      <w:snapToGrid w:val="0"/>
      <w:spacing w:before="60" w:after="160" w:line="259" w:lineRule="auto"/>
      <w:ind w:right="113"/>
    </w:pPr>
    <w:rPr>
      <w:kern w:val="0"/>
      <w:sz w:val="18"/>
      <w:szCs w:val="20"/>
    </w:rPr>
  </w:style>
  <w:style w:type="paragraph" w:customStyle="1" w:styleId="a12">
    <w:name w:val="正文文本，表格"/>
    <w:basedOn w:val="Normal"/>
    <w:pPr>
      <w:jc w:val="center"/>
    </w:pPr>
    <w:rPr>
      <w:rFonts w:cs="宋体"/>
      <w:szCs w:val="21"/>
    </w:rPr>
  </w:style>
  <w:style w:type="paragraph" w:styleId="NormalIndent">
    <w:name w:val="Normal Indent"/>
    <w:basedOn w:val="Normal"/>
    <w:next w:val="Normal"/>
    <w:link w:val="a0"/>
    <w:qFormat/>
    <w:locked/>
    <w:pPr>
      <w:ind w:firstLine="420" w:firstLineChars="200"/>
    </w:pPr>
    <w:rPr>
      <w:rFonts w:eastAsia="仿宋_GB2312"/>
      <w:sz w:val="28"/>
    </w:rPr>
  </w:style>
  <w:style w:type="paragraph" w:styleId="NormalWeb">
    <w:name w:val="Normal (Web)"/>
    <w:basedOn w:val="Normal"/>
    <w:next w:val="Normal"/>
    <w:link w:val="a5"/>
    <w:uiPriority w:val="99"/>
    <w:qFormat/>
    <w:pPr>
      <w:widowControl/>
      <w:spacing w:before="100" w:beforeAutospacing="1" w:after="100" w:afterAutospacing="1"/>
      <w:jc w:val="left"/>
    </w:pPr>
    <w:rPr>
      <w:rFonts w:ascii="宋体" w:hAnsi="宋体"/>
      <w:kern w:val="0"/>
      <w:sz w:val="24"/>
      <w:szCs w:val="20"/>
    </w:rPr>
  </w:style>
  <w:style w:type="paragraph" w:styleId="BalloonText">
    <w:name w:val="Balloon Text"/>
    <w:basedOn w:val="Normal"/>
    <w:link w:val="a9"/>
    <w:semiHidden/>
    <w:rPr>
      <w:kern w:val="0"/>
      <w:sz w:val="18"/>
      <w:szCs w:val="20"/>
    </w:rPr>
  </w:style>
  <w:style w:type="paragraph" w:styleId="TOC5">
    <w:name w:val="toc 5"/>
    <w:basedOn w:val="Normal"/>
    <w:next w:val="Normal"/>
    <w:uiPriority w:val="39"/>
    <w:unhideWhenUsed/>
    <w:qFormat/>
    <w:locked/>
    <w:pPr>
      <w:widowControl w:val="0"/>
      <w:adjustRightInd w:val="0"/>
      <w:snapToGrid w:val="0"/>
      <w:jc w:val="center"/>
    </w:pPr>
    <w:rPr>
      <w:rFonts w:eastAsia="宋体"/>
      <w:color w:val="FF0000"/>
      <w:kern w:val="2"/>
      <w:sz w:val="21"/>
      <w:szCs w:val="21"/>
    </w:rPr>
  </w:style>
  <w:style w:type="paragraph" w:customStyle="1" w:styleId="a13">
    <w:name w:val="表头"/>
    <w:basedOn w:val="Normal"/>
    <w:next w:val="Normal"/>
    <w:qFormat/>
    <w:pPr>
      <w:ind w:firstLine="0" w:firstLineChars="0"/>
      <w:jc w:val="center"/>
    </w:pPr>
    <w:rPr>
      <w:rFonts w:ascii="Times New Roman" w:hAnsi="Times New Roman"/>
      <w:b/>
      <w:sz w:val="21"/>
      <w:szCs w:val="21"/>
    </w:rPr>
  </w:style>
  <w:style w:type="paragraph" w:customStyle="1" w:styleId="a14">
    <w:name w:val="报告书正文"/>
    <w:basedOn w:val="Normal"/>
    <w:uiPriority w:val="99"/>
    <w:qFormat/>
    <w:pPr>
      <w:adjustRightInd w:val="0"/>
      <w:snapToGrid w:val="0"/>
      <w:spacing w:line="360" w:lineRule="auto"/>
      <w:ind w:firstLine="480" w:firstLineChars="200"/>
    </w:pPr>
    <w:rPr>
      <w:rFonts w:ascii="宋体" w:hAnsi="宋体"/>
      <w:sz w:val="24"/>
      <w:szCs w:val="24"/>
    </w:rPr>
  </w:style>
  <w:style w:type="paragraph" w:customStyle="1" w:styleId="Normal41">
    <w:name w:val="Normal_41"/>
    <w:qFormat/>
    <w:pPr>
      <w:spacing w:before="120" w:after="240"/>
      <w:jc w:val="both"/>
    </w:pPr>
    <w:rPr>
      <w:rFonts w:eastAsia="Times New Roman"/>
      <w:sz w:val="22"/>
      <w:szCs w:val="22"/>
      <w:lang w:val="en-US" w:eastAsia="en-US" w:bidi="ar-SA"/>
    </w:rPr>
  </w:style>
  <w:style w:type="paragraph" w:styleId="TableofAuthorities">
    <w:name w:val="table of authorities"/>
    <w:basedOn w:val="Normal"/>
    <w:next w:val="Normal"/>
    <w:qFormat/>
    <w:locked/>
    <w:pPr>
      <w:spacing w:line="240" w:lineRule="auto"/>
      <w:ind w:left="0" w:firstLine="0" w:leftChars="0" w:firstLineChars="0"/>
    </w:pPr>
    <w:rPr>
      <w:rFonts w:ascii="Times New Roman" w:hAnsi="Times New Roman"/>
    </w:rPr>
  </w:style>
  <w:style w:type="paragraph" w:styleId="BodyTextIndent3">
    <w:name w:val="Body Text Indent 3"/>
    <w:basedOn w:val="Normal"/>
    <w:link w:val="3Char"/>
    <w:locked/>
    <w:pPr>
      <w:spacing w:after="120"/>
      <w:ind w:left="420" w:leftChars="200"/>
    </w:pPr>
    <w:rPr>
      <w:sz w:val="16"/>
      <w:szCs w:val="16"/>
    </w:rPr>
  </w:style>
  <w:style w:type="paragraph" w:styleId="Index1">
    <w:name w:val="index 1"/>
    <w:basedOn w:val="Normal"/>
    <w:next w:val="Normal"/>
    <w:qFormat/>
    <w:locked/>
    <w:pPr>
      <w:widowControl w:val="0"/>
      <w:jc w:val="center"/>
    </w:pPr>
    <w:rPr>
      <w:rFonts w:ascii="宋体" w:eastAsia="宋体" w:hAnsi="宋体"/>
      <w:color w:val="FF0000"/>
      <w:kern w:val="2"/>
      <w:sz w:val="21"/>
    </w:rPr>
  </w:style>
  <w:style w:type="paragraph" w:customStyle="1" w:styleId="16">
    <w:name w:val="样式1"/>
    <w:basedOn w:val="IndexHeading"/>
    <w:next w:val="BlockText"/>
    <w:qFormat/>
  </w:style>
  <w:style w:type="paragraph" w:customStyle="1" w:styleId="BodyText21">
    <w:name w:val="Body Text 21"/>
    <w:basedOn w:val="Normal"/>
    <w:pPr>
      <w:adjustRightInd w:val="0"/>
      <w:textAlignment w:val="baseline"/>
    </w:pPr>
    <w:rPr>
      <w:rFonts w:ascii="仿宋_GB2312" w:eastAsia="仿宋体"/>
      <w:sz w:val="24"/>
      <w:szCs w:val="20"/>
    </w:rPr>
  </w:style>
  <w:style w:type="paragraph" w:customStyle="1" w:styleId="01">
    <w:name w:val="正文01"/>
    <w:basedOn w:val="Normal"/>
    <w:uiPriority w:val="99"/>
    <w:qFormat/>
    <w:pPr>
      <w:adjustRightInd w:val="0"/>
      <w:snapToGrid w:val="0"/>
      <w:spacing w:before="60" w:line="440" w:lineRule="exact"/>
      <w:ind w:firstLine="200" w:firstLineChars="200"/>
    </w:pPr>
    <w:rPr>
      <w:bCs/>
      <w:sz w:val="24"/>
      <w:szCs w:val="24"/>
    </w:rPr>
  </w:style>
  <w:style w:type="paragraph" w:customStyle="1" w:styleId="40">
    <w:name w:val="标题 段落4级"/>
    <w:qFormat/>
    <w:pPr>
      <w:spacing w:line="500" w:lineRule="exact"/>
      <w:outlineLvl w:val="3"/>
    </w:pPr>
    <w:rPr>
      <w:rFonts w:ascii="Times New Roman" w:eastAsia="仿宋_GB2312" w:hAnsi="Times New Roman" w:cs="Calibri"/>
      <w:b/>
      <w:kern w:val="2"/>
      <w:sz w:val="28"/>
      <w:szCs w:val="24"/>
      <w:lang w:val="en-US" w:eastAsia="zh-CN" w:bidi="ar-SA"/>
    </w:rPr>
  </w:style>
  <w:style w:type="paragraph" w:styleId="CommentText">
    <w:name w:val="annotation text"/>
    <w:basedOn w:val="Normal"/>
    <w:link w:val="a7"/>
    <w:semiHidden/>
    <w:pPr>
      <w:jc w:val="left"/>
    </w:pPr>
    <w:rPr>
      <w:kern w:val="0"/>
      <w:sz w:val="24"/>
      <w:szCs w:val="20"/>
    </w:rPr>
  </w:style>
  <w:style w:type="paragraph" w:styleId="BlockText">
    <w:name w:val="Block Text"/>
    <w:basedOn w:val="Normal"/>
    <w:qFormat/>
    <w:locked/>
    <w:pPr>
      <w:spacing w:after="120"/>
      <w:ind w:left="1440" w:right="1440"/>
    </w:pPr>
  </w:style>
  <w:style w:type="paragraph" w:customStyle="1" w:styleId="00">
    <w:name w:val="00表文"/>
    <w:basedOn w:val="Normal"/>
    <w:qFormat/>
    <w:pPr>
      <w:adjustRightInd w:val="0"/>
      <w:snapToGrid w:val="0"/>
      <w:jc w:val="center"/>
    </w:pPr>
    <w:rPr>
      <w:color w:val="000000"/>
      <w:kern w:val="0"/>
      <w:szCs w:val="21"/>
    </w:rPr>
  </w:style>
  <w:style w:type="paragraph" w:customStyle="1" w:styleId="21">
    <w:name w:val="普通(网站)2"/>
    <w:basedOn w:val="Normal"/>
    <w:pPr>
      <w:widowControl/>
      <w:spacing w:before="100" w:beforeAutospacing="1" w:after="100" w:afterAutospacing="1"/>
      <w:jc w:val="left"/>
    </w:pPr>
    <w:rPr>
      <w:rFonts w:ascii="宋体" w:hAnsi="宋体"/>
      <w:sz w:val="24"/>
      <w:szCs w:val="20"/>
    </w:rPr>
  </w:style>
  <w:style w:type="paragraph" w:customStyle="1" w:styleId="17">
    <w:name w:val="表内容1"/>
    <w:next w:val="Normal"/>
    <w:link w:val="1Char"/>
    <w:qFormat/>
    <w:pPr>
      <w:jc w:val="center"/>
    </w:pPr>
    <w:rPr>
      <w:kern w:val="2"/>
      <w:sz w:val="21"/>
      <w:szCs w:val="21"/>
      <w:lang w:val="en-US" w:eastAsia="zh-CN" w:bidi="ar-SA"/>
    </w:rPr>
  </w:style>
  <w:style w:type="paragraph" w:customStyle="1" w:styleId="18">
    <w:name w:val="纯文本1"/>
    <w:basedOn w:val="Normal"/>
    <w:pPr>
      <w:autoSpaceDE w:val="0"/>
      <w:autoSpaceDN w:val="0"/>
      <w:adjustRightInd w:val="0"/>
      <w:spacing w:line="440" w:lineRule="atLeast"/>
      <w:ind w:firstLine="425"/>
    </w:pPr>
    <w:rPr>
      <w:rFonts w:ascii="宋体" w:hAnsi="Tms Rmn"/>
      <w:sz w:val="28"/>
    </w:rPr>
  </w:style>
  <w:style w:type="paragraph" w:styleId="Header">
    <w:name w:val="header"/>
    <w:basedOn w:val="Normal"/>
    <w:link w:val="a3"/>
    <w:pPr>
      <w:pBdr>
        <w:bottom w:val="single" w:sz="6" w:space="1" w:color="auto"/>
      </w:pBdr>
      <w:tabs>
        <w:tab w:val="center" w:pos="4153"/>
        <w:tab w:val="right" w:pos="8306"/>
      </w:tabs>
      <w:snapToGrid w:val="0"/>
      <w:jc w:val="center"/>
    </w:pPr>
    <w:rPr>
      <w:kern w:val="0"/>
      <w:sz w:val="18"/>
      <w:szCs w:val="20"/>
    </w:rPr>
  </w:style>
  <w:style w:type="paragraph" w:styleId="TOC1">
    <w:name w:val="toc 1"/>
    <w:basedOn w:val="Normal"/>
    <w:next w:val="Normal"/>
    <w:qFormat/>
    <w:locked/>
  </w:style>
  <w:style w:type="paragraph" w:customStyle="1" w:styleId="a15">
    <w:name w:val="表题注"/>
    <w:basedOn w:val="Caption"/>
    <w:qFormat/>
    <w:pPr>
      <w:keepNext/>
      <w:spacing w:before="50" w:beforeLines="50" w:line="480" w:lineRule="exact"/>
      <w:jc w:val="center"/>
    </w:pPr>
    <w:rPr>
      <w:rFonts w:cs="Times New Roman"/>
      <w:sz w:val="21"/>
    </w:rPr>
  </w:style>
  <w:style w:type="paragraph" w:styleId="BodyTextFirstIndent2">
    <w:name w:val="Body Text First Indent 2"/>
    <w:basedOn w:val="BodyTextIndent"/>
    <w:next w:val="Normal"/>
    <w:uiPriority w:val="99"/>
    <w:qFormat/>
    <w:locked/>
    <w:pPr>
      <w:ind w:firstLine="420" w:firstLineChars="200"/>
    </w:pPr>
  </w:style>
  <w:style w:type="paragraph" w:customStyle="1" w:styleId="TB">
    <w:name w:val="TB表格内容"/>
    <w:basedOn w:val="Normal"/>
    <w:qFormat/>
    <w:pPr>
      <w:spacing w:line="360" w:lineRule="exact"/>
      <w:jc w:val="center"/>
    </w:pPr>
    <w:rPr>
      <w:szCs w:val="22"/>
    </w:rPr>
  </w:style>
  <w:style w:type="paragraph" w:customStyle="1" w:styleId="a16">
    <w:name w:val="缩进"/>
    <w:basedOn w:val="Normal"/>
    <w:qFormat/>
    <w:pPr>
      <w:snapToGrid w:val="0"/>
      <w:spacing w:line="360" w:lineRule="auto"/>
      <w:ind w:firstLine="200" w:firstLineChars="200"/>
    </w:pPr>
    <w:rPr>
      <w:sz w:val="24"/>
    </w:rPr>
  </w:style>
  <w:style w:type="paragraph" w:customStyle="1" w:styleId="CharCharCharCharCharCharCharCharCharCharCharCharCharCharCharCharCharChar">
    <w:name w:val=" Char Char Char Char Char Char Char Char Char Char Char Char Char Char Char Char Char Char"/>
    <w:basedOn w:val="Normal"/>
    <w:qFormat/>
    <w:rPr>
      <w:sz w:val="24"/>
    </w:rPr>
  </w:style>
  <w:style w:type="paragraph" w:customStyle="1" w:styleId="30">
    <w:name w:val="样式3"/>
    <w:basedOn w:val="Date"/>
    <w:qFormat/>
    <w:pPr>
      <w:autoSpaceDE w:val="0"/>
      <w:autoSpaceDN w:val="0"/>
      <w:snapToGrid w:val="0"/>
      <w:spacing w:before="120" w:beforeLines="0" w:line="460" w:lineRule="atLeast"/>
      <w:jc w:val="center"/>
    </w:pPr>
    <w:rPr>
      <w:rFonts w:eastAsia="黑体"/>
      <w:sz w:val="28"/>
      <w:szCs w:val="24"/>
    </w:rPr>
  </w:style>
  <w:style w:type="paragraph" w:styleId="BodyTextFirstIndent">
    <w:name w:val="Body Text First Indent"/>
    <w:basedOn w:val="BodyText"/>
    <w:next w:val="Normal"/>
    <w:locked/>
    <w:pPr>
      <w:spacing w:after="120" w:line="240" w:lineRule="auto"/>
      <w:ind w:firstLine="420" w:firstLineChars="100"/>
    </w:pPr>
    <w:rPr>
      <w:rFonts w:ascii="Times New Roman"/>
      <w:sz w:val="21"/>
    </w:rPr>
  </w:style>
  <w:style w:type="paragraph" w:customStyle="1" w:styleId="A17">
    <w:name w:val="正文 A"/>
    <w:qFormat/>
    <w:pPr>
      <w:widowControl w:val="0"/>
      <w:jc w:val="both"/>
    </w:pPr>
    <w:rPr>
      <w:rFonts w:ascii="Times New Roman" w:eastAsia="Times New Roman" w:hAnsi="Times New Roman" w:cs="Times New Roman"/>
      <w:color w:val="000000"/>
      <w:kern w:val="2"/>
      <w:sz w:val="21"/>
      <w:szCs w:val="21"/>
      <w:lang w:val="en-US" w:eastAsia="zh-CN" w:bidi="ar-SA"/>
    </w:rPr>
  </w:style>
  <w:style w:type="paragraph" w:customStyle="1" w:styleId="Default">
    <w:name w:val="Default"/>
    <w:basedOn w:val="18"/>
    <w:next w:val="Normal"/>
    <w:qFormat/>
    <w:pPr>
      <w:widowControl w:val="0"/>
      <w:autoSpaceDE w:val="0"/>
      <w:autoSpaceDN w:val="0"/>
      <w:adjustRightInd w:val="0"/>
    </w:pPr>
    <w:rPr>
      <w:rFonts w:ascii="T T 846o 00" w:eastAsia="T T 846o 00" w:cs="T T 846o 00"/>
      <w:color w:val="000000"/>
      <w:sz w:val="24"/>
      <w:szCs w:val="24"/>
      <w:lang w:val="en-US" w:eastAsia="zh-CN" w:bidi="ar-SA"/>
    </w:rPr>
  </w:style>
  <w:style w:type="paragraph" w:customStyle="1" w:styleId="100">
    <w:name w:val="正文_10"/>
    <w:pPr>
      <w:widowControl w:val="0"/>
      <w:jc w:val="both"/>
    </w:pPr>
    <w:rPr>
      <w:kern w:val="2"/>
      <w:sz w:val="21"/>
      <w:szCs w:val="22"/>
      <w:lang w:val="en-US" w:eastAsia="zh-CN" w:bidi="ar-SA"/>
    </w:rPr>
  </w:style>
  <w:style w:type="paragraph" w:customStyle="1" w:styleId="a18">
    <w:name w:val="报告表二级标题"/>
    <w:basedOn w:val="Normal"/>
    <w:qFormat/>
    <w:pPr>
      <w:spacing w:line="360" w:lineRule="auto"/>
    </w:pPr>
    <w:rPr>
      <w:b/>
      <w:sz w:val="24"/>
      <w:szCs w:val="24"/>
    </w:rPr>
  </w:style>
  <w:style w:type="paragraph" w:customStyle="1" w:styleId="TableParagraph">
    <w:name w:val="Table Paragraph"/>
    <w:basedOn w:val="Normal"/>
    <w:qFormat/>
    <w:pPr>
      <w:autoSpaceDE w:val="0"/>
      <w:autoSpaceDN w:val="0"/>
      <w:adjustRightInd w:val="0"/>
      <w:jc w:val="left"/>
    </w:pPr>
    <w:rPr>
      <w:rFonts w:eastAsia="等线"/>
      <w:kern w:val="0"/>
      <w:sz w:val="24"/>
      <w:szCs w:val="24"/>
    </w:rPr>
  </w:style>
  <w:style w:type="paragraph" w:customStyle="1" w:styleId="wyc-0">
    <w:name w:val="wyc-表头"/>
    <w:basedOn w:val="Normal"/>
    <w:qFormat/>
    <w:pPr>
      <w:jc w:val="center"/>
    </w:pPr>
    <w:rPr>
      <w:rFonts w:ascii="Times New Roman" w:hAnsi="Times New Roman"/>
      <w:b/>
      <w:bCs/>
      <w:sz w:val="24"/>
    </w:rPr>
  </w:style>
  <w:style w:type="paragraph" w:styleId="CommentSubject">
    <w:name w:val="annotation subject"/>
    <w:basedOn w:val="CommentText"/>
    <w:next w:val="CommentText"/>
    <w:link w:val="a1"/>
    <w:semiHidden/>
    <w:rPr>
      <w:b/>
      <w:sz w:val="24"/>
      <w:szCs w:val="20"/>
    </w:rPr>
  </w:style>
  <w:style w:type="paragraph" w:customStyle="1" w:styleId="a19">
    <w:name w:val="表格字体"/>
    <w:basedOn w:val="Normal"/>
    <w:pPr>
      <w:adjustRightInd w:val="0"/>
      <w:snapToGrid w:val="0"/>
      <w:spacing w:before="62" w:beforeLines="20" w:after="62" w:afterLines="20"/>
      <w:jc w:val="center"/>
    </w:pPr>
    <w:rPr>
      <w:szCs w:val="21"/>
    </w:rPr>
  </w:style>
  <w:style w:type="paragraph" w:styleId="IndexHeading">
    <w:name w:val="index heading"/>
    <w:basedOn w:val="Normal"/>
    <w:next w:val="Index1"/>
    <w:semiHidden/>
    <w:qFormat/>
    <w:locked/>
    <w:rPr>
      <w:rFonts w:ascii="Arial" w:hAnsi="Arial" w:cs="Arial"/>
      <w:b/>
      <w:bCs/>
    </w:rPr>
  </w:style>
  <w:style w:type="paragraph" w:styleId="BodyTextIndent2">
    <w:name w:val="Body Text Indent 2"/>
    <w:basedOn w:val="Normal"/>
    <w:link w:val="2Char"/>
    <w:locked/>
    <w:pPr>
      <w:spacing w:after="120" w:line="480" w:lineRule="auto"/>
      <w:ind w:left="420" w:leftChars="200"/>
    </w:pPr>
  </w:style>
  <w:style w:type="paragraph" w:styleId="ListParagraph">
    <w:name w:val="List Paragraph"/>
    <w:basedOn w:val="Normal"/>
    <w:qFormat/>
  </w:style>
  <w:style w:type="paragraph" w:styleId="ListBullet5">
    <w:name w:val="List Bullet 5"/>
    <w:basedOn w:val="Normal"/>
    <w:locked/>
    <w:pPr>
      <w:numPr>
        <w:ilvl w:val="0"/>
        <w:numId w:val="1"/>
      </w:numPr>
      <w:tabs>
        <w:tab w:val="left" w:pos="2040"/>
      </w:tabs>
    </w:pPr>
  </w:style>
  <w:style w:type="paragraph" w:styleId="List">
    <w:name w:val="List"/>
    <w:basedOn w:val="Normal"/>
    <w:locked/>
    <w:pPr>
      <w:ind w:left="200" w:hanging="200" w:hangingChars="200"/>
    </w:pPr>
  </w:style>
  <w:style w:type="paragraph" w:customStyle="1" w:styleId="a20">
    <w:name w:val="表格内文字格式"/>
    <w:basedOn w:val="Normal"/>
    <w:next w:val="Normal"/>
    <w:qFormat/>
    <w:pPr>
      <w:autoSpaceDE w:val="0"/>
      <w:autoSpaceDN w:val="0"/>
      <w:adjustRightInd w:val="0"/>
      <w:spacing w:line="420" w:lineRule="exact"/>
      <w:jc w:val="center"/>
    </w:pPr>
    <w:rPr>
      <w:rFonts w:ascii="宋体" w:hAnsi="宋体"/>
      <w:sz w:val="24"/>
    </w:rPr>
  </w:style>
  <w:style w:type="paragraph" w:customStyle="1" w:styleId="22Char013">
    <w:name w:val="样式 样式 样式 样式 小四 左 首行缩进:  2 字符 + 首行缩进:  2 字符 Char + 右  0 字符1 + 首行缩...3"/>
    <w:basedOn w:val="Normal"/>
    <w:qFormat/>
    <w:pPr>
      <w:adjustRightInd w:val="0"/>
      <w:spacing w:line="360" w:lineRule="auto"/>
      <w:ind w:firstLine="480" w:firstLineChars="200"/>
      <w:jc w:val="left"/>
      <w:textAlignment w:val="baseline"/>
    </w:pPr>
    <w:rPr>
      <w:rFonts w:cs="宋体"/>
      <w:sz w:val="24"/>
      <w:szCs w:val="20"/>
    </w:rPr>
  </w:style>
  <w:style w:type="paragraph" w:customStyle="1" w:styleId="a21">
    <w:name w:val="【表头】"/>
    <w:basedOn w:val="Normal"/>
    <w:qFormat/>
    <w:pPr>
      <w:adjustRightInd w:val="0"/>
      <w:snapToGrid w:val="0"/>
      <w:spacing w:beforeLines="50"/>
      <w:jc w:val="center"/>
    </w:pPr>
    <w:rPr>
      <w:rFonts w:cs="Arial"/>
      <w:b/>
      <w:sz w:val="24"/>
      <w:szCs w:val="20"/>
    </w:rPr>
  </w:style>
  <w:style w:type="paragraph" w:styleId="BodyTextIndent">
    <w:name w:val="Body Text Indent"/>
    <w:basedOn w:val="Normal"/>
    <w:link w:val="a4"/>
    <w:pPr>
      <w:spacing w:after="120"/>
      <w:ind w:left="420" w:leftChars="200"/>
    </w:pPr>
    <w:rPr>
      <w:kern w:val="0"/>
      <w:sz w:val="24"/>
      <w:szCs w:val="20"/>
    </w:rPr>
  </w:style>
  <w:style w:type="paragraph" w:customStyle="1" w:styleId="TB0">
    <w:name w:val="TB标题"/>
    <w:basedOn w:val="Normal"/>
    <w:qFormat/>
    <w:pPr>
      <w:spacing w:line="500" w:lineRule="exact"/>
      <w:jc w:val="center"/>
    </w:pPr>
    <w:rPr>
      <w:rFonts w:eastAsia="黑体"/>
      <w:bCs/>
      <w:sz w:val="24"/>
    </w:rPr>
  </w:style>
  <w:style w:type="paragraph" w:customStyle="1" w:styleId="a22">
    <w:name w:val="标头"/>
    <w:basedOn w:val="Normal"/>
    <w:qFormat/>
    <w:pPr>
      <w:jc w:val="center"/>
    </w:pPr>
    <w:rPr>
      <w:b/>
    </w:rPr>
  </w:style>
  <w:style w:type="paragraph" w:customStyle="1" w:styleId="33CharCharh3H3level3PIM3Level3HeadHeadin1">
    <w:name w:val="样式 标题 3标题 3 Char Char头h3H3level_3PIM 3Level 3 HeadHeadin...1"/>
    <w:basedOn w:val="Heading3"/>
    <w:qFormat/>
    <w:pPr>
      <w:widowControl w:val="0"/>
      <w:spacing w:before="0" w:after="0" w:line="500" w:lineRule="exact"/>
      <w:textAlignment w:val="auto"/>
    </w:pPr>
    <w:rPr>
      <w:rFonts w:ascii="仿宋_GB2312" w:eastAsia="仿宋_GB2312" w:hAnsi="宋体"/>
      <w:bCs/>
      <w:kern w:val="2"/>
      <w:sz w:val="28"/>
      <w:szCs w:val="32"/>
      <w:u w:val="none" w:color="auto"/>
    </w:rPr>
  </w:style>
  <w:style w:type="paragraph" w:customStyle="1" w:styleId="a23">
    <w:name w:val="新正文"/>
    <w:basedOn w:val="Normal"/>
    <w:pPr>
      <w:spacing w:line="440" w:lineRule="exact"/>
      <w:ind w:firstLine="482"/>
    </w:pPr>
    <w:rPr>
      <w:rFonts w:ascii="仿宋_GB2312"/>
      <w:sz w:val="28"/>
    </w:rPr>
  </w:style>
  <w:style w:type="paragraph" w:styleId="Date">
    <w:name w:val="Date"/>
    <w:basedOn w:val="Normal"/>
    <w:next w:val="Normal"/>
    <w:link w:val="11"/>
    <w:pPr>
      <w:ind w:left="100" w:leftChars="2500"/>
    </w:pPr>
    <w:rPr>
      <w:kern w:val="0"/>
      <w:sz w:val="24"/>
      <w:szCs w:val="20"/>
    </w:rPr>
  </w:style>
  <w:style w:type="paragraph" w:customStyle="1" w:styleId="a24">
    <w:name w:val="表格"/>
    <w:basedOn w:val="TableofFigures"/>
    <w:next w:val="Normal"/>
    <w:link w:val="Char5"/>
    <w:pPr>
      <w:adjustRightInd w:val="0"/>
      <w:snapToGrid w:val="0"/>
      <w:spacing w:beforeLines="10" w:afterLines="10" w:line="259" w:lineRule="auto"/>
      <w:jc w:val="center"/>
    </w:pPr>
    <w:rPr>
      <w:rFonts w:ascii="宋体"/>
      <w:kern w:val="0"/>
      <w:szCs w:val="20"/>
    </w:rPr>
  </w:style>
  <w:style w:type="paragraph" w:styleId="TableofFigures">
    <w:name w:val="table of figures"/>
    <w:basedOn w:val="Normal"/>
    <w:next w:val="Normal"/>
    <w:qFormat/>
    <w:locked/>
    <w:pPr>
      <w:ind w:firstLine="0" w:leftChars="0" w:firstLineChars="0"/>
      <w:jc w:val="center"/>
    </w:pPr>
    <w:rPr>
      <w:b/>
    </w:rPr>
  </w:style>
  <w:style w:type="paragraph" w:customStyle="1" w:styleId="a25">
    <w:name w:val="报告表三级标题"/>
    <w:basedOn w:val="a18"/>
    <w:qFormat/>
    <w:pPr>
      <w:spacing w:line="360" w:lineRule="auto"/>
    </w:pPr>
    <w:rPr>
      <w:sz w:val="24"/>
    </w:rPr>
  </w:style>
  <w:style w:type="paragraph" w:styleId="Footer">
    <w:name w:val="footer"/>
    <w:basedOn w:val="Normal"/>
    <w:link w:val="10"/>
    <w:uiPriority w:val="99"/>
    <w:pPr>
      <w:tabs>
        <w:tab w:val="center" w:pos="4153"/>
        <w:tab w:val="right" w:pos="8306"/>
      </w:tabs>
      <w:snapToGrid w:val="0"/>
      <w:jc w:val="left"/>
    </w:pPr>
    <w:rPr>
      <w:kern w:val="0"/>
      <w:sz w:val="18"/>
      <w:szCs w:val="20"/>
    </w:rPr>
  </w:style>
  <w:style w:type="paragraph" w:customStyle="1" w:styleId="50">
    <w:name w:val="5"/>
    <w:basedOn w:val="Normal"/>
    <w:next w:val="BodyTextIndent3"/>
    <w:pPr>
      <w:ind w:firstLine="480" w:firstLineChars="200"/>
    </w:pPr>
    <w:rPr>
      <w:sz w:val="24"/>
    </w:rPr>
  </w:style>
  <w:style w:type="paragraph" w:customStyle="1" w:styleId="NormalIndent1">
    <w:name w:val="Normal Indent1"/>
    <w:basedOn w:val="Normal"/>
    <w:qFormat/>
    <w:pPr>
      <w:ind w:firstLine="420"/>
    </w:pPr>
  </w:style>
  <w:style w:type="paragraph" w:customStyle="1" w:styleId="xl23">
    <w:name w:val="xl23"/>
    <w:basedOn w:val="Normal"/>
    <w:pPr>
      <w:spacing w:before="100" w:beforeAutospacing="1" w:after="100" w:afterAutospacing="1"/>
      <w:jc w:val="center"/>
    </w:pPr>
    <w:rPr>
      <w:rFonts w:ascii="Arial Unicode MS" w:hAnsi="Arial Unicode MS"/>
    </w:rPr>
  </w:style>
  <w:style w:type="paragraph" w:customStyle="1" w:styleId="CJ">
    <w:name w:val="CJ表格内容"/>
    <w:basedOn w:val="Normal"/>
    <w:pPr>
      <w:adjustRightInd w:val="0"/>
      <w:snapToGrid w:val="0"/>
      <w:jc w:val="center"/>
    </w:pPr>
    <w:rPr>
      <w:color w:val="000000"/>
      <w:szCs w:val="21"/>
    </w:rPr>
  </w:style>
  <w:style w:type="paragraph" w:customStyle="1" w:styleId="150">
    <w:name w:val="样式 正文缩进正文（首行缩进两字） + 宋体 行距: 1.5 倍行距"/>
    <w:basedOn w:val="NormalIndent"/>
    <w:qFormat/>
    <w:pPr>
      <w:spacing w:after="156" w:afterLines="50"/>
      <w:ind w:firstLine="482"/>
      <w:jc w:val="left"/>
    </w:pPr>
    <w:rPr>
      <w:rFonts w:hAnsi="宋体"/>
      <w:szCs w:val="28"/>
    </w:rPr>
  </w:style>
  <w:style w:type="paragraph" w:customStyle="1" w:styleId="a26">
    <w:name w:val="表格内"/>
    <w:basedOn w:val="Normal"/>
    <w:uiPriority w:val="99"/>
    <w:qFormat/>
    <w:pPr>
      <w:adjustRightInd w:val="0"/>
      <w:spacing w:line="240" w:lineRule="atLeast"/>
      <w:jc w:val="center"/>
      <w:textAlignment w:val="baseline"/>
    </w:pPr>
    <w:rPr>
      <w:rFonts w:ascii="宋体"/>
      <w:kern w:val="0"/>
      <w:szCs w:val="20"/>
    </w:rPr>
  </w:style>
  <w:style w:type="paragraph" w:customStyle="1" w:styleId="-">
    <w:name w:val="表头-宜兴统一"/>
    <w:basedOn w:val="-0"/>
  </w:style>
  <w:style w:type="paragraph" w:customStyle="1" w:styleId="-0">
    <w:name w:val="宜兴统一-表头"/>
    <w:basedOn w:val="Normal"/>
    <w:pPr>
      <w:jc w:val="center"/>
    </w:pPr>
    <w:rPr>
      <w:rFonts w:ascii="Calibri" w:hAnsi="Calibri"/>
      <w:b/>
      <w:bCs/>
      <w:sz w:val="24"/>
    </w:rPr>
  </w:style>
  <w:style w:type="table" w:styleId="TableGrid">
    <w:name w:val="Table Grid"/>
    <w:basedOn w:val="TableNormal"/>
    <w:qFormat/>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jstri">
    <w:name w:val="jstri表格"/>
    <w:basedOn w:val="TableNormal"/>
    <w:qFormat/>
    <w:pPr>
      <w:jc w:val="both"/>
    </w:pPr>
    <w:rPr>
      <w:sz w:val="21"/>
    </w:rPr>
    <w:tblPr>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hyperlink" Target="https://d.book118.com/578052031003006046" TargetMode="External" /><Relationship Id="rId12" Type="http://schemas.openxmlformats.org/officeDocument/2006/relationships/footer" Target="footer8.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_rels/settings.xml.rels><?xml version="1.0" encoding="utf-8" standalone="yes"?><Relationships xmlns="http://schemas.openxmlformats.org/package/2006/relationships"><Relationship Id="rId1" Type="http://schemas.openxmlformats.org/officeDocument/2006/relationships/attachedTemplate" Target="file:///c:\dsoa\wdzx97.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wdzx97.dot</Template>
  <TotalTime>0</TotalTime>
  <Pages>12</Pages>
  <Words>31612</Words>
  <Characters>37258</Characters>
  <Application>Microsoft Office Word</Application>
  <DocSecurity>0</DocSecurity>
  <Lines>365</Lines>
  <Paragraphs>102</Paragraphs>
  <ScaleCrop>false</ScaleCrop>
  <Company>微软中国</Company>
  <LinksUpToDate>false</LinksUpToDate>
  <CharactersWithSpaces>37655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WPS_1559717548</cp:lastModifiedBy>
  <cp:revision>134</cp:revision>
  <cp:lastPrinted>2021-03-30T06:28:00Z</cp:lastPrinted>
  <dcterms:created xsi:type="dcterms:W3CDTF">2020-12-24T01:29:00Z</dcterms:created>
  <dcterms:modified xsi:type="dcterms:W3CDTF">2024-03-15T13:38:57Z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CFD12DBE5F424B38A1A23CE228E8CD8F</vt:lpwstr>
  </property>
  <property fmtid="{D5CDD505-2E9C-101B-9397-08002B2CF9AE}" pid="3" name="KSOProductBuildVer">
    <vt:lpwstr>2052-11.1.0.10009</vt:lpwstr>
  </property>
</Properties>
</file>