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2024年套结机行业分析报告及未来五到十年行业发展趋势报告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860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套结机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_Toc30860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4062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套结机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_Toc24062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67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_Toc11067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_Toc182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337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套结机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_Toc26337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10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套结机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_Toc26110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46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_Toc25463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9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_Toc2959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12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_Toc16112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08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_Toc14908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47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_Toc32447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22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_Toc27122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834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套结机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_Toc10834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64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_Toc7864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35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_Toc11935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112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_Toc20112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486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_Toc31486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34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_Toc8034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6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_Toc2526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9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_Toc1379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577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套结机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_Toc23577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6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套结机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_Toc19861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90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_Toc25590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692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套结机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_Toc15692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套结机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_Toc1296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3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_Toc30433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53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_Toc14534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70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_Toc5370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93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套结机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_Toc8931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0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_Toc14605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_Toc139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2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_Toc28429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88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_Toc27588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80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_Toc5980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3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套结机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59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套结机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_Toc20859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20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_Toc4320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968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_Toc29968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902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_Toc26902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555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_Toc21555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7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_Toc637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445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_Toc6445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360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_Toc24360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345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_Toc25345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917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_Toc14917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63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_Toc8063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423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_Toc13423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194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_Toc22194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737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_Toc32737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454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套结机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_Toc31454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29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套结机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_Toc29429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16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_Toc10616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498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_Toc23498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25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_Toc27825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7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_Toc1557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088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套结机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_Toc19088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5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套结机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_Toc11356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553" w:history="1">
        <w:r>
          <w:rPr>
            <w:rFonts w:eastAsia="微软雅黑" w:hint="eastAsia"/>
            <w:snapToGrid/>
            <w:lang w:val="en-US" w:eastAsia="en-US"/>
          </w:rPr>
          <w:t>十、2024-2029年</w:t>
        </w:r>
        <w:r>
          <w:rPr>
            <w:rFonts w:eastAsia="微软雅黑" w:hint="eastAsia"/>
            <w:snapToGrid/>
            <w:lang w:val="en-US" w:eastAsia="en-US"/>
          </w:rPr>
          <w:t>套结机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_Toc5553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94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套结机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_Toc6194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93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_Toc21793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97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_Toc4397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8" w:history="1">
        <w:r>
          <w:rPr>
            <w:rFonts w:eastAsia="微软雅黑" w:hint="eastAsia"/>
            <w:snapToGrid/>
            <w:lang w:val="en-US" w:eastAsia="zh-CN"/>
          </w:rPr>
          <w:t>(四)、不断提高产品质</w:t>
        </w:r>
        <w:r>
          <w:rPr>
            <w:rFonts w:eastAsia="微软雅黑" w:hint="eastAsia"/>
            <w:snapToGrid/>
            <w:lang w:val="en-US" w:eastAsia="zh-CN"/>
          </w:rPr>
          <w:t>量，建立覆盖完善的服务体系</w:t>
        </w:r>
        <w:r>
          <w:tab/>
        </w:r>
        <w:r>
          <w:fldChar w:fldCharType="begin"/>
        </w:r>
        <w:r>
          <w:instrText xml:space="preserve"> PAGEREF _Toc1008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89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_Toc30889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80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_Toc11880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348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套结机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_Toc8348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1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_Toc25113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8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_Toc7683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24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套结机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_Toc20242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08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_Toc7085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257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_Toc11257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https://d.book118.com/578053046141006022</w:t>
        </w:r>
      </w:hyperlink>
    </w:p>
    <w:p>
      <w:pPr>
        <w:pStyle w:val="TOC3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78053046141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