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91" w:lineRule="auto"/>
        <w:rPr>
          <w:rFonts w:ascii="Arial"/>
          <w:sz w:val="21"/>
        </w:rPr>
      </w:pPr>
    </w:p>
    <w:p>
      <w:pPr>
        <w:spacing w:before="91" w:line="221" w:lineRule="auto"/>
        <w:ind w:left="2933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1"/>
          <w:sz w:val="28"/>
          <w:szCs w:val="28"/>
        </w:rPr>
        <w:t>发射光谱仪检定规程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68" w:line="223" w:lineRule="auto"/>
        <w:ind w:left="1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1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范围</w:t>
      </w:r>
    </w:p>
    <w:p>
      <w:pPr>
        <w:pStyle w:val="BodyText"/>
        <w:spacing w:before="226" w:line="268" w:lineRule="auto"/>
        <w:ind w:left="10" w:firstLine="439"/>
      </w:pPr>
      <w:r>
        <w:rPr>
          <w:spacing w:val="19"/>
        </w:rPr>
        <w:t>本规程适用于发射光谱仪(以下简称仪器)的首次检定、后续检定和使用中检验。</w:t>
      </w:r>
      <w:r>
        <w:t xml:space="preserve"> </w:t>
      </w:r>
      <w:r>
        <w:rPr>
          <w:spacing w:val="10"/>
        </w:rPr>
        <w:t>仪器的定型鉴定和样机试验中有关计量性能试验可参照</w:t>
      </w:r>
      <w:r>
        <w:rPr>
          <w:spacing w:val="9"/>
        </w:rPr>
        <w:t>本规程进行。</w:t>
      </w:r>
    </w:p>
    <w:p>
      <w:pPr>
        <w:spacing w:before="207" w:line="222" w:lineRule="auto"/>
        <w:ind w:left="1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2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引用文献</w:t>
      </w:r>
    </w:p>
    <w:p>
      <w:pPr>
        <w:pStyle w:val="BodyText"/>
        <w:spacing w:before="250" w:line="219" w:lineRule="auto"/>
        <w:ind w:left="449"/>
      </w:pPr>
      <w:r>
        <w:rPr>
          <w:spacing w:val="5"/>
        </w:rPr>
        <w:t>本规程引用下列文献：</w:t>
      </w:r>
    </w:p>
    <w:p>
      <w:pPr>
        <w:pStyle w:val="BodyText"/>
        <w:spacing w:before="71" w:line="218" w:lineRule="auto"/>
        <w:ind w:left="449"/>
      </w:pPr>
      <w:r>
        <w:t>JJF 1001—1998《通用计量术语和定义》</w:t>
      </w:r>
    </w:p>
    <w:p>
      <w:pPr>
        <w:pStyle w:val="BodyText"/>
        <w:spacing w:before="92" w:line="218" w:lineRule="auto"/>
        <w:ind w:left="449"/>
      </w:pPr>
      <w:r>
        <w:rPr>
          <w:spacing w:val="-6"/>
        </w:rPr>
        <w:t>JJF 1059—1999《测量不确定度评定</w:t>
      </w:r>
      <w:r>
        <w:rPr>
          <w:spacing w:val="-7"/>
        </w:rPr>
        <w:t>与表示》</w:t>
      </w:r>
      <w:r>
        <w:rPr>
          <w:spacing w:val="26"/>
        </w:rPr>
        <w:t xml:space="preserve"> </w:t>
      </w:r>
      <w:r>
        <w:rPr>
          <w:spacing w:val="-7"/>
        </w:rPr>
        <w:t>.</w:t>
      </w:r>
    </w:p>
    <w:p>
      <w:pPr>
        <w:pStyle w:val="BodyText"/>
        <w:spacing w:before="82" w:line="261" w:lineRule="auto"/>
        <w:ind w:left="10" w:right="44" w:firstLine="439"/>
      </w:pPr>
      <w:r>
        <w:rPr>
          <w:rFonts w:ascii="Times New Roman" w:eastAsia="Times New Roman" w:hAnsi="Times New Roman" w:cs="Times New Roman"/>
        </w:rPr>
        <w:t>OIML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rFonts w:ascii="Times New Roman" w:eastAsia="Times New Roman" w:hAnsi="Times New Roman" w:cs="Times New Roman"/>
        </w:rPr>
        <w:t>R116“Inductivety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rFonts w:ascii="Times New Roman" w:eastAsia="Times New Roman" w:hAnsi="Times New Roman" w:cs="Times New Roman"/>
        </w:rPr>
        <w:t>coupled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Times New Roman" w:eastAsia="Times New Roman" w:hAnsi="Times New Roman" w:cs="Times New Roman"/>
        </w:rPr>
        <w:t>plas</w:t>
      </w:r>
      <w:r>
        <w:rPr>
          <w:rFonts w:ascii="Times New Roman" w:eastAsia="Times New Roman" w:hAnsi="Times New Roman" w:cs="Times New Roman"/>
          <w:spacing w:val="-1"/>
        </w:rPr>
        <w:t>ma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atomic</w:t>
      </w:r>
      <w:r>
        <w:rPr>
          <w:rFonts w:ascii="Times New Roman" w:eastAsia="Times New Roman" w:hAnsi="Times New Roman" w:cs="Times New Roman"/>
          <w:spacing w:val="28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emission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spectrometers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for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measurement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of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9"/>
        </w:rPr>
        <w:t>metal pollutants in water”《测定水中污染金属离子用等离子体发射光谱仪》</w:t>
      </w:r>
    </w:p>
    <w:p>
      <w:pPr>
        <w:pStyle w:val="BodyText"/>
        <w:spacing w:before="91" w:line="219" w:lineRule="auto"/>
        <w:ind w:left="449"/>
      </w:pPr>
      <w:r>
        <w:rPr>
          <w:spacing w:val="9"/>
        </w:rPr>
        <w:t>使用本规程时应注意使用上述引用文献的现行有效版本。</w:t>
      </w:r>
    </w:p>
    <w:p>
      <w:pPr>
        <w:spacing w:before="237" w:line="221" w:lineRule="auto"/>
        <w:ind w:left="1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3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概述</w:t>
      </w:r>
    </w:p>
    <w:p>
      <w:pPr>
        <w:pStyle w:val="BodyText"/>
        <w:spacing w:before="244" w:line="219" w:lineRule="auto"/>
        <w:ind w:left="10"/>
      </w:pPr>
      <w:r>
        <w:rPr>
          <w:spacing w:val="7"/>
        </w:rPr>
        <w:t>3.1</w:t>
      </w:r>
      <w:r>
        <w:rPr>
          <w:spacing w:val="88"/>
        </w:rPr>
        <w:t xml:space="preserve"> </w:t>
      </w:r>
      <w:r>
        <w:rPr>
          <w:spacing w:val="7"/>
        </w:rPr>
        <w:t>仪器原理和用途</w:t>
      </w:r>
    </w:p>
    <w:p>
      <w:pPr>
        <w:pStyle w:val="BodyText"/>
        <w:spacing w:before="59" w:line="267" w:lineRule="auto"/>
        <w:ind w:left="10" w:right="52" w:firstLine="439"/>
        <w:jc w:val="both"/>
      </w:pPr>
      <w:r>
        <w:rPr>
          <w:spacing w:val="10"/>
        </w:rPr>
        <w:t>发射光谱仪是根据被测元素的原子或离子，在光源中被激发而产生特征辐射，通过</w:t>
      </w:r>
      <w:r>
        <w:rPr>
          <w:spacing w:val="17"/>
        </w:rPr>
        <w:t xml:space="preserve"> </w:t>
      </w:r>
      <w:r>
        <w:rPr>
          <w:spacing w:val="12"/>
        </w:rPr>
        <w:t>判断这种特征辐射的存在及其强度的大小，对各元素</w:t>
      </w:r>
      <w:r>
        <w:rPr>
          <w:spacing w:val="11"/>
        </w:rPr>
        <w:t>进行定性和定量分析。它主要用于</w:t>
      </w:r>
      <w:r>
        <w:t xml:space="preserve"> </w:t>
      </w:r>
      <w:r>
        <w:rPr>
          <w:spacing w:val="10"/>
        </w:rPr>
        <w:t>冶金、地质、石油、环保、化工、食品、医药等方面的样品分析。</w:t>
      </w:r>
    </w:p>
    <w:p>
      <w:pPr>
        <w:pStyle w:val="BodyText"/>
        <w:spacing w:before="88" w:line="219" w:lineRule="auto"/>
        <w:ind w:left="13"/>
      </w:pPr>
      <w:r>
        <w:rPr>
          <w:b/>
          <w:bCs/>
          <w:spacing w:val="1"/>
        </w:rPr>
        <w:t>3.2</w:t>
      </w:r>
      <w:r>
        <w:rPr>
          <w:spacing w:val="94"/>
        </w:rPr>
        <w:t xml:space="preserve"> </w:t>
      </w:r>
      <w:r>
        <w:rPr>
          <w:b/>
          <w:bCs/>
          <w:spacing w:val="1"/>
        </w:rPr>
        <w:t>仪器结构</w:t>
      </w:r>
    </w:p>
    <w:p>
      <w:pPr>
        <w:pStyle w:val="BodyText"/>
        <w:spacing w:before="74" w:line="219" w:lineRule="auto"/>
        <w:ind w:left="449"/>
      </w:pPr>
      <w:r>
        <w:rPr>
          <w:spacing w:val="7"/>
        </w:rPr>
        <w:t>仪器的主要结构方框图如下所示。</w:t>
      </w:r>
    </w:p>
    <w:p>
      <w:pPr>
        <w:spacing w:before="72" w:line="20" w:lineRule="exact"/>
        <w:ind w:firstLine="4750"/>
      </w:pPr>
      <w:r>
        <w:drawing>
          <wp:inline distT="0" distB="0" distL="0" distR="0">
            <wp:extent cx="1727224" cy="12753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7224" cy="12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" w:line="259" w:lineRule="auto"/>
        <w:ind w:left="10" w:right="1075" w:firstLine="999"/>
      </w:pPr>
      <w:r>
        <w:rPr>
          <w:spacing w:val="-11"/>
          <w:u w:val="single" w:color="auto"/>
        </w:rPr>
        <w:t>进样系统</w:t>
      </w:r>
      <w:r>
        <w:rPr>
          <w:spacing w:val="-11"/>
        </w:rPr>
        <w:t>——</w:t>
      </w:r>
      <w:r>
        <w:rPr>
          <w:spacing w:val="-11"/>
          <w:u w:val="single" w:color="auto"/>
        </w:rPr>
        <w:t>|激发光源</w:t>
      </w:r>
      <w:r>
        <w:rPr>
          <w:spacing w:val="-11"/>
        </w:rPr>
        <w:t>——</w:t>
      </w:r>
      <w:r>
        <w:rPr>
          <w:spacing w:val="-11"/>
          <w:u w:val="single" w:color="auto"/>
        </w:rPr>
        <w:t>色</w:t>
      </w:r>
      <w:r>
        <w:rPr>
          <w:spacing w:val="-43"/>
          <w:u w:val="single" w:color="auto"/>
        </w:rPr>
        <w:t xml:space="preserve"> </w:t>
      </w:r>
      <w:r>
        <w:rPr>
          <w:spacing w:val="-11"/>
          <w:u w:val="single" w:color="auto"/>
        </w:rPr>
        <w:t>散</w:t>
      </w:r>
      <w:r>
        <w:rPr>
          <w:spacing w:val="-37"/>
          <w:u w:val="single" w:color="auto"/>
        </w:rPr>
        <w:t xml:space="preserve"> </w:t>
      </w:r>
      <w:r>
        <w:rPr>
          <w:spacing w:val="-11"/>
          <w:u w:val="single" w:color="auto"/>
        </w:rPr>
        <w:t>系</w:t>
      </w:r>
      <w:r>
        <w:rPr>
          <w:spacing w:val="-37"/>
          <w:u w:val="single" w:color="auto"/>
        </w:rPr>
        <w:t xml:space="preserve"> </w:t>
      </w:r>
      <w:r>
        <w:rPr>
          <w:spacing w:val="-11"/>
          <w:u w:val="single" w:color="auto"/>
        </w:rPr>
        <w:t>统</w:t>
      </w:r>
      <w:r>
        <w:rPr>
          <w:spacing w:val="-43"/>
          <w:u w:val="single" w:color="auto"/>
        </w:rPr>
        <w:t xml:space="preserve"> </w:t>
      </w:r>
      <w:r>
        <w:rPr>
          <w:spacing w:val="-11"/>
          <w:u w:val="single" w:color="auto"/>
        </w:rPr>
        <w:t>控</w:t>
      </w:r>
      <w:r>
        <w:rPr>
          <w:spacing w:val="-40"/>
          <w:u w:val="single" w:color="auto"/>
        </w:rPr>
        <w:t xml:space="preserve"> </w:t>
      </w:r>
      <w:r>
        <w:rPr>
          <w:spacing w:val="-11"/>
          <w:u w:val="single" w:color="auto"/>
        </w:rPr>
        <w:t>制</w:t>
      </w:r>
      <w:r>
        <w:rPr>
          <w:spacing w:val="-38"/>
          <w:u w:val="single" w:color="auto"/>
        </w:rPr>
        <w:t xml:space="preserve"> </w:t>
      </w:r>
      <w:r>
        <w:rPr>
          <w:spacing w:val="-11"/>
          <w:u w:val="single" w:color="auto"/>
        </w:rPr>
        <w:t>与</w:t>
      </w:r>
      <w:r>
        <w:rPr>
          <w:spacing w:val="-42"/>
          <w:u w:val="single" w:color="auto"/>
        </w:rPr>
        <w:t xml:space="preserve"> </w:t>
      </w:r>
      <w:r>
        <w:rPr>
          <w:spacing w:val="-11"/>
          <w:u w:val="single" w:color="auto"/>
        </w:rPr>
        <w:t>检</w:t>
      </w:r>
      <w:r>
        <w:rPr>
          <w:spacing w:val="-41"/>
          <w:u w:val="single" w:color="auto"/>
        </w:rPr>
        <w:t xml:space="preserve"> </w:t>
      </w:r>
      <w:r>
        <w:rPr>
          <w:spacing w:val="-11"/>
          <w:u w:val="single" w:color="auto"/>
        </w:rPr>
        <w:t>测</w:t>
      </w:r>
      <w:r>
        <w:rPr>
          <w:spacing w:val="-37"/>
          <w:u w:val="single" w:color="auto"/>
        </w:rPr>
        <w:t xml:space="preserve"> </w:t>
      </w:r>
      <w:r>
        <w:rPr>
          <w:spacing w:val="-11"/>
          <w:u w:val="single" w:color="auto"/>
        </w:rPr>
        <w:t>系</w:t>
      </w:r>
      <w:r>
        <w:rPr>
          <w:spacing w:val="-37"/>
          <w:u w:val="single" w:color="auto"/>
        </w:rPr>
        <w:t xml:space="preserve"> </w:t>
      </w:r>
      <w:r>
        <w:rPr>
          <w:strike/>
          <w:spacing w:val="-11"/>
          <w:u w:val="single" w:color="auto"/>
        </w:rPr>
        <w:t>统</w:t>
      </w:r>
      <w:r>
        <w:rPr>
          <w:strike/>
          <w:spacing w:val="-43"/>
          <w:u w:val="single" w:color="auto"/>
        </w:rPr>
        <w:t xml:space="preserve"> </w:t>
      </w:r>
      <w:r>
        <w:rPr>
          <w:strike/>
          <w:spacing w:val="-11"/>
          <w:u w:val="single" w:color="auto"/>
        </w:rPr>
        <w:t>输</w:t>
      </w:r>
      <w:r>
        <w:rPr>
          <w:spacing w:val="-23"/>
          <w:u w:val="single" w:color="auto"/>
        </w:rPr>
        <w:t xml:space="preserve"> </w:t>
      </w:r>
      <w:r>
        <w:rPr>
          <w:spacing w:val="-12"/>
          <w:u w:val="single" w:color="auto"/>
        </w:rPr>
        <w:t>出</w:t>
      </w:r>
      <w:r>
        <w:rPr>
          <w:spacing w:val="-38"/>
          <w:u w:val="single" w:color="auto"/>
        </w:rPr>
        <w:t xml:space="preserve"> </w:t>
      </w:r>
      <w:r>
        <w:rPr>
          <w:spacing w:val="-12"/>
          <w:u w:val="single" w:color="auto"/>
        </w:rPr>
        <w:t>系</w:t>
      </w:r>
      <w:r>
        <w:rPr>
          <w:spacing w:val="-37"/>
          <w:u w:val="single" w:color="auto"/>
        </w:rPr>
        <w:t xml:space="preserve"> </w:t>
      </w:r>
      <w:r>
        <w:rPr>
          <w:spacing w:val="-12"/>
          <w:u w:val="single" w:color="auto"/>
        </w:rPr>
        <w:t>统</w:t>
      </w:r>
      <w:r>
        <w:t xml:space="preserve"> </w:t>
      </w:r>
      <w:r>
        <w:rPr>
          <w:spacing w:val="3"/>
        </w:rPr>
        <w:t>3.3</w:t>
      </w:r>
      <w:r>
        <w:rPr>
          <w:spacing w:val="96"/>
        </w:rPr>
        <w:t xml:space="preserve"> </w:t>
      </w:r>
      <w:r>
        <w:rPr>
          <w:spacing w:val="3"/>
        </w:rPr>
        <w:t>仪器分类</w:t>
      </w:r>
    </w:p>
    <w:p>
      <w:pPr>
        <w:pStyle w:val="BodyText"/>
        <w:spacing w:before="61" w:line="271" w:lineRule="auto"/>
        <w:ind w:left="10" w:right="54" w:firstLine="439"/>
        <w:jc w:val="both"/>
      </w:pPr>
      <w:r>
        <w:rPr>
          <w:spacing w:val="12"/>
        </w:rPr>
        <w:t>仪器按激发光源和检测系统的不同分为三类。第一</w:t>
      </w:r>
      <w:r>
        <w:rPr>
          <w:spacing w:val="11"/>
        </w:rPr>
        <w:t>类：电感耦合等离子体发射光谱</w:t>
      </w:r>
      <w:r>
        <w:t xml:space="preserve"> </w:t>
      </w:r>
      <w:r>
        <w:rPr>
          <w:spacing w:val="20"/>
        </w:rPr>
        <w:t>仪(简称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</w:rPr>
        <w:t>ICP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20"/>
        </w:rPr>
        <w:t>光谱仪),包括顺序扫描型、多道同时型(检测器为光电倍增管)、全</w:t>
      </w:r>
      <w:r>
        <w:rPr>
          <w:spacing w:val="19"/>
        </w:rPr>
        <w:t>谱直</w:t>
      </w:r>
      <w:r>
        <w:t xml:space="preserve"> </w:t>
      </w:r>
      <w:r>
        <w:rPr>
          <w:spacing w:val="18"/>
        </w:rPr>
        <w:t>读型(检测器为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</w:rPr>
        <w:t>CCD</w:t>
      </w:r>
      <w:r>
        <w:rPr>
          <w:spacing w:val="18"/>
        </w:rPr>
        <w:t xml:space="preserve">或 </w:t>
      </w:r>
      <w:r>
        <w:rPr>
          <w:rFonts w:ascii="Times New Roman" w:eastAsia="Times New Roman" w:hAnsi="Times New Roman" w:cs="Times New Roman"/>
        </w:rPr>
        <w:t>CID</w:t>
      </w:r>
      <w:r>
        <w:rPr>
          <w:rFonts w:ascii="Times New Roman" w:eastAsia="Times New Roman" w:hAnsi="Times New Roman" w:cs="Times New Roman"/>
          <w:spacing w:val="18"/>
        </w:rPr>
        <w:t xml:space="preserve">)  </w:t>
      </w:r>
      <w:r>
        <w:rPr>
          <w:spacing w:val="18"/>
        </w:rPr>
        <w:t>等几种类型；第二类；火花/电弧直读光谱仪(简称直读</w:t>
      </w:r>
      <w:r>
        <w:t xml:space="preserve"> </w:t>
      </w:r>
      <w:r>
        <w:rPr>
          <w:spacing w:val="13"/>
        </w:rPr>
        <w:t>光谱仪),包括大型和便携式两种类型；第三类：</w:t>
      </w:r>
      <w:r>
        <w:rPr>
          <w:spacing w:val="12"/>
        </w:rPr>
        <w:t>摄谱仪。</w:t>
      </w:r>
    </w:p>
    <w:p>
      <w:pPr>
        <w:spacing w:before="244" w:line="222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4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计量性能要求</w:t>
      </w:r>
    </w:p>
    <w:p>
      <w:pPr>
        <w:pStyle w:val="BodyText"/>
        <w:spacing w:before="251" w:line="219" w:lineRule="auto"/>
        <w:ind w:left="10"/>
      </w:pPr>
      <w:r>
        <w:rPr>
          <w:spacing w:val="4"/>
        </w:rPr>
        <w:t>4.1</w:t>
      </w:r>
      <w:r>
        <w:rPr>
          <w:spacing w:val="91"/>
        </w:rPr>
        <w:t xml:space="preserve"> </w:t>
      </w:r>
      <w:r>
        <w:t>ICP</w:t>
      </w:r>
      <w:r>
        <w:rPr>
          <w:spacing w:val="-31"/>
        </w:rPr>
        <w:t xml:space="preserve"> </w:t>
      </w:r>
      <w:r>
        <w:rPr>
          <w:spacing w:val="4"/>
        </w:rPr>
        <w:t>光谱仪计量性能要求</w:t>
      </w:r>
    </w:p>
    <w:p>
      <w:pPr>
        <w:pStyle w:val="BodyText"/>
        <w:spacing w:before="91" w:line="219" w:lineRule="auto"/>
        <w:ind w:left="449"/>
        <w:sectPr>
          <w:headerReference w:type="default" r:id="rId5"/>
          <w:footerReference w:type="default" r:id="rId6"/>
          <w:pgSz w:w="10040" w:h="14660"/>
          <w:pgMar w:top="1030" w:right="704" w:bottom="958" w:left="849" w:header="717" w:footer="819" w:gutter="0"/>
          <w:cols w:space="708"/>
        </w:sectPr>
      </w:pPr>
      <w:r>
        <w:rPr>
          <w:rFonts w:ascii="Times New Roman" w:eastAsia="Times New Roman" w:hAnsi="Times New Roman" w:cs="Times New Roman"/>
        </w:rPr>
        <w:t>ICP</w:t>
      </w:r>
      <w:r>
        <w:rPr>
          <w:spacing w:val="13"/>
        </w:rPr>
        <w:t>光谱仪计量性能要求见表1。</w:t>
      </w:r>
    </w:p>
    <w:p>
      <w:pPr>
        <w:pStyle w:val="BodyText"/>
        <w:spacing w:before="60" w:line="340" w:lineRule="exact"/>
        <w:ind w:left="10"/>
      </w:pPr>
      <w:r>
        <w:rPr>
          <w:spacing w:val="12"/>
          <w:position w:val="9"/>
        </w:rPr>
        <w:t>4.2</w:t>
      </w:r>
      <w:r>
        <w:rPr>
          <w:spacing w:val="53"/>
          <w:position w:val="9"/>
        </w:rPr>
        <w:t xml:space="preserve">  </w:t>
      </w:r>
      <w:r>
        <w:rPr>
          <w:spacing w:val="12"/>
          <w:position w:val="9"/>
        </w:rPr>
        <w:t>(火花/电弧)直读光谱仪计量性能要求</w:t>
      </w:r>
    </w:p>
    <w:p>
      <w:pPr>
        <w:pStyle w:val="BodyText"/>
        <w:spacing w:line="219" w:lineRule="auto"/>
        <w:ind w:left="449"/>
      </w:pPr>
      <w:r>
        <w:rPr>
          <w:spacing w:val="10"/>
        </w:rPr>
        <w:t>直读光谱仪计量性能要求见表2。</w:t>
      </w:r>
    </w:p>
    <w:p>
      <w:pPr>
        <w:spacing w:line="219" w:lineRule="auto"/>
        <w:sectPr>
          <w:headerReference w:type="default" r:id="rId7"/>
          <w:footerReference w:type="default" r:id="rId8"/>
          <w:type w:val="nextPage"/>
          <w:pgSz w:w="10040" w:h="14660"/>
          <w:pgMar w:top="1030" w:right="704" w:bottom="958" w:left="849" w:header="717" w:footer="819" w:gutter="0"/>
          <w:pgNumType w:start="2"/>
          <w:cols w:space="708"/>
          <w:titlePg w:val="0"/>
        </w:sectPr>
      </w:pPr>
    </w:p>
    <w:p>
      <w:pPr>
        <w:spacing w:before="193" w:line="221" w:lineRule="auto"/>
        <w:ind w:left="216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表1</w:t>
      </w:r>
      <w:r>
        <w:rPr>
          <w:rFonts w:ascii="SimHei" w:eastAsia="SimHei" w:hAnsi="SimHei" w:cs="SimHei"/>
          <w:spacing w:val="8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ICP</w:t>
      </w: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光谱仪的主要检定项目及计量性能要求</w:t>
      </w:r>
    </w:p>
    <w:p>
      <w:pPr>
        <w:spacing w:line="52" w:lineRule="exact"/>
      </w:pPr>
    </w:p>
    <w:tbl>
      <w:tblPr>
        <w:tblStyle w:val="TableNormal0"/>
        <w:tblW w:w="8349" w:type="dxa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84"/>
        <w:gridCol w:w="379"/>
        <w:gridCol w:w="3686"/>
        <w:gridCol w:w="3900"/>
      </w:tblGrid>
      <w:tr>
        <w:tblPrEx>
          <w:tblW w:w="8349" w:type="dxa"/>
          <w:tblInd w:w="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4"/>
        </w:trPr>
        <w:tc>
          <w:tcPr>
            <w:tcW w:w="763" w:type="dxa"/>
            <w:gridSpan w:val="2"/>
            <w:vAlign w:val="top"/>
          </w:tcPr>
          <w:p>
            <w:pPr>
              <w:pStyle w:val="TableText"/>
              <w:spacing w:before="93" w:line="220" w:lineRule="auto"/>
              <w:ind w:left="175"/>
            </w:pPr>
            <w:r>
              <w:rPr>
                <w:spacing w:val="8"/>
              </w:rPr>
              <w:t>级别</w:t>
            </w:r>
          </w:p>
        </w:tc>
        <w:tc>
          <w:tcPr>
            <w:tcW w:w="3686" w:type="dxa"/>
            <w:vAlign w:val="top"/>
          </w:tcPr>
          <w:p>
            <w:pPr>
              <w:pStyle w:val="TableText"/>
              <w:spacing w:before="95" w:line="221" w:lineRule="auto"/>
              <w:ind w:left="1661"/>
            </w:pPr>
            <w:r>
              <w:rPr>
                <w:spacing w:val="-1"/>
              </w:rPr>
              <w:t>A级</w:t>
            </w:r>
          </w:p>
        </w:tc>
        <w:tc>
          <w:tcPr>
            <w:tcW w:w="3900" w:type="dxa"/>
            <w:vAlign w:val="top"/>
          </w:tcPr>
          <w:p>
            <w:pPr>
              <w:pStyle w:val="TableText"/>
              <w:spacing w:before="95" w:line="221" w:lineRule="auto"/>
              <w:ind w:left="1756"/>
            </w:pPr>
            <w:r>
              <w:rPr>
                <w:spacing w:val="-1"/>
              </w:rPr>
              <w:t>B级</w:t>
            </w:r>
          </w:p>
        </w:tc>
      </w:tr>
      <w:tr>
        <w:tblPrEx>
          <w:tblW w:w="8349" w:type="dxa"/>
          <w:tblInd w:w="80" w:type="dxa"/>
          <w:tblLayout w:type="fixed"/>
        </w:tblPrEx>
        <w:trPr>
          <w:trHeight w:val="938"/>
        </w:trPr>
        <w:tc>
          <w:tcPr>
            <w:tcW w:w="38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88" w:line="217" w:lineRule="auto"/>
              <w:ind w:left="641"/>
            </w:pPr>
            <w:r>
              <w:t>波长</w:t>
            </w:r>
          </w:p>
        </w:tc>
        <w:tc>
          <w:tcPr>
            <w:tcW w:w="379" w:type="dxa"/>
            <w:textDirection w:val="tbRlV"/>
            <w:vAlign w:val="top"/>
          </w:tcPr>
          <w:p>
            <w:pPr>
              <w:pStyle w:val="TableText"/>
              <w:spacing w:before="78" w:line="216" w:lineRule="auto"/>
              <w:ind w:left="49"/>
            </w:pPr>
            <w:r>
              <w:rPr>
                <w:spacing w:val="5"/>
              </w:rPr>
              <w:t>小值误差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235" w:lineRule="auto"/>
              <w:ind w:left="1461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±0.03</w:t>
            </w:r>
            <w:r>
              <w:rPr>
                <w:spacing w:val="19"/>
                <w:w w:val="101"/>
                <w:sz w:val="14"/>
                <w:szCs w:val="14"/>
              </w:rPr>
              <w:t xml:space="preserve">   </w:t>
            </w:r>
            <w:r>
              <w:rPr>
                <w:spacing w:val="-4"/>
                <w:sz w:val="14"/>
                <w:szCs w:val="14"/>
              </w:rPr>
              <w:t>nm</w:t>
            </w:r>
          </w:p>
        </w:tc>
        <w:tc>
          <w:tcPr>
            <w:tcW w:w="3900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235" w:lineRule="auto"/>
              <w:ind w:left="1576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±0.05</w:t>
            </w:r>
            <w:r>
              <w:rPr>
                <w:spacing w:val="2"/>
                <w:sz w:val="14"/>
                <w:szCs w:val="14"/>
              </w:rPr>
              <w:t xml:space="preserve">    </w:t>
            </w:r>
            <w:r>
              <w:rPr>
                <w:spacing w:val="-4"/>
                <w:sz w:val="14"/>
                <w:szCs w:val="14"/>
              </w:rPr>
              <w:t>nm</w:t>
            </w:r>
          </w:p>
        </w:tc>
      </w:tr>
      <w:tr>
        <w:tblPrEx>
          <w:tblW w:w="8349" w:type="dxa"/>
          <w:tblInd w:w="80" w:type="dxa"/>
          <w:tblLayout w:type="fixed"/>
        </w:tblPrEx>
        <w:trPr>
          <w:trHeight w:val="759"/>
        </w:trPr>
        <w:tc>
          <w:tcPr>
            <w:tcW w:w="38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textDirection w:val="tbRlV"/>
            <w:vAlign w:val="top"/>
          </w:tcPr>
          <w:p>
            <w:pPr>
              <w:pStyle w:val="TableText"/>
              <w:spacing w:before="87" w:line="217" w:lineRule="auto"/>
              <w:ind w:left="61"/>
            </w:pPr>
            <w:r>
              <w:t>重复性</w:t>
            </w:r>
          </w:p>
        </w:tc>
        <w:tc>
          <w:tcPr>
            <w:tcW w:w="3686" w:type="dxa"/>
            <w:vAlign w:val="top"/>
          </w:tcPr>
          <w:p>
            <w:pPr>
              <w:pStyle w:val="TableText"/>
              <w:spacing w:before="298" w:line="236" w:lineRule="auto"/>
              <w:ind w:left="1392"/>
            </w:pPr>
            <w:r>
              <w:rPr>
                <w:spacing w:val="-4"/>
              </w:rPr>
              <w:t>≤0.005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nm</w:t>
            </w:r>
          </w:p>
        </w:tc>
        <w:tc>
          <w:tcPr>
            <w:tcW w:w="3900" w:type="dxa"/>
            <w:vAlign w:val="top"/>
          </w:tcPr>
          <w:p>
            <w:pPr>
              <w:pStyle w:val="TableText"/>
              <w:spacing w:before="298" w:line="236" w:lineRule="auto"/>
              <w:ind w:left="1546"/>
            </w:pPr>
            <w:r>
              <w:rPr>
                <w:spacing w:val="-4"/>
              </w:rPr>
              <w:t>≤0.01</w:t>
            </w:r>
            <w:r>
              <w:rPr>
                <w:spacing w:val="30"/>
              </w:rPr>
              <w:t xml:space="preserve"> </w:t>
            </w:r>
            <w:r>
              <w:rPr>
                <w:spacing w:val="-4"/>
              </w:rPr>
              <w:t>nm</w:t>
            </w:r>
          </w:p>
        </w:tc>
      </w:tr>
      <w:tr>
        <w:tblPrEx>
          <w:tblW w:w="8349" w:type="dxa"/>
          <w:tblInd w:w="80" w:type="dxa"/>
          <w:tblLayout w:type="fixed"/>
        </w:tblPrEx>
        <w:trPr>
          <w:trHeight w:val="749"/>
        </w:trPr>
        <w:tc>
          <w:tcPr>
            <w:tcW w:w="763" w:type="dxa"/>
            <w:gridSpan w:val="2"/>
            <w:vAlign w:val="top"/>
          </w:tcPr>
          <w:p>
            <w:pPr>
              <w:pStyle w:val="TableText"/>
              <w:spacing w:before="162" w:line="220" w:lineRule="auto"/>
              <w:ind w:left="75" w:right="62"/>
            </w:pPr>
            <w:r>
              <w:rPr>
                <w:spacing w:val="-4"/>
              </w:rPr>
              <w:t>最小光</w:t>
            </w:r>
            <w:r>
              <w:t xml:space="preserve"> </w:t>
            </w:r>
            <w:r>
              <w:rPr>
                <w:spacing w:val="5"/>
              </w:rPr>
              <w:t>谱带宽</w:t>
            </w:r>
          </w:p>
        </w:tc>
        <w:tc>
          <w:tcPr>
            <w:tcW w:w="3686" w:type="dxa"/>
            <w:vAlign w:val="top"/>
          </w:tcPr>
          <w:p>
            <w:pPr>
              <w:pStyle w:val="TableText"/>
              <w:spacing w:before="282" w:line="219" w:lineRule="auto"/>
              <w:ind w:left="511"/>
            </w:pPr>
            <w:r>
              <w:t>Mn257.610 nm半高宽≤0.015 nm</w:t>
            </w:r>
          </w:p>
        </w:tc>
        <w:tc>
          <w:tcPr>
            <w:tcW w:w="3900" w:type="dxa"/>
            <w:vAlign w:val="top"/>
          </w:tcPr>
          <w:p>
            <w:pPr>
              <w:pStyle w:val="TableText"/>
              <w:spacing w:before="282" w:line="219" w:lineRule="auto"/>
              <w:ind w:left="596"/>
            </w:pPr>
            <w:r>
              <w:t>Mn257.610 nm半高宽≤0.030 nm</w:t>
            </w:r>
          </w:p>
        </w:tc>
      </w:tr>
      <w:tr>
        <w:tblPrEx>
          <w:tblW w:w="8349" w:type="dxa"/>
          <w:tblInd w:w="80" w:type="dxa"/>
          <w:tblLayout w:type="fixed"/>
        </w:tblPrEx>
        <w:trPr>
          <w:trHeight w:val="1497"/>
        </w:trPr>
        <w:tc>
          <w:tcPr>
            <w:tcW w:w="763" w:type="dxa"/>
            <w:gridSpan w:val="2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25" w:right="34" w:firstLine="49"/>
            </w:pPr>
            <w:r>
              <w:rPr>
                <w:spacing w:val="-3"/>
              </w:rPr>
              <w:t>检出限</w:t>
            </w:r>
            <w:r>
              <w:t xml:space="preserve"> </w:t>
            </w:r>
            <w:r>
              <w:rPr>
                <w:spacing w:val="-1"/>
              </w:rPr>
              <w:t>/(mg/L)</w:t>
            </w:r>
          </w:p>
        </w:tc>
        <w:tc>
          <w:tcPr>
            <w:tcW w:w="3686" w:type="dxa"/>
            <w:vAlign w:val="top"/>
          </w:tcPr>
          <w:p>
            <w:pPr>
              <w:spacing w:line="110" w:lineRule="exact"/>
            </w:pPr>
          </w:p>
          <w:tbl>
            <w:tblPr>
              <w:tblStyle w:val="TableNormal0"/>
              <w:tblW w:w="2418" w:type="dxa"/>
              <w:tblInd w:w="672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1447"/>
              <w:gridCol w:w="971"/>
            </w:tblGrid>
            <w:tr>
              <w:tblPrEx>
                <w:tblW w:w="2418" w:type="dxa"/>
                <w:tblInd w:w="672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218"/>
              </w:trPr>
              <w:tc>
                <w:tcPr>
                  <w:tcW w:w="1447" w:type="dxa"/>
                  <w:vAlign w:val="top"/>
                </w:tcPr>
                <w:p>
                  <w:pPr>
                    <w:pStyle w:val="TableText"/>
                    <w:spacing w:before="52" w:line="155" w:lineRule="exact"/>
                    <w:ind w:left="9"/>
                  </w:pPr>
                  <w:r>
                    <w:rPr>
                      <w:spacing w:val="-1"/>
                      <w:position w:val="-2"/>
                    </w:rPr>
                    <w:t>Zn213.856 nm</w:t>
                  </w:r>
                </w:p>
              </w:tc>
              <w:tc>
                <w:tcPr>
                  <w:tcW w:w="971" w:type="dxa"/>
                  <w:vAlign w:val="top"/>
                </w:tcPr>
                <w:p>
                  <w:pPr>
                    <w:pStyle w:val="TableText"/>
                    <w:spacing w:before="1" w:line="191" w:lineRule="auto"/>
                    <w:ind w:left="222"/>
                  </w:pPr>
                  <w:r>
                    <w:rPr>
                      <w:spacing w:val="-4"/>
                      <w:position w:val="1"/>
                    </w:rPr>
                    <w:t>≤0.003</w:t>
                  </w:r>
                </w:p>
              </w:tc>
            </w:tr>
            <w:tr>
              <w:tblPrEx>
                <w:tblW w:w="2418" w:type="dxa"/>
                <w:tblInd w:w="672" w:type="dxa"/>
                <w:tblLayout w:type="fixed"/>
              </w:tblPrEx>
              <w:trPr>
                <w:trHeight w:val="232"/>
              </w:trPr>
              <w:tc>
                <w:tcPr>
                  <w:tcW w:w="1447" w:type="dxa"/>
                  <w:vAlign w:val="top"/>
                </w:tcPr>
                <w:p>
                  <w:pPr>
                    <w:pStyle w:val="TableText"/>
                    <w:spacing w:before="54" w:line="168" w:lineRule="exact"/>
                  </w:pPr>
                  <w:r>
                    <w:rPr>
                      <w:position w:val="-2"/>
                    </w:rPr>
                    <w:t>Ni231.604 nm</w:t>
                  </w:r>
                </w:p>
              </w:tc>
              <w:tc>
                <w:tcPr>
                  <w:tcW w:w="971" w:type="dxa"/>
                  <w:vAlign w:val="top"/>
                </w:tcPr>
                <w:p>
                  <w:pPr>
                    <w:pStyle w:val="TableText"/>
                    <w:spacing w:before="21" w:line="185" w:lineRule="auto"/>
                    <w:ind w:left="252"/>
                  </w:pPr>
                  <w:r>
                    <w:rPr>
                      <w:spacing w:val="-5"/>
                    </w:rPr>
                    <w:t>≤0.01</w:t>
                  </w:r>
                </w:p>
              </w:tc>
            </w:tr>
            <w:tr>
              <w:tblPrEx>
                <w:tblW w:w="2418" w:type="dxa"/>
                <w:tblInd w:w="672" w:type="dxa"/>
                <w:tblLayout w:type="fixed"/>
              </w:tblPrEx>
              <w:trPr>
                <w:trHeight w:val="232"/>
              </w:trPr>
              <w:tc>
                <w:tcPr>
                  <w:tcW w:w="1447" w:type="dxa"/>
                  <w:vAlign w:val="top"/>
                </w:tcPr>
                <w:p>
                  <w:pPr>
                    <w:pStyle w:val="TableText"/>
                    <w:spacing w:before="62" w:line="160" w:lineRule="exact"/>
                    <w:ind w:left="9"/>
                  </w:pPr>
                  <w:r>
                    <w:rPr>
                      <w:position w:val="-2"/>
                    </w:rPr>
                    <w:t>Mn257.610 nm</w:t>
                  </w:r>
                </w:p>
              </w:tc>
              <w:tc>
                <w:tcPr>
                  <w:tcW w:w="971" w:type="dxa"/>
                  <w:vAlign w:val="top"/>
                </w:tcPr>
                <w:p>
                  <w:pPr>
                    <w:pStyle w:val="TableText"/>
                    <w:spacing w:before="20" w:line="186" w:lineRule="auto"/>
                    <w:ind w:left="242"/>
                  </w:pPr>
                  <w:r>
                    <w:rPr>
                      <w:spacing w:val="-4"/>
                    </w:rPr>
                    <w:t>≤0.002</w:t>
                  </w:r>
                </w:p>
              </w:tc>
            </w:tr>
            <w:tr>
              <w:tblPrEx>
                <w:tblW w:w="2418" w:type="dxa"/>
                <w:tblInd w:w="672" w:type="dxa"/>
                <w:tblLayout w:type="fixed"/>
              </w:tblPrEx>
              <w:trPr>
                <w:trHeight w:val="232"/>
              </w:trPr>
              <w:tc>
                <w:tcPr>
                  <w:tcW w:w="1447" w:type="dxa"/>
                  <w:vAlign w:val="top"/>
                </w:tcPr>
                <w:p>
                  <w:pPr>
                    <w:pStyle w:val="TableText"/>
                    <w:spacing w:before="80" w:line="142" w:lineRule="exact"/>
                    <w:ind w:left="19"/>
                  </w:pPr>
                  <w:r>
                    <w:rPr>
                      <w:spacing w:val="-1"/>
                      <w:position w:val="-3"/>
                    </w:rPr>
                    <w:t>Cr267.716 nm</w:t>
                  </w:r>
                </w:p>
              </w:tc>
              <w:tc>
                <w:tcPr>
                  <w:tcW w:w="971" w:type="dxa"/>
                  <w:vAlign w:val="top"/>
                </w:tcPr>
                <w:p>
                  <w:pPr>
                    <w:pStyle w:val="TableText"/>
                    <w:spacing w:before="28" w:line="179" w:lineRule="auto"/>
                    <w:ind w:left="252"/>
                  </w:pPr>
                  <w:r>
                    <w:rPr>
                      <w:spacing w:val="-4"/>
                      <w:position w:val="1"/>
                    </w:rPr>
                    <w:t>≤0.007</w:t>
                  </w:r>
                </w:p>
              </w:tc>
            </w:tr>
            <w:tr>
              <w:tblPrEx>
                <w:tblW w:w="2418" w:type="dxa"/>
                <w:tblInd w:w="672" w:type="dxa"/>
                <w:tblLayout w:type="fixed"/>
              </w:tblPrEx>
              <w:trPr>
                <w:trHeight w:val="239"/>
              </w:trPr>
              <w:tc>
                <w:tcPr>
                  <w:tcW w:w="1447" w:type="dxa"/>
                  <w:vAlign w:val="top"/>
                </w:tcPr>
                <w:p>
                  <w:pPr>
                    <w:pStyle w:val="TableText"/>
                    <w:spacing w:before="89" w:line="140" w:lineRule="exact"/>
                    <w:ind w:left="30"/>
                  </w:pPr>
                  <w:r>
                    <w:rPr>
                      <w:spacing w:val="-1"/>
                      <w:position w:val="-3"/>
                    </w:rPr>
                    <w:t>Cu324.754 nm</w:t>
                  </w:r>
                </w:p>
              </w:tc>
              <w:tc>
                <w:tcPr>
                  <w:tcW w:w="971" w:type="dxa"/>
                  <w:vAlign w:val="top"/>
                </w:tcPr>
                <w:p>
                  <w:pPr>
                    <w:pStyle w:val="TableText"/>
                    <w:spacing w:before="26" w:line="187" w:lineRule="auto"/>
                    <w:ind w:right="19"/>
                    <w:jc w:val="right"/>
                  </w:pPr>
                  <w:r>
                    <w:rPr>
                      <w:spacing w:val="-4"/>
                      <w:position w:val="1"/>
                    </w:rPr>
                    <w:t>≤0.007</w:t>
                  </w:r>
                </w:p>
              </w:tc>
            </w:tr>
            <w:tr>
              <w:tblPrEx>
                <w:tblW w:w="2418" w:type="dxa"/>
                <w:tblInd w:w="672" w:type="dxa"/>
                <w:tblLayout w:type="fixed"/>
              </w:tblPrEx>
              <w:trPr>
                <w:trHeight w:val="221"/>
              </w:trPr>
              <w:tc>
                <w:tcPr>
                  <w:tcW w:w="1447" w:type="dxa"/>
                  <w:vAlign w:val="top"/>
                </w:tcPr>
                <w:p>
                  <w:pPr>
                    <w:pStyle w:val="TableText"/>
                    <w:spacing w:before="60" w:line="150" w:lineRule="exact"/>
                    <w:ind w:left="19"/>
                  </w:pPr>
                  <w:r>
                    <w:rPr>
                      <w:spacing w:val="-1"/>
                      <w:position w:val="-2"/>
                    </w:rPr>
                    <w:t>Ba455.403 nm</w:t>
                  </w:r>
                </w:p>
              </w:tc>
              <w:tc>
                <w:tcPr>
                  <w:tcW w:w="971" w:type="dxa"/>
                  <w:vAlign w:val="top"/>
                </w:tcPr>
                <w:p>
                  <w:pPr>
                    <w:pStyle w:val="TableText"/>
                    <w:spacing w:before="36" w:line="161" w:lineRule="auto"/>
                    <w:jc w:val="right"/>
                  </w:pPr>
                  <w:r>
                    <w:rPr>
                      <w:spacing w:val="-4"/>
                    </w:rPr>
                    <w:t>≤0.001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  <w:tc>
          <w:tcPr>
            <w:tcW w:w="3900" w:type="dxa"/>
            <w:vAlign w:val="top"/>
          </w:tcPr>
          <w:p>
            <w:pPr>
              <w:spacing w:line="120" w:lineRule="exact"/>
            </w:pPr>
          </w:p>
          <w:tbl>
            <w:tblPr>
              <w:tblStyle w:val="TableNormal0"/>
              <w:tblW w:w="2398" w:type="dxa"/>
              <w:tblInd w:w="685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1453"/>
              <w:gridCol w:w="945"/>
            </w:tblGrid>
            <w:tr>
              <w:tblPrEx>
                <w:tblW w:w="2398" w:type="dxa"/>
                <w:tblInd w:w="685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217"/>
              </w:trPr>
              <w:tc>
                <w:tcPr>
                  <w:tcW w:w="1453" w:type="dxa"/>
                  <w:vAlign w:val="top"/>
                </w:tcPr>
                <w:p>
                  <w:pPr>
                    <w:pStyle w:val="TableText"/>
                    <w:spacing w:before="32" w:line="161" w:lineRule="auto"/>
                  </w:pPr>
                  <w:r>
                    <w:rPr>
                      <w:spacing w:val="-1"/>
                    </w:rPr>
                    <w:t>Zn213.856 nm</w:t>
                  </w:r>
                </w:p>
              </w:tc>
              <w:tc>
                <w:tcPr>
                  <w:tcW w:w="945" w:type="dxa"/>
                  <w:vAlign w:val="top"/>
                </w:tcPr>
                <w:p>
                  <w:pPr>
                    <w:pStyle w:val="TableText"/>
                    <w:spacing w:line="191" w:lineRule="auto"/>
                    <w:ind w:left="257"/>
                  </w:pPr>
                  <w:r>
                    <w:rPr>
                      <w:spacing w:val="-5"/>
                    </w:rPr>
                    <w:t>≤0.01</w:t>
                  </w:r>
                </w:p>
              </w:tc>
            </w:tr>
            <w:tr>
              <w:tblPrEx>
                <w:tblW w:w="2398" w:type="dxa"/>
                <w:tblInd w:w="685" w:type="dxa"/>
                <w:tblLayout w:type="fixed"/>
              </w:tblPrEx>
              <w:trPr>
                <w:trHeight w:val="223"/>
              </w:trPr>
              <w:tc>
                <w:tcPr>
                  <w:tcW w:w="1453" w:type="dxa"/>
                  <w:vAlign w:val="top"/>
                </w:tcPr>
                <w:p>
                  <w:pPr>
                    <w:pStyle w:val="TableText"/>
                    <w:spacing w:before="55" w:line="157" w:lineRule="exact"/>
                    <w:ind w:left="10"/>
                  </w:pPr>
                  <w:r>
                    <w:rPr>
                      <w:position w:val="-2"/>
                    </w:rPr>
                    <w:t>Ni231.604 nm</w:t>
                  </w:r>
                </w:p>
              </w:tc>
              <w:tc>
                <w:tcPr>
                  <w:tcW w:w="945" w:type="dxa"/>
                  <w:vAlign w:val="top"/>
                </w:tcPr>
                <w:p>
                  <w:pPr>
                    <w:pStyle w:val="TableText"/>
                    <w:spacing w:before="23" w:line="175" w:lineRule="auto"/>
                    <w:ind w:left="257"/>
                  </w:pPr>
                  <w:r>
                    <w:rPr>
                      <w:spacing w:val="-5"/>
                    </w:rPr>
                    <w:t>≤0.03</w:t>
                  </w:r>
                </w:p>
              </w:tc>
            </w:tr>
            <w:tr>
              <w:tblPrEx>
                <w:tblW w:w="2398" w:type="dxa"/>
                <w:tblInd w:w="685" w:type="dxa"/>
                <w:tblLayout w:type="fixed"/>
              </w:tblPrEx>
              <w:trPr>
                <w:trHeight w:val="228"/>
              </w:trPr>
              <w:tc>
                <w:tcPr>
                  <w:tcW w:w="1453" w:type="dxa"/>
                  <w:vAlign w:val="top"/>
                </w:tcPr>
                <w:p>
                  <w:pPr>
                    <w:pStyle w:val="TableText"/>
                    <w:spacing w:before="63" w:line="154" w:lineRule="exact"/>
                  </w:pPr>
                  <w:r>
                    <w:rPr>
                      <w:position w:val="-2"/>
                    </w:rPr>
                    <w:t>Mn257.610 nm</w:t>
                  </w:r>
                </w:p>
              </w:tc>
              <w:tc>
                <w:tcPr>
                  <w:tcW w:w="945" w:type="dxa"/>
                  <w:vAlign w:val="top"/>
                </w:tcPr>
                <w:p>
                  <w:pPr>
                    <w:pStyle w:val="TableText"/>
                    <w:spacing w:before="9" w:line="192" w:lineRule="auto"/>
                    <w:ind w:right="29"/>
                    <w:jc w:val="right"/>
                  </w:pPr>
                  <w:r>
                    <w:rPr>
                      <w:spacing w:val="-4"/>
                      <w:position w:val="1"/>
                    </w:rPr>
                    <w:t>≤0.005</w:t>
                  </w:r>
                </w:p>
              </w:tc>
            </w:tr>
            <w:tr>
              <w:tblPrEx>
                <w:tblW w:w="2398" w:type="dxa"/>
                <w:tblInd w:w="685" w:type="dxa"/>
                <w:tblLayout w:type="fixed"/>
              </w:tblPrEx>
              <w:trPr>
                <w:trHeight w:val="237"/>
              </w:trPr>
              <w:tc>
                <w:tcPr>
                  <w:tcW w:w="1453" w:type="dxa"/>
                  <w:vAlign w:val="top"/>
                </w:tcPr>
                <w:p>
                  <w:pPr>
                    <w:pStyle w:val="TableText"/>
                    <w:spacing w:before="74" w:line="153" w:lineRule="exact"/>
                    <w:ind w:left="10"/>
                  </w:pPr>
                  <w:r>
                    <w:rPr>
                      <w:spacing w:val="-1"/>
                      <w:position w:val="-2"/>
                    </w:rPr>
                    <w:t>Cr267.716 nm</w:t>
                  </w:r>
                </w:p>
              </w:tc>
              <w:tc>
                <w:tcPr>
                  <w:tcW w:w="945" w:type="dxa"/>
                  <w:vAlign w:val="top"/>
                </w:tcPr>
                <w:p>
                  <w:pPr>
                    <w:pStyle w:val="TableText"/>
                    <w:spacing w:before="32" w:line="180" w:lineRule="auto"/>
                    <w:ind w:left="257"/>
                  </w:pPr>
                  <w:r>
                    <w:rPr>
                      <w:spacing w:val="-5"/>
                    </w:rPr>
                    <w:t>≤0.02</w:t>
                  </w:r>
                </w:p>
              </w:tc>
            </w:tr>
            <w:tr>
              <w:tblPrEx>
                <w:tblW w:w="2398" w:type="dxa"/>
                <w:tblInd w:w="685" w:type="dxa"/>
                <w:tblLayout w:type="fixed"/>
              </w:tblPrEx>
              <w:trPr>
                <w:trHeight w:val="237"/>
              </w:trPr>
              <w:tc>
                <w:tcPr>
                  <w:tcW w:w="1453" w:type="dxa"/>
                  <w:vAlign w:val="top"/>
                </w:tcPr>
                <w:p>
                  <w:pPr>
                    <w:pStyle w:val="TableText"/>
                    <w:spacing w:before="78" w:line="149" w:lineRule="exact"/>
                    <w:ind w:left="20"/>
                  </w:pPr>
                  <w:r>
                    <w:rPr>
                      <w:spacing w:val="-1"/>
                      <w:position w:val="-2"/>
                    </w:rPr>
                    <w:t>Cu324.754 nm</w:t>
                  </w:r>
                </w:p>
              </w:tc>
              <w:tc>
                <w:tcPr>
                  <w:tcW w:w="945" w:type="dxa"/>
                  <w:vAlign w:val="top"/>
                </w:tcPr>
                <w:p>
                  <w:pPr>
                    <w:pStyle w:val="TableText"/>
                    <w:spacing w:before="25" w:line="186" w:lineRule="auto"/>
                    <w:ind w:left="257"/>
                  </w:pPr>
                  <w:r>
                    <w:rPr>
                      <w:spacing w:val="-5"/>
                      <w:position w:val="1"/>
                    </w:rPr>
                    <w:t>≤0.02</w:t>
                  </w:r>
                </w:p>
              </w:tc>
            </w:tr>
            <w:tr>
              <w:tblPrEx>
                <w:tblW w:w="2398" w:type="dxa"/>
                <w:tblInd w:w="685" w:type="dxa"/>
                <w:tblLayout w:type="fixed"/>
              </w:tblPrEx>
              <w:trPr>
                <w:trHeight w:val="222"/>
              </w:trPr>
              <w:tc>
                <w:tcPr>
                  <w:tcW w:w="1453" w:type="dxa"/>
                  <w:vAlign w:val="top"/>
                </w:tcPr>
                <w:p>
                  <w:pPr>
                    <w:pStyle w:val="TableText"/>
                    <w:spacing w:before="81" w:line="131" w:lineRule="exact"/>
                    <w:ind w:left="20"/>
                  </w:pPr>
                  <w:r>
                    <w:rPr>
                      <w:spacing w:val="-1"/>
                      <w:position w:val="-3"/>
                    </w:rPr>
                    <w:t>Ba455.403 nm</w:t>
                  </w:r>
                </w:p>
              </w:tc>
              <w:tc>
                <w:tcPr>
                  <w:tcW w:w="945" w:type="dxa"/>
                  <w:vAlign w:val="top"/>
                </w:tcPr>
                <w:p>
                  <w:pPr>
                    <w:pStyle w:val="TableText"/>
                    <w:spacing w:before="37" w:line="161" w:lineRule="auto"/>
                    <w:jc w:val="right"/>
                  </w:pPr>
                  <w:r>
                    <w:rPr>
                      <w:spacing w:val="-4"/>
                    </w:rPr>
                    <w:t>≤0.005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  <w:tr>
        <w:tblPrEx>
          <w:tblW w:w="8349" w:type="dxa"/>
          <w:tblInd w:w="80" w:type="dxa"/>
          <w:tblLayout w:type="fixed"/>
        </w:tblPrEx>
        <w:trPr>
          <w:trHeight w:val="749"/>
        </w:trPr>
        <w:tc>
          <w:tcPr>
            <w:tcW w:w="763" w:type="dxa"/>
            <w:gridSpan w:val="2"/>
            <w:vAlign w:val="top"/>
          </w:tcPr>
          <w:p>
            <w:pPr>
              <w:pStyle w:val="TableText"/>
              <w:spacing w:before="156" w:line="267" w:lineRule="auto"/>
              <w:ind w:left="274" w:right="86" w:hanging="199"/>
            </w:pPr>
            <w:r>
              <w:rPr>
                <w:spacing w:val="-3"/>
              </w:rPr>
              <w:t>重复性</w:t>
            </w:r>
            <w:r>
              <w:t xml:space="preserve"> </w:t>
            </w:r>
            <w:r>
              <w:rPr>
                <w:spacing w:val="-2"/>
              </w:rPr>
              <w:t>/%</w:t>
            </w:r>
          </w:p>
        </w:tc>
        <w:tc>
          <w:tcPr>
            <w:tcW w:w="3686" w:type="dxa"/>
            <w:vAlign w:val="top"/>
          </w:tcPr>
          <w:p>
            <w:pPr>
              <w:pStyle w:val="TableText"/>
              <w:spacing w:before="214" w:line="183" w:lineRule="auto"/>
              <w:ind w:left="781"/>
            </w:pPr>
            <w:r>
              <w:rPr>
                <w:spacing w:val="-1"/>
              </w:rPr>
              <w:t>Zn,Ni,Cr,Mn,Cu,Ba</w:t>
            </w:r>
          </w:p>
          <w:p>
            <w:pPr>
              <w:pStyle w:val="TableText"/>
              <w:spacing w:before="56" w:line="214" w:lineRule="auto"/>
              <w:ind w:left="281"/>
            </w:pPr>
            <w:r>
              <w:t>(浓度为0.50 mg/L~2.00 mg/L)≤1.5</w:t>
            </w:r>
          </w:p>
        </w:tc>
        <w:tc>
          <w:tcPr>
            <w:tcW w:w="3900" w:type="dxa"/>
            <w:vAlign w:val="top"/>
          </w:tcPr>
          <w:p>
            <w:pPr>
              <w:pStyle w:val="TableText"/>
              <w:spacing w:before="214" w:line="183" w:lineRule="auto"/>
              <w:ind w:left="876"/>
            </w:pPr>
            <w:r>
              <w:rPr>
                <w:spacing w:val="-1"/>
              </w:rPr>
              <w:t>Zn,Ni,Cr,Mn,Cu,Ba</w:t>
            </w:r>
          </w:p>
          <w:p>
            <w:pPr>
              <w:pStyle w:val="TableText"/>
              <w:spacing w:before="56" w:line="214" w:lineRule="auto"/>
              <w:ind w:left="376"/>
            </w:pPr>
            <w:r>
              <w:t>(浓度为0.50 mg/L~2.00 mg/L)≤3.0</w:t>
            </w:r>
          </w:p>
        </w:tc>
      </w:tr>
      <w:tr>
        <w:tblPrEx>
          <w:tblW w:w="8349" w:type="dxa"/>
          <w:tblInd w:w="80" w:type="dxa"/>
          <w:tblLayout w:type="fixed"/>
        </w:tblPrEx>
        <w:trPr>
          <w:trHeight w:val="763"/>
        </w:trPr>
        <w:tc>
          <w:tcPr>
            <w:tcW w:w="763" w:type="dxa"/>
            <w:gridSpan w:val="2"/>
            <w:vAlign w:val="top"/>
          </w:tcPr>
          <w:p>
            <w:pPr>
              <w:pStyle w:val="TableText"/>
              <w:spacing w:before="156" w:line="272" w:lineRule="auto"/>
              <w:ind w:left="274" w:right="86" w:hanging="199"/>
            </w:pPr>
            <w:r>
              <w:rPr>
                <w:spacing w:val="-3"/>
              </w:rPr>
              <w:t>稳定性</w:t>
            </w:r>
            <w:r>
              <w:t xml:space="preserve"> </w:t>
            </w:r>
            <w:r>
              <w:rPr>
                <w:spacing w:val="-2"/>
              </w:rPr>
              <w:t>/%</w:t>
            </w:r>
          </w:p>
        </w:tc>
        <w:tc>
          <w:tcPr>
            <w:tcW w:w="3686" w:type="dxa"/>
            <w:vAlign w:val="top"/>
          </w:tcPr>
          <w:p>
            <w:pPr>
              <w:pStyle w:val="TableText"/>
              <w:spacing w:before="215" w:line="183" w:lineRule="auto"/>
              <w:ind w:left="772"/>
            </w:pPr>
            <w:r>
              <w:rPr>
                <w:spacing w:val="-1"/>
              </w:rPr>
              <w:t>Zn,Ni,Cr,Mn,Cu,Ba</w:t>
            </w:r>
          </w:p>
          <w:p>
            <w:pPr>
              <w:pStyle w:val="TableText"/>
              <w:spacing w:before="46" w:line="214" w:lineRule="auto"/>
              <w:ind w:left="281"/>
            </w:pPr>
            <w:r>
              <w:t>(浓度为0.50 mg/L~2.00 mg/L)≤2.0</w:t>
            </w:r>
          </w:p>
        </w:tc>
        <w:tc>
          <w:tcPr>
            <w:tcW w:w="3900" w:type="dxa"/>
            <w:vAlign w:val="top"/>
          </w:tcPr>
          <w:p>
            <w:pPr>
              <w:pStyle w:val="TableText"/>
              <w:spacing w:before="215" w:line="183" w:lineRule="auto"/>
              <w:ind w:left="876"/>
            </w:pPr>
            <w:r>
              <w:rPr>
                <w:spacing w:val="-1"/>
              </w:rPr>
              <w:t>Zn,Ni,Cr、Mn,Cu,Ba</w:t>
            </w:r>
          </w:p>
          <w:p>
            <w:pPr>
              <w:pStyle w:val="TableText"/>
              <w:spacing w:before="46" w:line="214" w:lineRule="auto"/>
              <w:ind w:left="376"/>
            </w:pPr>
            <w:r>
              <w:t>(浓度为0.50 mg/L~2.00 mg/L)≤4.0</w:t>
            </w:r>
          </w:p>
        </w:tc>
      </w:tr>
    </w:tbl>
    <w:p>
      <w:pPr>
        <w:spacing w:line="321" w:lineRule="auto"/>
        <w:rPr>
          <w:rFonts w:ascii="Arial"/>
          <w:sz w:val="21"/>
        </w:rPr>
      </w:pPr>
    </w:p>
    <w:p>
      <w:pPr>
        <w:spacing w:before="65" w:line="221" w:lineRule="auto"/>
        <w:ind w:left="213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7"/>
          <w:sz w:val="20"/>
          <w:szCs w:val="20"/>
        </w:rPr>
        <w:t>表2</w:t>
      </w:r>
      <w:r>
        <w:rPr>
          <w:rFonts w:ascii="SimHei" w:eastAsia="SimHei" w:hAnsi="SimHei" w:cs="SimHei"/>
          <w:spacing w:val="93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0"/>
          <w:szCs w:val="20"/>
        </w:rPr>
        <w:t>直读光谱仪的主要检定项目及计量性能要求</w:t>
      </w:r>
    </w:p>
    <w:tbl>
      <w:tblPr>
        <w:tblStyle w:val="TableNormal0"/>
        <w:tblW w:w="8339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64"/>
        <w:gridCol w:w="1932"/>
        <w:gridCol w:w="1743"/>
        <w:gridCol w:w="1937"/>
        <w:gridCol w:w="1763"/>
      </w:tblGrid>
      <w:tr>
        <w:tblPrEx>
          <w:tblW w:w="8339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4"/>
        </w:trPr>
        <w:tc>
          <w:tcPr>
            <w:tcW w:w="964" w:type="dxa"/>
            <w:vAlign w:val="top"/>
          </w:tcPr>
          <w:p>
            <w:pPr>
              <w:pStyle w:val="TableText"/>
              <w:spacing w:before="83" w:line="220" w:lineRule="auto"/>
              <w:ind w:left="274"/>
            </w:pPr>
            <w:r>
              <w:rPr>
                <w:spacing w:val="8"/>
              </w:rPr>
              <w:t>级别</w:t>
            </w:r>
          </w:p>
        </w:tc>
        <w:tc>
          <w:tcPr>
            <w:tcW w:w="3675" w:type="dxa"/>
            <w:gridSpan w:val="2"/>
            <w:vAlign w:val="top"/>
          </w:tcPr>
          <w:p>
            <w:pPr>
              <w:pStyle w:val="TableText"/>
              <w:spacing w:before="85" w:line="221" w:lineRule="auto"/>
              <w:ind w:left="1650"/>
            </w:pPr>
            <w:r>
              <w:rPr>
                <w:spacing w:val="-1"/>
              </w:rPr>
              <w:t>A级</w:t>
            </w:r>
          </w:p>
        </w:tc>
        <w:tc>
          <w:tcPr>
            <w:tcW w:w="3700" w:type="dxa"/>
            <w:gridSpan w:val="2"/>
            <w:vAlign w:val="top"/>
          </w:tcPr>
          <w:p>
            <w:pPr>
              <w:pStyle w:val="TableText"/>
              <w:spacing w:before="85" w:line="221" w:lineRule="auto"/>
              <w:ind w:left="1665"/>
            </w:pPr>
            <w:r>
              <w:rPr>
                <w:spacing w:val="-1"/>
              </w:rPr>
              <w:t>B级</w:t>
            </w:r>
          </w:p>
        </w:tc>
      </w:tr>
      <w:tr>
        <w:tblPrEx>
          <w:tblW w:w="8339" w:type="dxa"/>
          <w:tblInd w:w="70" w:type="dxa"/>
          <w:tblLayout w:type="fixed"/>
        </w:tblPrEx>
        <w:trPr>
          <w:trHeight w:val="1127"/>
        </w:trPr>
        <w:tc>
          <w:tcPr>
            <w:tcW w:w="964" w:type="dxa"/>
            <w:vAlign w:val="top"/>
          </w:tcPr>
          <w:p>
            <w:pPr>
              <w:pStyle w:val="TableText"/>
              <w:spacing w:before="179" w:line="219" w:lineRule="auto"/>
              <w:ind w:left="74"/>
            </w:pPr>
            <w:r>
              <w:rPr>
                <w:spacing w:val="-2"/>
              </w:rPr>
              <w:t>波长示值</w:t>
            </w:r>
          </w:p>
          <w:p>
            <w:pPr>
              <w:pStyle w:val="TableText"/>
              <w:spacing w:before="73" w:line="221" w:lineRule="auto"/>
              <w:ind w:left="74"/>
            </w:pPr>
            <w:r>
              <w:rPr>
                <w:spacing w:val="-2"/>
              </w:rPr>
              <w:t>误差及重</w:t>
            </w:r>
          </w:p>
          <w:p>
            <w:pPr>
              <w:pStyle w:val="TableText"/>
              <w:spacing w:before="50" w:line="220" w:lineRule="auto"/>
              <w:ind w:left="274"/>
            </w:pPr>
            <w:r>
              <w:rPr>
                <w:spacing w:val="3"/>
              </w:rPr>
              <w:t>复性</w:t>
            </w:r>
          </w:p>
        </w:tc>
        <w:tc>
          <w:tcPr>
            <w:tcW w:w="7375" w:type="dxa"/>
            <w:gridSpan w:val="4"/>
            <w:vAlign w:val="top"/>
          </w:tcPr>
          <w:p>
            <w:pPr>
              <w:pStyle w:val="TableText"/>
              <w:spacing w:before="179" w:line="219" w:lineRule="auto"/>
              <w:ind w:left="1580"/>
            </w:pPr>
            <w:r>
              <w:rPr>
                <w:spacing w:val="-3"/>
              </w:rPr>
              <w:t>各元素谱线出射狭缝的不一致性不大于±10</w:t>
            </w:r>
            <w:r>
              <w:rPr>
                <w:spacing w:val="73"/>
              </w:rPr>
              <w:t xml:space="preserve"> </w:t>
            </w:r>
            <w:r>
              <w:rPr>
                <w:spacing w:val="-3"/>
              </w:rPr>
              <w:t>μm</w:t>
            </w:r>
          </w:p>
          <w:p>
            <w:pPr>
              <w:pStyle w:val="TableText"/>
              <w:spacing w:before="82" w:line="219" w:lineRule="auto"/>
              <w:ind w:left="2830"/>
            </w:pPr>
            <w:r>
              <w:rPr>
                <w:spacing w:val="-1"/>
              </w:rPr>
              <w:t>示值误差±0.05 nm</w:t>
            </w:r>
          </w:p>
          <w:p>
            <w:pPr>
              <w:pStyle w:val="TableText"/>
              <w:spacing w:before="63" w:line="220" w:lineRule="auto"/>
              <w:ind w:left="2930"/>
            </w:pPr>
            <w:r>
              <w:rPr>
                <w:spacing w:val="-1"/>
              </w:rPr>
              <w:t>重复性≤0.02 nm</w:t>
            </w:r>
          </w:p>
        </w:tc>
      </w:tr>
      <w:tr>
        <w:tblPrEx>
          <w:tblW w:w="8339" w:type="dxa"/>
          <w:tblInd w:w="70" w:type="dxa"/>
          <w:tblLayout w:type="fixed"/>
        </w:tblPrEx>
        <w:trPr>
          <w:trHeight w:val="1127"/>
        </w:trPr>
        <w:tc>
          <w:tcPr>
            <w:tcW w:w="96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8" w:lineRule="auto"/>
              <w:ind w:left="373" w:right="186" w:hanging="199"/>
            </w:pPr>
            <w:r>
              <w:rPr>
                <w:spacing w:val="-3"/>
              </w:rPr>
              <w:t>检出限</w:t>
            </w:r>
            <w:r>
              <w:t xml:space="preserve"> </w:t>
            </w:r>
            <w:r>
              <w:rPr>
                <w:spacing w:val="-2"/>
              </w:rPr>
              <w:t>/%</w:t>
            </w:r>
          </w:p>
        </w:tc>
        <w:tc>
          <w:tcPr>
            <w:tcW w:w="1932" w:type="dxa"/>
            <w:tcBorders>
              <w:right w:val="nil"/>
            </w:tcBorders>
            <w:vAlign w:val="top"/>
          </w:tcPr>
          <w:p>
            <w:pPr>
              <w:pStyle w:val="TableText"/>
              <w:spacing w:before="231" w:line="250" w:lineRule="auto"/>
              <w:ind w:left="610" w:right="277" w:firstLine="69"/>
            </w:pPr>
            <w:r>
              <w:rPr>
                <w:spacing w:val="-2"/>
              </w:rPr>
              <w:t xml:space="preserve">C≤0.005  </w:t>
            </w:r>
            <w:r>
              <w:rPr>
                <w:spacing w:val="-1"/>
              </w:rPr>
              <w:t>Mn≤0.003,</w:t>
            </w:r>
            <w:r>
              <w:rPr>
                <w:spacing w:val="6"/>
              </w:rPr>
              <w:t xml:space="preserve"> </w:t>
            </w:r>
            <w:r>
              <w:t>Ni</w:t>
            </w:r>
            <w:r>
              <w:rPr>
                <w:spacing w:val="5"/>
              </w:rPr>
              <w:t>≤0.005,</w:t>
            </w:r>
          </w:p>
        </w:tc>
        <w:tc>
          <w:tcPr>
            <w:tcW w:w="1743" w:type="dxa"/>
            <w:tcBorders>
              <w:left w:val="nil"/>
            </w:tcBorders>
            <w:vAlign w:val="top"/>
          </w:tcPr>
          <w:p>
            <w:pPr>
              <w:pStyle w:val="TableText"/>
              <w:spacing w:before="230" w:line="299" w:lineRule="exact"/>
              <w:ind w:left="273"/>
            </w:pPr>
            <w:r>
              <w:rPr>
                <w:spacing w:val="-2"/>
                <w:position w:val="7"/>
              </w:rPr>
              <w:t>Si≤0.005</w:t>
            </w:r>
          </w:p>
          <w:p>
            <w:pPr>
              <w:pStyle w:val="TableText"/>
              <w:spacing w:line="235" w:lineRule="auto"/>
              <w:ind w:left="333"/>
            </w:pPr>
            <w:r>
              <w:rPr>
                <w:spacing w:val="-1"/>
              </w:rPr>
              <w:t>Cr≤0.003</w:t>
            </w:r>
          </w:p>
        </w:tc>
        <w:tc>
          <w:tcPr>
            <w:tcW w:w="1937" w:type="dxa"/>
            <w:tcBorders>
              <w:right w:val="nil"/>
            </w:tcBorders>
            <w:vAlign w:val="top"/>
          </w:tcPr>
          <w:p>
            <w:pPr>
              <w:pStyle w:val="TableText"/>
              <w:spacing w:before="229" w:line="236" w:lineRule="auto"/>
              <w:ind w:left="765"/>
            </w:pPr>
            <w:r>
              <w:rPr>
                <w:spacing w:val="-2"/>
              </w:rPr>
              <w:t>C≤0.02</w:t>
            </w:r>
          </w:p>
          <w:p>
            <w:pPr>
              <w:pStyle w:val="TableText"/>
              <w:spacing w:before="22" w:after="0" w:line="247" w:lineRule="auto"/>
              <w:ind w:left="754" w:right="277" w:hanging="49"/>
            </w:pPr>
            <w:r>
              <w:rPr>
                <w:spacing w:val="-1"/>
              </w:rPr>
              <w:t>Mn≤0.02,</w:t>
            </w:r>
            <w:r>
              <w:rPr>
                <w:spacing w:val="5"/>
              </w:rPr>
              <w:t xml:space="preserve"> </w:t>
            </w:r>
          </w:p>
        </w:tc>
        <w:tc>
          <w:tcPr>
            <w:tcW w:w="1763" w:type="dxa"/>
            <w:tcBorders>
              <w:left w:val="nil"/>
            </w:tcBorders>
            <w:vAlign w:val="top"/>
          </w:tcPr>
          <w:p>
            <w:pPr>
              <w:pStyle w:val="TableText"/>
              <w:spacing w:before="230" w:line="299" w:lineRule="exact"/>
              <w:ind w:left="283"/>
            </w:pPr>
            <w:r>
              <w:rPr>
                <w:spacing w:val="-2"/>
                <w:position w:val="7"/>
              </w:rPr>
              <w:t>Si≤0.02</w:t>
            </w:r>
          </w:p>
          <w:p>
            <w:pPr>
              <w:pStyle w:val="TableText"/>
              <w:spacing w:line="235" w:lineRule="auto"/>
              <w:ind w:left="333"/>
            </w:pPr>
            <w:r>
              <w:rPr>
                <w:spacing w:val="-1"/>
              </w:rPr>
              <w:t>Cr≤0.01</w:t>
            </w:r>
          </w:p>
        </w:tc>
      </w:tr>
    </w:tbl>
    <w:p>
      <w:pPr>
        <w:sectPr>
          <w:headerReference w:type="default" r:id="rId9"/>
          <w:footerReference w:type="default" r:id="rId10"/>
          <w:pgSz w:w="10040" w:h="14660"/>
          <w:pgMar w:top="1089" w:right="569" w:bottom="858" w:left="969" w:header="805" w:footer="719" w:gutter="0"/>
          <w:pgNumType w:start="3"/>
          <w:cols w:space="708"/>
        </w:sectPr>
      </w:pPr>
    </w:p>
    <w:tbl>
      <w:tblPr>
        <w:tblStyle w:val="TableNormal1"/>
        <w:tblW w:w="8339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64"/>
        <w:gridCol w:w="1932"/>
        <w:gridCol w:w="1743"/>
        <w:gridCol w:w="1937"/>
        <w:gridCol w:w="1763"/>
      </w:tblGrid>
      <w:tr>
        <w:tblPrEx>
          <w:tblW w:w="8339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27"/>
        </w:trPr>
        <w:tc>
          <w:tcPr>
            <w:tcW w:w="964" w:type="dxa"/>
            <w:vAlign w:val="top"/>
          </w:tcPr>
          <w:p/>
        </w:tc>
        <w:tc>
          <w:tcPr>
            <w:tcW w:w="1932" w:type="dxa"/>
            <w:tcBorders>
              <w:right w:val="nil"/>
            </w:tcBorders>
            <w:vAlign w:val="top"/>
          </w:tcPr>
          <w:p/>
        </w:tc>
        <w:tc>
          <w:tcPr>
            <w:tcW w:w="1743" w:type="dxa"/>
            <w:tcBorders>
              <w:left w:val="nil"/>
            </w:tcBorders>
            <w:vAlign w:val="top"/>
          </w:tcPr>
          <w:p>
            <w:pPr>
              <w:pStyle w:val="TableText"/>
              <w:spacing w:before="44" w:line="236" w:lineRule="auto"/>
              <w:ind w:left="333"/>
            </w:pPr>
            <w:r>
              <w:rPr>
                <w:spacing w:val="-1"/>
              </w:rPr>
              <w:t>V≤0.001</w:t>
            </w:r>
          </w:p>
        </w:tc>
        <w:tc>
          <w:tcPr>
            <w:tcW w:w="1937" w:type="dxa"/>
            <w:tcBorders>
              <w:right w:val="nil"/>
            </w:tcBorders>
            <w:vAlign w:val="top"/>
          </w:tcPr>
          <w:p>
            <w:pPr>
              <w:pStyle w:val="TableText"/>
              <w:spacing w:before="0" w:line="247" w:lineRule="auto"/>
              <w:ind w:left="754" w:right="277" w:hanging="49"/>
            </w:pPr>
            <w:r>
              <w:rPr>
                <w:spacing w:val="-1"/>
              </w:rPr>
              <w:t>Ni≤0.02,</w:t>
            </w:r>
          </w:p>
        </w:tc>
        <w:tc>
          <w:tcPr>
            <w:tcW w:w="1763" w:type="dxa"/>
            <w:tcBorders>
              <w:left w:val="nil"/>
            </w:tcBorders>
            <w:vAlign w:val="top"/>
          </w:tcPr>
          <w:p>
            <w:pPr>
              <w:pStyle w:val="TableText"/>
              <w:spacing w:before="44" w:line="236" w:lineRule="auto"/>
              <w:ind w:left="343"/>
            </w:pPr>
            <w:r>
              <w:rPr>
                <w:spacing w:val="-1"/>
              </w:rPr>
              <w:t>V≤0.01</w:t>
            </w:r>
          </w:p>
        </w:tc>
      </w:tr>
      <w:tr>
        <w:tblPrEx>
          <w:tblW w:w="8339" w:type="dxa"/>
          <w:tblInd w:w="70" w:type="dxa"/>
          <w:tblLayout w:type="fixed"/>
        </w:tblPrEx>
        <w:trPr>
          <w:trHeight w:val="749"/>
        </w:trPr>
        <w:tc>
          <w:tcPr>
            <w:tcW w:w="964" w:type="dxa"/>
            <w:vAlign w:val="top"/>
          </w:tcPr>
          <w:p>
            <w:pPr>
              <w:pStyle w:val="TableText"/>
              <w:spacing w:before="285" w:line="220" w:lineRule="auto"/>
              <w:ind w:left="74"/>
            </w:pPr>
            <w:r>
              <w:rPr>
                <w:spacing w:val="-2"/>
              </w:rPr>
              <w:t>重复性/%</w:t>
            </w:r>
          </w:p>
        </w:tc>
        <w:tc>
          <w:tcPr>
            <w:tcW w:w="3675" w:type="dxa"/>
            <w:gridSpan w:val="2"/>
            <w:vAlign w:val="top"/>
          </w:tcPr>
          <w:p>
            <w:pPr>
              <w:pStyle w:val="TableText"/>
              <w:spacing w:before="193" w:line="183" w:lineRule="auto"/>
              <w:ind w:left="830"/>
            </w:pPr>
            <w:r>
              <w:rPr>
                <w:spacing w:val="-1"/>
              </w:rPr>
              <w:t>C,Si,Mn,Cr,Ni,Mo</w:t>
            </w:r>
          </w:p>
          <w:p>
            <w:pPr>
              <w:pStyle w:val="TableText"/>
              <w:spacing w:before="63" w:line="219" w:lineRule="auto"/>
              <w:ind w:left="520"/>
            </w:pPr>
            <w:r>
              <w:t>(含量为：0.1%～2.0%)≤2.0</w:t>
            </w:r>
          </w:p>
        </w:tc>
        <w:tc>
          <w:tcPr>
            <w:tcW w:w="3700" w:type="dxa"/>
            <w:gridSpan w:val="2"/>
            <w:vAlign w:val="top"/>
          </w:tcPr>
          <w:p>
            <w:pPr>
              <w:pStyle w:val="TableText"/>
              <w:spacing w:before="193" w:line="183" w:lineRule="auto"/>
              <w:ind w:left="845"/>
            </w:pPr>
            <w:r>
              <w:rPr>
                <w:spacing w:val="-1"/>
              </w:rPr>
              <w:t>C,Si,Mn,Cr,Ni,Mo</w:t>
            </w:r>
          </w:p>
          <w:p>
            <w:pPr>
              <w:pStyle w:val="TableText"/>
              <w:spacing w:before="63" w:line="219" w:lineRule="auto"/>
              <w:ind w:left="535"/>
            </w:pPr>
            <w:r>
              <w:t>(含量为：0.1%～2.0%)≤5.0</w:t>
            </w:r>
          </w:p>
        </w:tc>
      </w:tr>
      <w:tr>
        <w:tblPrEx>
          <w:tblW w:w="8339" w:type="dxa"/>
          <w:tblInd w:w="70" w:type="dxa"/>
          <w:tblLayout w:type="fixed"/>
        </w:tblPrEx>
        <w:trPr>
          <w:trHeight w:val="753"/>
        </w:trPr>
        <w:tc>
          <w:tcPr>
            <w:tcW w:w="964" w:type="dxa"/>
            <w:vAlign w:val="top"/>
          </w:tcPr>
          <w:p>
            <w:pPr>
              <w:pStyle w:val="TableText"/>
              <w:spacing w:before="136" w:line="267" w:lineRule="auto"/>
              <w:ind w:left="373" w:right="187" w:hanging="199"/>
            </w:pPr>
            <w:r>
              <w:rPr>
                <w:spacing w:val="-3"/>
              </w:rPr>
              <w:t>稳定性</w:t>
            </w:r>
            <w:r>
              <w:t xml:space="preserve"> </w:t>
            </w:r>
            <w:r>
              <w:rPr>
                <w:spacing w:val="-2"/>
              </w:rPr>
              <w:t>/%</w:t>
            </w:r>
          </w:p>
        </w:tc>
        <w:tc>
          <w:tcPr>
            <w:tcW w:w="3675" w:type="dxa"/>
            <w:gridSpan w:val="2"/>
            <w:vAlign w:val="top"/>
          </w:tcPr>
          <w:p>
            <w:pPr>
              <w:pStyle w:val="TableText"/>
              <w:spacing w:before="194" w:line="183" w:lineRule="auto"/>
              <w:ind w:left="820"/>
            </w:pPr>
            <w:r>
              <w:rPr>
                <w:spacing w:val="-1"/>
              </w:rPr>
              <w:t>C,Si,Mn,Cr,Ni,Mo</w:t>
            </w:r>
          </w:p>
          <w:p>
            <w:pPr>
              <w:pStyle w:val="TableText"/>
              <w:spacing w:before="63" w:line="219" w:lineRule="auto"/>
              <w:ind w:left="540"/>
            </w:pPr>
            <w:r>
              <w:t>(含量为：0.1%~2.0%)≤2.0</w:t>
            </w:r>
          </w:p>
        </w:tc>
        <w:tc>
          <w:tcPr>
            <w:tcW w:w="3700" w:type="dxa"/>
            <w:gridSpan w:val="2"/>
            <w:vAlign w:val="top"/>
          </w:tcPr>
          <w:p>
            <w:pPr>
              <w:pStyle w:val="TableText"/>
              <w:spacing w:before="184" w:line="183" w:lineRule="auto"/>
              <w:ind w:left="835"/>
            </w:pPr>
            <w:r>
              <w:rPr>
                <w:spacing w:val="-1"/>
              </w:rPr>
              <w:t>C,Si,Mn,Cr,Ni,Mo</w:t>
            </w:r>
          </w:p>
          <w:p>
            <w:pPr>
              <w:pStyle w:val="TableText"/>
              <w:spacing w:before="73" w:line="219" w:lineRule="auto"/>
              <w:ind w:left="545"/>
            </w:pPr>
            <w:r>
              <w:t>(含量为：0.1%～2.0%)≤5.0</w:t>
            </w:r>
          </w:p>
        </w:tc>
      </w:tr>
    </w:tbl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2"/>
        <w:rPr>
          <w:sz w:val="20"/>
          <w:szCs w:val="20"/>
        </w:rPr>
      </w:pPr>
      <w:r>
        <w:rPr>
          <w:b/>
          <w:bCs/>
          <w:spacing w:val="14"/>
          <w:sz w:val="20"/>
          <w:szCs w:val="20"/>
        </w:rPr>
        <w:t>4.3</w:t>
      </w:r>
      <w:r>
        <w:rPr>
          <w:spacing w:val="5"/>
          <w:sz w:val="20"/>
          <w:szCs w:val="20"/>
        </w:rPr>
        <w:t xml:space="preserve">  </w:t>
      </w:r>
      <w:r>
        <w:rPr>
          <w:spacing w:val="14"/>
          <w:sz w:val="20"/>
          <w:szCs w:val="20"/>
        </w:rPr>
        <w:t>摄谱仪计量性能要求</w:t>
      </w:r>
    </w:p>
    <w:p>
      <w:pPr>
        <w:pStyle w:val="BodyText"/>
        <w:spacing w:before="83" w:line="219" w:lineRule="auto"/>
        <w:ind w:left="12"/>
        <w:rPr>
          <w:sz w:val="20"/>
          <w:szCs w:val="20"/>
        </w:rPr>
      </w:pPr>
      <w:r>
        <w:rPr>
          <w:b/>
          <w:bCs/>
          <w:spacing w:val="8"/>
          <w:sz w:val="20"/>
          <w:szCs w:val="20"/>
        </w:rPr>
        <w:t>4.3.1</w:t>
      </w:r>
      <w:r>
        <w:rPr>
          <w:spacing w:val="2"/>
          <w:sz w:val="20"/>
          <w:szCs w:val="20"/>
        </w:rPr>
        <w:t xml:space="preserve">  </w:t>
      </w:r>
      <w:r>
        <w:rPr>
          <w:spacing w:val="8"/>
          <w:sz w:val="20"/>
          <w:szCs w:val="20"/>
        </w:rPr>
        <w:t>仪器密光性</w:t>
      </w:r>
    </w:p>
    <w:p>
      <w:pPr>
        <w:pStyle w:val="BodyText"/>
        <w:spacing w:before="91" w:line="219" w:lineRule="auto"/>
        <w:ind w:left="470"/>
        <w:rPr>
          <w:sz w:val="20"/>
          <w:szCs w:val="20"/>
        </w:rPr>
      </w:pPr>
      <w:r>
        <w:rPr>
          <w:spacing w:val="13"/>
          <w:sz w:val="20"/>
          <w:szCs w:val="20"/>
        </w:rPr>
        <w:t>同一感光板曝光和未曝光之间△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D≤0.05</w:t>
      </w:r>
      <w:r>
        <w:rPr>
          <w:spacing w:val="13"/>
          <w:sz w:val="20"/>
          <w:szCs w:val="20"/>
        </w:rPr>
        <w:t>。</w:t>
      </w:r>
    </w:p>
    <w:p>
      <w:pPr>
        <w:spacing w:line="219" w:lineRule="auto"/>
        <w:rPr>
          <w:sz w:val="20"/>
          <w:szCs w:val="20"/>
        </w:rPr>
        <w:sectPr>
          <w:headerReference w:type="default" r:id="rId11"/>
          <w:footerReference w:type="default" r:id="rId12"/>
          <w:type w:val="nextPage"/>
          <w:pgSz w:w="10040" w:h="14660"/>
          <w:pgMar w:top="1089" w:right="569" w:bottom="858" w:left="969" w:header="805" w:footer="719" w:gutter="0"/>
          <w:pgNumType w:start="4"/>
          <w:cols w:space="708"/>
          <w:titlePg w:val="0"/>
        </w:sectPr>
      </w:pPr>
    </w:p>
    <w:p>
      <w:pPr>
        <w:pStyle w:val="BodyText"/>
        <w:spacing w:before="219" w:line="219" w:lineRule="auto"/>
        <w:ind w:left="9"/>
        <w:rPr>
          <w:sz w:val="22"/>
          <w:szCs w:val="22"/>
        </w:rPr>
      </w:pPr>
      <w:r>
        <w:rPr>
          <w:spacing w:val="-4"/>
          <w:sz w:val="22"/>
          <w:szCs w:val="22"/>
        </w:rPr>
        <w:t>4.3.2  谱线质量和分辨力</w:t>
      </w:r>
    </w:p>
    <w:p>
      <w:pPr>
        <w:pStyle w:val="BodyText"/>
        <w:spacing w:before="57" w:line="219" w:lineRule="auto"/>
        <w:ind w:left="479"/>
        <w:rPr>
          <w:sz w:val="22"/>
          <w:szCs w:val="22"/>
        </w:rPr>
      </w:pPr>
      <w:r>
        <w:rPr>
          <w:sz w:val="22"/>
          <w:szCs w:val="22"/>
        </w:rPr>
        <w:t>谱线应上下均匀一致、垂直于感光板且无楔状和毛刺。</w:t>
      </w:r>
    </w:p>
    <w:p>
      <w:pPr>
        <w:pStyle w:val="BodyText"/>
        <w:spacing w:before="70" w:line="219" w:lineRule="auto"/>
        <w:ind w:right="33"/>
        <w:jc w:val="right"/>
        <w:rPr>
          <w:sz w:val="22"/>
          <w:szCs w:val="22"/>
        </w:rPr>
      </w:pPr>
      <w:r>
        <w:rPr>
          <w:spacing w:val="18"/>
          <w:sz w:val="22"/>
          <w:szCs w:val="22"/>
        </w:rPr>
        <w:t>在全谱面4/5范围应能清晰分辨线对 [</w:t>
      </w:r>
      <w:r>
        <w:rPr>
          <w:sz w:val="22"/>
          <w:szCs w:val="22"/>
        </w:rPr>
        <w:t>Fe</w:t>
      </w:r>
      <w:r>
        <w:rPr>
          <w:spacing w:val="18"/>
          <w:sz w:val="22"/>
          <w:szCs w:val="22"/>
        </w:rPr>
        <w:t>(</w:t>
      </w:r>
      <w:r>
        <w:rPr>
          <w:sz w:val="22"/>
          <w:szCs w:val="22"/>
        </w:rPr>
        <w:t>nm</w:t>
      </w:r>
      <w:r>
        <w:rPr>
          <w:spacing w:val="18"/>
          <w:sz w:val="22"/>
          <w:szCs w:val="22"/>
        </w:rPr>
        <w:t>)]:234.8303     与234.8099;</w:t>
      </w:r>
    </w:p>
    <w:p>
      <w:pPr>
        <w:pStyle w:val="BodyText"/>
        <w:spacing w:before="61" w:line="221" w:lineRule="auto"/>
        <w:ind w:left="9"/>
        <w:rPr>
          <w:sz w:val="22"/>
          <w:szCs w:val="22"/>
        </w:rPr>
      </w:pPr>
      <w:r>
        <w:rPr>
          <w:spacing w:val="7"/>
          <w:sz w:val="22"/>
          <w:szCs w:val="22"/>
        </w:rPr>
        <w:t>285.3774与285.3688;310.0665与310.0304。</w:t>
      </w:r>
    </w:p>
    <w:p>
      <w:pPr>
        <w:pStyle w:val="BodyText"/>
        <w:spacing w:before="73" w:line="252" w:lineRule="auto"/>
        <w:ind w:left="479" w:right="6011" w:hanging="467"/>
        <w:rPr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>4.3.3</w:t>
      </w:r>
      <w:r>
        <w:rPr>
          <w:spacing w:val="92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谱线光密度均匀性</w:t>
      </w:r>
      <w:r>
        <w:rPr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△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D≤0.1</w:t>
      </w:r>
      <w:r>
        <w:rPr>
          <w:spacing w:val="-3"/>
          <w:sz w:val="22"/>
          <w:szCs w:val="22"/>
        </w:rPr>
        <w:t>。</w:t>
      </w:r>
    </w:p>
    <w:p>
      <w:pPr>
        <w:pStyle w:val="BodyText"/>
        <w:spacing w:before="40" w:line="219" w:lineRule="auto"/>
        <w:ind w:left="12"/>
        <w:rPr>
          <w:sz w:val="22"/>
          <w:szCs w:val="22"/>
        </w:rPr>
      </w:pPr>
      <w:r>
        <w:rPr>
          <w:b/>
          <w:bCs/>
          <w:spacing w:val="-9"/>
          <w:sz w:val="22"/>
          <w:szCs w:val="22"/>
        </w:rPr>
        <w:t>4.3.4</w:t>
      </w:r>
      <w:r>
        <w:rPr>
          <w:spacing w:val="5"/>
          <w:sz w:val="22"/>
          <w:szCs w:val="22"/>
        </w:rPr>
        <w:t xml:space="preserve">  </w:t>
      </w:r>
      <w:r>
        <w:rPr>
          <w:spacing w:val="-9"/>
          <w:sz w:val="22"/>
          <w:szCs w:val="22"/>
        </w:rPr>
        <w:t>检出限</w:t>
      </w:r>
    </w:p>
    <w:p>
      <w:pPr>
        <w:pStyle w:val="BodyText"/>
        <w:spacing w:before="59" w:line="219" w:lineRule="auto"/>
        <w:ind w:left="479"/>
        <w:rPr>
          <w:sz w:val="22"/>
          <w:szCs w:val="22"/>
        </w:rPr>
      </w:pPr>
      <w:r>
        <w:rPr>
          <w:spacing w:val="10"/>
          <w:sz w:val="22"/>
          <w:szCs w:val="22"/>
        </w:rPr>
        <w:t>目视可见</w:t>
      </w:r>
      <w:r>
        <w:rPr>
          <w:spacing w:val="-60"/>
          <w:sz w:val="22"/>
          <w:szCs w:val="22"/>
        </w:rPr>
        <w:t xml:space="preserve"> </w:t>
      </w:r>
      <w:r>
        <w:rPr>
          <w:sz w:val="22"/>
          <w:szCs w:val="22"/>
        </w:rPr>
        <w:t>Sn</w:t>
      </w:r>
      <w:r>
        <w:rPr>
          <w:spacing w:val="10"/>
          <w:sz w:val="22"/>
          <w:szCs w:val="22"/>
        </w:rPr>
        <w:t>283.98</w:t>
      </w:r>
      <w:r>
        <w:rPr>
          <w:sz w:val="22"/>
          <w:szCs w:val="22"/>
        </w:rPr>
        <w:t>nm</w:t>
      </w:r>
      <w:r>
        <w:rPr>
          <w:spacing w:val="10"/>
          <w:sz w:val="22"/>
          <w:szCs w:val="22"/>
        </w:rPr>
        <w:t>(</w:t>
      </w:r>
      <w:r>
        <w:rPr>
          <w:sz w:val="22"/>
          <w:szCs w:val="22"/>
        </w:rPr>
        <w:t>Sn</w:t>
      </w:r>
      <w:r>
        <w:rPr>
          <w:spacing w:val="5"/>
          <w:sz w:val="22"/>
          <w:szCs w:val="22"/>
        </w:rPr>
        <w:t xml:space="preserve">  </w:t>
      </w:r>
      <w:r>
        <w:rPr>
          <w:spacing w:val="10"/>
          <w:sz w:val="22"/>
          <w:szCs w:val="22"/>
        </w:rPr>
        <w:t>含量不大于0.003%)和</w:t>
      </w:r>
      <w:r>
        <w:rPr>
          <w:spacing w:val="-58"/>
          <w:sz w:val="22"/>
          <w:szCs w:val="22"/>
        </w:rPr>
        <w:t xml:space="preserve"> </w:t>
      </w:r>
      <w:r>
        <w:rPr>
          <w:sz w:val="22"/>
          <w:szCs w:val="22"/>
        </w:rPr>
        <w:t>Zn</w:t>
      </w:r>
      <w:r>
        <w:rPr>
          <w:spacing w:val="10"/>
          <w:sz w:val="22"/>
          <w:szCs w:val="22"/>
        </w:rPr>
        <w:t xml:space="preserve">334.502  </w:t>
      </w:r>
      <w:r>
        <w:rPr>
          <w:sz w:val="22"/>
          <w:szCs w:val="22"/>
        </w:rPr>
        <w:t>nm</w:t>
      </w:r>
      <w:r>
        <w:rPr>
          <w:spacing w:val="10"/>
          <w:sz w:val="22"/>
          <w:szCs w:val="22"/>
        </w:rPr>
        <w:t>(</w:t>
      </w:r>
      <w:r>
        <w:rPr>
          <w:sz w:val="22"/>
          <w:szCs w:val="22"/>
        </w:rPr>
        <w:t>Zn</w:t>
      </w:r>
      <w:r>
        <w:rPr>
          <w:spacing w:val="10"/>
          <w:sz w:val="22"/>
          <w:szCs w:val="22"/>
        </w:rPr>
        <w:t>含量不大于</w:t>
      </w:r>
    </w:p>
    <w:p>
      <w:pPr>
        <w:pStyle w:val="BodyText"/>
        <w:spacing w:before="89" w:line="220" w:lineRule="auto"/>
        <w:ind w:left="9"/>
        <w:rPr>
          <w:sz w:val="22"/>
          <w:szCs w:val="22"/>
        </w:rPr>
      </w:pPr>
      <w:r>
        <w:rPr>
          <w:spacing w:val="14"/>
          <w:sz w:val="22"/>
          <w:szCs w:val="22"/>
        </w:rPr>
        <w:t>0.003%)谱线。</w:t>
      </w:r>
    </w:p>
    <w:p>
      <w:pPr>
        <w:pStyle w:val="BodyText"/>
        <w:spacing w:before="58" w:line="220" w:lineRule="auto"/>
        <w:ind w:left="13"/>
        <w:rPr>
          <w:sz w:val="22"/>
          <w:szCs w:val="22"/>
        </w:rPr>
      </w:pPr>
      <w:r>
        <w:rPr>
          <w:b/>
          <w:bCs/>
          <w:spacing w:val="-4"/>
          <w:sz w:val="22"/>
          <w:szCs w:val="22"/>
        </w:rPr>
        <w:t>4.3.5</w:t>
      </w:r>
      <w:r>
        <w:rPr>
          <w:spacing w:val="80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>重复性</w:t>
      </w:r>
    </w:p>
    <w:p>
      <w:pPr>
        <w:pStyle w:val="BodyText"/>
        <w:spacing w:before="56" w:line="260" w:lineRule="auto"/>
        <w:ind w:left="9" w:right="48" w:firstLine="469"/>
        <w:rPr>
          <w:sz w:val="22"/>
          <w:szCs w:val="22"/>
        </w:rPr>
      </w:pPr>
      <w:r>
        <w:rPr>
          <w:spacing w:val="18"/>
          <w:sz w:val="22"/>
          <w:szCs w:val="22"/>
        </w:rPr>
        <w:t>纯铜光谱分析标准物质，其</w:t>
      </w:r>
      <w:r>
        <w:rPr>
          <w:rFonts w:ascii="Times New Roman" w:eastAsia="Times New Roman" w:hAnsi="Times New Roman" w:cs="Times New Roman"/>
          <w:sz w:val="22"/>
          <w:szCs w:val="22"/>
        </w:rPr>
        <w:t>Ni</w:t>
      </w:r>
      <w:r>
        <w:rPr>
          <w:rFonts w:ascii="Times New Roman" w:eastAsia="Times New Roman" w:hAnsi="Times New Roman" w:cs="Times New Roman"/>
          <w:spacing w:val="-18"/>
          <w:sz w:val="22"/>
          <w:szCs w:val="22"/>
        </w:rPr>
        <w:t xml:space="preserve"> </w:t>
      </w:r>
      <w:r>
        <w:rPr>
          <w:spacing w:val="18"/>
          <w:sz w:val="22"/>
          <w:szCs w:val="22"/>
        </w:rPr>
        <w:t>连续10次测量值</w:t>
      </w:r>
      <w:r>
        <w:rPr>
          <w:spacing w:val="17"/>
          <w:sz w:val="22"/>
          <w:szCs w:val="22"/>
        </w:rPr>
        <w:t>(0.01%～0.02%)的相对标准偏</w:t>
      </w:r>
      <w:r>
        <w:rPr>
          <w:sz w:val="22"/>
          <w:szCs w:val="22"/>
        </w:rPr>
        <w:t xml:space="preserve"> </w:t>
      </w:r>
      <w:r>
        <w:rPr>
          <w:spacing w:val="8"/>
          <w:sz w:val="22"/>
          <w:szCs w:val="22"/>
        </w:rPr>
        <w:t>差≤20%。</w:t>
      </w:r>
    </w:p>
    <w:p>
      <w:pPr>
        <w:spacing w:before="199" w:line="222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5</w:t>
      </w:r>
      <w:r>
        <w:rPr>
          <w:rFonts w:ascii="SimHei" w:eastAsia="SimHei" w:hAnsi="SimHei" w:cs="SimHei"/>
          <w:spacing w:val="9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通用技术要求</w:t>
      </w:r>
    </w:p>
    <w:p>
      <w:pPr>
        <w:pStyle w:val="BodyText"/>
        <w:spacing w:before="229" w:line="220" w:lineRule="auto"/>
        <w:ind w:left="9"/>
        <w:rPr>
          <w:sz w:val="22"/>
          <w:szCs w:val="22"/>
        </w:rPr>
      </w:pPr>
      <w:r>
        <w:rPr>
          <w:spacing w:val="-4"/>
          <w:sz w:val="22"/>
          <w:szCs w:val="22"/>
        </w:rPr>
        <w:t>5.1</w:t>
      </w:r>
      <w:r>
        <w:rPr>
          <w:spacing w:val="83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>外观</w:t>
      </w:r>
    </w:p>
    <w:p>
      <w:pPr>
        <w:pStyle w:val="BodyText"/>
        <w:spacing w:before="57" w:line="252" w:lineRule="auto"/>
        <w:ind w:left="9" w:right="45" w:firstLine="3"/>
        <w:rPr>
          <w:sz w:val="22"/>
          <w:szCs w:val="22"/>
        </w:rPr>
      </w:pPr>
      <w:r>
        <w:rPr>
          <w:b/>
          <w:bCs/>
          <w:spacing w:val="5"/>
          <w:sz w:val="22"/>
          <w:szCs w:val="22"/>
        </w:rPr>
        <w:t>5.1.1</w:t>
      </w:r>
      <w:r>
        <w:rPr>
          <w:spacing w:val="103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仪器应有下列标识：仪器名称、型号、制造厂名、出厂编号与出厂日期，国产</w:t>
      </w:r>
      <w:r>
        <w:rPr>
          <w:sz w:val="22"/>
          <w:szCs w:val="22"/>
        </w:rPr>
        <w:t xml:space="preserve"> </w:t>
      </w:r>
      <w:r>
        <w:rPr>
          <w:spacing w:val="-6"/>
          <w:sz w:val="22"/>
          <w:szCs w:val="22"/>
        </w:rPr>
        <w:t>仪器应有</w:t>
      </w:r>
      <w:r>
        <w:rPr>
          <w:spacing w:val="29"/>
          <w:sz w:val="22"/>
          <w:szCs w:val="22"/>
        </w:rPr>
        <w:t xml:space="preserve">   </w:t>
      </w:r>
      <w:r>
        <w:rPr>
          <w:spacing w:val="-6"/>
          <w:sz w:val="22"/>
          <w:szCs w:val="22"/>
        </w:rPr>
        <w:t>标识等。</w:t>
      </w:r>
    </w:p>
    <w:p>
      <w:pPr>
        <w:pStyle w:val="BodyText"/>
        <w:spacing w:before="59" w:line="248" w:lineRule="auto"/>
        <w:ind w:left="9" w:right="44" w:firstLine="2"/>
        <w:rPr>
          <w:sz w:val="22"/>
          <w:szCs w:val="22"/>
        </w:rPr>
      </w:pPr>
      <w:r>
        <w:rPr>
          <w:b/>
          <w:bCs/>
          <w:spacing w:val="5"/>
          <w:sz w:val="22"/>
          <w:szCs w:val="22"/>
        </w:rPr>
        <w:t>5.1.2</w:t>
      </w:r>
      <w:r>
        <w:rPr>
          <w:sz w:val="22"/>
          <w:szCs w:val="22"/>
        </w:rPr>
        <w:t xml:space="preserve">  </w:t>
      </w:r>
      <w:r>
        <w:rPr>
          <w:spacing w:val="5"/>
          <w:sz w:val="22"/>
          <w:szCs w:val="22"/>
        </w:rPr>
        <w:t>仪器及附件的所有紧固件均应紧固良好；连接件应连接良好；运</w:t>
      </w:r>
      <w:r>
        <w:rPr>
          <w:spacing w:val="4"/>
          <w:sz w:val="22"/>
          <w:szCs w:val="22"/>
        </w:rPr>
        <w:t>动部位应运动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灵活、平稳；气路系统应可靠密封，不得泄漏。</w:t>
      </w:r>
    </w:p>
    <w:p>
      <w:pPr>
        <w:pStyle w:val="BodyText"/>
        <w:spacing w:before="67" w:line="244" w:lineRule="auto"/>
        <w:ind w:left="9" w:right="34" w:firstLine="2"/>
        <w:rPr>
          <w:sz w:val="22"/>
          <w:szCs w:val="22"/>
        </w:rPr>
      </w:pPr>
      <w:r>
        <w:rPr>
          <w:b/>
          <w:bCs/>
          <w:spacing w:val="5"/>
          <w:sz w:val="22"/>
          <w:szCs w:val="22"/>
        </w:rPr>
        <w:t>5.1.3</w:t>
      </w:r>
      <w:r>
        <w:rPr>
          <w:spacing w:val="2"/>
          <w:sz w:val="22"/>
          <w:szCs w:val="22"/>
        </w:rPr>
        <w:t xml:space="preserve">  </w:t>
      </w:r>
      <w:r>
        <w:rPr>
          <w:spacing w:val="5"/>
          <w:sz w:val="22"/>
          <w:szCs w:val="22"/>
        </w:rPr>
        <w:t>仪器的所有旋钮及功能键应能正常工作。由计算机控制或带微机的仪器，当由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键盘输入指令时，各相应的功能应能正常工作。</w:t>
      </w:r>
    </w:p>
    <w:p>
      <w:pPr>
        <w:pStyle w:val="BodyText"/>
        <w:spacing w:before="71" w:line="219" w:lineRule="auto"/>
        <w:ind w:left="12"/>
        <w:rPr>
          <w:sz w:val="22"/>
          <w:szCs w:val="22"/>
        </w:rPr>
      </w:pPr>
      <w:r>
        <w:rPr>
          <w:b/>
          <w:bCs/>
          <w:spacing w:val="5"/>
          <w:sz w:val="22"/>
          <w:szCs w:val="22"/>
        </w:rPr>
        <w:t>5.1.4</w:t>
      </w:r>
      <w:r>
        <w:rPr>
          <w:spacing w:val="5"/>
          <w:sz w:val="22"/>
          <w:szCs w:val="22"/>
        </w:rPr>
        <w:t xml:space="preserve">  仪器的所有刻线、刻字应清晰、</w:t>
      </w:r>
      <w:r>
        <w:rPr>
          <w:spacing w:val="4"/>
          <w:sz w:val="22"/>
          <w:szCs w:val="22"/>
        </w:rPr>
        <w:t>均匀，不得有妨碍读数和测量的锈斑及耀光等</w:t>
      </w:r>
    </w:p>
    <w:p>
      <w:pPr>
        <w:pStyle w:val="BodyText"/>
        <w:spacing w:before="69" w:line="220" w:lineRule="auto"/>
        <w:ind w:left="9"/>
        <w:rPr>
          <w:sz w:val="22"/>
          <w:szCs w:val="22"/>
        </w:rPr>
      </w:pPr>
      <w:r>
        <w:rPr>
          <w:spacing w:val="-9"/>
          <w:sz w:val="22"/>
          <w:szCs w:val="22"/>
        </w:rPr>
        <w:t>缺陷。</w:t>
      </w:r>
    </w:p>
    <w:p>
      <w:pPr>
        <w:pStyle w:val="BodyText"/>
        <w:spacing w:before="69" w:line="221" w:lineRule="auto"/>
        <w:ind w:left="13"/>
        <w:rPr>
          <w:sz w:val="22"/>
          <w:szCs w:val="22"/>
        </w:rPr>
      </w:pPr>
      <w:r>
        <w:rPr>
          <w:b/>
          <w:bCs/>
          <w:spacing w:val="-5"/>
          <w:sz w:val="22"/>
          <w:szCs w:val="22"/>
        </w:rPr>
        <w:t>5.2</w:t>
      </w:r>
      <w:r>
        <w:rPr>
          <w:spacing w:val="94"/>
          <w:sz w:val="22"/>
          <w:szCs w:val="22"/>
        </w:rPr>
        <w:t xml:space="preserve"> </w:t>
      </w:r>
      <w:r>
        <w:rPr>
          <w:spacing w:val="-5"/>
          <w:sz w:val="22"/>
          <w:szCs w:val="22"/>
        </w:rPr>
        <w:t>安全性能</w:t>
      </w:r>
    </w:p>
    <w:p>
      <w:pPr>
        <w:pStyle w:val="BodyText"/>
        <w:spacing w:before="55" w:line="219" w:lineRule="auto"/>
        <w:ind w:left="12"/>
        <w:rPr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5.2.1</w:t>
      </w:r>
      <w:r>
        <w:rPr>
          <w:spacing w:val="105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 xml:space="preserve">仪器的绝缘电阻应不小于20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MΩ</w:t>
      </w:r>
      <w:r>
        <w:rPr>
          <w:spacing w:val="-2"/>
          <w:sz w:val="22"/>
          <w:szCs w:val="22"/>
        </w:rPr>
        <w:t>。</w:t>
      </w:r>
    </w:p>
    <w:p>
      <w:pPr>
        <w:pStyle w:val="BodyText"/>
        <w:spacing w:before="88" w:line="308" w:lineRule="auto"/>
        <w:ind w:left="12" w:right="3865"/>
        <w:rPr>
          <w:rFonts w:ascii="SimHei" w:eastAsia="SimHei" w:hAnsi="SimHei" w:cs="SimHei"/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>5.2.2</w:t>
      </w:r>
      <w:r>
        <w:rPr>
          <w:spacing w:val="-3"/>
          <w:sz w:val="22"/>
          <w:szCs w:val="22"/>
        </w:rPr>
        <w:t xml:space="preserve">  ICP</w:t>
      </w:r>
      <w:r>
        <w:rPr>
          <w:spacing w:val="-24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光谱仪的电场泄漏应不大于10 V/m。</w:t>
      </w:r>
      <w:r>
        <w:rPr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2"/>
          <w:szCs w:val="22"/>
        </w:rPr>
        <w:t>6</w:t>
      </w:r>
      <w:r>
        <w:rPr>
          <w:rFonts w:ascii="SimHei" w:eastAsia="SimHei" w:hAnsi="SimHei" w:cs="SimHei"/>
          <w:spacing w:val="-3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22"/>
          <w:szCs w:val="22"/>
        </w:rPr>
        <w:t>计量器具控制</w:t>
      </w:r>
    </w:p>
    <w:p>
      <w:pPr>
        <w:pStyle w:val="BodyText"/>
        <w:spacing w:before="237" w:line="219" w:lineRule="auto"/>
        <w:ind w:left="479"/>
        <w:rPr>
          <w:sz w:val="22"/>
          <w:szCs w:val="22"/>
        </w:rPr>
      </w:pPr>
      <w:r>
        <w:rPr>
          <w:sz w:val="22"/>
          <w:szCs w:val="22"/>
        </w:rPr>
        <w:t>计量器具控制包括：首次检定、后续检定和使用中检验。</w:t>
      </w:r>
    </w:p>
    <w:p>
      <w:pPr>
        <w:pStyle w:val="BodyText"/>
        <w:spacing w:before="59" w:line="219" w:lineRule="auto"/>
        <w:ind w:left="12"/>
        <w:rPr>
          <w:sz w:val="22"/>
          <w:szCs w:val="22"/>
        </w:rPr>
      </w:pPr>
      <w:r>
        <w:rPr>
          <w:b/>
          <w:bCs/>
          <w:spacing w:val="-7"/>
          <w:sz w:val="22"/>
          <w:szCs w:val="22"/>
        </w:rPr>
        <w:t>6.1</w:t>
      </w:r>
      <w:r>
        <w:rPr>
          <w:spacing w:val="-7"/>
          <w:sz w:val="22"/>
          <w:szCs w:val="22"/>
        </w:rPr>
        <w:t xml:space="preserve">  检定条件</w:t>
      </w:r>
    </w:p>
    <w:p>
      <w:pPr>
        <w:pStyle w:val="BodyText"/>
        <w:spacing w:before="59" w:line="219" w:lineRule="auto"/>
        <w:ind w:left="12"/>
        <w:rPr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>6.1.1</w:t>
      </w:r>
      <w:r>
        <w:rPr>
          <w:spacing w:val="114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检定用设备及标准物质</w:t>
      </w:r>
    </w:p>
    <w:p>
      <w:pPr>
        <w:pStyle w:val="BodyText"/>
        <w:spacing w:before="69" w:line="219" w:lineRule="auto"/>
        <w:ind w:left="12"/>
        <w:rPr>
          <w:sz w:val="22"/>
          <w:szCs w:val="22"/>
        </w:rPr>
        <w:sectPr>
          <w:headerReference w:type="default" r:id="rId13"/>
          <w:footerReference w:type="default" r:id="rId14"/>
          <w:pgSz w:w="10040" w:h="14660"/>
          <w:pgMar w:top="1060" w:right="640" w:bottom="895" w:left="890" w:header="758" w:footer="746" w:gutter="0"/>
          <w:pgNumType w:start="5"/>
          <w:cols w:space="708"/>
        </w:sectPr>
      </w:pPr>
      <w:hyperlink r:id="rId15" w:history="1">
        <w:r>
          <w:rPr>
            <w:b/>
            <w:bCs/>
            <w:spacing w:val="2"/>
            <w:sz w:val="22"/>
            <w:szCs w:val="22"/>
          </w:rPr>
          <w:t>6.1.1.1</w:t>
        </w:r>
      </w:hyperlink>
      <w:r>
        <w:rPr>
          <w:spacing w:val="111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纯铜光谱分析标准物质(摄谱仪用)。</w:t>
      </w:r>
    </w:p>
    <w:p>
      <w:pPr>
        <w:pStyle w:val="BodyText"/>
        <w:spacing w:before="70" w:line="252" w:lineRule="auto"/>
        <w:ind w:left="9" w:right="50" w:firstLine="3"/>
        <w:rPr>
          <w:sz w:val="22"/>
          <w:szCs w:val="22"/>
        </w:rPr>
      </w:pPr>
      <w:hyperlink r:id="rId16" w:history="1">
        <w:r>
          <w:rPr>
            <w:b/>
            <w:bCs/>
            <w:spacing w:val="5"/>
            <w:sz w:val="22"/>
            <w:szCs w:val="22"/>
          </w:rPr>
          <w:t>6.1.1.2</w:t>
        </w:r>
      </w:hyperlink>
      <w:r>
        <w:rPr>
          <w:spacing w:val="100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低合金钢光谱分析标准物质或碳钢、碳素工具钢光</w:t>
      </w:r>
      <w:r>
        <w:rPr>
          <w:spacing w:val="4"/>
          <w:sz w:val="22"/>
          <w:szCs w:val="22"/>
        </w:rPr>
        <w:t>谱分析标准物质；铝合金</w:t>
      </w:r>
      <w:r>
        <w:rPr>
          <w:sz w:val="22"/>
          <w:szCs w:val="22"/>
        </w:rPr>
        <w:t xml:space="preserve"> </w:t>
      </w:r>
      <w:r>
        <w:rPr>
          <w:spacing w:val="4"/>
          <w:sz w:val="22"/>
          <w:szCs w:val="22"/>
        </w:rPr>
        <w:t>光谱分析标准物质或铜基、铅基等光谱分析标准物质(直读光谱仪用)。</w:t>
      </w:r>
    </w:p>
    <w:p>
      <w:pPr>
        <w:pStyle w:val="BodyText"/>
        <w:spacing w:before="69" w:line="219" w:lineRule="auto"/>
        <w:ind w:left="12"/>
        <w:rPr>
          <w:sz w:val="22"/>
          <w:szCs w:val="22"/>
        </w:rPr>
      </w:pPr>
      <w:hyperlink r:id="rId17" w:history="1">
        <w:r>
          <w:rPr>
            <w:b/>
            <w:bCs/>
            <w:spacing w:val="2"/>
            <w:sz w:val="22"/>
            <w:szCs w:val="22"/>
          </w:rPr>
          <w:t>6.1.1.3</w:t>
        </w:r>
      </w:hyperlink>
      <w:r>
        <w:rPr>
          <w:spacing w:val="2"/>
          <w:sz w:val="22"/>
          <w:szCs w:val="22"/>
        </w:rPr>
        <w:t xml:space="preserve">  纯铁光谱分析标准物质(直</w:t>
      </w:r>
      <w:r>
        <w:rPr>
          <w:spacing w:val="1"/>
          <w:sz w:val="22"/>
          <w:szCs w:val="22"/>
        </w:rPr>
        <w:t>读光谱仪用)。</w:t>
      </w:r>
    </w:p>
    <w:p>
      <w:pPr>
        <w:pStyle w:val="BodyText"/>
        <w:spacing w:before="34" w:line="212" w:lineRule="auto"/>
        <w:ind w:left="12"/>
        <w:rPr>
          <w:sz w:val="22"/>
          <w:szCs w:val="22"/>
        </w:rPr>
      </w:pPr>
      <w:hyperlink r:id="rId18" w:history="1">
        <w:r>
          <w:rPr>
            <w:b/>
            <w:bCs/>
            <w:spacing w:val="-3"/>
            <w:sz w:val="22"/>
            <w:szCs w:val="22"/>
          </w:rPr>
          <w:t>6.1.1.4</w:t>
        </w:r>
      </w:hyperlink>
      <w:r>
        <w:rPr>
          <w:spacing w:val="124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 xml:space="preserve">多元素混合系列标准溶液 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 xml:space="preserve">(ICP </w:t>
      </w:r>
      <w:r>
        <w:rPr>
          <w:spacing w:val="-3"/>
          <w:sz w:val="22"/>
          <w:szCs w:val="22"/>
        </w:rPr>
        <w:t>光谱仪用)。</w:t>
      </w:r>
    </w:p>
    <w:p>
      <w:pPr>
        <w:pStyle w:val="BodyText"/>
        <w:spacing w:before="67" w:line="212" w:lineRule="auto"/>
        <w:ind w:left="12"/>
        <w:rPr>
          <w:sz w:val="22"/>
          <w:szCs w:val="22"/>
        </w:rPr>
      </w:pPr>
      <w:hyperlink r:id="rId19" w:history="1">
        <w:r>
          <w:rPr>
            <w:b/>
            <w:bCs/>
            <w:spacing w:val="-2"/>
            <w:sz w:val="22"/>
            <w:szCs w:val="22"/>
          </w:rPr>
          <w:t>6.1.1.5</w:t>
        </w:r>
      </w:hyperlink>
      <w:r>
        <w:rPr>
          <w:spacing w:val="-2"/>
          <w:sz w:val="22"/>
          <w:szCs w:val="22"/>
        </w:rPr>
        <w:t xml:space="preserve">  高频电磁场检漏仪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(IC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 xml:space="preserve">P </w:t>
      </w:r>
      <w:r>
        <w:rPr>
          <w:spacing w:val="-3"/>
          <w:sz w:val="22"/>
          <w:szCs w:val="22"/>
        </w:rPr>
        <w:t>光谱仪用)。</w:t>
      </w:r>
    </w:p>
    <w:p>
      <w:pPr>
        <w:pStyle w:val="BodyText"/>
        <w:spacing w:before="104" w:line="221" w:lineRule="auto"/>
        <w:ind w:left="12"/>
        <w:rPr>
          <w:sz w:val="22"/>
          <w:szCs w:val="22"/>
        </w:rPr>
      </w:pPr>
      <w:hyperlink r:id="rId20" w:history="1">
        <w:r>
          <w:rPr>
            <w:b/>
            <w:bCs/>
            <w:spacing w:val="-1"/>
            <w:sz w:val="22"/>
            <w:szCs w:val="22"/>
          </w:rPr>
          <w:t>6.1.1.6</w:t>
        </w:r>
      </w:hyperlink>
      <w:r>
        <w:rPr>
          <w:spacing w:val="106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兆欧表：1000</w:t>
      </w:r>
      <w:r>
        <w:rPr>
          <w:spacing w:val="-6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V</w:t>
      </w:r>
      <w:r>
        <w:rPr>
          <w:spacing w:val="-1"/>
          <w:sz w:val="22"/>
          <w:szCs w:val="22"/>
        </w:rPr>
        <w:t>。</w:t>
      </w:r>
    </w:p>
    <w:p>
      <w:pPr>
        <w:spacing w:line="221" w:lineRule="auto"/>
        <w:rPr>
          <w:sz w:val="22"/>
          <w:szCs w:val="22"/>
        </w:rPr>
        <w:sectPr>
          <w:headerReference w:type="default" r:id="rId21"/>
          <w:footerReference w:type="default" r:id="rId22"/>
          <w:type w:val="nextPage"/>
          <w:pgSz w:w="10040" w:h="14660"/>
          <w:pgMar w:top="1060" w:right="640" w:bottom="895" w:left="890" w:header="758" w:footer="746" w:gutter="0"/>
          <w:pgNumType w:start="6"/>
          <w:cols w:space="708"/>
          <w:titlePg w:val="0"/>
        </w:sectPr>
      </w:pPr>
    </w:p>
    <w:p>
      <w:pPr>
        <w:pStyle w:val="BodyText"/>
        <w:spacing w:before="198" w:line="219" w:lineRule="auto"/>
        <w:ind w:left="3"/>
      </w:pPr>
      <w:r>
        <w:rPr>
          <w:b/>
          <w:bCs/>
          <w:spacing w:val="4"/>
        </w:rPr>
        <w:t>6.1.2</w:t>
      </w:r>
      <w:r>
        <w:rPr>
          <w:spacing w:val="1"/>
        </w:rPr>
        <w:t xml:space="preserve">  </w:t>
      </w:r>
      <w:r>
        <w:rPr>
          <w:spacing w:val="4"/>
        </w:rPr>
        <w:t>环境条件及其他要求</w:t>
      </w:r>
    </w:p>
    <w:p>
      <w:pPr>
        <w:pStyle w:val="BodyText"/>
        <w:spacing w:before="81" w:line="220" w:lineRule="auto"/>
        <w:ind w:left="3"/>
      </w:pPr>
      <w:hyperlink r:id="rId23" w:history="1">
        <w:r>
          <w:rPr>
            <w:b/>
            <w:bCs/>
          </w:rPr>
          <w:t>6.1.2.1</w:t>
        </w:r>
      </w:hyperlink>
      <w:r>
        <w:rPr>
          <w:spacing w:val="95"/>
        </w:rPr>
        <w:t xml:space="preserve"> </w:t>
      </w:r>
      <w:r>
        <w:t>环境温度：(15～30)℃。</w:t>
      </w:r>
    </w:p>
    <w:p>
      <w:pPr>
        <w:pStyle w:val="BodyText"/>
        <w:spacing w:before="76" w:line="216" w:lineRule="auto"/>
        <w:ind w:left="3"/>
      </w:pPr>
      <w:hyperlink r:id="rId24" w:history="1">
        <w:r>
          <w:rPr>
            <w:b/>
            <w:bCs/>
            <w:spacing w:val="11"/>
          </w:rPr>
          <w:t>6.1.2.2</w:t>
        </w:r>
      </w:hyperlink>
      <w:r>
        <w:rPr>
          <w:spacing w:val="11"/>
        </w:rPr>
        <w:t xml:space="preserve">  相对湿度：≤80%,或按仪器说明书规定。</w:t>
      </w:r>
    </w:p>
    <w:p>
      <w:pPr>
        <w:pStyle w:val="BodyText"/>
        <w:spacing w:before="63" w:line="212" w:lineRule="auto"/>
        <w:ind w:left="3"/>
      </w:pPr>
      <w:hyperlink r:id="rId25" w:history="1">
        <w:r>
          <w:rPr>
            <w:b/>
            <w:bCs/>
            <w:spacing w:val="10"/>
          </w:rPr>
          <w:t>6.1.2.3</w:t>
        </w:r>
      </w:hyperlink>
      <w:r>
        <w:rPr>
          <w:spacing w:val="3"/>
        </w:rPr>
        <w:t xml:space="preserve">  </w:t>
      </w:r>
      <w:r>
        <w:rPr>
          <w:spacing w:val="10"/>
        </w:rPr>
        <w:t>电源：电压</w:t>
      </w:r>
      <w:r>
        <w:t>AC</w:t>
      </w:r>
      <w:r>
        <w:rPr>
          <w:spacing w:val="10"/>
        </w:rPr>
        <w:t>(220±22)V   或(380±38)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10"/>
        </w:rPr>
        <w:t xml:space="preserve">V,   </w:t>
      </w:r>
      <w:r>
        <w:rPr>
          <w:spacing w:val="10"/>
        </w:rPr>
        <w:t>频率(50±1)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</w:rPr>
        <w:t>Hz</w:t>
      </w:r>
      <w:r>
        <w:rPr>
          <w:spacing w:val="10"/>
        </w:rPr>
        <w:t>。</w:t>
      </w:r>
    </w:p>
    <w:p>
      <w:pPr>
        <w:pStyle w:val="BodyText"/>
        <w:spacing w:before="111" w:line="219" w:lineRule="auto"/>
        <w:ind w:left="3"/>
      </w:pPr>
      <w:hyperlink r:id="rId26" w:history="1">
        <w:r>
          <w:rPr>
            <w:b/>
            <w:bCs/>
            <w:spacing w:val="8"/>
          </w:rPr>
          <w:t>6.1.2.4</w:t>
        </w:r>
      </w:hyperlink>
      <w:r>
        <w:rPr>
          <w:spacing w:val="97"/>
        </w:rPr>
        <w:t xml:space="preserve"> </w:t>
      </w:r>
      <w:r>
        <w:rPr>
          <w:spacing w:val="8"/>
        </w:rPr>
        <w:t>仪器周围应无强交流电干扰，无强气</w:t>
      </w:r>
      <w:r>
        <w:rPr>
          <w:spacing w:val="7"/>
        </w:rPr>
        <w:t>流及酸、碱等腐蚀性气体。</w:t>
      </w:r>
    </w:p>
    <w:p>
      <w:pPr>
        <w:pStyle w:val="BodyText"/>
        <w:spacing w:before="60" w:line="219" w:lineRule="auto"/>
        <w:ind w:left="2"/>
      </w:pPr>
      <w:hyperlink r:id="rId27" w:history="1">
        <w:r>
          <w:rPr>
            <w:b/>
            <w:bCs/>
            <w:spacing w:val="2"/>
          </w:rPr>
          <w:t>6.1.2.5</w:t>
        </w:r>
      </w:hyperlink>
      <w:r>
        <w:rPr>
          <w:spacing w:val="2"/>
        </w:rPr>
        <w:t xml:space="preserve">  仪器附近无强烈振动源。</w:t>
      </w:r>
    </w:p>
    <w:p>
      <w:pPr>
        <w:pStyle w:val="BodyText"/>
        <w:spacing w:before="83" w:line="219" w:lineRule="auto"/>
        <w:ind w:left="3"/>
      </w:pPr>
      <w:hyperlink r:id="rId28" w:history="1">
        <w:r>
          <w:rPr>
            <w:b/>
            <w:bCs/>
            <w:spacing w:val="2"/>
          </w:rPr>
          <w:t>6.1.2.6</w:t>
        </w:r>
      </w:hyperlink>
      <w:r>
        <w:rPr>
          <w:spacing w:val="6"/>
        </w:rPr>
        <w:t xml:space="preserve">  </w:t>
      </w:r>
      <w:r>
        <w:rPr>
          <w:spacing w:val="2"/>
        </w:rPr>
        <w:t>仪器及电源应有良好接地。</w:t>
      </w:r>
    </w:p>
    <w:p>
      <w:pPr>
        <w:pStyle w:val="BodyText"/>
        <w:spacing w:before="61" w:line="259" w:lineRule="auto"/>
        <w:ind w:right="63" w:firstLine="3"/>
      </w:pPr>
      <w:hyperlink r:id="rId29" w:history="1">
        <w:r>
          <w:rPr>
            <w:b/>
            <w:bCs/>
            <w:spacing w:val="13"/>
          </w:rPr>
          <w:t>6.1.2.7</w:t>
        </w:r>
      </w:hyperlink>
      <w:r>
        <w:rPr>
          <w:spacing w:val="6"/>
        </w:rPr>
        <w:t xml:space="preserve">  </w:t>
      </w:r>
      <w:r>
        <w:rPr>
          <w:spacing w:val="13"/>
        </w:rPr>
        <w:t>等离子体光源上方应有排气装</w:t>
      </w:r>
      <w:r>
        <w:rPr>
          <w:spacing w:val="12"/>
        </w:rPr>
        <w:t>置，足以将废气排出室外，但不能影响炬焰的</w:t>
      </w:r>
      <w:r>
        <w:t xml:space="preserve"> </w:t>
      </w:r>
      <w:r>
        <w:rPr>
          <w:spacing w:val="9"/>
        </w:rPr>
        <w:t>稳定性。应保证射频发生器的功率管有良好的散热排</w:t>
      </w:r>
      <w:r>
        <w:rPr>
          <w:spacing w:val="8"/>
        </w:rPr>
        <w:t>风。</w:t>
      </w:r>
    </w:p>
    <w:p>
      <w:pPr>
        <w:pStyle w:val="BodyText"/>
        <w:spacing w:before="71" w:line="219" w:lineRule="auto"/>
      </w:pPr>
      <w:r>
        <w:rPr>
          <w:spacing w:val="7"/>
        </w:rPr>
        <w:t>6.2</w:t>
      </w:r>
      <w:r>
        <w:rPr>
          <w:spacing w:val="90"/>
        </w:rPr>
        <w:t xml:space="preserve"> </w:t>
      </w:r>
      <w:r>
        <w:rPr>
          <w:spacing w:val="7"/>
        </w:rPr>
        <w:t>检定项目</w:t>
      </w:r>
    </w:p>
    <w:p>
      <w:pPr>
        <w:pStyle w:val="BodyText"/>
        <w:spacing w:before="80" w:line="219" w:lineRule="auto"/>
        <w:ind w:left="480"/>
      </w:pPr>
      <w:r>
        <w:rPr>
          <w:spacing w:val="15"/>
        </w:rPr>
        <w:t>检定项目如表3所示。</w:t>
      </w:r>
    </w:p>
    <w:p>
      <w:pPr>
        <w:spacing w:before="27" w:line="222" w:lineRule="auto"/>
        <w:ind w:left="359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表3</w:t>
      </w:r>
      <w:r>
        <w:rPr>
          <w:rFonts w:ascii="SimHei" w:eastAsia="SimHei" w:hAnsi="SimHei" w:cs="SimHei"/>
          <w:spacing w:val="91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检定项目</w:t>
      </w:r>
    </w:p>
    <w:tbl>
      <w:tblPr>
        <w:tblStyle w:val="TableNormal2"/>
        <w:tblW w:w="8299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4"/>
        <w:gridCol w:w="759"/>
        <w:gridCol w:w="2697"/>
        <w:gridCol w:w="1348"/>
        <w:gridCol w:w="1368"/>
        <w:gridCol w:w="1353"/>
      </w:tblGrid>
      <w:tr>
        <w:tblPrEx>
          <w:tblW w:w="8299" w:type="dxa"/>
          <w:tblInd w:w="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4"/>
        </w:trPr>
        <w:tc>
          <w:tcPr>
            <w:tcW w:w="774" w:type="dxa"/>
            <w:vAlign w:val="top"/>
          </w:tcPr>
          <w:p>
            <w:pPr>
              <w:pStyle w:val="TableText"/>
              <w:spacing w:before="102" w:line="219" w:lineRule="auto"/>
              <w:ind w:left="1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仪器</w:t>
            </w: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03" w:line="221" w:lineRule="auto"/>
              <w:ind w:left="19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序号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102" w:line="219" w:lineRule="auto"/>
              <w:ind w:left="981"/>
              <w:rPr>
                <w:sz w:val="18"/>
                <w:szCs w:val="18"/>
              </w:rPr>
            </w:pPr>
            <w:r>
              <w:rPr>
                <w:spacing w:val="8"/>
                <w:sz w:val="18"/>
                <w:szCs w:val="18"/>
              </w:rPr>
              <w:t>检定项目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92" w:line="219" w:lineRule="auto"/>
              <w:ind w:left="284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首次检定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02" w:line="219" w:lineRule="auto"/>
              <w:ind w:left="316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后续检定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102" w:line="219" w:lineRule="auto"/>
              <w:ind w:left="21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使用中检验</w:t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9"/>
        </w:trPr>
        <w:tc>
          <w:tcPr>
            <w:tcW w:w="774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10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发射光</w:t>
            </w:r>
          </w:p>
          <w:p>
            <w:pPr>
              <w:pStyle w:val="TableText"/>
              <w:spacing w:before="76" w:line="219" w:lineRule="auto"/>
              <w:ind w:left="1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谱仪</w:t>
            </w: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94" w:line="179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48" w:line="220" w:lineRule="auto"/>
              <w:ind w:left="116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外观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87" w:line="170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87" w:line="170" w:lineRule="exact"/>
              <w:ind w:left="646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157" w:line="54" w:lineRule="exact"/>
              <w:ind w:left="638"/>
              <w:rPr>
                <w:sz w:val="7"/>
                <w:szCs w:val="7"/>
              </w:rPr>
            </w:pPr>
            <w:r>
              <w:rPr>
                <w:position w:val="-1"/>
                <w:sz w:val="7"/>
                <w:szCs w:val="7"/>
              </w:rPr>
              <w:t>一</w:t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0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96" w:line="168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0" w:line="215" w:lineRule="auto"/>
              <w:ind w:left="891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电磁场泄漏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88" w:line="170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tabs>
                <w:tab w:val="left" w:pos="703"/>
              </w:tabs>
              <w:spacing w:line="200" w:lineRule="exact"/>
              <w:ind w:left="64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2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158" w:line="54" w:lineRule="exact"/>
              <w:ind w:left="638"/>
              <w:rPr>
                <w:sz w:val="7"/>
                <w:szCs w:val="7"/>
              </w:rPr>
            </w:pPr>
            <w:r>
              <w:rPr>
                <w:position w:val="-1"/>
                <w:sz w:val="7"/>
                <w:szCs w:val="7"/>
              </w:rPr>
              <w:t>一</w:t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9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95" w:line="178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49" w:line="219" w:lineRule="auto"/>
              <w:ind w:left="44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波长示值误差及重复性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88" w:line="170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88" w:line="170" w:lineRule="exact"/>
              <w:ind w:left="646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0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97" w:line="167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0" w:line="215" w:lineRule="auto"/>
              <w:ind w:left="801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最小光谱带宽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89" w:line="170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89" w:line="170" w:lineRule="exact"/>
              <w:ind w:left="646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149" w:line="54" w:lineRule="exact"/>
              <w:ind w:left="638"/>
              <w:rPr>
                <w:sz w:val="7"/>
                <w:szCs w:val="7"/>
              </w:rPr>
            </w:pPr>
            <w:r>
              <w:rPr>
                <w:position w:val="-1"/>
                <w:sz w:val="7"/>
                <w:szCs w:val="7"/>
              </w:rPr>
              <w:t>一</w:t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260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88" w:line="166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40" w:line="215" w:lineRule="auto"/>
              <w:ind w:left="107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检出限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79" w:line="170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68" w:line="221" w:lineRule="auto"/>
              <w:ind w:left="617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十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129" w:line="185" w:lineRule="auto"/>
              <w:ind w:left="63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+</w:t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289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06" w:line="177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60" w:line="220" w:lineRule="auto"/>
              <w:ind w:left="102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重复性*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88" w:line="221" w:lineRule="auto"/>
              <w:ind w:left="604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十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99" w:line="170" w:lineRule="exact"/>
              <w:ind w:left="646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88" w:line="221" w:lineRule="auto"/>
              <w:ind w:left="60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十</w:t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260"/>
        </w:trPr>
        <w:tc>
          <w:tcPr>
            <w:tcW w:w="7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89" w:line="165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41" w:line="214" w:lineRule="auto"/>
              <w:ind w:left="107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稳定性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80" w:line="170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30" w:line="54" w:lineRule="exact"/>
              <w:ind w:left="646"/>
              <w:rPr>
                <w:sz w:val="7"/>
                <w:szCs w:val="7"/>
              </w:rPr>
            </w:pPr>
            <w:r>
              <w:rPr>
                <w:position w:val="-1"/>
                <w:sz w:val="7"/>
                <w:szCs w:val="7"/>
              </w:rPr>
              <w:t>一</w:t>
            </w:r>
          </w:p>
        </w:tc>
        <w:tc>
          <w:tcPr>
            <w:tcW w:w="1353" w:type="dxa"/>
            <w:vAlign w:val="top"/>
          </w:tcPr>
          <w:p>
            <w:pPr>
              <w:tabs>
                <w:tab w:val="left" w:pos="695"/>
              </w:tabs>
              <w:spacing w:line="202" w:lineRule="exact"/>
              <w:ind w:left="6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2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9"/>
        </w:trPr>
        <w:tc>
          <w:tcPr>
            <w:tcW w:w="77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10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直读光</w:t>
            </w:r>
          </w:p>
          <w:p>
            <w:pPr>
              <w:pStyle w:val="TableText"/>
              <w:spacing w:before="76" w:line="219" w:lineRule="auto"/>
              <w:ind w:left="1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谱仪</w:t>
            </w: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97" w:line="176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1" w:line="220" w:lineRule="auto"/>
              <w:ind w:left="116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外观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90" w:line="170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30" w:line="213" w:lineRule="auto"/>
              <w:ind w:left="64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+</w:t>
            </w:r>
          </w:p>
        </w:tc>
        <w:tc>
          <w:tcPr>
            <w:tcW w:w="1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0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99" w:line="165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3" w:line="212" w:lineRule="auto"/>
              <w:ind w:left="9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绝缘电阻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91" w:line="168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31" w:line="54" w:lineRule="exact"/>
              <w:ind w:left="646"/>
              <w:rPr>
                <w:sz w:val="7"/>
                <w:szCs w:val="7"/>
              </w:rPr>
            </w:pPr>
            <w:r>
              <w:rPr>
                <w:position w:val="-1"/>
                <w:sz w:val="7"/>
                <w:szCs w:val="7"/>
              </w:rPr>
              <w:t>一</w:t>
            </w:r>
          </w:p>
        </w:tc>
        <w:tc>
          <w:tcPr>
            <w:tcW w:w="1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9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98" w:line="175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2" w:line="219" w:lineRule="auto"/>
              <w:ind w:left="44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波长示值误差及重复性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91" w:line="170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91" w:line="170" w:lineRule="exact"/>
              <w:ind w:left="646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161" w:line="54" w:lineRule="exact"/>
              <w:ind w:left="638"/>
              <w:rPr>
                <w:sz w:val="7"/>
                <w:szCs w:val="7"/>
              </w:rPr>
            </w:pPr>
            <w:r>
              <w:rPr>
                <w:position w:val="-1"/>
                <w:sz w:val="7"/>
                <w:szCs w:val="7"/>
              </w:rPr>
              <w:t>一</w:t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0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00" w:line="164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3" w:line="212" w:lineRule="auto"/>
              <w:ind w:left="107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检出限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22" w:line="211" w:lineRule="auto"/>
              <w:ind w:left="635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02" w:line="242" w:lineRule="auto"/>
              <w:ind w:left="64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+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113" w:line="226" w:lineRule="auto"/>
              <w:ind w:left="63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+</w:t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9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01" w:line="172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3" w:line="220" w:lineRule="auto"/>
              <w:ind w:left="107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重复性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92" w:line="170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92" w:line="170" w:lineRule="exact"/>
              <w:ind w:left="646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92" w:line="170" w:lineRule="exact"/>
              <w:ind w:left="638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280"/>
        </w:trPr>
        <w:tc>
          <w:tcPr>
            <w:tcW w:w="7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00" w:line="174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4" w:line="219" w:lineRule="auto"/>
              <w:ind w:left="107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稳定性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93" w:line="170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93" w:line="170" w:lineRule="exact"/>
              <w:ind w:left="646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93" w:line="170" w:lineRule="exact"/>
              <w:ind w:left="638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0"/>
        </w:trPr>
        <w:tc>
          <w:tcPr>
            <w:tcW w:w="774" w:type="dxa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5" w:line="210" w:lineRule="auto"/>
              <w:ind w:left="116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外观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93" w:line="167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93" w:line="167" w:lineRule="exact"/>
              <w:ind w:left="646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163" w:line="54" w:lineRule="exact"/>
              <w:ind w:left="638"/>
              <w:rPr>
                <w:sz w:val="7"/>
                <w:szCs w:val="7"/>
              </w:rPr>
            </w:pPr>
            <w:r>
              <w:rPr>
                <w:position w:val="-1"/>
                <w:sz w:val="7"/>
                <w:szCs w:val="7"/>
              </w:rPr>
              <w:t>一</w:t>
            </w:r>
          </w:p>
        </w:tc>
      </w:tr>
    </w:tbl>
    <w:p>
      <w:pPr>
        <w:sectPr>
          <w:headerReference w:type="default" r:id="rId30"/>
          <w:footerReference w:type="default" r:id="rId31"/>
          <w:pgSz w:w="10040" w:h="14660"/>
          <w:pgMar w:top="1179" w:right="669" w:bottom="811" w:left="899" w:header="887" w:footer="682" w:gutter="0"/>
          <w:pgNumType w:start="7"/>
          <w:cols w:space="708"/>
        </w:sectPr>
      </w:pPr>
    </w:p>
    <w:tbl>
      <w:tblPr>
        <w:tblStyle w:val="TableNormal3"/>
        <w:tblW w:w="8299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4"/>
        <w:gridCol w:w="759"/>
        <w:gridCol w:w="2697"/>
        <w:gridCol w:w="1348"/>
        <w:gridCol w:w="1368"/>
        <w:gridCol w:w="1353"/>
      </w:tblGrid>
      <w:tr>
        <w:tblPrEx>
          <w:tblW w:w="8299" w:type="dxa"/>
          <w:tblInd w:w="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70"/>
        </w:trPr>
        <w:tc>
          <w:tcPr>
            <w:tcW w:w="774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10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摄谱仪</w:t>
            </w:r>
          </w:p>
        </w:tc>
        <w:tc>
          <w:tcPr>
            <w:tcW w:w="759" w:type="dxa"/>
            <w:vAlign w:val="top"/>
          </w:tcPr>
          <w:p/>
        </w:tc>
        <w:tc>
          <w:tcPr>
            <w:tcW w:w="2697" w:type="dxa"/>
            <w:vAlign w:val="top"/>
          </w:tcPr>
          <w:p/>
        </w:tc>
        <w:tc>
          <w:tcPr>
            <w:tcW w:w="1348" w:type="dxa"/>
            <w:vAlign w:val="top"/>
          </w:tcPr>
          <w:p/>
        </w:tc>
        <w:tc>
          <w:tcPr>
            <w:tcW w:w="1368" w:type="dxa"/>
            <w:vAlign w:val="top"/>
          </w:tcPr>
          <w:p/>
        </w:tc>
        <w:tc>
          <w:tcPr>
            <w:tcW w:w="1353" w:type="dxa"/>
            <w:vAlign w:val="top"/>
          </w:tcPr>
          <w:p/>
        </w:tc>
      </w:tr>
      <w:tr>
        <w:tblPrEx>
          <w:tblW w:w="8299" w:type="dxa"/>
          <w:tblInd w:w="90" w:type="dxa"/>
          <w:tblLayout w:type="fixed"/>
        </w:tblPrEx>
        <w:trPr>
          <w:trHeight w:val="269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01" w:line="162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5" w:line="209" w:lineRule="auto"/>
              <w:ind w:left="9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绝缘电阻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93" w:line="165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63" w:line="54" w:lineRule="exact"/>
              <w:ind w:left="646"/>
              <w:rPr>
                <w:sz w:val="7"/>
                <w:szCs w:val="7"/>
              </w:rPr>
            </w:pPr>
            <w:r>
              <w:rPr>
                <w:position w:val="-1"/>
                <w:sz w:val="7"/>
                <w:szCs w:val="7"/>
              </w:rPr>
              <w:t>一</w:t>
            </w:r>
          </w:p>
        </w:tc>
        <w:tc>
          <w:tcPr>
            <w:tcW w:w="1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0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02" w:line="162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5" w:line="210" w:lineRule="auto"/>
              <w:ind w:left="107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密光性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83" w:line="221" w:lineRule="auto"/>
              <w:ind w:left="604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十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54" w:line="54" w:lineRule="exact"/>
              <w:ind w:left="646"/>
              <w:rPr>
                <w:sz w:val="7"/>
                <w:szCs w:val="7"/>
              </w:rPr>
            </w:pPr>
            <w:r>
              <w:rPr>
                <w:position w:val="-1"/>
                <w:sz w:val="7"/>
                <w:szCs w:val="7"/>
              </w:rPr>
              <w:t>一</w:t>
            </w:r>
          </w:p>
        </w:tc>
        <w:tc>
          <w:tcPr>
            <w:tcW w:w="1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9" w:type="dxa"/>
          <w:tblInd w:w="90" w:type="dxa"/>
          <w:tblLayout w:type="fixed"/>
        </w:tblPrEx>
        <w:trPr>
          <w:trHeight w:val="280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01" w:line="173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5" w:line="219" w:lineRule="auto"/>
              <w:ind w:left="622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谱线质量和分辨力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94" w:line="170" w:lineRule="exact"/>
              <w:ind w:left="635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45" w:line="192" w:lineRule="auto"/>
              <w:ind w:left="64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+</w:t>
            </w:r>
          </w:p>
        </w:tc>
        <w:tc>
          <w:tcPr>
            <w:tcW w:w="1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0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03" w:line="161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5" w:line="210" w:lineRule="auto"/>
              <w:ind w:left="57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谱线光密度均匀性*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24" w:line="208" w:lineRule="auto"/>
              <w:ind w:left="635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+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35" w:line="192" w:lineRule="auto"/>
              <w:ind w:left="64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+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113" w:line="221" w:lineRule="auto"/>
              <w:ind w:left="60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十</w:t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0"/>
        </w:trPr>
        <w:tc>
          <w:tcPr>
            <w:tcW w:w="7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02" w:line="162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5" w:line="210" w:lineRule="auto"/>
              <w:ind w:left="102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检出限*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23" w:line="210" w:lineRule="auto"/>
              <w:ind w:left="604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十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23" w:line="210" w:lineRule="auto"/>
              <w:ind w:left="617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十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135" w:line="192" w:lineRule="auto"/>
              <w:ind w:left="63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+</w:t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279"/>
        </w:trPr>
        <w:tc>
          <w:tcPr>
            <w:tcW w:w="7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03" w:line="170" w:lineRule="auto"/>
              <w:ind w:lef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697" w:type="dxa"/>
            <w:vAlign w:val="top"/>
          </w:tcPr>
          <w:p>
            <w:pPr>
              <w:pStyle w:val="TableText"/>
              <w:spacing w:before="55" w:line="219" w:lineRule="auto"/>
              <w:ind w:left="1022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重</w:t>
            </w:r>
            <w:r>
              <w:rPr>
                <w:spacing w:val="-21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复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性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33" w:line="208" w:lineRule="auto"/>
              <w:ind w:left="604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十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44" w:line="191" w:lineRule="auto"/>
              <w:ind w:left="64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+</w:t>
            </w:r>
          </w:p>
        </w:tc>
        <w:tc>
          <w:tcPr>
            <w:tcW w:w="1353" w:type="dxa"/>
            <w:vAlign w:val="top"/>
          </w:tcPr>
          <w:p>
            <w:pPr>
              <w:pStyle w:val="TableText"/>
              <w:spacing w:before="144" w:line="191" w:lineRule="auto"/>
              <w:ind w:left="63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+</w:t>
            </w:r>
          </w:p>
        </w:tc>
      </w:tr>
      <w:tr>
        <w:tblPrEx>
          <w:tblW w:w="8299" w:type="dxa"/>
          <w:tblInd w:w="90" w:type="dxa"/>
          <w:tblLayout w:type="fixed"/>
        </w:tblPrEx>
        <w:trPr>
          <w:trHeight w:val="744"/>
        </w:trPr>
        <w:tc>
          <w:tcPr>
            <w:tcW w:w="8299" w:type="dxa"/>
            <w:gridSpan w:val="6"/>
            <w:vAlign w:val="top"/>
          </w:tcPr>
          <w:p>
            <w:pPr>
              <w:pStyle w:val="TableText"/>
              <w:spacing w:before="156" w:line="300" w:lineRule="exact"/>
              <w:ind w:left="404"/>
              <w:rPr>
                <w:sz w:val="18"/>
                <w:szCs w:val="18"/>
              </w:rPr>
            </w:pPr>
            <w:r>
              <w:rPr>
                <w:spacing w:val="-3"/>
                <w:position w:val="9"/>
                <w:sz w:val="18"/>
                <w:szCs w:val="18"/>
              </w:rPr>
              <w:t>注：1. “+”为需要检定项目，“-”为不帮</w:t>
            </w:r>
            <w:r>
              <w:rPr>
                <w:spacing w:val="-4"/>
                <w:position w:val="9"/>
                <w:sz w:val="18"/>
                <w:szCs w:val="18"/>
              </w:rPr>
              <w:t>要检定项目。</w:t>
            </w:r>
          </w:p>
          <w:p>
            <w:pPr>
              <w:pStyle w:val="TableText"/>
              <w:spacing w:line="219" w:lineRule="auto"/>
              <w:ind w:left="40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2. “*”者为重要检定项目。</w:t>
            </w:r>
          </w:p>
        </w:tc>
      </w:tr>
    </w:tbl>
    <w:p>
      <w:pPr>
        <w:spacing w:line="373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3"/>
      </w:pPr>
      <w:r>
        <w:rPr>
          <w:b/>
          <w:bCs/>
          <w:spacing w:val="-4"/>
        </w:rPr>
        <w:t>6.3</w:t>
      </w:r>
      <w:r>
        <w:rPr>
          <w:spacing w:val="13"/>
        </w:rPr>
        <w:t xml:space="preserve">  </w:t>
      </w:r>
      <w:r>
        <w:rPr>
          <w:spacing w:val="-4"/>
        </w:rPr>
        <w:t>检定方法</w:t>
      </w:r>
    </w:p>
    <w:p>
      <w:pPr>
        <w:pStyle w:val="BodyText"/>
        <w:spacing w:before="51" w:line="219" w:lineRule="auto"/>
        <w:ind w:left="2"/>
      </w:pPr>
      <w:r>
        <w:rPr>
          <w:b/>
          <w:bCs/>
          <w:spacing w:val="-3"/>
        </w:rPr>
        <w:t>6.3.1</w:t>
      </w:r>
      <w:r>
        <w:rPr>
          <w:spacing w:val="8"/>
        </w:rPr>
        <w:t xml:space="preserve">  </w:t>
      </w:r>
      <w:r>
        <w:rPr>
          <w:spacing w:val="-3"/>
        </w:rPr>
        <w:t>外观检查</w:t>
      </w:r>
    </w:p>
    <w:p>
      <w:pPr>
        <w:pStyle w:val="BodyText"/>
        <w:spacing w:before="81" w:line="219" w:lineRule="auto"/>
        <w:ind w:left="469"/>
      </w:pPr>
      <w:r>
        <w:rPr>
          <w:spacing w:val="9"/>
        </w:rPr>
        <w:t>按4.1</w:t>
      </w:r>
      <w:r>
        <w:rPr>
          <w:spacing w:val="-48"/>
        </w:rPr>
        <w:t xml:space="preserve"> </w:t>
      </w:r>
      <w:r>
        <w:rPr>
          <w:spacing w:val="9"/>
        </w:rPr>
        <w:t>要求，用自视观察法进行检查。</w:t>
      </w:r>
    </w:p>
    <w:p>
      <w:pPr>
        <w:pStyle w:val="BodyText"/>
        <w:spacing w:before="71" w:line="219" w:lineRule="auto"/>
        <w:ind w:left="3"/>
      </w:pPr>
      <w:r>
        <w:rPr>
          <w:b/>
          <w:bCs/>
          <w:spacing w:val="3"/>
        </w:rPr>
        <w:t>6.3.2</w:t>
      </w:r>
      <w:r>
        <w:rPr>
          <w:spacing w:val="3"/>
        </w:rPr>
        <w:t xml:space="preserve">  安全性能的检定</w:t>
      </w:r>
    </w:p>
    <w:p>
      <w:pPr>
        <w:spacing w:line="219" w:lineRule="auto"/>
        <w:sectPr>
          <w:headerReference w:type="default" r:id="rId32"/>
          <w:footerReference w:type="default" r:id="rId33"/>
          <w:type w:val="nextPage"/>
          <w:pgSz w:w="10040" w:h="14660"/>
          <w:pgMar w:top="1179" w:right="669" w:bottom="811" w:left="899" w:header="887" w:footer="682" w:gutter="0"/>
          <w:pgNumType w:start="8"/>
          <w:cols w:space="708"/>
          <w:titlePg w:val="0"/>
        </w:sectPr>
      </w:pPr>
    </w:p>
    <w:p>
      <w:pPr>
        <w:pStyle w:val="BodyText"/>
        <w:spacing w:before="208" w:line="254" w:lineRule="auto"/>
        <w:ind w:left="69" w:right="88" w:hanging="59"/>
      </w:pPr>
      <w:hyperlink r:id="rId34" w:history="1">
        <w:r>
          <w:rPr>
            <w:spacing w:val="20"/>
          </w:rPr>
          <w:t>6.3.2.1</w:t>
        </w:r>
      </w:hyperlink>
      <w:r>
        <w:rPr>
          <w:spacing w:val="100"/>
        </w:rPr>
        <w:t xml:space="preserve"> </w:t>
      </w:r>
      <w:r>
        <w:rPr>
          <w:spacing w:val="20"/>
        </w:rPr>
        <w:t>在未接通电源时，打开仪器开关，用兆欧表测量电源进线端(相</w:t>
      </w:r>
      <w:r>
        <w:rPr>
          <w:spacing w:val="19"/>
        </w:rPr>
        <w:t>线或中线)</w:t>
      </w:r>
      <w:r>
        <w:t xml:space="preserve"> </w:t>
      </w:r>
      <w:r>
        <w:rPr>
          <w:spacing w:val="4"/>
        </w:rPr>
        <w:t>与机壳间的绝缘电阻。</w:t>
      </w:r>
    </w:p>
    <w:p>
      <w:pPr>
        <w:pStyle w:val="BodyText"/>
        <w:spacing w:before="70" w:line="264" w:lineRule="auto"/>
        <w:ind w:left="29" w:right="97" w:hanging="19"/>
      </w:pPr>
      <w:hyperlink r:id="rId35" w:history="1">
        <w:r>
          <w:rPr>
            <w:spacing w:val="12"/>
          </w:rPr>
          <w:t>6.3.2.2</w:t>
        </w:r>
      </w:hyperlink>
      <w:r>
        <w:rPr>
          <w:spacing w:val="2"/>
        </w:rPr>
        <w:t xml:space="preserve">  </w:t>
      </w:r>
      <w:r>
        <w:rPr>
          <w:rFonts w:ascii="Times New Roman" w:eastAsia="Times New Roman" w:hAnsi="Times New Roman" w:cs="Times New Roman"/>
        </w:rPr>
        <w:t>ICP</w:t>
      </w:r>
      <w:r>
        <w:rPr>
          <w:spacing w:val="12"/>
        </w:rPr>
        <w:t>光谱仪在等离子炬点燃的情况</w:t>
      </w:r>
      <w:r>
        <w:rPr>
          <w:spacing w:val="11"/>
        </w:rPr>
        <w:t>下，用高频电磁场检漏仪在高频发生器及炬</w:t>
      </w:r>
      <w:r>
        <w:rPr>
          <w:spacing w:val="1"/>
        </w:rPr>
        <w:t xml:space="preserve"> </w:t>
      </w:r>
      <w:r>
        <w:rPr>
          <w:spacing w:val="8"/>
        </w:rPr>
        <w:t xml:space="preserve">管箱的周围，距离30 </w:t>
      </w:r>
      <w:r>
        <w:rPr>
          <w:rFonts w:ascii="Times New Roman" w:eastAsia="Times New Roman" w:hAnsi="Times New Roman" w:cs="Times New Roman"/>
        </w:rPr>
        <w:t>cm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处测试电磁场强度。</w:t>
      </w:r>
    </w:p>
    <w:p>
      <w:pPr>
        <w:pStyle w:val="BodyText"/>
        <w:spacing w:before="80" w:line="219" w:lineRule="auto"/>
        <w:ind w:left="19"/>
      </w:pPr>
      <w:r>
        <w:rPr>
          <w:spacing w:val="3"/>
        </w:rPr>
        <w:t>6.3.3</w:t>
      </w:r>
      <w:r>
        <w:rPr>
          <w:spacing w:val="107"/>
        </w:rPr>
        <w:t xml:space="preserve"> </w:t>
      </w:r>
      <w:r>
        <w:rPr>
          <w:rFonts w:ascii="Times New Roman" w:eastAsia="Times New Roman" w:hAnsi="Times New Roman" w:cs="Times New Roman"/>
        </w:rPr>
        <w:t>ICP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spacing w:val="3"/>
        </w:rPr>
        <w:t>光谱仪的检定</w:t>
      </w:r>
    </w:p>
    <w:p>
      <w:pPr>
        <w:pStyle w:val="BodyText"/>
        <w:spacing w:before="61" w:line="219" w:lineRule="auto"/>
        <w:ind w:left="10"/>
      </w:pPr>
      <w:hyperlink r:id="rId36" w:history="1">
        <w:r>
          <w:rPr>
            <w:spacing w:val="6"/>
          </w:rPr>
          <w:t>6.3.3.1</w:t>
        </w:r>
      </w:hyperlink>
      <w:r>
        <w:rPr>
          <w:spacing w:val="3"/>
        </w:rPr>
        <w:t xml:space="preserve">  </w:t>
      </w:r>
      <w:r>
        <w:rPr>
          <w:spacing w:val="6"/>
        </w:rPr>
        <w:t>波长示值误差和重复性的检定</w:t>
      </w:r>
    </w:p>
    <w:p>
      <w:pPr>
        <w:pStyle w:val="BodyText"/>
        <w:spacing w:before="67" w:line="212" w:lineRule="auto"/>
        <w:ind w:left="480"/>
        <w:rPr>
          <w:rFonts w:ascii="Times New Roman" w:eastAsia="Times New Roman" w:hAnsi="Times New Roman" w:cs="Times New Roman"/>
        </w:rPr>
      </w:pPr>
      <w:r>
        <w:rPr>
          <w:spacing w:val="17"/>
        </w:rPr>
        <w:t>仪器开机进行基线扫描后，吸喷混合标准溶液(附录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17"/>
        </w:rPr>
        <w:t>A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17"/>
        </w:rPr>
        <w:t xml:space="preserve">中表 </w:t>
      </w:r>
      <w:r>
        <w:rPr>
          <w:rFonts w:ascii="Times New Roman" w:eastAsia="Times New Roman" w:hAnsi="Times New Roman" w:cs="Times New Roman"/>
          <w:spacing w:val="17"/>
        </w:rPr>
        <w:t xml:space="preserve">A.1),    </w:t>
      </w:r>
      <w:r>
        <w:rPr>
          <w:spacing w:val="17"/>
        </w:rPr>
        <w:t xml:space="preserve">以 </w:t>
      </w:r>
      <w:r>
        <w:rPr>
          <w:rFonts w:ascii="Times New Roman" w:eastAsia="Times New Roman" w:hAnsi="Times New Roman" w:cs="Times New Roman"/>
        </w:rPr>
        <w:t>Se</w:t>
      </w:r>
      <w:r>
        <w:rPr>
          <w:rFonts w:ascii="Times New Roman" w:eastAsia="Times New Roman" w:hAnsi="Times New Roman" w:cs="Times New Roman"/>
          <w:spacing w:val="17"/>
        </w:rPr>
        <w:t>,</w:t>
      </w:r>
      <w:r>
        <w:rPr>
          <w:rFonts w:ascii="Times New Roman" w:eastAsia="Times New Roman" w:hAnsi="Times New Roman" w:cs="Times New Roman"/>
        </w:rPr>
        <w:t>Zn</w:t>
      </w:r>
      <w:r>
        <w:rPr>
          <w:rFonts w:ascii="Times New Roman" w:eastAsia="Times New Roman" w:hAnsi="Times New Roman" w:cs="Times New Roman"/>
          <w:spacing w:val="17"/>
        </w:rPr>
        <w:t>,</w:t>
      </w:r>
    </w:p>
    <w:p>
      <w:pPr>
        <w:pStyle w:val="BodyText"/>
        <w:spacing w:before="77" w:line="278" w:lineRule="auto"/>
        <w:ind w:left="19" w:firstLine="10"/>
      </w:pPr>
      <w:r>
        <w:rPr>
          <w:rFonts w:ascii="Times New Roman" w:eastAsia="Times New Roman" w:hAnsi="Times New Roman" w:cs="Times New Roman"/>
        </w:rPr>
        <w:t>Mn</w:t>
      </w:r>
      <w:r>
        <w:rPr>
          <w:rFonts w:ascii="Times New Roman" w:eastAsia="Times New Roman" w:hAnsi="Times New Roman" w:cs="Times New Roman"/>
          <w:spacing w:val="12"/>
        </w:rPr>
        <w:t>,</w:t>
      </w:r>
      <w:r>
        <w:rPr>
          <w:rFonts w:ascii="Times New Roman" w:eastAsia="Times New Roman" w:hAnsi="Times New Roman" w:cs="Times New Roman"/>
        </w:rPr>
        <w:t>Cu</w:t>
      </w:r>
      <w:r>
        <w:rPr>
          <w:rFonts w:ascii="Times New Roman" w:eastAsia="Times New Roman" w:hAnsi="Times New Roman" w:cs="Times New Roman"/>
          <w:spacing w:val="12"/>
        </w:rPr>
        <w:t>,</w:t>
      </w:r>
      <w:r>
        <w:rPr>
          <w:rFonts w:ascii="Times New Roman" w:eastAsia="Times New Roman" w:hAnsi="Times New Roman" w:cs="Times New Roman"/>
        </w:rPr>
        <w:t>Ba</w:t>
      </w:r>
      <w:r>
        <w:rPr>
          <w:rFonts w:ascii="Times New Roman" w:eastAsia="Times New Roman" w:hAnsi="Times New Roman" w:cs="Times New Roman"/>
          <w:spacing w:val="12"/>
        </w:rPr>
        <w:t>,</w:t>
      </w:r>
      <w:r>
        <w:rPr>
          <w:rFonts w:ascii="Times New Roman" w:eastAsia="Times New Roman" w:hAnsi="Times New Roman" w:cs="Times New Roman"/>
        </w:rPr>
        <w:t>Na</w:t>
      </w:r>
      <w:r>
        <w:rPr>
          <w:rFonts w:ascii="Times New Roman" w:eastAsia="Times New Roman" w:hAnsi="Times New Roman" w:cs="Times New Roman"/>
          <w:spacing w:val="12"/>
        </w:rPr>
        <w:t>,</w:t>
      </w:r>
      <w:r>
        <w:rPr>
          <w:rFonts w:ascii="Times New Roman" w:eastAsia="Times New Roman" w:hAnsi="Times New Roman" w:cs="Times New Roman"/>
        </w:rPr>
        <w:t>Li</w:t>
      </w:r>
      <w:r>
        <w:rPr>
          <w:rFonts w:ascii="Times New Roman" w:eastAsia="Times New Roman" w:hAnsi="Times New Roman" w:cs="Times New Roman"/>
          <w:spacing w:val="12"/>
        </w:rPr>
        <w:t xml:space="preserve">,K             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spacing w:val="11"/>
        </w:rPr>
        <w:t>峰值位置的波长示值为测量值，从短波到长波依次重复测量3</w:t>
      </w:r>
      <w:r>
        <w:t xml:space="preserve"> </w:t>
      </w:r>
      <w:r>
        <w:rPr>
          <w:spacing w:val="23"/>
        </w:rPr>
        <w:t>次。分别用式(1)计算波长示值误差，其测量平均值与波长标准值之差</w:t>
      </w:r>
      <w:r>
        <w:rPr>
          <w:spacing w:val="22"/>
        </w:rPr>
        <w:t>为示值误差，</w:t>
      </w:r>
      <w:r>
        <w:t xml:space="preserve"> </w:t>
      </w:r>
      <w:r>
        <w:rPr>
          <w:spacing w:val="23"/>
        </w:rPr>
        <w:t>取绝对值最大者为仪器的波长示值误差；用式(</w:t>
      </w:r>
      <w:r>
        <w:rPr>
          <w:spacing w:val="22"/>
        </w:rPr>
        <w:t>2)计算波长重复性，3次测量值的极</w:t>
      </w:r>
      <w:r>
        <w:t xml:space="preserve">  </w:t>
      </w:r>
      <w:r>
        <w:rPr>
          <w:spacing w:val="9"/>
        </w:rPr>
        <w:t>差为重复性，取最大者为仪器的波长重复性。</w:t>
      </w:r>
    </w:p>
    <w:sdt>
      <w:sdtPr>
        <w:rPr>
          <w:rFonts w:ascii="SimSun" w:eastAsia="SimSun" w:hAnsi="SimSun" w:cs="SimSun"/>
          <w:sz w:val="21"/>
          <w:szCs w:val="21"/>
        </w:rPr>
        <w:id w:val="180529306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pStyle w:val="BodyText"/>
            <w:spacing w:before="71" w:line="219" w:lineRule="auto"/>
            <w:ind w:left="469"/>
          </w:pPr>
          <w:r>
            <w:t>波长示值误差：</w:t>
          </w:r>
        </w:p>
        <w:p>
          <w:pPr>
            <w:pStyle w:val="BodyText"/>
            <w:spacing w:before="52"/>
            <w:ind w:left="3329"/>
          </w:pPr>
          <w:r>
            <w:rPr>
              <w:position w:val="-20"/>
            </w:rPr>
            <w:drawing>
              <wp:inline distT="0" distB="0" distL="0" distR="0">
                <wp:extent cx="1168419" cy="336524"/>
                <wp:effectExtent l="0" t="0" r="0" b="0"/>
                <wp:docPr id="14" name="IM 1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IM 14"/>
                        <pic:cNvPicPr/>
                      </pic:nvPicPr>
                      <pic:blipFill>
                        <a:blip xmlns:r="http://schemas.openxmlformats.org/officeDocument/2006/relationships" r:embed="rId3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68419" cy="3365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2"/>
            </w:rPr>
            <w:t xml:space="preserve">                            </w:t>
          </w:r>
          <w:r>
            <w:rPr>
              <w:spacing w:val="-12"/>
            </w:rPr>
            <w:t>(</w:t>
          </w:r>
          <w:hyperlink w:anchor="bookmark1" w:history="1">
            <w:r>
              <w:rPr>
                <w:spacing w:val="-12"/>
              </w:rPr>
              <w:t>1)</w:t>
            </w:r>
          </w:hyperlink>
        </w:p>
      </w:sdtContent>
    </w:sdt>
    <w:p>
      <w:pPr>
        <w:pStyle w:val="BodyText"/>
        <w:spacing w:before="75" w:line="212" w:lineRule="auto"/>
        <w:ind w:left="30"/>
        <w:rPr>
          <w:rFonts w:ascii="Times New Roman" w:eastAsia="Times New Roman" w:hAnsi="Times New Roman" w:cs="Times New Roman"/>
        </w:rPr>
      </w:pPr>
      <w:r>
        <w:rPr>
          <w:spacing w:val="-6"/>
        </w:rPr>
        <w:t>式中：λ</w:t>
      </w:r>
      <w:r>
        <w:rPr>
          <w:rFonts w:ascii="Calibri" w:eastAsia="Calibri" w:hAnsi="Calibri" w:cs="Calibri"/>
          <w:spacing w:val="-6"/>
        </w:rPr>
        <w:t>₄</w:t>
      </w:r>
      <w:r>
        <w:rPr>
          <w:spacing w:val="-6"/>
        </w:rPr>
        <w:t xml:space="preserve">——波长示值， </w:t>
      </w:r>
      <w:r>
        <w:rPr>
          <w:rFonts w:ascii="Times New Roman" w:eastAsia="Times New Roman" w:hAnsi="Times New Roman" w:cs="Times New Roman"/>
          <w:spacing w:val="-6"/>
        </w:rPr>
        <w:t>nm;</w:t>
      </w:r>
    </w:p>
    <w:p>
      <w:pPr>
        <w:pStyle w:val="BodyText"/>
        <w:spacing w:before="89" w:line="212" w:lineRule="auto"/>
        <w:ind w:left="690"/>
        <w:rPr>
          <w:rFonts w:ascii="Times New Roman" w:eastAsia="Times New Roman" w:hAnsi="Times New Roman" w:cs="Times New Roman"/>
        </w:rPr>
      </w:pPr>
      <w:r>
        <w:rPr>
          <w:spacing w:val="-9"/>
        </w:rPr>
        <w:t>λ,——波长标准值，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nm;</w:t>
      </w:r>
    </w:p>
    <w:p>
      <w:pPr>
        <w:pStyle w:val="BodyText"/>
        <w:spacing w:before="102" w:line="341" w:lineRule="exact"/>
        <w:ind w:left="740"/>
      </w:pPr>
      <w:r>
        <w:rPr>
          <w:spacing w:val="-5"/>
          <w:position w:val="9"/>
        </w:rPr>
        <w:t>n——</w:t>
      </w:r>
      <w:r>
        <w:rPr>
          <w:spacing w:val="-44"/>
          <w:position w:val="9"/>
        </w:rPr>
        <w:t xml:space="preserve"> </w:t>
      </w:r>
      <w:r>
        <w:rPr>
          <w:spacing w:val="-5"/>
          <w:position w:val="9"/>
        </w:rPr>
        <w:t>测量次数， n=3。</w:t>
      </w:r>
    </w:p>
    <w:p>
      <w:pPr>
        <w:pStyle w:val="BodyText"/>
        <w:spacing w:line="220" w:lineRule="auto"/>
        <w:ind w:left="480"/>
      </w:pPr>
      <w:r>
        <w:rPr>
          <w:spacing w:val="-1"/>
        </w:rPr>
        <w:t>波长重复性：</w:t>
      </w:r>
    </w:p>
    <w:p>
      <w:pPr>
        <w:pStyle w:val="BodyText"/>
        <w:spacing w:before="52" w:line="224" w:lineRule="auto"/>
        <w:ind w:left="3580"/>
      </w:pPr>
      <w:r>
        <w:rPr>
          <w:rFonts w:ascii="Times New Roman" w:eastAsia="Times New Roman" w:hAnsi="Times New Roman" w:cs="Times New Roman"/>
          <w:spacing w:val="-7"/>
          <w:w w:val="95"/>
          <w:position w:val="-1"/>
        </w:rPr>
        <w:t>δ₄=λmx</w:t>
      </w:r>
      <w:r>
        <w:rPr>
          <w:rFonts w:ascii="Times New Roman" w:eastAsia="Times New Roman" w:hAnsi="Times New Roman" w:cs="Times New Roman"/>
          <w:spacing w:val="6"/>
          <w:position w:val="-1"/>
        </w:rPr>
        <w:t xml:space="preserve">      </w:t>
      </w:r>
      <w:r>
        <w:rPr>
          <w:rFonts w:ascii="Times New Roman" w:eastAsia="Times New Roman" w:hAnsi="Times New Roman" w:cs="Times New Roman"/>
          <w:spacing w:val="-7"/>
          <w:w w:val="95"/>
          <w:position w:val="-1"/>
        </w:rPr>
        <w:t>λmin</w:t>
      </w:r>
      <w:r>
        <w:rPr>
          <w:rFonts w:ascii="Times New Roman" w:eastAsia="Times New Roman" w:hAnsi="Times New Roman" w:cs="Times New Roman"/>
          <w:spacing w:val="1"/>
          <w:position w:val="-1"/>
        </w:rPr>
        <w:t xml:space="preserve">                                 </w:t>
      </w:r>
      <w:r>
        <w:rPr>
          <w:rFonts w:ascii="Times New Roman" w:eastAsia="Times New Roman" w:hAnsi="Times New Roman" w:cs="Times New Roman"/>
          <w:position w:val="-1"/>
        </w:rPr>
        <w:t xml:space="preserve">                             </w:t>
      </w:r>
      <w:r>
        <w:rPr>
          <w:spacing w:val="-7"/>
          <w:w w:val="95"/>
          <w:position w:val="3"/>
        </w:rPr>
        <w:t>(2)</w:t>
      </w:r>
    </w:p>
    <w:p>
      <w:pPr>
        <w:pStyle w:val="BodyText"/>
        <w:spacing w:before="84" w:line="212" w:lineRule="auto"/>
        <w:ind w:left="30"/>
        <w:rPr>
          <w:rFonts w:ascii="Times New Roman" w:eastAsia="Times New Roman" w:hAnsi="Times New Roman" w:cs="Times New Roman"/>
        </w:rPr>
      </w:pPr>
      <w:r>
        <w:rPr>
          <w:spacing w:val="8"/>
        </w:rPr>
        <w:t>式中：λ</w:t>
      </w:r>
      <w:r>
        <w:rPr>
          <w:rFonts w:ascii="Times New Roman" w:eastAsia="Times New Roman" w:hAnsi="Times New Roman" w:cs="Times New Roman"/>
        </w:rPr>
        <w:t>mx</w:t>
      </w:r>
      <w:r>
        <w:rPr>
          <w:rFonts w:ascii="Times New Roman" w:eastAsia="Times New Roman" w:hAnsi="Times New Roman" w:cs="Times New Roman"/>
          <w:spacing w:val="8"/>
        </w:rPr>
        <w:t xml:space="preserve">—   </w:t>
      </w:r>
      <w:r>
        <w:rPr>
          <w:spacing w:val="8"/>
        </w:rPr>
        <w:t>某谱线3次波长示值中的最大值，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</w:rPr>
        <w:t>nm</w:t>
      </w:r>
      <w:r>
        <w:rPr>
          <w:rFonts w:ascii="Times New Roman" w:eastAsia="Times New Roman" w:hAnsi="Times New Roman" w:cs="Times New Roman"/>
          <w:spacing w:val="8"/>
        </w:rPr>
        <w:t>;</w:t>
      </w:r>
    </w:p>
    <w:p>
      <w:pPr>
        <w:pStyle w:val="BodyText"/>
        <w:spacing w:before="132" w:line="199" w:lineRule="auto"/>
        <w:ind w:left="69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6"/>
        </w:rPr>
        <w:t>λ</w:t>
      </w:r>
      <w:r>
        <w:rPr>
          <w:rFonts w:ascii="Times New Roman" w:eastAsia="Times New Roman" w:hAnsi="Times New Roman" w:cs="Times New Roman"/>
        </w:rPr>
        <w:t>mi</w:t>
      </w:r>
      <w:r>
        <w:rPr>
          <w:rFonts w:ascii="Times New Roman" w:eastAsia="Times New Roman" w:hAnsi="Times New Roman" w:cs="Times New Roman"/>
          <w:spacing w:val="6"/>
        </w:rPr>
        <w:t>——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6"/>
        </w:rPr>
        <w:t xml:space="preserve">某谱线3次波长示值中的最小值， </w:t>
      </w:r>
      <w:r>
        <w:rPr>
          <w:rFonts w:ascii="Times New Roman" w:eastAsia="Times New Roman" w:hAnsi="Times New Roman" w:cs="Times New Roman"/>
          <w:sz w:val="24"/>
          <w:szCs w:val="24"/>
        </w:rPr>
        <w:t>nm</w:t>
      </w:r>
      <w:r>
        <w:rPr>
          <w:spacing w:val="6"/>
          <w:sz w:val="24"/>
          <w:szCs w:val="24"/>
        </w:rPr>
        <w:t>。</w:t>
      </w:r>
    </w:p>
    <w:p>
      <w:pPr>
        <w:pStyle w:val="BodyText"/>
        <w:spacing w:before="62" w:line="219" w:lineRule="auto"/>
        <w:ind w:left="10"/>
      </w:pPr>
      <w:hyperlink r:id="rId38" w:history="1">
        <w:r>
          <w:rPr>
            <w:spacing w:val="4"/>
          </w:rPr>
          <w:t>6.3.3.2</w:t>
        </w:r>
      </w:hyperlink>
      <w:r>
        <w:rPr>
          <w:spacing w:val="4"/>
        </w:rPr>
        <w:t xml:space="preserve">  最小光谱带宽的检定</w:t>
      </w:r>
    </w:p>
    <w:p>
      <w:pPr>
        <w:pStyle w:val="BodyText"/>
        <w:spacing w:before="68" w:line="256" w:lineRule="auto"/>
        <w:ind w:left="40" w:right="100" w:firstLine="419"/>
      </w:pPr>
      <w:r>
        <w:rPr>
          <w:spacing w:val="14"/>
        </w:rPr>
        <w:t>吸喷5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</w:rPr>
        <w:t>mg</w:t>
      </w:r>
      <w:r>
        <w:rPr>
          <w:rFonts w:ascii="Times New Roman" w:eastAsia="Times New Roman" w:hAnsi="Times New Roman" w:cs="Times New Roman"/>
          <w:spacing w:val="14"/>
        </w:rPr>
        <w:t>/L</w:t>
      </w:r>
      <w:r>
        <w:rPr>
          <w:spacing w:val="14"/>
        </w:rPr>
        <w:t>含锰标准溶液，用仪器的最小狭缝测量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</w:rPr>
        <w:t>Mn</w:t>
      </w:r>
      <w:r>
        <w:rPr>
          <w:rFonts w:ascii="Times New Roman" w:eastAsia="Times New Roman" w:hAnsi="Times New Roman" w:cs="Times New Roman"/>
          <w:spacing w:val="14"/>
        </w:rPr>
        <w:t>257.610</w:t>
      </w:r>
      <w:r>
        <w:rPr>
          <w:rFonts w:ascii="Times New Roman" w:eastAsia="Times New Roman" w:hAnsi="Times New Roman" w:cs="Times New Roman"/>
          <w:spacing w:val="51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>nm</w:t>
      </w:r>
      <w:r>
        <w:rPr>
          <w:spacing w:val="14"/>
        </w:rPr>
        <w:t>谱线，计算谱线</w:t>
      </w:r>
      <w:r>
        <w:t xml:space="preserve"> </w:t>
      </w:r>
      <w:r>
        <w:rPr>
          <w:spacing w:val="-3"/>
        </w:rPr>
        <w:t>半高宽。</w:t>
      </w:r>
    </w:p>
    <w:p>
      <w:pPr>
        <w:pStyle w:val="BodyText"/>
        <w:spacing w:before="90" w:line="219" w:lineRule="auto"/>
        <w:ind w:left="10"/>
      </w:pPr>
      <w:hyperlink r:id="rId39" w:history="1">
        <w:r>
          <w:rPr>
            <w:spacing w:val="4"/>
          </w:rPr>
          <w:t>6.3.3.3</w:t>
        </w:r>
      </w:hyperlink>
      <w:r>
        <w:rPr>
          <w:spacing w:val="100"/>
        </w:rPr>
        <w:t xml:space="preserve"> </w:t>
      </w:r>
      <w:r>
        <w:rPr>
          <w:spacing w:val="4"/>
        </w:rPr>
        <w:t>检出限的检定</w:t>
      </w:r>
    </w:p>
    <w:p>
      <w:pPr>
        <w:pStyle w:val="BodyText"/>
        <w:spacing w:before="46" w:line="237" w:lineRule="auto"/>
        <w:ind w:left="30" w:right="170" w:firstLine="449"/>
      </w:pPr>
      <w:r>
        <w:rPr>
          <w:spacing w:val="14"/>
        </w:rPr>
        <w:t>在仪器处于正常工作状态下，吸喷系列标准溶液(附录</w:t>
      </w:r>
      <w:r>
        <w:rPr>
          <w:rFonts w:ascii="Times New Roman" w:eastAsia="Times New Roman" w:hAnsi="Times New Roman" w:cs="Times New Roman"/>
          <w:spacing w:val="14"/>
        </w:rPr>
        <w:t xml:space="preserve">A </w:t>
      </w:r>
      <w:r>
        <w:rPr>
          <w:spacing w:val="14"/>
        </w:rPr>
        <w:t>表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14"/>
        </w:rPr>
        <w:t xml:space="preserve">A.2),    </w:t>
      </w:r>
      <w:r>
        <w:rPr>
          <w:spacing w:val="14"/>
        </w:rPr>
        <w:t>制作工</w:t>
      </w:r>
      <w:r>
        <w:rPr>
          <w:spacing w:val="13"/>
        </w:rPr>
        <w:t>作曲线</w:t>
      </w:r>
      <w:r>
        <w:t xml:space="preserve"> </w:t>
      </w:r>
      <w:r>
        <w:rPr>
          <w:spacing w:val="18"/>
        </w:rPr>
        <w:t>连续10次测量空白溶液，以10次空白值标准偏差3倍对应的浓度为检出限。</w:t>
      </w:r>
    </w:p>
    <w:p>
      <w:pPr>
        <w:tabs>
          <w:tab w:val="left" w:pos="5169"/>
        </w:tabs>
        <w:spacing w:line="197" w:lineRule="exact"/>
        <w:ind w:left="3859"/>
        <w:rPr>
          <w:rFonts w:ascii="Arial"/>
          <w:sz w:val="21"/>
        </w:rPr>
      </w:pPr>
      <w:r>
        <w:rPr>
          <w:rFonts w:ascii="Arial" w:eastAsia="Arial" w:hAnsi="Arial" w:cs="Arial"/>
          <w:position w:val="-2"/>
          <w:sz w:val="21"/>
          <w:szCs w:val="21"/>
          <w:u w:val="single" w:color="auto"/>
        </w:rPr>
        <w:tab/>
      </w:r>
    </w:p>
    <w:p>
      <w:pPr>
        <w:pStyle w:val="BodyText"/>
        <w:ind w:right="99"/>
        <w:jc w:val="right"/>
      </w:pPr>
      <w:r>
        <w:rPr>
          <w:position w:val="-14"/>
        </w:rPr>
        <w:drawing>
          <wp:inline distT="0" distB="0" distL="0" distR="0">
            <wp:extent cx="1187418" cy="49545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187418" cy="4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</w:rPr>
        <w:t xml:space="preserve">                            </w:t>
      </w:r>
      <w:r>
        <w:rPr>
          <w:spacing w:val="-11"/>
        </w:rPr>
        <w:t>(3)</w:t>
      </w:r>
    </w:p>
    <w:p>
      <w:pPr>
        <w:pStyle w:val="BodyText"/>
        <w:spacing w:before="129" w:line="219" w:lineRule="auto"/>
        <w:ind w:left="30"/>
      </w:pPr>
      <w:r>
        <w:rPr>
          <w:spacing w:val="-7"/>
        </w:rPr>
        <w:t>式</w:t>
      </w:r>
      <w:r>
        <w:rPr>
          <w:spacing w:val="-22"/>
        </w:rPr>
        <w:t xml:space="preserve"> </w:t>
      </w:r>
      <w:r>
        <w:rPr>
          <w:spacing w:val="-7"/>
        </w:rPr>
        <w:t>中</w:t>
      </w:r>
      <w:r>
        <w:rPr>
          <w:spacing w:val="-53"/>
        </w:rPr>
        <w:t xml:space="preserve"> </w:t>
      </w:r>
      <w:r>
        <w:rPr>
          <w:spacing w:val="-7"/>
        </w:rPr>
        <w:t>：s——标准偏差；</w:t>
      </w:r>
    </w:p>
    <w:p>
      <w:pPr>
        <w:pStyle w:val="BodyText"/>
        <w:spacing w:before="91" w:line="219" w:lineRule="auto"/>
        <w:ind w:left="619"/>
        <w:sectPr>
          <w:headerReference w:type="default" r:id="rId41"/>
          <w:footerReference w:type="default" r:id="rId42"/>
          <w:pgSz w:w="10040" w:h="14660"/>
          <w:pgMar w:top="1009" w:right="535" w:bottom="954" w:left="949" w:header="787" w:footer="806" w:gutter="0"/>
          <w:pgNumType w:start="9"/>
          <w:cols w:space="708"/>
        </w:sectPr>
      </w:pPr>
      <w:r>
        <w:rPr>
          <w:spacing w:val="-6"/>
        </w:rPr>
        <w:t>x;——</w:t>
      </w:r>
      <w:r>
        <w:rPr>
          <w:spacing w:val="-76"/>
        </w:rPr>
        <w:t xml:space="preserve"> </w:t>
      </w:r>
      <w:r>
        <w:rPr>
          <w:spacing w:val="-6"/>
        </w:rPr>
        <w:t>单次测量值；</w:t>
      </w:r>
    </w:p>
    <w:p>
      <w:pPr>
        <w:pStyle w:val="BodyText"/>
        <w:spacing w:before="81" w:line="219" w:lineRule="auto"/>
        <w:ind w:left="680"/>
      </w:pPr>
      <w:r>
        <w:t>x——</w:t>
      </w:r>
      <w:r>
        <w:rPr>
          <w:spacing w:val="-66"/>
        </w:rPr>
        <w:t xml:space="preserve"> </w:t>
      </w:r>
      <w:r>
        <w:t>测量平均值；</w:t>
      </w:r>
    </w:p>
    <w:p>
      <w:pPr>
        <w:pStyle w:val="BodyText"/>
        <w:spacing w:before="71" w:line="219" w:lineRule="auto"/>
        <w:ind w:left="680"/>
      </w:pPr>
      <w:r>
        <w:rPr>
          <w:spacing w:val="-9"/>
        </w:rPr>
        <w:t>n——</w:t>
      </w:r>
      <w:r>
        <w:rPr>
          <w:spacing w:val="-59"/>
        </w:rPr>
        <w:t xml:space="preserve"> </w:t>
      </w:r>
      <w:r>
        <w:rPr>
          <w:spacing w:val="-9"/>
        </w:rPr>
        <w:t>测量次数，</w:t>
      </w:r>
      <w:r>
        <w:rPr>
          <w:spacing w:val="35"/>
        </w:rPr>
        <w:t xml:space="preserve"> </w:t>
      </w:r>
      <w:r>
        <w:rPr>
          <w:spacing w:val="-9"/>
        </w:rPr>
        <w:t>n=10。</w:t>
      </w:r>
    </w:p>
    <w:p>
      <w:pPr>
        <w:pStyle w:val="BodyText"/>
        <w:spacing w:before="63" w:line="219" w:lineRule="auto"/>
        <w:ind w:left="3809"/>
      </w:pPr>
      <w:r>
        <w:rPr>
          <w:rFonts w:ascii="Times New Roman" w:eastAsia="Times New Roman" w:hAnsi="Times New Roman" w:cs="Times New Roman"/>
          <w:spacing w:val="-1"/>
          <w:position w:val="-1"/>
          <w:sz w:val="16"/>
          <w:szCs w:val="16"/>
        </w:rPr>
        <w:t xml:space="preserve">DL=3s/b                                                         </w:t>
      </w:r>
      <w:r>
        <w:rPr>
          <w:rFonts w:ascii="Times New Roman" w:eastAsia="Times New Roman" w:hAnsi="Times New Roman" w:cs="Times New Roman"/>
          <w:spacing w:val="-2"/>
          <w:position w:val="-1"/>
          <w:sz w:val="16"/>
          <w:szCs w:val="16"/>
        </w:rPr>
        <w:t xml:space="preserve">                                         </w:t>
      </w:r>
      <w:r>
        <w:rPr>
          <w:spacing w:val="-2"/>
          <w:position w:val="1"/>
        </w:rPr>
        <w:t>(4)</w:t>
      </w:r>
    </w:p>
    <w:p>
      <w:pPr>
        <w:pStyle w:val="BodyText"/>
        <w:spacing w:before="52" w:line="386" w:lineRule="exact"/>
        <w:ind w:left="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pacing w:val="-9"/>
          <w:position w:val="11"/>
          <w:sz w:val="24"/>
          <w:szCs w:val="24"/>
        </w:rPr>
        <w:t>式中：</w:t>
      </w:r>
      <w:r>
        <w:rPr>
          <w:rFonts w:ascii="Times New Roman" w:eastAsia="Times New Roman" w:hAnsi="Times New Roman" w:cs="Times New Roman"/>
          <w:spacing w:val="-9"/>
          <w:position w:val="11"/>
        </w:rPr>
        <w:t>DL——</w:t>
      </w:r>
      <w:r>
        <w:rPr>
          <w:spacing w:val="-9"/>
          <w:position w:val="11"/>
        </w:rPr>
        <w:t>元素检出限，</w:t>
      </w:r>
      <w:r>
        <w:rPr>
          <w:spacing w:val="-31"/>
          <w:position w:val="11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1"/>
          <w:sz w:val="24"/>
          <w:szCs w:val="24"/>
        </w:rPr>
        <w:t>mg/L;</w:t>
      </w:r>
    </w:p>
    <w:p>
      <w:pPr>
        <w:pStyle w:val="BodyText"/>
        <w:spacing w:line="219" w:lineRule="auto"/>
        <w:ind w:left="849"/>
      </w:pPr>
      <w:r>
        <w:rPr>
          <w:rFonts w:ascii="Times New Roman" w:eastAsia="Times New Roman" w:hAnsi="Times New Roman" w:cs="Times New Roman"/>
          <w:spacing w:val="2"/>
        </w:rPr>
        <w:t>s——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2"/>
        </w:rPr>
        <w:t>标准偏差；</w:t>
      </w:r>
    </w:p>
    <w:p>
      <w:pPr>
        <w:pStyle w:val="BodyText"/>
        <w:spacing w:before="61" w:line="219" w:lineRule="auto"/>
        <w:ind w:left="810"/>
      </w:pPr>
      <w:r>
        <w:rPr>
          <w:rFonts w:ascii="Times New Roman" w:eastAsia="Times New Roman" w:hAnsi="Times New Roman" w:cs="Times New Roman"/>
          <w:spacing w:val="1"/>
        </w:rPr>
        <w:t>b—--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spacing w:val="1"/>
        </w:rPr>
        <w:t>工作曲线斜率。</w:t>
      </w:r>
    </w:p>
    <w:p>
      <w:pPr>
        <w:spacing w:line="219" w:lineRule="auto"/>
        <w:sectPr>
          <w:headerReference w:type="default" r:id="rId43"/>
          <w:footerReference w:type="default" r:id="rId44"/>
          <w:type w:val="nextPage"/>
          <w:pgSz w:w="10040" w:h="14660"/>
          <w:pgMar w:top="1009" w:right="535" w:bottom="954" w:left="949" w:header="787" w:footer="806" w:gutter="0"/>
          <w:pgNumType w:start="10"/>
          <w:cols w:space="708"/>
          <w:titlePg w:val="0"/>
        </w:sectPr>
      </w:pPr>
    </w:p>
    <w:p>
      <w:pPr>
        <w:pStyle w:val="BodyText"/>
        <w:spacing w:before="198" w:line="219" w:lineRule="auto"/>
        <w:ind w:left="49"/>
      </w:pPr>
      <w:hyperlink r:id="rId45" w:history="1">
        <w:r>
          <w:rPr>
            <w:spacing w:val="1"/>
          </w:rPr>
          <w:t>6.3.3.4</w:t>
        </w:r>
      </w:hyperlink>
      <w:r>
        <w:rPr>
          <w:spacing w:val="12"/>
        </w:rPr>
        <w:t xml:space="preserve">  </w:t>
      </w:r>
      <w:r>
        <w:rPr>
          <w:spacing w:val="1"/>
        </w:rPr>
        <w:t>重复性的检定</w:t>
      </w:r>
    </w:p>
    <w:p>
      <w:pPr>
        <w:pStyle w:val="BodyText"/>
        <w:spacing w:before="66" w:line="267" w:lineRule="auto"/>
        <w:ind w:left="30" w:right="28" w:firstLine="490"/>
      </w:pPr>
      <w:r>
        <w:rPr>
          <w:spacing w:val="13"/>
        </w:rPr>
        <w:t>在仪器处于正常工作状态下，吸喷标准溶液(附录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13"/>
        </w:rPr>
        <w:t xml:space="preserve">A </w:t>
      </w:r>
      <w:r>
        <w:rPr>
          <w:spacing w:val="13"/>
        </w:rPr>
        <w:t xml:space="preserve">表 </w:t>
      </w:r>
      <w:r>
        <w:rPr>
          <w:rFonts w:ascii="Times New Roman" w:eastAsia="Times New Roman" w:hAnsi="Times New Roman" w:cs="Times New Roman"/>
          <w:spacing w:val="13"/>
        </w:rPr>
        <w:t xml:space="preserve">A.2),    </w:t>
      </w:r>
      <w:r>
        <w:rPr>
          <w:spacing w:val="13"/>
        </w:rPr>
        <w:t>制作工作曲线，连</w:t>
      </w:r>
      <w:r>
        <w:t xml:space="preserve"> </w:t>
      </w:r>
      <w:r>
        <w:rPr>
          <w:spacing w:val="31"/>
        </w:rPr>
        <w:t>续10次测量标准溶液(表</w:t>
      </w:r>
      <w:r>
        <w:rPr>
          <w:spacing w:val="-46"/>
        </w:rPr>
        <w:t xml:space="preserve"> </w:t>
      </w:r>
      <w:r>
        <w:rPr>
          <w:spacing w:val="31"/>
        </w:rPr>
        <w:t>A.2 中2*或3”溶液),计算10次测量值的相对标准偏差</w:t>
      </w:r>
    </w:p>
    <w:p>
      <w:pPr>
        <w:spacing w:line="63" w:lineRule="exact"/>
      </w:pPr>
    </w:p>
    <w:p>
      <w:pPr>
        <w:spacing w:line="63" w:lineRule="exact"/>
        <w:sectPr>
          <w:headerReference w:type="default" r:id="rId46"/>
          <w:footerReference w:type="default" r:id="rId47"/>
          <w:pgSz w:w="10040" w:h="14660"/>
          <w:pgMar w:top="1039" w:right="539" w:bottom="928" w:left="969" w:header="804" w:footer="789" w:gutter="0"/>
          <w:pgNumType w:start="11"/>
          <w:cols w:num="1" w:space="708" w:equalWidth="0">
            <w:col w:w="8531" w:space="0"/>
          </w:cols>
        </w:sectPr>
      </w:pPr>
    </w:p>
    <w:p>
      <w:pPr>
        <w:pStyle w:val="BodyText"/>
        <w:spacing w:line="212" w:lineRule="auto"/>
        <w:ind w:left="70"/>
      </w:pPr>
      <w:r>
        <w:rPr>
          <w:rFonts w:ascii="Times New Roman" w:eastAsia="Times New Roman" w:hAnsi="Times New Roman" w:cs="Times New Roman"/>
          <w:spacing w:val="3"/>
        </w:rPr>
        <w:t>(</w:t>
      </w:r>
      <w:r>
        <w:rPr>
          <w:rFonts w:ascii="Times New Roman" w:eastAsia="Times New Roman" w:hAnsi="Times New Roman" w:cs="Times New Roman"/>
        </w:rPr>
        <w:t>RSD</w:t>
      </w:r>
      <w:r>
        <w:rPr>
          <w:rFonts w:ascii="Times New Roman" w:eastAsia="Times New Roman" w:hAnsi="Times New Roman" w:cs="Times New Roman"/>
          <w:spacing w:val="3"/>
        </w:rPr>
        <w:t>)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 </w:t>
      </w:r>
      <w:r>
        <w:rPr>
          <w:spacing w:val="3"/>
        </w:rPr>
        <w:t>为重复性。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1" w:lineRule="auto"/>
        <w:rPr>
          <w:rFonts w:ascii="Arial"/>
          <w:sz w:val="21"/>
        </w:rPr>
      </w:pPr>
    </w:p>
    <w:p>
      <w:pPr>
        <w:spacing w:line="840" w:lineRule="exact"/>
      </w:pPr>
      <w:r>
        <w:rPr>
          <w:position w:val="-16"/>
        </w:rPr>
        <w:drawing>
          <wp:inline distT="0" distB="0" distL="0" distR="0">
            <wp:extent cx="1974843" cy="533318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974843" cy="533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68" w:line="222" w:lineRule="auto"/>
        <w:ind w:left="379"/>
      </w:pPr>
      <w:r>
        <w:rPr>
          <w:spacing w:val="-11"/>
        </w:rPr>
        <w:t>(5)</w:t>
      </w:r>
    </w:p>
    <w:p>
      <w:pPr>
        <w:spacing w:line="222" w:lineRule="auto"/>
        <w:sectPr>
          <w:headerReference w:type="default" r:id="rId49"/>
          <w:footerReference w:type="default" r:id="rId50"/>
          <w:type w:val="continuous"/>
          <w:pgSz w:w="10040" w:h="14660"/>
          <w:pgMar w:top="1039" w:right="539" w:bottom="928" w:left="969" w:header="804" w:footer="789" w:gutter="0"/>
          <w:pgNumType w:start="12"/>
          <w:cols w:num="3" w:space="708" w:equalWidth="0">
            <w:col w:w="2571" w:space="100"/>
            <w:col w:w="5041" w:space="100"/>
            <w:col w:w="720" w:space="0"/>
          </w:cols>
        </w:sectPr>
      </w:pPr>
    </w:p>
    <w:p>
      <w:pPr>
        <w:pStyle w:val="BodyText"/>
        <w:spacing w:before="148" w:line="304" w:lineRule="exact"/>
        <w:ind w:left="49"/>
      </w:pPr>
      <w:r>
        <w:rPr>
          <w:spacing w:val="2"/>
          <w:position w:val="6"/>
        </w:rPr>
        <w:t>式中：</w:t>
      </w:r>
      <w:r>
        <w:rPr>
          <w:spacing w:val="-9"/>
          <w:position w:val="6"/>
        </w:rPr>
        <w:t xml:space="preserve"> </w:t>
      </w:r>
      <w:r>
        <w:rPr>
          <w:rFonts w:ascii="Times New Roman" w:eastAsia="Times New Roman" w:hAnsi="Times New Roman" w:cs="Times New Roman"/>
          <w:position w:val="6"/>
        </w:rPr>
        <w:t>RSD</w:t>
      </w:r>
      <w:r>
        <w:rPr>
          <w:rFonts w:ascii="Times New Roman" w:eastAsia="Times New Roman" w:hAnsi="Times New Roman" w:cs="Times New Roman"/>
          <w:spacing w:val="2"/>
          <w:position w:val="6"/>
        </w:rPr>
        <w:t>——</w:t>
      </w:r>
      <w:r>
        <w:rPr>
          <w:spacing w:val="2"/>
          <w:position w:val="6"/>
        </w:rPr>
        <w:t>相对标准偏差，%;</w:t>
      </w:r>
    </w:p>
    <w:p>
      <w:pPr>
        <w:pStyle w:val="BodyText"/>
        <w:spacing w:line="212" w:lineRule="auto"/>
        <w:ind w:left="9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4"/>
          <w:w w:val="96"/>
          <w:sz w:val="24"/>
          <w:szCs w:val="24"/>
        </w:rPr>
        <w:t>x;——</w:t>
      </w:r>
      <w:r>
        <w:rPr>
          <w:spacing w:val="-14"/>
          <w:w w:val="96"/>
          <w:sz w:val="24"/>
          <w:szCs w:val="24"/>
        </w:rPr>
        <w:t>测量值，</w:t>
      </w:r>
      <w:r>
        <w:rPr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4"/>
          <w:w w:val="96"/>
          <w:sz w:val="24"/>
          <w:szCs w:val="24"/>
        </w:rPr>
        <w:t>mg/L;</w:t>
      </w:r>
    </w:p>
    <w:p>
      <w:pPr>
        <w:pStyle w:val="BodyText"/>
        <w:spacing w:before="96" w:line="344" w:lineRule="exact"/>
        <w:ind w:left="9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  <w:position w:val="10"/>
        </w:rPr>
        <w:t>x——</w:t>
      </w:r>
      <w:r>
        <w:rPr>
          <w:rFonts w:ascii="Times New Roman" w:eastAsia="Times New Roman" w:hAnsi="Times New Roman" w:cs="Times New Roman"/>
          <w:spacing w:val="14"/>
          <w:position w:val="10"/>
        </w:rPr>
        <w:t xml:space="preserve"> </w:t>
      </w:r>
      <w:r>
        <w:rPr>
          <w:spacing w:val="-4"/>
          <w:position w:val="10"/>
        </w:rPr>
        <w:t xml:space="preserve">测量平均值， </w:t>
      </w:r>
      <w:r>
        <w:rPr>
          <w:rFonts w:ascii="Times New Roman" w:eastAsia="Times New Roman" w:hAnsi="Times New Roman" w:cs="Times New Roman"/>
          <w:spacing w:val="-4"/>
          <w:position w:val="10"/>
        </w:rPr>
        <w:t>mg/L;</w:t>
      </w:r>
    </w:p>
    <w:p>
      <w:pPr>
        <w:pStyle w:val="BodyText"/>
        <w:spacing w:line="219" w:lineRule="auto"/>
        <w:ind w:left="960"/>
      </w:pPr>
      <w:r>
        <w:rPr>
          <w:rFonts w:ascii="Times New Roman" w:eastAsia="Times New Roman" w:hAnsi="Times New Roman" w:cs="Times New Roman"/>
          <w:spacing w:val="-5"/>
        </w:rPr>
        <w:t xml:space="preserve">n---     </w:t>
      </w:r>
      <w:r>
        <w:rPr>
          <w:spacing w:val="-5"/>
        </w:rPr>
        <w:t>测量次数，</w:t>
      </w:r>
      <w:r>
        <w:rPr>
          <w:spacing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n=10</w:t>
      </w:r>
      <w:r>
        <w:rPr>
          <w:spacing w:val="-5"/>
        </w:rPr>
        <w:t>。</w:t>
      </w:r>
    </w:p>
    <w:p>
      <w:pPr>
        <w:pStyle w:val="BodyText"/>
        <w:spacing w:before="81" w:line="219" w:lineRule="auto"/>
        <w:ind w:left="40"/>
      </w:pPr>
      <w:hyperlink r:id="rId51" w:history="1">
        <w:r>
          <w:rPr>
            <w:spacing w:val="4"/>
          </w:rPr>
          <w:t>6.3.3.5</w:t>
        </w:r>
      </w:hyperlink>
      <w:r>
        <w:rPr>
          <w:spacing w:val="100"/>
        </w:rPr>
        <w:t xml:space="preserve"> </w:t>
      </w:r>
      <w:r>
        <w:rPr>
          <w:spacing w:val="4"/>
        </w:rPr>
        <w:t>稳定性的检定</w:t>
      </w:r>
    </w:p>
    <w:p>
      <w:pPr>
        <w:pStyle w:val="BodyText"/>
        <w:spacing w:before="68" w:line="277" w:lineRule="auto"/>
        <w:ind w:left="40" w:right="29" w:firstLine="430"/>
        <w:jc w:val="both"/>
      </w:pPr>
      <w:r>
        <w:rPr>
          <w:spacing w:val="16"/>
        </w:rPr>
        <w:t>仪器开机稳定后，吸喷标准溶液(附录</w:t>
      </w:r>
      <w:r>
        <w:rPr>
          <w:rFonts w:ascii="Times New Roman" w:eastAsia="Times New Roman" w:hAnsi="Times New Roman" w:cs="Times New Roman"/>
          <w:spacing w:val="16"/>
        </w:rPr>
        <w:t xml:space="preserve">A </w:t>
      </w:r>
      <w:r>
        <w:rPr>
          <w:spacing w:val="16"/>
        </w:rPr>
        <w:t>表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16"/>
        </w:rPr>
        <w:t xml:space="preserve">A.2),    </w:t>
      </w:r>
      <w:r>
        <w:rPr>
          <w:spacing w:val="16"/>
        </w:rPr>
        <w:t>制作工作曲线，测量标</w:t>
      </w:r>
      <w:r>
        <w:rPr>
          <w:spacing w:val="15"/>
        </w:rPr>
        <w:t>准溶液</w:t>
      </w:r>
      <w:r>
        <w:t xml:space="preserve"> </w:t>
      </w:r>
      <w:r>
        <w:rPr>
          <w:spacing w:val="19"/>
        </w:rPr>
        <w:t>(</w:t>
      </w:r>
      <w:r>
        <w:rPr>
          <w:spacing w:val="-23"/>
        </w:rPr>
        <w:t xml:space="preserve"> </w:t>
      </w:r>
      <w:r>
        <w:rPr>
          <w:spacing w:val="19"/>
        </w:rPr>
        <w:t>表A.2</w:t>
      </w:r>
      <w:r>
        <w:rPr>
          <w:spacing w:val="-18"/>
        </w:rPr>
        <w:t xml:space="preserve"> </w:t>
      </w:r>
      <w:r>
        <w:rPr>
          <w:spacing w:val="19"/>
        </w:rPr>
        <w:t>中2*或3”溶液)。在不少于2</w:t>
      </w:r>
      <w:r>
        <w:rPr>
          <w:spacing w:val="-58"/>
        </w:rPr>
        <w:t xml:space="preserve"> </w:t>
      </w:r>
      <w:r>
        <w:rPr>
          <w:spacing w:val="19"/>
        </w:rPr>
        <w:t>h 内，间隔15</w:t>
      </w:r>
      <w:r>
        <w:rPr>
          <w:spacing w:val="-48"/>
        </w:rPr>
        <w:t xml:space="preserve"> </w:t>
      </w:r>
      <w:r>
        <w:t>min</w:t>
      </w:r>
      <w:r>
        <w:rPr>
          <w:spacing w:val="-48"/>
        </w:rPr>
        <w:t xml:space="preserve"> </w:t>
      </w:r>
      <w:r>
        <w:rPr>
          <w:spacing w:val="19"/>
        </w:rPr>
        <w:t>以上，重复6次测量，计算6</w:t>
      </w:r>
      <w:r>
        <w:t xml:space="preserve"> </w:t>
      </w:r>
      <w:r>
        <w:rPr>
          <w:spacing w:val="14"/>
        </w:rPr>
        <w:t>次测量值的相对标准偏差 (</w:t>
      </w:r>
      <w:r>
        <w:t>RSD</w:t>
      </w:r>
      <w:r>
        <w:rPr>
          <w:spacing w:val="14"/>
        </w:rPr>
        <w:t>)  为稳定性</w:t>
      </w:r>
      <w:r>
        <w:rPr>
          <w:spacing w:val="13"/>
        </w:rPr>
        <w:t>。计算同公式(5),但</w:t>
      </w:r>
      <w:r>
        <w:rPr>
          <w:spacing w:val="-44"/>
        </w:rPr>
        <w:t xml:space="preserve"> </w:t>
      </w:r>
      <w:r>
        <w:rPr>
          <w:spacing w:val="13"/>
        </w:rPr>
        <w:t>n=6。</w:t>
      </w:r>
    </w:p>
    <w:p>
      <w:pPr>
        <w:pStyle w:val="BodyText"/>
        <w:spacing w:before="68" w:line="219" w:lineRule="auto"/>
        <w:ind w:left="30"/>
      </w:pPr>
      <w:r>
        <w:rPr>
          <w:spacing w:val="7"/>
        </w:rPr>
        <w:t>6.3.4</w:t>
      </w:r>
      <w:r>
        <w:rPr>
          <w:spacing w:val="91"/>
        </w:rPr>
        <w:t xml:space="preserve"> </w:t>
      </w:r>
      <w:r>
        <w:rPr>
          <w:spacing w:val="7"/>
        </w:rPr>
        <w:t>直读光谱仪的检定方法</w:t>
      </w:r>
    </w:p>
    <w:p>
      <w:pPr>
        <w:pStyle w:val="BodyText"/>
        <w:spacing w:before="101" w:line="219" w:lineRule="auto"/>
        <w:ind w:left="30"/>
      </w:pPr>
      <w:hyperlink r:id="rId52" w:history="1">
        <w:r>
          <w:rPr>
            <w:spacing w:val="3"/>
          </w:rPr>
          <w:t>6.3.4.1</w:t>
        </w:r>
      </w:hyperlink>
      <w:r>
        <w:rPr>
          <w:spacing w:val="3"/>
        </w:rPr>
        <w:t xml:space="preserve">  波长示值误差的检定</w:t>
      </w:r>
    </w:p>
    <w:p>
      <w:pPr>
        <w:pStyle w:val="BodyText"/>
        <w:spacing w:before="80" w:line="268" w:lineRule="auto"/>
        <w:ind w:left="20" w:right="43" w:firstLine="449"/>
        <w:jc w:val="both"/>
      </w:pPr>
      <w:r>
        <w:rPr>
          <w:spacing w:val="18"/>
        </w:rPr>
        <w:t>大型直读光谱仪：仪器开机后，读取基准波长峰位置(鼓轮刻度)读数，在峰</w:t>
      </w:r>
      <w:r>
        <w:rPr>
          <w:spacing w:val="17"/>
        </w:rPr>
        <w:t>位置</w:t>
      </w:r>
      <w:r>
        <w:t xml:space="preserve"> </w:t>
      </w:r>
      <w:r>
        <w:rPr>
          <w:spacing w:val="24"/>
        </w:rPr>
        <w:t>两侧各取5～8个点，逐点激发某个元素含</w:t>
      </w:r>
      <w:r>
        <w:rPr>
          <w:spacing w:val="23"/>
        </w:rPr>
        <w:t>量较高的标准样品，读取代表元素(如</w:t>
      </w:r>
      <w:r>
        <w:rPr>
          <w:spacing w:val="-11"/>
        </w:rPr>
        <w:t xml:space="preserve"> </w:t>
      </w:r>
      <w:r>
        <w:rPr>
          <w:spacing w:val="23"/>
        </w:rPr>
        <w:t>C,</w:t>
      </w:r>
      <w:r>
        <w:t xml:space="preserve"> </w:t>
      </w:r>
      <w:r>
        <w:rPr>
          <w:rFonts w:ascii="Times New Roman" w:eastAsia="Times New Roman" w:hAnsi="Times New Roman" w:cs="Times New Roman"/>
        </w:rPr>
        <w:t>Si</w:t>
      </w:r>
      <w:r>
        <w:rPr>
          <w:rFonts w:ascii="Times New Roman" w:eastAsia="Times New Roman" w:hAnsi="Times New Roman" w:cs="Times New Roman"/>
          <w:spacing w:val="16"/>
        </w:rPr>
        <w:t>,</w:t>
      </w:r>
      <w:r>
        <w:rPr>
          <w:rFonts w:ascii="Times New Roman" w:eastAsia="Times New Roman" w:hAnsi="Times New Roman" w:cs="Times New Roman"/>
        </w:rPr>
        <w:t>Mn</w:t>
      </w:r>
      <w:r>
        <w:rPr>
          <w:rFonts w:ascii="Times New Roman" w:eastAsia="Times New Roman" w:hAnsi="Times New Roman" w:cs="Times New Roman"/>
          <w:spacing w:val="16"/>
        </w:rPr>
        <w:t>,</w:t>
      </w:r>
      <w:r>
        <w:rPr>
          <w:rFonts w:ascii="Times New Roman" w:eastAsia="Times New Roman" w:hAnsi="Times New Roman" w:cs="Times New Roman"/>
        </w:rPr>
        <w:t>Cr</w:t>
      </w:r>
      <w:r>
        <w:rPr>
          <w:rFonts w:ascii="Times New Roman" w:eastAsia="Times New Roman" w:hAnsi="Times New Roman" w:cs="Times New Roman"/>
          <w:spacing w:val="16"/>
        </w:rPr>
        <w:t>,V,</w:t>
      </w:r>
      <w:r>
        <w:rPr>
          <w:rFonts w:ascii="Times New Roman" w:eastAsia="Times New Roman" w:hAnsi="Times New Roman" w:cs="Times New Roman"/>
        </w:rPr>
        <w:t>Cu</w:t>
      </w:r>
      <w:r>
        <w:rPr>
          <w:rFonts w:ascii="Times New Roman" w:eastAsia="Times New Roman" w:hAnsi="Times New Roman" w:cs="Times New Roman"/>
          <w:spacing w:val="16"/>
        </w:rPr>
        <w:t xml:space="preserve">)             </w:t>
      </w:r>
      <w:r>
        <w:rPr>
          <w:spacing w:val="16"/>
        </w:rPr>
        <w:t>的谱线强度，找出峰位置(鼓轮刻度)读数，分别与基准波长的</w:t>
      </w:r>
      <w:r>
        <w:rPr>
          <w:spacing w:val="7"/>
        </w:rPr>
        <w:t xml:space="preserve"> </w:t>
      </w:r>
      <w:r>
        <w:rPr>
          <w:spacing w:val="9"/>
        </w:rPr>
        <w:t>峰位置进行比较、计算其偏差。</w:t>
      </w:r>
    </w:p>
    <w:p>
      <w:pPr>
        <w:pStyle w:val="BodyText"/>
        <w:spacing w:before="114" w:line="228" w:lineRule="auto"/>
        <w:ind w:left="3730"/>
      </w:pPr>
      <w:r>
        <w:rPr>
          <w:spacing w:val="-5"/>
          <w:position w:val="-1"/>
          <w:sz w:val="15"/>
          <w:szCs w:val="15"/>
        </w:rPr>
        <w:t>△</w:t>
      </w:r>
      <w:r>
        <w:rPr>
          <w:rFonts w:ascii="Times New Roman" w:eastAsia="Times New Roman" w:hAnsi="Times New Roman" w:cs="Times New Roman"/>
          <w:spacing w:val="-5"/>
          <w:position w:val="-1"/>
          <w:sz w:val="15"/>
          <w:szCs w:val="15"/>
        </w:rPr>
        <w:t>=x₁-x2</w:t>
      </w:r>
      <w:r>
        <w:rPr>
          <w:rFonts w:ascii="Times New Roman" w:eastAsia="Times New Roman" w:hAnsi="Times New Roman" w:cs="Times New Roman"/>
          <w:spacing w:val="1"/>
          <w:position w:val="-1"/>
          <w:sz w:val="15"/>
          <w:szCs w:val="15"/>
        </w:rPr>
        <w:t xml:space="preserve">                       </w:t>
      </w:r>
      <w:r>
        <w:rPr>
          <w:rFonts w:ascii="Times New Roman" w:eastAsia="Times New Roman" w:hAnsi="Times New Roman" w:cs="Times New Roman"/>
          <w:position w:val="-1"/>
          <w:sz w:val="15"/>
          <w:szCs w:val="15"/>
        </w:rPr>
        <w:t xml:space="preserve">                                                                                 </w:t>
      </w:r>
      <w:r>
        <w:rPr>
          <w:spacing w:val="-5"/>
        </w:rPr>
        <w:t>(6)</w:t>
      </w:r>
    </w:p>
    <w:p>
      <w:pPr>
        <w:pStyle w:val="BodyText"/>
        <w:spacing w:before="98" w:line="219" w:lineRule="auto"/>
        <w:ind w:left="40"/>
      </w:pPr>
      <w:r>
        <w:rPr>
          <w:spacing w:val="-7"/>
        </w:rPr>
        <w:t>式中：△</w:t>
      </w:r>
      <w:r>
        <w:rPr>
          <w:rFonts w:ascii="Arial" w:eastAsia="Arial" w:hAnsi="Arial" w:cs="Arial"/>
          <w:spacing w:val="-7"/>
        </w:rPr>
        <w:t>—</w:t>
      </w:r>
      <w:r>
        <w:rPr>
          <w:spacing w:val="-7"/>
        </w:rPr>
        <w:t>—</w:t>
      </w:r>
      <w:r>
        <w:rPr>
          <w:spacing w:val="-59"/>
        </w:rPr>
        <w:t xml:space="preserve"> </w:t>
      </w:r>
      <w:r>
        <w:rPr>
          <w:spacing w:val="-7"/>
        </w:rPr>
        <w:t>偏差；</w:t>
      </w:r>
    </w:p>
    <w:p>
      <w:pPr>
        <w:pStyle w:val="BodyText"/>
        <w:spacing w:before="91" w:line="219" w:lineRule="auto"/>
        <w:ind w:left="649"/>
      </w:pPr>
      <w:r>
        <w:rPr>
          <w:spacing w:val="19"/>
        </w:rPr>
        <w:t>x</w:t>
      </w:r>
      <w:r>
        <w:rPr>
          <w:rFonts w:ascii="Calibri" w:eastAsia="Calibri" w:hAnsi="Calibri" w:cs="Calibri"/>
          <w:spacing w:val="19"/>
        </w:rPr>
        <w:t>₁</w:t>
      </w:r>
      <w:r>
        <w:rPr>
          <w:spacing w:val="19"/>
        </w:rPr>
        <w:t>——</w:t>
      </w:r>
      <w:r>
        <w:rPr>
          <w:spacing w:val="-30"/>
        </w:rPr>
        <w:t xml:space="preserve"> </w:t>
      </w:r>
      <w:r>
        <w:rPr>
          <w:spacing w:val="19"/>
        </w:rPr>
        <w:t>元素峰位置(鼓轮刻度)读数；</w:t>
      </w:r>
    </w:p>
    <w:p>
      <w:pPr>
        <w:spacing w:before="119" w:line="222" w:lineRule="auto"/>
        <w:ind w:left="640"/>
        <w:rPr>
          <w:rFonts w:ascii="SimHei" w:eastAsia="SimHei" w:hAnsi="SimHei" w:cs="SimHei"/>
          <w:sz w:val="21"/>
          <w:szCs w:val="21"/>
        </w:rPr>
      </w:pP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>x₂——</w:t>
      </w:r>
      <w:r>
        <w:rPr>
          <w:rFonts w:ascii="Times New Roman" w:eastAsia="Times New Roman" w:hAnsi="Times New Roman" w:cs="Times New Roman"/>
          <w:spacing w:val="4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8"/>
          <w:sz w:val="21"/>
          <w:szCs w:val="21"/>
        </w:rPr>
        <w:t>基准波长峰位置(鼓轮刻度)读数。</w:t>
      </w:r>
    </w:p>
    <w:p>
      <w:pPr>
        <w:pStyle w:val="BodyText"/>
        <w:spacing w:before="110" w:line="274" w:lineRule="auto"/>
        <w:ind w:left="10" w:right="24" w:firstLine="439"/>
        <w:jc w:val="both"/>
      </w:pPr>
      <w:r>
        <w:rPr>
          <w:spacing w:val="15"/>
        </w:rPr>
        <w:t>便携式直读光谱仪：激发三块不同含量的标样，用仪器扫描功能读取代表元素(如</w:t>
      </w:r>
      <w:r>
        <w:rPr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13"/>
        </w:rPr>
        <w:t>C,</w:t>
      </w:r>
      <w:r>
        <w:rPr>
          <w:rFonts w:ascii="Times New Roman" w:eastAsia="Times New Roman" w:hAnsi="Times New Roman" w:cs="Times New Roman"/>
        </w:rPr>
        <w:t>Si</w:t>
      </w:r>
      <w:r>
        <w:rPr>
          <w:rFonts w:ascii="Times New Roman" w:eastAsia="Times New Roman" w:hAnsi="Times New Roman" w:cs="Times New Roman"/>
          <w:spacing w:val="13"/>
        </w:rPr>
        <w:t>,</w:t>
      </w:r>
      <w:r>
        <w:rPr>
          <w:rFonts w:ascii="Times New Roman" w:eastAsia="Times New Roman" w:hAnsi="Times New Roman" w:cs="Times New Roman"/>
        </w:rPr>
        <w:t>Mn</w:t>
      </w:r>
      <w:r>
        <w:rPr>
          <w:rFonts w:ascii="Times New Roman" w:eastAsia="Times New Roman" w:hAnsi="Times New Roman" w:cs="Times New Roman"/>
          <w:spacing w:val="13"/>
        </w:rPr>
        <w:t>,</w:t>
      </w:r>
      <w:r>
        <w:rPr>
          <w:rFonts w:ascii="Times New Roman" w:eastAsia="Times New Roman" w:hAnsi="Times New Roman" w:cs="Times New Roman"/>
        </w:rPr>
        <w:t>Cr</w:t>
      </w:r>
      <w:r>
        <w:rPr>
          <w:rFonts w:ascii="Times New Roman" w:eastAsia="Times New Roman" w:hAnsi="Times New Roman" w:cs="Times New Roman"/>
          <w:spacing w:val="13"/>
        </w:rPr>
        <w:t>,V,</w:t>
      </w:r>
      <w:r>
        <w:rPr>
          <w:rFonts w:ascii="Times New Roman" w:eastAsia="Times New Roman" w:hAnsi="Times New Roman" w:cs="Times New Roman"/>
        </w:rPr>
        <w:t>Cu</w:t>
      </w:r>
      <w:r>
        <w:rPr>
          <w:rFonts w:ascii="Times New Roman" w:eastAsia="Times New Roman" w:hAnsi="Times New Roman" w:cs="Times New Roman"/>
          <w:spacing w:val="13"/>
        </w:rPr>
        <w:t xml:space="preserve">)                </w:t>
      </w:r>
      <w:r>
        <w:rPr>
          <w:spacing w:val="12"/>
        </w:rPr>
        <w:t>的波长读数，从短波到长波依次重复测量3次。分别用式(1)</w:t>
      </w:r>
      <w:r>
        <w:t xml:space="preserve"> </w:t>
      </w:r>
      <w:r>
        <w:rPr>
          <w:spacing w:val="12"/>
        </w:rPr>
        <w:t>计算波长示值误差，其测量平均值与波长标准值之差为示值误差，取绝对值最大者为仪</w:t>
      </w:r>
      <w:r>
        <w:rPr>
          <w:spacing w:val="2"/>
        </w:rPr>
        <w:t xml:space="preserve"> </w:t>
      </w:r>
      <w:r>
        <w:rPr>
          <w:spacing w:val="23"/>
        </w:rPr>
        <w:t>器的波长示值误差；用式(2)计算波长重复性，3次测量值的极差为重复性，取最大</w:t>
      </w:r>
      <w:r>
        <w:rPr>
          <w:spacing w:val="15"/>
        </w:rPr>
        <w:t xml:space="preserve"> </w:t>
      </w:r>
      <w:r>
        <w:rPr>
          <w:spacing w:val="8"/>
        </w:rPr>
        <w:t>者为仪器的波长重复性。</w:t>
      </w:r>
    </w:p>
    <w:p>
      <w:pPr>
        <w:pStyle w:val="BodyText"/>
        <w:spacing w:before="81" w:line="219" w:lineRule="auto"/>
        <w:ind w:left="10"/>
        <w:sectPr>
          <w:headerReference w:type="default" r:id="rId53"/>
          <w:footerReference w:type="default" r:id="rId54"/>
          <w:type w:val="continuous"/>
          <w:pgSz w:w="10040" w:h="14660"/>
          <w:pgMar w:top="1039" w:right="539" w:bottom="928" w:left="969" w:header="804" w:footer="789" w:gutter="0"/>
          <w:pgNumType w:start="13"/>
          <w:cols w:num="1" w:space="708" w:equalWidth="0">
            <w:col w:w="8531" w:space="0"/>
          </w:cols>
        </w:sectPr>
      </w:pPr>
      <w:hyperlink r:id="rId55" w:history="1">
        <w:r>
          <w:rPr>
            <w:spacing w:val="4"/>
          </w:rPr>
          <w:t>6.3.4.2</w:t>
        </w:r>
      </w:hyperlink>
      <w:r>
        <w:rPr>
          <w:spacing w:val="100"/>
        </w:rPr>
        <w:t xml:space="preserve"> </w:t>
      </w:r>
      <w:r>
        <w:rPr>
          <w:spacing w:val="4"/>
        </w:rPr>
        <w:t>检出限的检定</w:t>
      </w:r>
    </w:p>
    <w:p>
      <w:pPr>
        <w:pStyle w:val="BodyText"/>
        <w:spacing w:before="99" w:line="261" w:lineRule="auto"/>
        <w:ind w:left="10" w:right="4" w:firstLine="449"/>
        <w:jc w:val="both"/>
      </w:pPr>
      <w:r>
        <w:rPr>
          <w:spacing w:val="22"/>
        </w:rPr>
        <w:t xml:space="preserve">在仪器正常工作条件下，连续10次激发纯铁(空白)光谱分析标准物质，以10次 </w:t>
      </w:r>
      <w:r>
        <w:rPr>
          <w:spacing w:val="21"/>
        </w:rPr>
        <w:t>空白值标准偏差3倍对应的含量为检出限。计算同公式(3)、(</w:t>
      </w:r>
      <w:r>
        <w:rPr>
          <w:spacing w:val="20"/>
        </w:rPr>
        <w:t>4),但检出限单位为%。</w:t>
      </w:r>
      <w:r>
        <w:t xml:space="preserve"> </w:t>
      </w:r>
      <w:hyperlink r:id="rId56" w:history="1">
        <w:r>
          <w:rPr>
            <w:spacing w:val="2"/>
          </w:rPr>
          <w:t>6.3.4.3</w:t>
        </w:r>
      </w:hyperlink>
      <w:r>
        <w:rPr>
          <w:spacing w:val="2"/>
        </w:rPr>
        <w:t xml:space="preserve">  重复性的检定</w:t>
      </w:r>
    </w:p>
    <w:p>
      <w:pPr>
        <w:pStyle w:val="BodyText"/>
        <w:spacing w:before="90" w:line="255" w:lineRule="auto"/>
        <w:ind w:right="79" w:firstLine="460"/>
        <w:jc w:val="both"/>
      </w:pPr>
      <w:r>
        <w:rPr>
          <w:spacing w:val="18"/>
        </w:rPr>
        <w:t>在仪器正常工作条件下，连续激发10次测量某个低合金钢光</w:t>
      </w:r>
      <w:r>
        <w:rPr>
          <w:spacing w:val="17"/>
        </w:rPr>
        <w:t>谱分析标准物质中代</w:t>
      </w:r>
      <w:r>
        <w:t xml:space="preserve"> </w:t>
      </w:r>
      <w:r>
        <w:rPr>
          <w:spacing w:val="19"/>
        </w:rPr>
        <w:t>表元素的含量，计算10次测量值的相对标准偏</w:t>
      </w:r>
      <w:r>
        <w:rPr>
          <w:spacing w:val="18"/>
        </w:rPr>
        <w:t xml:space="preserve">差 </w:t>
      </w:r>
      <w:r>
        <w:rPr>
          <w:rFonts w:ascii="Times New Roman" w:eastAsia="Times New Roman" w:hAnsi="Times New Roman" w:cs="Times New Roman"/>
          <w:spacing w:val="18"/>
        </w:rPr>
        <w:t>(</w:t>
      </w:r>
      <w:r>
        <w:rPr>
          <w:rFonts w:ascii="Times New Roman" w:eastAsia="Times New Roman" w:hAnsi="Times New Roman" w:cs="Times New Roman"/>
        </w:rPr>
        <w:t>RSD</w:t>
      </w:r>
      <w:r>
        <w:rPr>
          <w:rFonts w:ascii="Times New Roman" w:eastAsia="Times New Roman" w:hAnsi="Times New Roman" w:cs="Times New Roman"/>
          <w:spacing w:val="18"/>
        </w:rPr>
        <w:t xml:space="preserve">)   </w:t>
      </w:r>
      <w:r>
        <w:rPr>
          <w:spacing w:val="18"/>
        </w:rPr>
        <w:t>为重复性。计算同公式(5)</w:t>
      </w:r>
      <w:r>
        <w:t xml:space="preserve"> </w:t>
      </w:r>
      <w:r>
        <w:rPr>
          <w:spacing w:val="16"/>
        </w:rPr>
        <w:t>但测量值的单位为%。</w:t>
      </w:r>
    </w:p>
    <w:p>
      <w:pPr>
        <w:spacing w:line="255" w:lineRule="auto"/>
        <w:sectPr>
          <w:headerReference w:type="default" r:id="rId57"/>
          <w:footerReference w:type="default" r:id="rId58"/>
          <w:type w:val="nextPage"/>
          <w:pgSz w:w="10040" w:h="14660"/>
          <w:pgMar w:top="1039" w:right="539" w:bottom="928" w:left="969" w:header="804" w:footer="789" w:gutter="0"/>
          <w:pgNumType w:start="14"/>
          <w:cols w:num="1" w:space="708" w:equalWidth="0">
            <w:col w:w="8531" w:space="0"/>
          </w:cols>
          <w:titlePg w:val="0"/>
        </w:sectPr>
      </w:pPr>
    </w:p>
    <w:p>
      <w:pPr>
        <w:pStyle w:val="BodyText"/>
        <w:spacing w:before="218" w:line="219" w:lineRule="auto"/>
        <w:ind w:left="2"/>
      </w:pPr>
      <w:hyperlink r:id="rId59" w:history="1">
        <w:r>
          <w:rPr>
            <w:b/>
            <w:bCs/>
            <w:spacing w:val="2"/>
          </w:rPr>
          <w:t>6.3.4.4</w:t>
        </w:r>
      </w:hyperlink>
      <w:r>
        <w:rPr>
          <w:spacing w:val="2"/>
        </w:rPr>
        <w:t xml:space="preserve">  稳定性的检定</w:t>
      </w:r>
    </w:p>
    <w:p>
      <w:pPr>
        <w:pStyle w:val="BodyText"/>
        <w:spacing w:before="71" w:line="257" w:lineRule="auto"/>
        <w:ind w:right="20" w:firstLine="419"/>
        <w:jc w:val="both"/>
      </w:pPr>
      <w:r>
        <w:rPr>
          <w:spacing w:val="15"/>
        </w:rPr>
        <w:t>仪器开机稳定后，激发某个低合金钢光谱分</w:t>
      </w:r>
      <w:r>
        <w:rPr>
          <w:spacing w:val="14"/>
        </w:rPr>
        <w:t>析标准物质，对代表性元素进行测量。</w:t>
      </w:r>
      <w:r>
        <w:t xml:space="preserve"> </w:t>
      </w:r>
      <w:r>
        <w:rPr>
          <w:spacing w:val="25"/>
        </w:rPr>
        <w:t>在不少于2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25"/>
        </w:rPr>
        <w:t xml:space="preserve">h </w:t>
      </w:r>
      <w:r>
        <w:rPr>
          <w:spacing w:val="25"/>
        </w:rPr>
        <w:t>内，间隔15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25"/>
        </w:rPr>
        <w:t>以上，重复6次测量。计算6次测量值的相对标准偏差</w:t>
      </w:r>
      <w:r>
        <w:t xml:space="preserve"> </w:t>
      </w:r>
      <w:r>
        <w:rPr>
          <w:rFonts w:ascii="Times New Roman" w:eastAsia="Times New Roman" w:hAnsi="Times New Roman" w:cs="Times New Roman"/>
          <w:spacing w:val="20"/>
        </w:rPr>
        <w:t>(</w:t>
      </w:r>
      <w:r>
        <w:rPr>
          <w:rFonts w:ascii="Times New Roman" w:eastAsia="Times New Roman" w:hAnsi="Times New Roman" w:cs="Times New Roman"/>
        </w:rPr>
        <w:t>RSD</w:t>
      </w:r>
      <w:r>
        <w:rPr>
          <w:rFonts w:ascii="Times New Roman" w:eastAsia="Times New Roman" w:hAnsi="Times New Roman" w:cs="Times New Roman"/>
          <w:spacing w:val="20"/>
        </w:rPr>
        <w:t>)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 </w:t>
      </w:r>
      <w:r>
        <w:rPr>
          <w:spacing w:val="20"/>
        </w:rPr>
        <w:t>为稳定性。计算同公式(5),但测量值的单位为%,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20"/>
        </w:rPr>
        <w:t>n=6</w:t>
      </w:r>
      <w:r>
        <w:rPr>
          <w:spacing w:val="20"/>
        </w:rPr>
        <w:t>。</w:t>
      </w:r>
    </w:p>
    <w:p>
      <w:pPr>
        <w:spacing w:before="108" w:line="233" w:lineRule="auto"/>
        <w:ind w:right="59" w:firstLine="419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14"/>
          <w:sz w:val="21"/>
          <w:szCs w:val="21"/>
        </w:rPr>
        <w:t>注：若仪器只做铝合金、铜合金、铅合金，可采用相应光谱分析标准物质并参照本规程的相关</w:t>
      </w:r>
      <w:r>
        <w:rPr>
          <w:rFonts w:ascii="FangSong" w:eastAsia="FangSong" w:hAnsi="FangSong" w:cs="FangSong"/>
          <w:spacing w:val="8"/>
          <w:sz w:val="21"/>
          <w:szCs w:val="21"/>
        </w:rPr>
        <w:t xml:space="preserve"> </w:t>
      </w:r>
      <w:r>
        <w:rPr>
          <w:rFonts w:ascii="FangSong" w:eastAsia="FangSong" w:hAnsi="FangSong" w:cs="FangSong"/>
          <w:spacing w:val="-19"/>
          <w:sz w:val="21"/>
          <w:szCs w:val="21"/>
        </w:rPr>
        <w:t>技术指标和检定方法进行检定。</w:t>
      </w:r>
    </w:p>
    <w:p>
      <w:pPr>
        <w:pStyle w:val="BodyText"/>
        <w:spacing w:before="73" w:line="219" w:lineRule="auto"/>
        <w:ind w:left="3"/>
      </w:pPr>
      <w:r>
        <w:rPr>
          <w:b/>
          <w:bCs/>
          <w:spacing w:val="4"/>
        </w:rPr>
        <w:t>6.3.5</w:t>
      </w:r>
      <w:r>
        <w:rPr>
          <w:spacing w:val="94"/>
        </w:rPr>
        <w:t xml:space="preserve"> </w:t>
      </w:r>
      <w:r>
        <w:rPr>
          <w:spacing w:val="4"/>
        </w:rPr>
        <w:t>摄谱仪检定方法</w:t>
      </w:r>
    </w:p>
    <w:p>
      <w:pPr>
        <w:pStyle w:val="BodyText"/>
        <w:spacing w:before="81" w:line="219" w:lineRule="auto"/>
        <w:ind w:left="3"/>
      </w:pPr>
      <w:hyperlink r:id="rId60" w:history="1">
        <w:r>
          <w:rPr>
            <w:b/>
            <w:bCs/>
            <w:spacing w:val="4"/>
          </w:rPr>
          <w:t>6.3.5.1</w:t>
        </w:r>
      </w:hyperlink>
      <w:r>
        <w:rPr>
          <w:spacing w:val="104"/>
        </w:rPr>
        <w:t xml:space="preserve"> </w:t>
      </w:r>
      <w:r>
        <w:rPr>
          <w:spacing w:val="4"/>
        </w:rPr>
        <w:t>仪器密光性的检定</w:t>
      </w:r>
    </w:p>
    <w:p>
      <w:pPr>
        <w:pStyle w:val="BodyText"/>
        <w:spacing w:before="71" w:line="260" w:lineRule="auto"/>
        <w:ind w:right="116" w:firstLine="419"/>
        <w:jc w:val="both"/>
      </w:pPr>
      <w:r>
        <w:rPr>
          <w:spacing w:val="18"/>
        </w:rPr>
        <w:t>仪器在正常工作条件下，盖住狭缝。将一块感光板裁成两半，其中一半置于暗盒</w:t>
      </w:r>
      <w:r>
        <w:rPr>
          <w:spacing w:val="6"/>
        </w:rPr>
        <w:t xml:space="preserve"> </w:t>
      </w:r>
      <w:r>
        <w:rPr>
          <w:spacing w:val="16"/>
        </w:rPr>
        <w:t>中，在仪器上曝光2</w:t>
      </w:r>
      <w:r>
        <w:rPr>
          <w:rFonts w:ascii="Times New Roman" w:eastAsia="Times New Roman" w:hAnsi="Times New Roman" w:cs="Times New Roman"/>
          <w:spacing w:val="16"/>
        </w:rPr>
        <w:t xml:space="preserve">h,   </w:t>
      </w:r>
      <w:r>
        <w:rPr>
          <w:spacing w:val="16"/>
        </w:rPr>
        <w:t>与未曝光的半块感</w:t>
      </w:r>
      <w:r>
        <w:rPr>
          <w:spacing w:val="15"/>
        </w:rPr>
        <w:t>光板在相同条件下进行暗室处理，最后测量</w:t>
      </w:r>
      <w:r>
        <w:t xml:space="preserve"> </w:t>
      </w:r>
      <w:r>
        <w:rPr>
          <w:spacing w:val="8"/>
        </w:rPr>
        <w:t>两块感光板的光密度差△</w:t>
      </w:r>
      <w:r>
        <w:rPr>
          <w:rFonts w:ascii="Times New Roman" w:eastAsia="Times New Roman" w:hAnsi="Times New Roman" w:cs="Times New Roman"/>
          <w:spacing w:val="8"/>
        </w:rPr>
        <w:t>D</w:t>
      </w:r>
      <w:r>
        <w:rPr>
          <w:spacing w:val="8"/>
        </w:rPr>
        <w:t>。</w:t>
      </w:r>
    </w:p>
    <w:p>
      <w:pPr>
        <w:pStyle w:val="BodyText"/>
        <w:spacing w:before="96" w:line="234" w:lineRule="auto"/>
        <w:ind w:left="3309"/>
      </w:pPr>
      <w:r>
        <w:rPr>
          <w:spacing w:val="-6"/>
          <w:position w:val="-1"/>
          <w:sz w:val="13"/>
          <w:szCs w:val="13"/>
        </w:rPr>
        <w:t>△</w:t>
      </w:r>
      <w:r>
        <w:rPr>
          <w:rFonts w:ascii="Times New Roman" w:eastAsia="Times New Roman" w:hAnsi="Times New Roman" w:cs="Times New Roman"/>
          <w:spacing w:val="-6"/>
          <w:position w:val="-1"/>
          <w:sz w:val="13"/>
          <w:szCs w:val="13"/>
        </w:rPr>
        <w:t xml:space="preserve">D=D            </w:t>
      </w:r>
      <w:r>
        <w:rPr>
          <w:rFonts w:ascii="STXingkai" w:eastAsia="STXingkai" w:hAnsi="STXingkai" w:cs="STXingkai"/>
          <w:spacing w:val="-6"/>
          <w:position w:val="-1"/>
          <w:sz w:val="13"/>
          <w:szCs w:val="13"/>
        </w:rPr>
        <w:t>犟</w:t>
      </w:r>
      <w:r>
        <w:rPr>
          <w:rFonts w:ascii="STXingkai" w:eastAsia="STXingkai" w:hAnsi="STXingkai" w:cs="STXingkai"/>
          <w:spacing w:val="2"/>
          <w:position w:val="-1"/>
          <w:sz w:val="13"/>
          <w:szCs w:val="13"/>
        </w:rPr>
        <w:t xml:space="preserve">  </w:t>
      </w:r>
      <w:r>
        <w:rPr>
          <w:rFonts w:ascii="STXingkai" w:eastAsia="STXingkai" w:hAnsi="STXingkai" w:cs="STXingkai"/>
          <w:spacing w:val="-6"/>
          <w:position w:val="-1"/>
          <w:sz w:val="13"/>
          <w:szCs w:val="13"/>
        </w:rPr>
        <w:t>光</w:t>
      </w:r>
      <w:r>
        <w:rPr>
          <w:rFonts w:ascii="STXingkai" w:eastAsia="STXingkai" w:hAnsi="STXingkai" w:cs="STXingkai"/>
          <w:spacing w:val="2"/>
          <w:position w:val="-1"/>
          <w:sz w:val="13"/>
          <w:szCs w:val="13"/>
        </w:rPr>
        <w:t xml:space="preserve">  </w:t>
      </w:r>
      <w:r>
        <w:rPr>
          <w:rFonts w:ascii="STXingkai" w:eastAsia="STXingkai" w:hAnsi="STXingkai" w:cs="STXingkai"/>
          <w:spacing w:val="-6"/>
          <w:position w:val="-1"/>
          <w:sz w:val="13"/>
          <w:szCs w:val="13"/>
        </w:rPr>
        <w:t>一</w:t>
      </w:r>
      <w:r>
        <w:rPr>
          <w:rFonts w:ascii="STXingkai" w:eastAsia="STXingkai" w:hAnsi="STXingkai" w:cs="STXingkai"/>
          <w:spacing w:val="3"/>
          <w:position w:val="-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-1"/>
          <w:sz w:val="13"/>
          <w:szCs w:val="13"/>
        </w:rPr>
        <w:t xml:space="preserve">D   </w:t>
      </w:r>
      <w:r>
        <w:rPr>
          <w:rFonts w:ascii="STXingkai" w:eastAsia="STXingkai" w:hAnsi="STXingkai" w:cs="STXingkai"/>
          <w:spacing w:val="-6"/>
          <w:position w:val="-1"/>
          <w:sz w:val="13"/>
          <w:szCs w:val="13"/>
        </w:rPr>
        <w:t>未曝光</w:t>
      </w:r>
      <w:r>
        <w:rPr>
          <w:rFonts w:ascii="STXingkai" w:eastAsia="STXingkai" w:hAnsi="STXingkai" w:cs="STXingkai"/>
          <w:spacing w:val="1"/>
          <w:position w:val="-1"/>
          <w:sz w:val="13"/>
          <w:szCs w:val="13"/>
        </w:rPr>
        <w:t xml:space="preserve">                        </w:t>
      </w:r>
      <w:r>
        <w:rPr>
          <w:rFonts w:ascii="STXingkai" w:eastAsia="STXingkai" w:hAnsi="STXingkai" w:cs="STXingkai"/>
          <w:position w:val="-1"/>
          <w:sz w:val="13"/>
          <w:szCs w:val="13"/>
        </w:rPr>
        <w:t xml:space="preserve">                                                                        </w:t>
      </w:r>
      <w:r>
        <w:rPr>
          <w:spacing w:val="-6"/>
          <w:position w:val="1"/>
        </w:rPr>
        <w:t>(7)</w:t>
      </w:r>
    </w:p>
    <w:p>
      <w:pPr>
        <w:pStyle w:val="BodyText"/>
        <w:spacing w:before="73" w:line="219" w:lineRule="auto"/>
        <w:ind w:left="3"/>
      </w:pPr>
      <w:hyperlink r:id="rId61" w:history="1">
        <w:r>
          <w:rPr>
            <w:b/>
            <w:bCs/>
            <w:spacing w:val="4"/>
          </w:rPr>
          <w:t>6.3.5.2</w:t>
        </w:r>
      </w:hyperlink>
      <w:r>
        <w:rPr>
          <w:spacing w:val="102"/>
        </w:rPr>
        <w:t xml:space="preserve"> </w:t>
      </w:r>
      <w:r>
        <w:rPr>
          <w:spacing w:val="4"/>
        </w:rPr>
        <w:t>谱线质量和分辨力的检定</w:t>
      </w:r>
    </w:p>
    <w:p>
      <w:pPr>
        <w:pStyle w:val="BodyText"/>
        <w:spacing w:before="96" w:line="262" w:lineRule="auto"/>
        <w:ind w:firstLine="419"/>
        <w:jc w:val="both"/>
      </w:pPr>
      <w:r>
        <w:rPr>
          <w:spacing w:val="11"/>
        </w:rPr>
        <w:t>仪器相对孔径≤1:30,中间光阑3.2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11"/>
        </w:rPr>
        <w:t>狭缝宽5 μ</w:t>
      </w:r>
      <w:r>
        <w:rPr>
          <w:rFonts w:ascii="Times New Roman" w:eastAsia="Times New Roman" w:hAnsi="Times New Roman" w:cs="Times New Roman"/>
          <w:spacing w:val="11"/>
        </w:rPr>
        <w:t>m,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spacing w:val="11"/>
        </w:rPr>
        <w:t xml:space="preserve">高10 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11"/>
        </w:rPr>
        <w:t>。采</w:t>
      </w:r>
      <w:r>
        <w:rPr>
          <w:spacing w:val="-30"/>
        </w:rPr>
        <w:t xml:space="preserve"> </w:t>
      </w:r>
      <w:r>
        <w:rPr>
          <w:spacing w:val="11"/>
        </w:rPr>
        <w:t>用</w:t>
      </w:r>
      <w:r>
        <w:rPr>
          <w:spacing w:val="-30"/>
        </w:rPr>
        <w:t xml:space="preserve"> </w:t>
      </w:r>
      <w:r>
        <w:rPr>
          <w:spacing w:val="11"/>
        </w:rPr>
        <w:t>5</w:t>
      </w:r>
      <w:r>
        <w:rPr>
          <w:rFonts w:ascii="Times New Roman" w:eastAsia="Times New Roman" w:hAnsi="Times New Roman" w:cs="Times New Roman"/>
          <w:spacing w:val="11"/>
        </w:rPr>
        <w:t xml:space="preserve">A </w:t>
      </w:r>
      <w:r>
        <w:rPr>
          <w:spacing w:val="10"/>
        </w:rPr>
        <w:t>交流电</w:t>
      </w:r>
      <w:r>
        <w:t xml:space="preserve">  </w:t>
      </w:r>
      <w:r>
        <w:rPr>
          <w:spacing w:val="14"/>
        </w:rPr>
        <w:t>弧，曝光(1～2)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14"/>
        </w:rPr>
        <w:t xml:space="preserve">s,   </w:t>
      </w:r>
      <w:r>
        <w:rPr>
          <w:spacing w:val="14"/>
        </w:rPr>
        <w:t>摄取铁谱。暗室处理后，将感光板</w:t>
      </w:r>
      <w:r>
        <w:rPr>
          <w:spacing w:val="13"/>
        </w:rPr>
        <w:t>置于投影仪上检查谱线垂直度、</w:t>
      </w:r>
      <w:r>
        <w:t xml:space="preserve"> </w:t>
      </w:r>
      <w:r>
        <w:rPr>
          <w:spacing w:val="13"/>
        </w:rPr>
        <w:t>有无楔状、毛刺等以及可否目视分辨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>Fe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13"/>
        </w:rPr>
        <w:t>谱线对(见4.3.2</w:t>
      </w:r>
      <w:r>
        <w:rPr>
          <w:spacing w:val="12"/>
        </w:rPr>
        <w:t>)。</w:t>
      </w:r>
    </w:p>
    <w:p>
      <w:pPr>
        <w:pStyle w:val="BodyText"/>
        <w:spacing w:before="71" w:line="219" w:lineRule="auto"/>
        <w:ind w:left="3"/>
      </w:pPr>
      <w:hyperlink r:id="rId62" w:history="1">
        <w:r>
          <w:rPr>
            <w:b/>
            <w:bCs/>
            <w:spacing w:val="4"/>
          </w:rPr>
          <w:t>6.3.5.3</w:t>
        </w:r>
      </w:hyperlink>
      <w:r>
        <w:rPr>
          <w:spacing w:val="102"/>
        </w:rPr>
        <w:t xml:space="preserve"> </w:t>
      </w:r>
      <w:r>
        <w:rPr>
          <w:spacing w:val="4"/>
        </w:rPr>
        <w:t>谱线光密度均匀性的检定</w:t>
      </w:r>
    </w:p>
    <w:p>
      <w:pPr>
        <w:pStyle w:val="BodyText"/>
        <w:spacing w:before="79" w:line="267" w:lineRule="auto"/>
        <w:ind w:right="8" w:firstLine="419"/>
        <w:jc w:val="both"/>
      </w:pPr>
      <w:r>
        <w:rPr>
          <w:spacing w:val="23"/>
        </w:rPr>
        <w:t>将</w:t>
      </w:r>
      <w:hyperlink r:id="rId61" w:history="1">
        <w:r>
          <w:rPr>
            <w:spacing w:val="23"/>
          </w:rPr>
          <w:t>6.3.5.2</w:t>
        </w:r>
      </w:hyperlink>
      <w:r>
        <w:rPr>
          <w:spacing w:val="23"/>
        </w:rPr>
        <w:t>摄取的铁谱感光板置于投影仪上观察全谱质量</w:t>
      </w:r>
      <w:r>
        <w:rPr>
          <w:spacing w:val="22"/>
        </w:rPr>
        <w:t>，在(240～260)</w:t>
      </w:r>
      <w:r>
        <w:rPr>
          <w:spacing w:val="-11"/>
        </w:rPr>
        <w:t xml:space="preserve"> </w:t>
      </w:r>
      <w:r>
        <w:rPr>
          <w:rFonts w:ascii="Times New Roman" w:eastAsia="Times New Roman" w:hAnsi="Times New Roman" w:cs="Times New Roman"/>
        </w:rPr>
        <w:t>nm</w:t>
      </w:r>
      <w:r>
        <w:rPr>
          <w:spacing w:val="22"/>
        </w:rPr>
        <w:t>、</w:t>
      </w:r>
      <w:r>
        <w:t xml:space="preserve"> </w:t>
      </w:r>
      <w:r>
        <w:rPr>
          <w:spacing w:val="8"/>
        </w:rPr>
        <w:t>(280～300)</w:t>
      </w:r>
      <w:r>
        <w:t>nm</w:t>
      </w:r>
      <w:r>
        <w:rPr>
          <w:spacing w:val="8"/>
        </w:rPr>
        <w:t>、(320～340)</w:t>
      </w:r>
      <w:r>
        <w:t>nm</w:t>
      </w:r>
      <w:r>
        <w:rPr>
          <w:spacing w:val="33"/>
        </w:rPr>
        <w:t xml:space="preserve">   </w:t>
      </w:r>
      <w:r>
        <w:rPr>
          <w:spacing w:val="8"/>
        </w:rPr>
        <w:t>波段范围内各选一条高度9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spacing w:val="8"/>
        </w:rPr>
        <w:t>的谱线。用测</w:t>
      </w:r>
      <w:r>
        <w:rPr>
          <w:spacing w:val="7"/>
        </w:rPr>
        <w:t>量狭缝宽</w:t>
      </w:r>
      <w:r>
        <w:t xml:space="preserve">  </w:t>
      </w:r>
      <w:r>
        <w:rPr>
          <w:spacing w:val="21"/>
        </w:rPr>
        <w:t>度为0.25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21"/>
        </w:rPr>
        <w:t>、高度2.0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21"/>
        </w:rPr>
        <w:t>的测微密度计测量每条谱线的上、中、下三小段[每段约</w:t>
      </w:r>
    </w:p>
    <w:p>
      <w:pPr>
        <w:pStyle w:val="BodyText"/>
        <w:spacing w:before="57" w:line="212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7"/>
        </w:rPr>
        <w:t>(1~2)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7"/>
        </w:rPr>
        <w:t xml:space="preserve">]        </w:t>
      </w:r>
      <w:r>
        <w:rPr>
          <w:spacing w:val="7"/>
        </w:rPr>
        <w:t xml:space="preserve">的光密度值 </w:t>
      </w:r>
      <w:r>
        <w:rPr>
          <w:rFonts w:ascii="Times New Roman" w:eastAsia="Times New Roman" w:hAnsi="Times New Roman" w:cs="Times New Roman"/>
          <w:spacing w:val="7"/>
        </w:rPr>
        <w:t xml:space="preserve">(D₁,D,D),                    </w:t>
      </w:r>
      <w:r>
        <w:rPr>
          <w:spacing w:val="7"/>
        </w:rPr>
        <w:t>再分别计算与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D[D</w:t>
      </w:r>
      <w:r>
        <w:rPr>
          <w:rFonts w:ascii="Times New Roman" w:eastAsia="Times New Roman" w:hAnsi="Times New Roman" w:cs="Times New Roman"/>
          <w:spacing w:val="6"/>
        </w:rPr>
        <w:t>=(D               +D+</w:t>
      </w:r>
    </w:p>
    <w:p>
      <w:pPr>
        <w:pStyle w:val="BodyText"/>
        <w:spacing w:before="133" w:line="215" w:lineRule="auto"/>
      </w:pPr>
      <w:r>
        <w:t>DF</w:t>
      </w:r>
      <w:r>
        <w:rPr>
          <w:spacing w:val="1"/>
        </w:rPr>
        <w:t>)/3]</w:t>
      </w:r>
      <w:r>
        <w:rPr>
          <w:spacing w:val="32"/>
        </w:rPr>
        <w:t xml:space="preserve">  </w:t>
      </w:r>
      <w:r>
        <w:rPr>
          <w:spacing w:val="1"/>
        </w:rPr>
        <w:t>之间的偏差△D(△D</w:t>
      </w:r>
      <w:r>
        <w:rPr>
          <w:rFonts w:ascii="Calibri" w:eastAsia="Calibri" w:hAnsi="Calibri" w:cs="Calibri"/>
          <w:spacing w:val="1"/>
        </w:rPr>
        <w:t>₁</w:t>
      </w:r>
      <w:r>
        <w:rPr>
          <w:spacing w:val="1"/>
        </w:rPr>
        <w:t>=</w:t>
      </w:r>
      <w:r>
        <w:t>ID</w:t>
      </w:r>
      <w:r>
        <w:rPr>
          <w:spacing w:val="1"/>
        </w:rPr>
        <w:t>-D</w:t>
      </w:r>
      <w:r>
        <w:rPr>
          <w:rFonts w:ascii="Calibri" w:eastAsia="Calibri" w:hAnsi="Calibri" w:cs="Calibri"/>
          <w:spacing w:val="1"/>
        </w:rPr>
        <w:t>₁</w:t>
      </w:r>
      <w:r>
        <w:rPr>
          <w:rFonts w:ascii="Calibri" w:eastAsia="Calibri" w:hAnsi="Calibri" w:cs="Calibri"/>
          <w:spacing w:val="-26"/>
        </w:rPr>
        <w:t xml:space="preserve"> </w:t>
      </w:r>
      <w:r>
        <w:rPr>
          <w:spacing w:val="1"/>
        </w:rPr>
        <w:t>l,△</w:t>
      </w:r>
      <w:r>
        <w:t>D        中=1D-Dl,△D</w:t>
      </w:r>
      <w:r>
        <w:rPr>
          <w:spacing w:val="3"/>
        </w:rPr>
        <w:t xml:space="preserve">     </w:t>
      </w:r>
      <w:r>
        <w:t>下</w:t>
      </w:r>
      <w:r>
        <w:rPr>
          <w:spacing w:val="-42"/>
        </w:rPr>
        <w:t xml:space="preserve"> </w:t>
      </w:r>
      <w:r>
        <w:t>= |D-DFl)。</w:t>
      </w:r>
    </w:p>
    <w:p>
      <w:pPr>
        <w:pStyle w:val="BodyText"/>
        <w:spacing w:before="95" w:line="219" w:lineRule="auto"/>
        <w:ind w:left="2"/>
      </w:pPr>
      <w:hyperlink r:id="rId63" w:history="1">
        <w:r>
          <w:rPr>
            <w:b/>
            <w:bCs/>
            <w:spacing w:val="1"/>
          </w:rPr>
          <w:t>6.3.5.4</w:t>
        </w:r>
      </w:hyperlink>
      <w:r>
        <w:rPr>
          <w:spacing w:val="1"/>
        </w:rPr>
        <w:t xml:space="preserve">  检出限的检定</w:t>
      </w:r>
    </w:p>
    <w:p>
      <w:pPr>
        <w:pStyle w:val="BodyText"/>
        <w:spacing w:before="89" w:line="271" w:lineRule="auto"/>
        <w:ind w:right="113" w:firstLine="419"/>
        <w:jc w:val="both"/>
      </w:pPr>
      <w:r>
        <w:rPr>
          <w:spacing w:val="13"/>
        </w:rPr>
        <w:t>仪器相对孔径≤1:30,狭缝宽5μ</w:t>
      </w:r>
      <w:r>
        <w:rPr>
          <w:rFonts w:ascii="Times New Roman" w:eastAsia="Times New Roman" w:hAnsi="Times New Roman" w:cs="Times New Roman"/>
          <w:spacing w:val="13"/>
        </w:rPr>
        <w:t>m</w:t>
      </w:r>
      <w:r>
        <w:rPr>
          <w:spacing w:val="13"/>
        </w:rPr>
        <w:t>、高 2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13"/>
        </w:rPr>
        <w:t>。采用</w:t>
      </w:r>
      <w:r>
        <w:rPr>
          <w:spacing w:val="12"/>
        </w:rPr>
        <w:t>(7～10)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12"/>
        </w:rPr>
        <w:t xml:space="preserve">A </w:t>
      </w:r>
      <w:r>
        <w:rPr>
          <w:spacing w:val="12"/>
        </w:rPr>
        <w:t>交流电弧，白电极</w:t>
      </w:r>
      <w:r>
        <w:t xml:space="preserve"> </w:t>
      </w:r>
      <w:r>
        <w:rPr>
          <w:spacing w:val="17"/>
        </w:rPr>
        <w:t>对(或上电极为石墨)激发，电极间距2.0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17"/>
        </w:rPr>
        <w:t>,</w:t>
      </w:r>
      <w:r>
        <w:rPr>
          <w:rFonts w:ascii="Times New Roman" w:eastAsia="Times New Roman" w:hAnsi="Times New Roman" w:cs="Times New Roman"/>
          <w:spacing w:val="24"/>
        </w:rPr>
        <w:t xml:space="preserve">  </w:t>
      </w:r>
      <w:r>
        <w:rPr>
          <w:spacing w:val="17"/>
        </w:rPr>
        <w:t>预燃40</w:t>
      </w:r>
      <w:r>
        <w:rPr>
          <w:rFonts w:ascii="Times New Roman" w:eastAsia="Times New Roman" w:hAnsi="Times New Roman" w:cs="Times New Roman"/>
          <w:spacing w:val="17"/>
        </w:rPr>
        <w:t xml:space="preserve">s,   </w:t>
      </w:r>
      <w:r>
        <w:rPr>
          <w:spacing w:val="16"/>
        </w:rPr>
        <w:t xml:space="preserve">曝光40 </w:t>
      </w:r>
      <w:r>
        <w:rPr>
          <w:rFonts w:ascii="Times New Roman" w:eastAsia="Times New Roman" w:hAnsi="Times New Roman" w:cs="Times New Roman"/>
          <w:spacing w:val="16"/>
        </w:rPr>
        <w:t xml:space="preserve">s,   </w:t>
      </w:r>
      <w:r>
        <w:rPr>
          <w:spacing w:val="16"/>
        </w:rPr>
        <w:t>对纯铜光谱分析</w:t>
      </w:r>
      <w:r>
        <w:t xml:space="preserve"> </w:t>
      </w:r>
      <w:r>
        <w:rPr>
          <w:spacing w:val="19"/>
        </w:rPr>
        <w:t>标准物质连续摄谱10次(注意随时调节上下电极间距),同时摄取一套纯铜光谱分析标</w:t>
      </w:r>
      <w:r>
        <w:rPr>
          <w:spacing w:val="1"/>
        </w:rPr>
        <w:t xml:space="preserve"> </w:t>
      </w:r>
      <w:r>
        <w:rPr>
          <w:spacing w:val="19"/>
        </w:rPr>
        <w:t>准系列。感光板经暗室处理后，放在投影仪上，</w:t>
      </w:r>
      <w:r>
        <w:rPr>
          <w:spacing w:val="75"/>
        </w:rPr>
        <w:t xml:space="preserve"> </w:t>
      </w:r>
      <w:r>
        <w:rPr>
          <w:spacing w:val="19"/>
        </w:rPr>
        <w:t>目</w:t>
      </w:r>
      <w:r>
        <w:rPr>
          <w:spacing w:val="-35"/>
        </w:rPr>
        <w:t xml:space="preserve"> </w:t>
      </w:r>
      <w:r>
        <w:rPr>
          <w:spacing w:val="19"/>
        </w:rPr>
        <w:t>视</w:t>
      </w:r>
      <w:r>
        <w:rPr>
          <w:spacing w:val="-34"/>
        </w:rPr>
        <w:t xml:space="preserve"> </w:t>
      </w:r>
      <w:r>
        <w:rPr>
          <w:spacing w:val="19"/>
        </w:rPr>
        <w:t>观</w:t>
      </w:r>
      <w:r>
        <w:rPr>
          <w:spacing w:val="-32"/>
        </w:rPr>
        <w:t xml:space="preserve"> </w:t>
      </w:r>
      <w:r>
        <w:rPr>
          <w:spacing w:val="19"/>
        </w:rPr>
        <w:t xml:space="preserve">察 </w:t>
      </w:r>
      <w:r>
        <w:t>Sn</w:t>
      </w:r>
      <w:r>
        <w:rPr>
          <w:spacing w:val="19"/>
        </w:rPr>
        <w:t>(283.98</w:t>
      </w:r>
      <w:r>
        <w:rPr>
          <w:spacing w:val="28"/>
        </w:rPr>
        <w:t xml:space="preserve">   </w:t>
      </w:r>
      <w:r>
        <w:t>nm</w:t>
      </w:r>
      <w:r>
        <w:rPr>
          <w:spacing w:val="19"/>
        </w:rPr>
        <w:t>) 和</w:t>
      </w:r>
      <w:r>
        <w:rPr>
          <w:spacing w:val="2"/>
        </w:rPr>
        <w:t xml:space="preserve"> </w:t>
      </w:r>
      <w:r>
        <w:t>Zn</w:t>
      </w:r>
      <w:r>
        <w:rPr>
          <w:spacing w:val="7"/>
        </w:rPr>
        <w:t xml:space="preserve">(334.502  </w:t>
      </w:r>
      <w:r>
        <w:t>nm</w:t>
      </w:r>
      <w:r>
        <w:rPr>
          <w:spacing w:val="7"/>
        </w:rPr>
        <w:t>)两条谱线，其目视可见的最低含量为该元素的检出限。</w:t>
      </w:r>
    </w:p>
    <w:p>
      <w:pPr>
        <w:pStyle w:val="BodyText"/>
        <w:spacing w:before="71" w:line="219" w:lineRule="auto"/>
        <w:ind w:left="3"/>
      </w:pPr>
      <w:hyperlink r:id="rId64" w:history="1">
        <w:r>
          <w:rPr>
            <w:b/>
            <w:bCs/>
            <w:spacing w:val="2"/>
          </w:rPr>
          <w:t>6.3.5.5</w:t>
        </w:r>
      </w:hyperlink>
      <w:r>
        <w:rPr>
          <w:spacing w:val="98"/>
        </w:rPr>
        <w:t xml:space="preserve"> </w:t>
      </w:r>
      <w:r>
        <w:rPr>
          <w:spacing w:val="2"/>
        </w:rPr>
        <w:t>重复性的检定</w:t>
      </w:r>
    </w:p>
    <w:p>
      <w:pPr>
        <w:pStyle w:val="BodyText"/>
        <w:spacing w:before="88" w:line="252" w:lineRule="auto"/>
        <w:ind w:right="95" w:firstLine="419"/>
        <w:jc w:val="both"/>
      </w:pPr>
      <w:r>
        <w:rPr>
          <w:spacing w:val="15"/>
        </w:rPr>
        <w:t>用测微密度计测量</w:t>
      </w:r>
      <w:hyperlink r:id="rId63" w:history="1">
        <w:r>
          <w:rPr>
            <w:spacing w:val="15"/>
          </w:rPr>
          <w:t>6.3.5.4</w:t>
        </w:r>
      </w:hyperlink>
      <w:r>
        <w:rPr>
          <w:spacing w:val="15"/>
        </w:rPr>
        <w:t>所摄纯铜光谱分析标准物质谱板中</w:t>
      </w:r>
      <w:r>
        <w:t>Ni</w:t>
      </w:r>
      <w:r>
        <w:rPr>
          <w:spacing w:val="15"/>
        </w:rPr>
        <w:t>(305.</w:t>
      </w:r>
      <w:r>
        <w:rPr>
          <w:spacing w:val="14"/>
        </w:rPr>
        <w:t xml:space="preserve">031   </w:t>
      </w:r>
      <w:r>
        <w:t>nm</w:t>
      </w:r>
      <w:r>
        <w:rPr>
          <w:spacing w:val="14"/>
        </w:rPr>
        <w:t>)/</w:t>
      </w:r>
      <w:r>
        <w:t xml:space="preserve"> </w:t>
      </w:r>
      <w:r>
        <w:rPr>
          <w:rFonts w:ascii="Times New Roman" w:eastAsia="Times New Roman" w:hAnsi="Times New Roman" w:cs="Times New Roman"/>
        </w:rPr>
        <w:t>Cu</w:t>
      </w:r>
      <w:r>
        <w:rPr>
          <w:rFonts w:ascii="Times New Roman" w:eastAsia="Times New Roman" w:hAnsi="Times New Roman" w:cs="Times New Roman"/>
          <w:spacing w:val="16"/>
        </w:rPr>
        <w:t>(306.9</w:t>
      </w:r>
      <w:r>
        <w:rPr>
          <w:rFonts w:ascii="Times New Roman" w:eastAsia="Times New Roman" w:hAnsi="Times New Roman" w:cs="Times New Roman"/>
        </w:rPr>
        <w:t>nm</w:t>
      </w:r>
      <w:r>
        <w:rPr>
          <w:rFonts w:ascii="Times New Roman" w:eastAsia="Times New Roman" w:hAnsi="Times New Roman" w:cs="Times New Roman"/>
          <w:spacing w:val="16"/>
        </w:rPr>
        <w:t xml:space="preserve">)    </w:t>
      </w:r>
      <w:r>
        <w:rPr>
          <w:spacing w:val="16"/>
        </w:rPr>
        <w:t>的光密度值，绘制工作曲线。利用工作曲线求出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</w:rPr>
        <w:t>Ni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16"/>
        </w:rPr>
        <w:t>的10次测量值，计</w:t>
      </w:r>
      <w:r>
        <w:t xml:space="preserve"> </w:t>
      </w:r>
      <w:r>
        <w:rPr>
          <w:spacing w:val="14"/>
        </w:rPr>
        <w:t xml:space="preserve">算10次测量值的相对标准偏差 </w:t>
      </w:r>
      <w:r>
        <w:rPr>
          <w:rFonts w:ascii="Times New Roman" w:eastAsia="Times New Roman" w:hAnsi="Times New Roman" w:cs="Times New Roman"/>
          <w:spacing w:val="14"/>
        </w:rPr>
        <w:t>(</w:t>
      </w:r>
      <w:r>
        <w:rPr>
          <w:rFonts w:ascii="Times New Roman" w:eastAsia="Times New Roman" w:hAnsi="Times New Roman" w:cs="Times New Roman"/>
        </w:rPr>
        <w:t>RSD</w:t>
      </w:r>
      <w:r>
        <w:rPr>
          <w:rFonts w:ascii="Times New Roman" w:eastAsia="Times New Roman" w:hAnsi="Times New Roman" w:cs="Times New Roman"/>
          <w:spacing w:val="14"/>
        </w:rPr>
        <w:t xml:space="preserve">)   </w:t>
      </w:r>
      <w:r>
        <w:rPr>
          <w:spacing w:val="14"/>
        </w:rPr>
        <w:t>为重复性。计算同公式(5)。</w:t>
      </w:r>
    </w:p>
    <w:p>
      <w:pPr>
        <w:pStyle w:val="BodyText"/>
        <w:spacing w:before="113" w:line="219" w:lineRule="auto"/>
      </w:pPr>
      <w:r>
        <w:rPr>
          <w:spacing w:val="7"/>
        </w:rPr>
        <w:t>6.4</w:t>
      </w:r>
      <w:r>
        <w:rPr>
          <w:spacing w:val="96"/>
        </w:rPr>
        <w:t xml:space="preserve"> </w:t>
      </w:r>
      <w:r>
        <w:rPr>
          <w:spacing w:val="7"/>
        </w:rPr>
        <w:t>检定结果的处理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https://d.book118.com/578100065060006024</w:t>
        </w:r>
      </w:hyperlink>
    </w:p>
    <w:p>
      <w:pPr>
        <w:pStyle w:val="BodyText"/>
        <w:spacing w:before="113" w:line="219" w:lineRule="auto"/>
      </w:pPr>
    </w:p>
    <w:sectPr>
      <w:headerReference w:type="default" r:id="rId66"/>
      <w:footerReference w:type="default" r:id="rId67"/>
      <w:pgSz w:w="10040" w:h="14660"/>
      <w:pgMar w:top="1189" w:right="565" w:bottom="740" w:left="949" w:header="897" w:footer="612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110"/>
      <w:rPr>
        <w:sz w:val="14"/>
        <w:szCs w:val="14"/>
      </w:rPr>
    </w:pPr>
    <w:r>
      <w:rPr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110"/>
      <w:rPr>
        <w:sz w:val="14"/>
        <w:szCs w:val="14"/>
      </w:rPr>
    </w:pPr>
    <w:r>
      <w:rPr>
        <w:sz w:val="14"/>
        <w:szCs w:val="1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10"/>
      <w:rPr>
        <w:sz w:val="14"/>
        <w:szCs w:val="14"/>
      </w:rPr>
    </w:pPr>
    <w:r>
      <w:rPr>
        <w:sz w:val="14"/>
        <w:szCs w:val="1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10"/>
      <w:rPr>
        <w:sz w:val="14"/>
        <w:szCs w:val="14"/>
      </w:rPr>
    </w:pPr>
    <w:r>
      <w:rPr>
        <w:sz w:val="14"/>
        <w:szCs w:val="14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129"/>
      <w:rPr>
        <w:sz w:val="15"/>
        <w:szCs w:val="15"/>
      </w:rPr>
    </w:pPr>
    <w:r>
      <w:rPr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129"/>
      <w:rPr>
        <w:sz w:val="15"/>
        <w:szCs w:val="15"/>
      </w:rPr>
    </w:pPr>
    <w:r>
      <w:rPr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240"/>
      <w:rPr>
        <w:sz w:val="13"/>
        <w:szCs w:val="13"/>
      </w:rPr>
    </w:pPr>
    <w:r>
      <w:rPr>
        <w:sz w:val="13"/>
        <w:szCs w:val="13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240"/>
      <w:rPr>
        <w:sz w:val="13"/>
        <w:szCs w:val="13"/>
      </w:rPr>
    </w:pPr>
    <w:r>
      <w:rPr>
        <w:sz w:val="13"/>
        <w:szCs w:val="13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120"/>
      <w:rPr>
        <w:sz w:val="15"/>
        <w:szCs w:val="15"/>
      </w:rPr>
    </w:pPr>
    <w:r>
      <w:rPr>
        <w:sz w:val="15"/>
        <w:szCs w:val="15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120"/>
      <w:rPr>
        <w:sz w:val="15"/>
        <w:szCs w:val="15"/>
      </w:rPr>
    </w:pPr>
    <w:r>
      <w:rPr>
        <w:sz w:val="15"/>
        <w:szCs w:val="15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10"/>
      <w:rPr>
        <w:sz w:val="14"/>
        <w:szCs w:val="14"/>
      </w:rPr>
    </w:pPr>
    <w:r>
      <w:rPr>
        <w:sz w:val="14"/>
        <w:szCs w:val="14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10"/>
      <w:rPr>
        <w:sz w:val="14"/>
        <w:szCs w:val="14"/>
      </w:rPr>
    </w:pPr>
    <w:r>
      <w:rPr>
        <w:sz w:val="14"/>
        <w:szCs w:val="14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10"/>
      <w:rPr>
        <w:sz w:val="14"/>
        <w:szCs w:val="14"/>
      </w:rPr>
    </w:pPr>
    <w:r>
      <w:rPr>
        <w:sz w:val="14"/>
        <w:szCs w:val="14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10"/>
      <w:rPr>
        <w:sz w:val="14"/>
        <w:szCs w:val="14"/>
      </w:rPr>
    </w:pPr>
    <w:r>
      <w:rPr>
        <w:sz w:val="14"/>
        <w:szCs w:val="14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8090"/>
      <w:rPr>
        <w:sz w:val="13"/>
        <w:szCs w:val="13"/>
      </w:rPr>
    </w:pPr>
    <w:r>
      <w:rPr>
        <w:sz w:val="13"/>
        <w:szCs w:val="13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602"/>
    </w:pPr>
    <w:r>
      <w:rPr>
        <w:b/>
        <w:bCs/>
        <w:spacing w:val="-16"/>
      </w:rPr>
      <w:t>JJG</w:t>
    </w:r>
    <w:r>
      <w:rPr>
        <w:spacing w:val="-16"/>
      </w:rPr>
      <w:t xml:space="preserve"> </w:t>
    </w:r>
    <w:r>
      <w:rPr>
        <w:b/>
        <w:bCs/>
        <w:spacing w:val="-16"/>
      </w:rPr>
      <w:t>768—2005</w:t>
    </w:r>
  </w:p>
  <w:p>
    <w:pPr>
      <w:spacing w:before="84" w:line="10" w:lineRule="exact"/>
    </w:pPr>
    <w:r>
      <w:drawing>
        <wp:inline distT="0" distB="0" distL="0" distR="0">
          <wp:extent cx="5372102" cy="6403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72102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602"/>
    </w:pPr>
    <w:r>
      <w:rPr>
        <w:b/>
        <w:bCs/>
        <w:spacing w:val="-16"/>
      </w:rPr>
      <w:t>JJG</w:t>
    </w:r>
    <w:r>
      <w:rPr>
        <w:spacing w:val="-16"/>
      </w:rPr>
      <w:t xml:space="preserve"> </w:t>
    </w:r>
    <w:r>
      <w:rPr>
        <w:b/>
        <w:bCs/>
        <w:spacing w:val="-16"/>
      </w:rPr>
      <w:t>768—2005</w:t>
    </w:r>
  </w:p>
  <w:p>
    <w:pPr>
      <w:spacing w:before="84" w:line="10" w:lineRule="exact"/>
    </w:pPr>
    <w:r>
      <w:drawing>
        <wp:inline distT="0" distB="0" distL="0" distR="0">
          <wp:extent cx="5372102" cy="6403"/>
          <wp:effectExtent l="0" t="0" r="0" b="0"/>
          <wp:docPr id="131842575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842575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72102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632"/>
      <w:rPr>
        <w:sz w:val="20"/>
        <w:szCs w:val="20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615927</wp:posOffset>
          </wp:positionH>
          <wp:positionV relativeFrom="page">
            <wp:posOffset>685790</wp:posOffset>
          </wp:positionV>
          <wp:extent cx="5397540" cy="635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975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20"/>
        <w:szCs w:val="20"/>
      </w:rPr>
      <w:t>JJG</w:t>
    </w:r>
    <w:r>
      <w:rPr>
        <w:spacing w:val="36"/>
        <w:sz w:val="20"/>
        <w:szCs w:val="20"/>
      </w:rPr>
      <w:t xml:space="preserve"> </w:t>
    </w:r>
    <w:r>
      <w:rPr>
        <w:b/>
        <w:bCs/>
        <w:spacing w:val="-4"/>
        <w:sz w:val="20"/>
        <w:szCs w:val="20"/>
      </w:rPr>
      <w:t>768-2005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632"/>
      <w:rPr>
        <w:sz w:val="20"/>
        <w:szCs w:val="20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615927</wp:posOffset>
          </wp:positionH>
          <wp:positionV relativeFrom="page">
            <wp:posOffset>685790</wp:posOffset>
          </wp:positionV>
          <wp:extent cx="5397540" cy="6350"/>
          <wp:effectExtent l="0" t="0" r="0" b="0"/>
          <wp:wrapNone/>
          <wp:docPr id="519870142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870142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975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20"/>
        <w:szCs w:val="20"/>
      </w:rPr>
      <w:t>JJG</w:t>
    </w:r>
    <w:r>
      <w:rPr>
        <w:spacing w:val="36"/>
        <w:sz w:val="20"/>
        <w:szCs w:val="20"/>
      </w:rPr>
      <w:t xml:space="preserve"> </w:t>
    </w:r>
    <w:r>
      <w:rPr>
        <w:b/>
        <w:bCs/>
        <w:spacing w:val="-4"/>
        <w:sz w:val="20"/>
        <w:szCs w:val="20"/>
      </w:rPr>
      <w:t>768-2005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662"/>
      <w:rPr>
        <w:sz w:val="22"/>
        <w:szCs w:val="2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565179</wp:posOffset>
          </wp:positionH>
          <wp:positionV relativeFrom="page">
            <wp:posOffset>666716</wp:posOffset>
          </wp:positionV>
          <wp:extent cx="5403789" cy="6423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03789" cy="64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9"/>
        <w:sz w:val="22"/>
        <w:szCs w:val="22"/>
      </w:rPr>
      <w:t>JJG</w:t>
    </w:r>
    <w:r>
      <w:rPr>
        <w:spacing w:val="-19"/>
        <w:sz w:val="22"/>
        <w:szCs w:val="22"/>
      </w:rPr>
      <w:t xml:space="preserve"> </w:t>
    </w:r>
    <w:r>
      <w:rPr>
        <w:b/>
        <w:bCs/>
        <w:spacing w:val="-19"/>
        <w:sz w:val="22"/>
        <w:szCs w:val="22"/>
      </w:rPr>
      <w:t>768—2005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662"/>
      <w:rPr>
        <w:sz w:val="22"/>
        <w:szCs w:val="2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565179</wp:posOffset>
          </wp:positionH>
          <wp:positionV relativeFrom="page">
            <wp:posOffset>666716</wp:posOffset>
          </wp:positionV>
          <wp:extent cx="5403789" cy="6423"/>
          <wp:effectExtent l="0" t="0" r="0" b="0"/>
          <wp:wrapNone/>
          <wp:docPr id="1026481539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481539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03789" cy="64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9"/>
        <w:sz w:val="22"/>
        <w:szCs w:val="22"/>
      </w:rPr>
      <w:t>JJG</w:t>
    </w:r>
    <w:r>
      <w:rPr>
        <w:spacing w:val="-19"/>
        <w:sz w:val="22"/>
        <w:szCs w:val="22"/>
      </w:rPr>
      <w:t xml:space="preserve"> </w:t>
    </w:r>
    <w:r>
      <w:rPr>
        <w:b/>
        <w:bCs/>
        <w:spacing w:val="-19"/>
        <w:sz w:val="22"/>
        <w:szCs w:val="22"/>
      </w:rPr>
      <w:t>768—2005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632"/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584178</wp:posOffset>
          </wp:positionH>
          <wp:positionV relativeFrom="page">
            <wp:posOffset>736628</wp:posOffset>
          </wp:positionV>
          <wp:extent cx="5365791" cy="12659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65791" cy="126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6"/>
      </w:rPr>
      <w:t>JJG</w:t>
    </w:r>
    <w:r>
      <w:rPr>
        <w:spacing w:val="3"/>
      </w:rPr>
      <w:t xml:space="preserve"> </w:t>
    </w:r>
    <w:r>
      <w:rPr>
        <w:b/>
        <w:bCs/>
        <w:spacing w:val="-16"/>
      </w:rPr>
      <w:t>768—2005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632"/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584178</wp:posOffset>
          </wp:positionH>
          <wp:positionV relativeFrom="page">
            <wp:posOffset>736628</wp:posOffset>
          </wp:positionV>
          <wp:extent cx="5365791" cy="12659"/>
          <wp:effectExtent l="0" t="0" r="0" b="0"/>
          <wp:wrapNone/>
          <wp:docPr id="155174763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174763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65791" cy="126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6"/>
      </w:rPr>
      <w:t>JJG</w:t>
    </w:r>
    <w:r>
      <w:rPr>
        <w:spacing w:val="3"/>
      </w:rPr>
      <w:t xml:space="preserve"> </w:t>
    </w:r>
    <w:r>
      <w:rPr>
        <w:b/>
        <w:bCs/>
        <w:spacing w:val="-16"/>
      </w:rPr>
      <w:t>768—2005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30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603239</wp:posOffset>
          </wp:positionH>
          <wp:positionV relativeFrom="page">
            <wp:posOffset>634962</wp:posOffset>
          </wp:positionV>
          <wp:extent cx="5397540" cy="635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975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6"/>
        <w:szCs w:val="16"/>
      </w:rPr>
      <w:t>JJG</w:t>
    </w:r>
    <w:r>
      <w:rPr>
        <w:rFonts w:ascii="Times New Roman" w:eastAsia="Times New Roman" w:hAnsi="Times New Roman" w:cs="Times New Roman"/>
        <w:spacing w:val="1"/>
        <w:sz w:val="16"/>
        <w:szCs w:val="16"/>
      </w:rPr>
      <w:t xml:space="preserve">        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768-2005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30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603239</wp:posOffset>
          </wp:positionH>
          <wp:positionV relativeFrom="page">
            <wp:posOffset>634962</wp:posOffset>
          </wp:positionV>
          <wp:extent cx="5397540" cy="6350"/>
          <wp:effectExtent l="0" t="0" r="0" b="0"/>
          <wp:wrapNone/>
          <wp:docPr id="2036846716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6846716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975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6"/>
        <w:szCs w:val="16"/>
      </w:rPr>
      <w:t>JJG</w:t>
    </w:r>
    <w:r>
      <w:rPr>
        <w:rFonts w:ascii="Times New Roman" w:eastAsia="Times New Roman" w:hAnsi="Times New Roman" w:cs="Times New Roman"/>
        <w:spacing w:val="1"/>
        <w:sz w:val="16"/>
        <w:szCs w:val="16"/>
      </w:rPr>
      <w:t xml:space="preserve">        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768-2005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60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634989</wp:posOffset>
          </wp:positionH>
          <wp:positionV relativeFrom="page">
            <wp:posOffset>647725</wp:posOffset>
          </wp:positionV>
          <wp:extent cx="5397540" cy="12660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97540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5"/>
        <w:szCs w:val="15"/>
      </w:rPr>
      <w:t>JJG</w:t>
    </w:r>
    <w:r>
      <w:rPr>
        <w:rFonts w:ascii="Times New Roman" w:eastAsia="Times New Roman" w:hAnsi="Times New Roman" w:cs="Times New Roman"/>
        <w:spacing w:val="3"/>
        <w:sz w:val="15"/>
        <w:szCs w:val="15"/>
      </w:rPr>
      <w:t xml:space="preserve">        </w:t>
    </w:r>
    <w:r>
      <w:rPr>
        <w:rFonts w:ascii="Times New Roman" w:eastAsia="Times New Roman" w:hAnsi="Times New Roman" w:cs="Times New Roman"/>
        <w:spacing w:val="-1"/>
        <w:sz w:val="15"/>
        <w:szCs w:val="15"/>
      </w:rPr>
      <w:t>768—2005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60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634989</wp:posOffset>
          </wp:positionH>
          <wp:positionV relativeFrom="page">
            <wp:posOffset>647725</wp:posOffset>
          </wp:positionV>
          <wp:extent cx="5397540" cy="12660"/>
          <wp:effectExtent l="0" t="0" r="0" b="0"/>
          <wp:wrapNone/>
          <wp:docPr id="104079093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079093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97540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5"/>
        <w:szCs w:val="15"/>
      </w:rPr>
      <w:t>JJG</w:t>
    </w:r>
    <w:r>
      <w:rPr>
        <w:rFonts w:ascii="Times New Roman" w:eastAsia="Times New Roman" w:hAnsi="Times New Roman" w:cs="Times New Roman"/>
        <w:spacing w:val="3"/>
        <w:sz w:val="15"/>
        <w:szCs w:val="15"/>
      </w:rPr>
      <w:t xml:space="preserve">        </w:t>
    </w:r>
    <w:r>
      <w:rPr>
        <w:rFonts w:ascii="Times New Roman" w:eastAsia="Times New Roman" w:hAnsi="Times New Roman" w:cs="Times New Roman"/>
        <w:spacing w:val="-1"/>
        <w:sz w:val="15"/>
        <w:szCs w:val="15"/>
      </w:rPr>
      <w:t>768—2005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60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634989</wp:posOffset>
          </wp:positionH>
          <wp:positionV relativeFrom="page">
            <wp:posOffset>647725</wp:posOffset>
          </wp:positionV>
          <wp:extent cx="5397540" cy="12660"/>
          <wp:effectExtent l="0" t="0" r="0" b="0"/>
          <wp:wrapNone/>
          <wp:docPr id="83836029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836029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97540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5"/>
        <w:szCs w:val="15"/>
      </w:rPr>
      <w:t>JJG</w:t>
    </w:r>
    <w:r>
      <w:rPr>
        <w:rFonts w:ascii="Times New Roman" w:eastAsia="Times New Roman" w:hAnsi="Times New Roman" w:cs="Times New Roman"/>
        <w:spacing w:val="3"/>
        <w:sz w:val="15"/>
        <w:szCs w:val="15"/>
      </w:rPr>
      <w:t xml:space="preserve">        </w:t>
    </w:r>
    <w:r>
      <w:rPr>
        <w:rFonts w:ascii="Times New Roman" w:eastAsia="Times New Roman" w:hAnsi="Times New Roman" w:cs="Times New Roman"/>
        <w:spacing w:val="-1"/>
        <w:sz w:val="15"/>
        <w:szCs w:val="15"/>
      </w:rPr>
      <w:t>768—2005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60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634989</wp:posOffset>
          </wp:positionH>
          <wp:positionV relativeFrom="page">
            <wp:posOffset>647725</wp:posOffset>
          </wp:positionV>
          <wp:extent cx="5397540" cy="12660"/>
          <wp:effectExtent l="0" t="0" r="0" b="0"/>
          <wp:wrapNone/>
          <wp:docPr id="561456931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456931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97540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5"/>
        <w:szCs w:val="15"/>
      </w:rPr>
      <w:t>JJG</w:t>
    </w:r>
    <w:r>
      <w:rPr>
        <w:rFonts w:ascii="Times New Roman" w:eastAsia="Times New Roman" w:hAnsi="Times New Roman" w:cs="Times New Roman"/>
        <w:spacing w:val="3"/>
        <w:sz w:val="15"/>
        <w:szCs w:val="15"/>
      </w:rPr>
      <w:t xml:space="preserve">        </w:t>
    </w:r>
    <w:r>
      <w:rPr>
        <w:rFonts w:ascii="Times New Roman" w:eastAsia="Times New Roman" w:hAnsi="Times New Roman" w:cs="Times New Roman"/>
        <w:spacing w:val="-1"/>
        <w:sz w:val="15"/>
        <w:szCs w:val="15"/>
      </w:rPr>
      <w:t>768—2005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642"/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603239</wp:posOffset>
          </wp:positionH>
          <wp:positionV relativeFrom="page">
            <wp:posOffset>749278</wp:posOffset>
          </wp:positionV>
          <wp:extent cx="5397540" cy="6350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975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5"/>
      </w:rPr>
      <w:t>JJG</w:t>
    </w:r>
    <w:r>
      <w:rPr>
        <w:spacing w:val="1"/>
      </w:rPr>
      <w:t xml:space="preserve"> </w:t>
    </w:r>
    <w:r>
      <w:rPr>
        <w:b/>
        <w:bCs/>
        <w:spacing w:val="-15"/>
      </w:rPr>
      <w:t>768—2005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yperlink" Target="6.1.1.1" TargetMode="External" /><Relationship Id="rId16" Type="http://schemas.openxmlformats.org/officeDocument/2006/relationships/hyperlink" Target="6.1.1.2" TargetMode="External" /><Relationship Id="rId17" Type="http://schemas.openxmlformats.org/officeDocument/2006/relationships/hyperlink" Target="6.1.1.3" TargetMode="External" /><Relationship Id="rId18" Type="http://schemas.openxmlformats.org/officeDocument/2006/relationships/hyperlink" Target="6.1.1.4" TargetMode="External" /><Relationship Id="rId19" Type="http://schemas.openxmlformats.org/officeDocument/2006/relationships/hyperlink" Target="6.1.1.5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6.1.1.6" TargetMode="External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hyperlink" Target="6.1.2.1" TargetMode="External" /><Relationship Id="rId24" Type="http://schemas.openxmlformats.org/officeDocument/2006/relationships/hyperlink" Target="6.1.2.2" TargetMode="External" /><Relationship Id="rId25" Type="http://schemas.openxmlformats.org/officeDocument/2006/relationships/hyperlink" Target="6.1.2.3" TargetMode="External" /><Relationship Id="rId26" Type="http://schemas.openxmlformats.org/officeDocument/2006/relationships/hyperlink" Target="6.1.2.4" TargetMode="External" /><Relationship Id="rId27" Type="http://schemas.openxmlformats.org/officeDocument/2006/relationships/hyperlink" Target="6.1.2.5" TargetMode="External" /><Relationship Id="rId28" Type="http://schemas.openxmlformats.org/officeDocument/2006/relationships/hyperlink" Target="6.1.2.6" TargetMode="External" /><Relationship Id="rId29" Type="http://schemas.openxmlformats.org/officeDocument/2006/relationships/hyperlink" Target="6.1.2.7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footer" Target="footer7.xml" /><Relationship Id="rId32" Type="http://schemas.openxmlformats.org/officeDocument/2006/relationships/header" Target="header8.xml" /><Relationship Id="rId33" Type="http://schemas.openxmlformats.org/officeDocument/2006/relationships/footer" Target="footer8.xml" /><Relationship Id="rId34" Type="http://schemas.openxmlformats.org/officeDocument/2006/relationships/hyperlink" Target="6.3.2.1" TargetMode="External" /><Relationship Id="rId35" Type="http://schemas.openxmlformats.org/officeDocument/2006/relationships/hyperlink" Target="6.3.2.2" TargetMode="External" /><Relationship Id="rId36" Type="http://schemas.openxmlformats.org/officeDocument/2006/relationships/hyperlink" Target="6.3.3.1" TargetMode="External" /><Relationship Id="rId37" Type="http://schemas.openxmlformats.org/officeDocument/2006/relationships/image" Target="media/image6.png" /><Relationship Id="rId38" Type="http://schemas.openxmlformats.org/officeDocument/2006/relationships/hyperlink" Target="6.3.3.2" TargetMode="External" /><Relationship Id="rId39" Type="http://schemas.openxmlformats.org/officeDocument/2006/relationships/hyperlink" Target="6.3.3.3" TargetMode="External" /><Relationship Id="rId4" Type="http://schemas.openxmlformats.org/officeDocument/2006/relationships/image" Target="media/image1.png" /><Relationship Id="rId40" Type="http://schemas.openxmlformats.org/officeDocument/2006/relationships/image" Target="media/image7.png" /><Relationship Id="rId41" Type="http://schemas.openxmlformats.org/officeDocument/2006/relationships/header" Target="header9.xml" /><Relationship Id="rId42" Type="http://schemas.openxmlformats.org/officeDocument/2006/relationships/footer" Target="footer9.xml" /><Relationship Id="rId43" Type="http://schemas.openxmlformats.org/officeDocument/2006/relationships/header" Target="header10.xml" /><Relationship Id="rId44" Type="http://schemas.openxmlformats.org/officeDocument/2006/relationships/footer" Target="footer10.xml" /><Relationship Id="rId45" Type="http://schemas.openxmlformats.org/officeDocument/2006/relationships/hyperlink" Target="6.3.3.4" TargetMode="External" /><Relationship Id="rId46" Type="http://schemas.openxmlformats.org/officeDocument/2006/relationships/header" Target="header11.xml" /><Relationship Id="rId47" Type="http://schemas.openxmlformats.org/officeDocument/2006/relationships/footer" Target="footer11.xml" /><Relationship Id="rId48" Type="http://schemas.openxmlformats.org/officeDocument/2006/relationships/image" Target="media/image10.png" /><Relationship Id="rId49" Type="http://schemas.openxmlformats.org/officeDocument/2006/relationships/header" Target="header12.xml" /><Relationship Id="rId5" Type="http://schemas.openxmlformats.org/officeDocument/2006/relationships/header" Target="header1.xml" /><Relationship Id="rId50" Type="http://schemas.openxmlformats.org/officeDocument/2006/relationships/footer" Target="footer12.xml" /><Relationship Id="rId51" Type="http://schemas.openxmlformats.org/officeDocument/2006/relationships/hyperlink" Target="6.3.3.5" TargetMode="External" /><Relationship Id="rId52" Type="http://schemas.openxmlformats.org/officeDocument/2006/relationships/hyperlink" Target="6.3.4.1" TargetMode="External" /><Relationship Id="rId53" Type="http://schemas.openxmlformats.org/officeDocument/2006/relationships/header" Target="header13.xml" /><Relationship Id="rId54" Type="http://schemas.openxmlformats.org/officeDocument/2006/relationships/footer" Target="footer13.xml" /><Relationship Id="rId55" Type="http://schemas.openxmlformats.org/officeDocument/2006/relationships/hyperlink" Target="6.3.4.2" TargetMode="External" /><Relationship Id="rId56" Type="http://schemas.openxmlformats.org/officeDocument/2006/relationships/hyperlink" Target="6.3.4.3" TargetMode="External" /><Relationship Id="rId57" Type="http://schemas.openxmlformats.org/officeDocument/2006/relationships/header" Target="header14.xml" /><Relationship Id="rId58" Type="http://schemas.openxmlformats.org/officeDocument/2006/relationships/footer" Target="footer14.xml" /><Relationship Id="rId59" Type="http://schemas.openxmlformats.org/officeDocument/2006/relationships/hyperlink" Target="6.3.4.4" TargetMode="External" /><Relationship Id="rId6" Type="http://schemas.openxmlformats.org/officeDocument/2006/relationships/footer" Target="footer1.xml" /><Relationship Id="rId60" Type="http://schemas.openxmlformats.org/officeDocument/2006/relationships/hyperlink" Target="6.3.5.1" TargetMode="External" /><Relationship Id="rId61" Type="http://schemas.openxmlformats.org/officeDocument/2006/relationships/hyperlink" Target="6.3.5.2" TargetMode="External" /><Relationship Id="rId62" Type="http://schemas.openxmlformats.org/officeDocument/2006/relationships/hyperlink" Target="6.3.5.3" TargetMode="External" /><Relationship Id="rId63" Type="http://schemas.openxmlformats.org/officeDocument/2006/relationships/hyperlink" Target="6.3.5.4" TargetMode="External" /><Relationship Id="rId64" Type="http://schemas.openxmlformats.org/officeDocument/2006/relationships/hyperlink" Target="6.3.5.5" TargetMode="External" /><Relationship Id="rId65" Type="http://schemas.openxmlformats.org/officeDocument/2006/relationships/hyperlink" Target="https://d.book118.com/578100065060006024" TargetMode="External" /><Relationship Id="rId66" Type="http://schemas.openxmlformats.org/officeDocument/2006/relationships/header" Target="header15.xml" /><Relationship Id="rId67" Type="http://schemas.openxmlformats.org/officeDocument/2006/relationships/footer" Target="footer15.xml" /><Relationship Id="rId68" Type="http://schemas.openxmlformats.org/officeDocument/2006/relationships/theme" Target="theme/theme1.xml" /><Relationship Id="rId69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2024-01-08T17:22:14Z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2024-01-08T17:22:17Z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659bbec34d394d001f0ad6b9wl</vt:lpwstr>
  </property>
</Properties>
</file>