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framePr w:w="9639" w:h="6917" w:hRule="exact" w:wrap="around" w:vAnchor="page" w:hAnchor="page" w:x="1189" w:y="6014" w:anchorLock="1"/>
        <w:autoSpaceDE w:val="0"/>
        <w:autoSpaceDN w:val="0"/>
        <w:adjustRightInd w:val="0"/>
        <w:spacing w:before="280" w:after="280" w:line="480" w:lineRule="auto"/>
        <w:ind w:firstLine="130" w:firstLineChars="50"/>
        <w:rPr>
          <w:rFonts w:ascii="黑体" w:eastAsia="黑体" w:hAnsi="Calibri" w:cs="黑体"/>
          <w:color w:val="000000"/>
          <w:kern w:val="0"/>
          <w:sz w:val="52"/>
          <w:szCs w:val="52"/>
        </w:rPr>
      </w:pPr>
      <w:bookmarkStart w:id="0" w:name="_GoBack"/>
      <w:bookmarkEnd w:id="0"/>
      <w:r>
        <w:rPr>
          <w:rFonts w:ascii="宋体" w:eastAsia="宋体" w:hAnsi="宋体" w:cs="宋体" w:hint="eastAsia"/>
          <w:color w:val="000000"/>
          <w:kern w:val="0"/>
          <w:sz w:val="26"/>
          <w:szCs w:val="52"/>
        </w:rPr>
        <w:t>城市道路交通安全设施设置规范</w:t>
      </w:r>
      <w:r>
        <w:rPr>
          <w:b/>
          <w:color w:val="FFFFFF"/>
          <w:sz w:val="0"/>
        </w:rPr>
        <w:t>.</w:t>
      </w:r>
    </w:p>
    <w:p>
      <w:pPr>
        <w:framePr w:w="9639" w:h="6917" w:hRule="exact" w:wrap="around" w:vAnchor="page" w:hAnchor="page" w:x="1189" w:y="6014" w:anchorLock="1"/>
        <w:autoSpaceDE w:val="0"/>
        <w:autoSpaceDN w:val="0"/>
        <w:adjustRightInd w:val="0"/>
        <w:spacing w:before="280" w:after="280" w:line="480" w:lineRule="auto"/>
        <w:ind w:firstLine="130" w:firstLineChars="50"/>
        <w:jc w:val="left"/>
        <w:rPr>
          <w:rFonts w:ascii="黑体" w:eastAsia="黑体" w:hAnsi="Calibri" w:cs="黑体"/>
          <w:color w:val="000000"/>
          <w:kern w:val="0"/>
          <w:sz w:val="24"/>
          <w:szCs w:val="24"/>
        </w:rPr>
      </w:pPr>
      <w:r>
        <w:rPr>
          <w:rFonts w:ascii="宋体" w:eastAsia="宋体" w:hAnsi="宋体" w:cs="宋体"/>
          <w:kern w:val="0"/>
          <w:sz w:val="26"/>
          <w:szCs w:val="28"/>
        </w:rPr>
        <w:t xml:space="preserve">The Installation Specification for City Road Traffic </w:t>
      </w:r>
      <w:r>
        <w:rPr>
          <w:rFonts w:ascii="宋体" w:eastAsia="宋体" w:hAnsi="宋体" w:cs="宋体" w:hint="eastAsia"/>
          <w:kern w:val="0"/>
          <w:sz w:val="26"/>
          <w:szCs w:val="28"/>
        </w:rPr>
        <w:t>Safety</w:t>
      </w:r>
      <w:r>
        <w:rPr>
          <w:rFonts w:ascii="宋体" w:eastAsia="宋体" w:hAnsi="宋体" w:cs="宋体"/>
          <w:kern w:val="0"/>
          <w:sz w:val="26"/>
          <w:szCs w:val="28"/>
        </w:rPr>
        <w:t xml:space="preserve"> Facilities </w:t>
      </w:r>
      <w:r>
        <w:rPr>
          <w:b/>
          <w:color w:val="FFFFFF"/>
          <w:sz w:val="0"/>
        </w:rPr>
        <w:t>.</w:t>
      </w:r>
    </w:p>
    <w:p>
      <w:pPr>
        <w:pStyle w:val="a22"/>
        <w:framePr w:wrap="around" w:hAnchor="page" w:x="1189" w:y="6014"/>
        <w:spacing w:line="480" w:lineRule="exact"/>
        <w:rPr>
          <w:rFonts w:ascii="黑体" w:hAnsi="Calibri" w:cs="黑体"/>
          <w:color w:val="000000"/>
          <w:sz w:val="52"/>
          <w:szCs w:val="52"/>
        </w:rPr>
      </w:pPr>
      <w:r>
        <w:rPr>
          <w:rFonts w:ascii="黑体" w:hAnsi="Calibri" w:cs="黑体" w:hint="eastAsia"/>
          <w:color w:val="000000"/>
          <w:sz w:val="52"/>
          <w:szCs w:val="52"/>
        </w:rPr>
        <w:t>第</w:t>
      </w:r>
      <w:r>
        <w:rPr>
          <w:rFonts w:ascii="黑体" w:hAnsi="Calibri" w:cs="黑体"/>
          <w:color w:val="000000"/>
          <w:sz w:val="52"/>
          <w:szCs w:val="52"/>
        </w:rPr>
        <w:t>1</w:t>
      </w:r>
      <w:r>
        <w:rPr>
          <w:rFonts w:ascii="黑体" w:hAnsi="Calibri" w:cs="黑体" w:hint="eastAsia"/>
          <w:color w:val="000000"/>
          <w:sz w:val="52"/>
          <w:szCs w:val="52"/>
        </w:rPr>
        <w:t>部分 交通标志</w:t>
      </w:r>
      <w:r>
        <w:rPr>
          <w:b/>
          <w:color w:val="FFFFFF"/>
          <w:sz w:val="0"/>
        </w:rPr>
        <w:t>.</w:t>
      </w:r>
    </w:p>
    <w:tbl>
      <w:tblPr>
        <w:tblStyle w:val="TableNormal"/>
        <w:tblW w:w="98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9855"/>
      </w:tblGrid>
      <w:tr>
        <w:tblPrEx>
          <w:tblW w:w="98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c>
          <w:tcPr>
            <w:tcW w:w="9855" w:type="dxa"/>
            <w:tcBorders>
              <w:top w:val="nil"/>
              <w:left w:val="nil"/>
              <w:bottom w:val="nil"/>
              <w:right w:val="nil"/>
            </w:tcBorders>
          </w:tcPr>
          <w:p>
            <w:pPr>
              <w:pStyle w:val="a25"/>
              <w:framePr w:wrap="around" w:hAnchor="page" w:x="1189" w:y="6014"/>
            </w:pPr>
            <w:r>
              <mc:AlternateContent>
                <mc:Choice Requires="wps">
                  <w:drawing>
                    <wp:anchor distT="0" distB="0" distL="114300" distR="114300" simplePos="0" relativeHeight="251659264" behindDoc="0" locked="1" layoutInCell="1" allowOverlap="1">
                      <wp:simplePos x="0" y="0"/>
                      <wp:positionH relativeFrom="column">
                        <wp:posOffset>2200910</wp:posOffset>
                      </wp:positionH>
                      <wp:positionV relativeFrom="paragraph">
                        <wp:posOffset>4281805</wp:posOffset>
                      </wp:positionV>
                      <wp:extent cx="1905000" cy="254000"/>
                      <wp:effectExtent l="635" t="0" r="0" b="0"/>
                      <wp:wrapNone/>
                      <wp:docPr id="53" name="RQ"/>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905000" cy="254000"/>
                              </a:xfrm>
                              <a:prstGeom prst="rect">
                                <a:avLst/>
                              </a:prstGeom>
                              <a:solidFill>
                                <a:srgbClr val="FFFFFF"/>
                              </a:solidFill>
                              <a:ln>
                                <a:noFill/>
                              </a:ln>
                            </wps:spPr>
                            <wps:bodyPr rot="0" vert="horz" wrap="square" anchor="t" anchorCtr="0" upright="1"/>
                          </wps:wsp>
                        </a:graphicData>
                      </a:graphic>
                    </wp:anchor>
                  </w:drawing>
                </mc:Choice>
                <mc:Fallback>
                  <w:pict>
                    <v:rect id="RQ" o:spid="_x0000_s1025" style="width:150pt;height:20pt;margin-top:337.15pt;margin-left:173.3pt;mso-wrap-distance-bottom:0;mso-wrap-distance-left:9pt;mso-wrap-distance-right:9pt;mso-wrap-distance-top:0;position:absolute;v-text-anchor:top;z-index:251658240" fillcolor="white" stroked="f">
                      <w10:anchorlock/>
                    </v:rect>
                  </w:pict>
                </mc:Fallback>
              </mc:AlternateContent>
            </w:r>
            <w:r>
              <w:rPr>
                <w:rFonts w:hint="eastAsia"/>
              </w:rPr>
              <w:t>(征求意见稿)</w:t>
            </w:r>
          </w:p>
        </w:tc>
      </w:tr>
    </w:tbl>
    <w:tbl>
      <w:tblPr>
        <w:tblStyle w:val="TableNormal"/>
        <w:tblW w:w="98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9855"/>
      </w:tblGrid>
      <w:tr>
        <w:tblPrEx>
          <w:tblW w:w="98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c>
          <w:tcPr>
            <w:tcW w:w="9855" w:type="dxa"/>
            <w:tcBorders>
              <w:top w:val="nil"/>
              <w:left w:val="nil"/>
              <w:bottom w:val="nil"/>
              <w:right w:val="nil"/>
            </w:tcBorders>
          </w:tcPr>
          <w:p/>
        </w:tc>
      </w:tr>
    </w:tbl>
    <w:p>
      <w:pPr>
        <w:sectPr>
          <w:headerReference w:type="default" r:id="rId6"/>
          <w:pgSz w:w="11906" w:h="16838"/>
          <w:pgMar w:top="1304" w:right="1247" w:bottom="1417" w:left="1247" w:header="851" w:footer="992" w:gutter="0"/>
          <w:cols w:num="1" w:space="425"/>
          <w:docGrid w:type="lines" w:linePitch="312" w:charSpace="0"/>
        </w:sectPr>
      </w:pPr>
      <w:r>
        <w:rPr>
          <w:b/>
          <w:color w:val="FFFFFF"/>
          <w:sz w:val="0"/>
        </w:rPr>
        <w:t>.</w:t>
      </w:r>
    </w:p>
    <w:p>
      <w:pPr>
        <w:autoSpaceDE w:val="0"/>
        <w:autoSpaceDN w:val="0"/>
        <w:adjustRightInd w:val="0"/>
        <w:spacing w:before="280" w:after="280" w:line="480" w:lineRule="auto"/>
        <w:ind w:firstLine="520" w:firstLineChars="200"/>
        <w:jc w:val="center"/>
        <w:rPr>
          <w:rFonts w:ascii="黑体" w:eastAsia="黑体" w:hAnsi="黑体" w:cs="黑体"/>
          <w:color w:val="000000"/>
          <w:kern w:val="0"/>
          <w:sz w:val="32"/>
          <w:szCs w:val="32"/>
        </w:rPr>
      </w:pPr>
      <w:r>
        <w:rPr>
          <w:rFonts w:ascii="宋体" w:eastAsia="宋体" w:hAnsi="宋体" w:cs="宋体" w:hint="eastAsia"/>
          <w:color w:val="000000"/>
          <w:kern w:val="0"/>
          <w:sz w:val="26"/>
          <w:szCs w:val="32"/>
        </w:rPr>
        <w:t>目</w:t>
      </w:r>
      <w:r>
        <w:rPr>
          <w:rFonts w:ascii="宋体" w:eastAsia="宋体" w:hAnsi="宋体" w:cs="宋体"/>
          <w:color w:val="000000"/>
          <w:kern w:val="0"/>
          <w:sz w:val="26"/>
          <w:szCs w:val="32"/>
        </w:rPr>
        <w:t xml:space="preserve"> </w:t>
      </w:r>
      <w:r>
        <w:rPr>
          <w:rFonts w:ascii="宋体" w:eastAsia="宋体" w:hAnsi="宋体" w:cs="宋体" w:hint="eastAsia"/>
          <w:color w:val="000000"/>
          <w:kern w:val="0"/>
          <w:sz w:val="26"/>
          <w:szCs w:val="32"/>
        </w:rPr>
        <w:t xml:space="preserve"> 次</w:t>
      </w:r>
      <w:r>
        <w:rPr>
          <w:b/>
          <w:color w:val="FFFFFF"/>
          <w:sz w:val="0"/>
        </w:rPr>
        <w:t>.</w:t>
      </w:r>
    </w:p>
    <w:p>
      <w:pPr>
        <w:pStyle w:val="TOC1"/>
        <w:spacing w:before="280" w:after="280" w:line="480" w:lineRule="auto"/>
        <w:rPr>
          <w:rFonts w:asciiTheme="minorEastAsia" w:eastAsiaTheme="minorEastAsia" w:hAnsiTheme="minorEastAsia"/>
          <w:bCs w:val="0"/>
          <w:caps w:val="0"/>
          <w:sz w:val="21"/>
          <w:szCs w:val="21"/>
        </w:rPr>
      </w:pPr>
      <w:r>
        <w:rPr>
          <w:rFonts w:asciiTheme="minorEastAsia" w:eastAsiaTheme="minorEastAsia" w:hAnsiTheme="minorEastAsia" w:cs="黑体"/>
          <w:bCs w:val="0"/>
          <w:caps w:val="0"/>
          <w:color w:val="000000"/>
          <w:kern w:val="0"/>
          <w:sz w:val="21"/>
          <w:szCs w:val="21"/>
        </w:rPr>
        <w:fldChar w:fldCharType="begin"/>
      </w:r>
      <w:r>
        <w:rPr>
          <w:rFonts w:ascii="宋体" w:eastAsia="宋体" w:hAnsi="宋体" w:cs="宋体"/>
          <w:bCs w:val="0"/>
          <w:caps w:val="0"/>
          <w:color w:val="000000"/>
          <w:kern w:val="0"/>
          <w:sz w:val="26"/>
          <w:szCs w:val="21"/>
        </w:rPr>
        <w:instrText xml:space="preserve"> TOC \o "1-2" \h \z \u </w:instrText>
      </w:r>
      <w:r>
        <w:rPr>
          <w:rFonts w:asciiTheme="minorEastAsia" w:eastAsiaTheme="minorEastAsia" w:hAnsiTheme="minorEastAsia" w:cs="黑体"/>
          <w:bCs w:val="0"/>
          <w:caps w:val="0"/>
          <w:color w:val="000000"/>
          <w:kern w:val="0"/>
          <w:sz w:val="21"/>
          <w:szCs w:val="21"/>
        </w:rPr>
        <w:fldChar w:fldCharType="separate"/>
      </w:r>
      <w:hyperlink w:anchor="_Toc3" w:history="1">
        <w:r>
          <w:rPr>
            <w:rStyle w:val="Hyperlink"/>
            <w:rFonts w:ascii="宋体" w:eastAsia="宋体" w:hAnsi="宋体" w:cs="宋体" w:hint="eastAsia"/>
            <w:kern w:val="0"/>
            <w:sz w:val="26"/>
            <w:szCs w:val="21"/>
          </w:rPr>
          <w:t>前</w:t>
        </w:r>
        <w:r>
          <w:rPr>
            <w:rStyle w:val="Hyperlink"/>
            <w:rFonts w:ascii="宋体" w:eastAsia="宋体" w:hAnsi="宋体" w:cs="宋体"/>
            <w:kern w:val="0"/>
            <w:sz w:val="26"/>
            <w:szCs w:val="21"/>
          </w:rPr>
          <w:t xml:space="preserve"> </w:t>
        </w:r>
        <w:r>
          <w:rPr>
            <w:rStyle w:val="Hyperlink"/>
            <w:rFonts w:ascii="宋体" w:eastAsia="宋体" w:hAnsi="宋体" w:cs="宋体" w:hint="eastAsia"/>
            <w:kern w:val="0"/>
            <w:sz w:val="26"/>
            <w:szCs w:val="21"/>
          </w:rPr>
          <w:t>言</w:t>
        </w:r>
        <w:r>
          <w:rPr>
            <w:rFonts w:ascii="宋体" w:eastAsia="宋体" w:hAnsi="宋体" w:cs="宋体"/>
            <w:sz w:val="26"/>
            <w:szCs w:val="21"/>
          </w:rPr>
          <w:tab/>
        </w:r>
        <w:r>
          <w:rPr>
            <w:rFonts w:ascii="宋体" w:eastAsia="宋体" w:hAnsi="宋体" w:cs="宋体"/>
            <w:sz w:val="26"/>
            <w:szCs w:val="21"/>
          </w:rPr>
          <w:t>1</w:t>
        </w:r>
      </w:hyperlink>
      <w:r>
        <w:rPr>
          <w:rFonts w:asciiTheme="minorEastAsia" w:eastAsiaTheme="minorEastAsia" w:hAnsiTheme="minorEastAsia" w:cs="黑体"/>
          <w:bCs w:val="0"/>
          <w:caps w:val="0"/>
          <w:color w:val="000000"/>
          <w:kern w:val="0"/>
          <w:sz w:val="21"/>
          <w:szCs w:val="21"/>
        </w:rPr>
        <w:fldChar w:fldCharType="end"/>
      </w:r>
      <w:r>
        <w:rPr>
          <w:b/>
          <w:color w:val="FFFFFF"/>
          <w:sz w:val="0"/>
        </w:rPr>
        <w:t>.</w:t>
      </w:r>
    </w:p>
    <w:p>
      <w:pPr>
        <w:pStyle w:val="TOC2"/>
        <w:spacing w:before="280" w:after="280" w:line="480" w:lineRule="auto"/>
        <w:rPr>
          <w:rFonts w:asciiTheme="minorEastAsia" w:hAnsiTheme="minorEastAsia"/>
          <w:smallCaps w:val="0"/>
          <w:sz w:val="21"/>
          <w:szCs w:val="21"/>
        </w:rPr>
      </w:pPr>
      <w:hyperlink w:anchor="_Toc5" w:history="1">
        <w:r>
          <w:rPr>
            <w:rStyle w:val="Hyperlink"/>
            <w:rFonts w:ascii="宋体" w:eastAsia="宋体" w:hAnsi="宋体" w:cs="宋体"/>
            <w:kern w:val="0"/>
            <w:sz w:val="26"/>
            <w:szCs w:val="21"/>
          </w:rPr>
          <w:t xml:space="preserve">1 </w:t>
        </w:r>
        <w:r>
          <w:rPr>
            <w:rStyle w:val="Hyperlink"/>
            <w:rFonts w:ascii="宋体" w:eastAsia="宋体" w:hAnsi="宋体" w:cs="宋体" w:hint="eastAsia"/>
            <w:kern w:val="0"/>
            <w:sz w:val="26"/>
            <w:szCs w:val="21"/>
          </w:rPr>
          <w:t>范围</w:t>
        </w:r>
        <w:r>
          <w:rPr>
            <w:rFonts w:ascii="宋体" w:eastAsia="宋体" w:hAnsi="宋体" w:cs="宋体"/>
            <w:sz w:val="26"/>
            <w:szCs w:val="21"/>
          </w:rPr>
          <w:tab/>
        </w:r>
        <w:r>
          <w:rPr>
            <w:rFonts w:asciiTheme="minorEastAsia" w:hAnsiTheme="minorEastAsia"/>
            <w:sz w:val="21"/>
            <w:szCs w:val="21"/>
          </w:rPr>
          <w:fldChar w:fldCharType="begin"/>
        </w:r>
        <w:r>
          <w:rPr>
            <w:rFonts w:ascii="宋体" w:eastAsia="宋体" w:hAnsi="宋体" w:cs="宋体"/>
            <w:sz w:val="26"/>
            <w:szCs w:val="21"/>
          </w:rPr>
          <w:instrText xml:space="preserve"> PAGEREF _Toc5 \h </w:instrText>
        </w:r>
        <w:r>
          <w:rPr>
            <w:rFonts w:asciiTheme="minorEastAsia" w:hAnsiTheme="minorEastAsia"/>
            <w:sz w:val="21"/>
            <w:szCs w:val="21"/>
          </w:rPr>
          <w:fldChar w:fldCharType="separate"/>
        </w:r>
        <w:r>
          <w:rPr>
            <w:rFonts w:ascii="宋体" w:eastAsia="宋体" w:hAnsi="宋体" w:cs="宋体"/>
            <w:sz w:val="26"/>
            <w:szCs w:val="21"/>
          </w:rPr>
          <w:t>2</w:t>
        </w:r>
        <w:r>
          <w:rPr>
            <w:rFonts w:asciiTheme="minorEastAsia" w:hAnsiTheme="minorEastAsia"/>
            <w:sz w:val="21"/>
            <w:szCs w:val="21"/>
          </w:rPr>
          <w:fldChar w:fldCharType="end"/>
        </w:r>
      </w:hyperlink>
      <w:r>
        <w:rPr>
          <w:b/>
          <w:color w:val="FFFFFF"/>
          <w:sz w:val="0"/>
        </w:rPr>
        <w:t>.</w:t>
      </w:r>
    </w:p>
    <w:p>
      <w:pPr>
        <w:pStyle w:val="TOC2"/>
        <w:spacing w:before="280" w:after="280" w:line="480" w:lineRule="auto"/>
        <w:rPr>
          <w:rFonts w:asciiTheme="minorEastAsia" w:hAnsiTheme="minorEastAsia"/>
          <w:smallCaps w:val="0"/>
          <w:sz w:val="21"/>
          <w:szCs w:val="21"/>
        </w:rPr>
      </w:pPr>
      <w:hyperlink w:anchor="_Toc6" w:history="1">
        <w:r>
          <w:rPr>
            <w:rStyle w:val="Hyperlink"/>
            <w:rFonts w:ascii="宋体" w:eastAsia="宋体" w:hAnsi="宋体" w:cs="宋体"/>
            <w:kern w:val="0"/>
            <w:sz w:val="26"/>
            <w:szCs w:val="21"/>
          </w:rPr>
          <w:t xml:space="preserve">2 </w:t>
        </w:r>
        <w:r>
          <w:rPr>
            <w:rStyle w:val="Hyperlink"/>
            <w:rFonts w:ascii="宋体" w:eastAsia="宋体" w:hAnsi="宋体" w:cs="宋体" w:hint="eastAsia"/>
            <w:kern w:val="0"/>
            <w:sz w:val="26"/>
            <w:szCs w:val="21"/>
          </w:rPr>
          <w:t>规范性引用文件</w:t>
        </w:r>
        <w:r>
          <w:rPr>
            <w:rFonts w:ascii="宋体" w:eastAsia="宋体" w:hAnsi="宋体" w:cs="宋体"/>
            <w:sz w:val="26"/>
            <w:szCs w:val="21"/>
          </w:rPr>
          <w:tab/>
        </w:r>
        <w:r>
          <w:rPr>
            <w:rFonts w:asciiTheme="minorEastAsia" w:hAnsiTheme="minorEastAsia"/>
            <w:sz w:val="21"/>
            <w:szCs w:val="21"/>
          </w:rPr>
          <w:fldChar w:fldCharType="begin"/>
        </w:r>
        <w:r>
          <w:rPr>
            <w:rFonts w:ascii="宋体" w:eastAsia="宋体" w:hAnsi="宋体" w:cs="宋体"/>
            <w:sz w:val="26"/>
            <w:szCs w:val="21"/>
          </w:rPr>
          <w:instrText xml:space="preserve"> PAGEREF _Toc6 \h </w:instrText>
        </w:r>
        <w:r>
          <w:rPr>
            <w:rFonts w:asciiTheme="minorEastAsia" w:hAnsiTheme="minorEastAsia"/>
            <w:sz w:val="21"/>
            <w:szCs w:val="21"/>
          </w:rPr>
          <w:fldChar w:fldCharType="separate"/>
        </w:r>
        <w:r>
          <w:rPr>
            <w:rFonts w:ascii="宋体" w:eastAsia="宋体" w:hAnsi="宋体" w:cs="宋体"/>
            <w:sz w:val="26"/>
            <w:szCs w:val="21"/>
          </w:rPr>
          <w:t>2</w:t>
        </w:r>
        <w:r>
          <w:rPr>
            <w:rFonts w:asciiTheme="minorEastAsia" w:hAnsiTheme="minorEastAsia"/>
            <w:sz w:val="21"/>
            <w:szCs w:val="21"/>
          </w:rPr>
          <w:fldChar w:fldCharType="end"/>
        </w:r>
      </w:hyperlink>
      <w:r>
        <w:rPr>
          <w:b/>
          <w:color w:val="FFFFFF"/>
          <w:sz w:val="0"/>
        </w:rPr>
        <w:t>.</w:t>
      </w:r>
    </w:p>
    <w:p>
      <w:pPr>
        <w:pStyle w:val="TOC2"/>
        <w:spacing w:before="280" w:after="280" w:line="480" w:lineRule="auto"/>
        <w:rPr>
          <w:rFonts w:asciiTheme="minorEastAsia" w:hAnsiTheme="minorEastAsia"/>
          <w:smallCaps w:val="0"/>
          <w:sz w:val="21"/>
          <w:szCs w:val="21"/>
        </w:rPr>
      </w:pPr>
      <w:hyperlink w:anchor="_Toc7" w:history="1">
        <w:r>
          <w:rPr>
            <w:rStyle w:val="Hyperlink"/>
            <w:rFonts w:ascii="宋体" w:eastAsia="宋体" w:hAnsi="宋体" w:cs="宋体"/>
            <w:kern w:val="0"/>
            <w:sz w:val="26"/>
            <w:szCs w:val="21"/>
          </w:rPr>
          <w:t xml:space="preserve">3 </w:t>
        </w:r>
        <w:r>
          <w:rPr>
            <w:rStyle w:val="Hyperlink"/>
            <w:rFonts w:ascii="宋体" w:eastAsia="宋体" w:hAnsi="宋体" w:cs="宋体" w:hint="eastAsia"/>
            <w:kern w:val="0"/>
            <w:sz w:val="26"/>
            <w:szCs w:val="21"/>
          </w:rPr>
          <w:t>术语和定义</w:t>
        </w:r>
        <w:r>
          <w:rPr>
            <w:rFonts w:ascii="宋体" w:eastAsia="宋体" w:hAnsi="宋体" w:cs="宋体"/>
            <w:sz w:val="26"/>
            <w:szCs w:val="21"/>
          </w:rPr>
          <w:tab/>
        </w:r>
        <w:r>
          <w:rPr>
            <w:rFonts w:asciiTheme="minorEastAsia" w:hAnsiTheme="minorEastAsia"/>
            <w:sz w:val="21"/>
            <w:szCs w:val="21"/>
          </w:rPr>
          <w:fldChar w:fldCharType="begin"/>
        </w:r>
        <w:r>
          <w:rPr>
            <w:rFonts w:ascii="宋体" w:eastAsia="宋体" w:hAnsi="宋体" w:cs="宋体"/>
            <w:sz w:val="26"/>
            <w:szCs w:val="21"/>
          </w:rPr>
          <w:instrText xml:space="preserve"> PAGEREF _Toc7 \h </w:instrText>
        </w:r>
        <w:r>
          <w:rPr>
            <w:rFonts w:asciiTheme="minorEastAsia" w:hAnsiTheme="minorEastAsia"/>
            <w:sz w:val="21"/>
            <w:szCs w:val="21"/>
          </w:rPr>
          <w:fldChar w:fldCharType="separate"/>
        </w:r>
        <w:r>
          <w:rPr>
            <w:rFonts w:ascii="宋体" w:eastAsia="宋体" w:hAnsi="宋体" w:cs="宋体"/>
            <w:sz w:val="26"/>
            <w:szCs w:val="21"/>
          </w:rPr>
          <w:t>2</w:t>
        </w:r>
        <w:r>
          <w:rPr>
            <w:rFonts w:asciiTheme="minorEastAsia" w:hAnsiTheme="minorEastAsia"/>
            <w:sz w:val="21"/>
            <w:szCs w:val="21"/>
          </w:rPr>
          <w:fldChar w:fldCharType="end"/>
        </w:r>
      </w:hyperlink>
      <w:r>
        <w:rPr>
          <w:b/>
          <w:color w:val="FFFFFF"/>
          <w:sz w:val="0"/>
        </w:rPr>
        <w:t>.</w:t>
      </w:r>
    </w:p>
    <w:p>
      <w:pPr>
        <w:pStyle w:val="TOC2"/>
        <w:spacing w:before="280" w:after="280" w:line="480" w:lineRule="auto"/>
        <w:rPr>
          <w:rFonts w:asciiTheme="minorEastAsia" w:hAnsiTheme="minorEastAsia"/>
          <w:smallCaps w:val="0"/>
          <w:sz w:val="21"/>
          <w:szCs w:val="21"/>
        </w:rPr>
      </w:pPr>
      <w:hyperlink w:anchor="_Toc8" w:history="1">
        <w:r>
          <w:rPr>
            <w:rStyle w:val="Hyperlink"/>
            <w:rFonts w:ascii="宋体" w:eastAsia="宋体" w:hAnsi="宋体" w:cs="宋体"/>
            <w:kern w:val="0"/>
            <w:sz w:val="26"/>
            <w:szCs w:val="21"/>
          </w:rPr>
          <w:t xml:space="preserve">4 </w:t>
        </w:r>
        <w:r>
          <w:rPr>
            <w:rStyle w:val="Hyperlink"/>
            <w:rFonts w:ascii="宋体" w:eastAsia="宋体" w:hAnsi="宋体" w:cs="宋体" w:hint="eastAsia"/>
            <w:kern w:val="0"/>
            <w:sz w:val="26"/>
            <w:szCs w:val="21"/>
          </w:rPr>
          <w:t>标志设置基本原则</w:t>
        </w:r>
        <w:r>
          <w:rPr>
            <w:rFonts w:ascii="宋体" w:eastAsia="宋体" w:hAnsi="宋体" w:cs="宋体"/>
            <w:sz w:val="26"/>
            <w:szCs w:val="21"/>
          </w:rPr>
          <w:tab/>
        </w:r>
        <w:r>
          <w:rPr>
            <w:rFonts w:asciiTheme="minorEastAsia" w:hAnsiTheme="minorEastAsia"/>
            <w:sz w:val="21"/>
            <w:szCs w:val="21"/>
          </w:rPr>
          <w:fldChar w:fldCharType="begin"/>
        </w:r>
        <w:r>
          <w:rPr>
            <w:rFonts w:ascii="宋体" w:eastAsia="宋体" w:hAnsi="宋体" w:cs="宋体"/>
            <w:sz w:val="26"/>
            <w:szCs w:val="21"/>
          </w:rPr>
          <w:instrText xml:space="preserve"> PAGEREF _Toc8 \h </w:instrText>
        </w:r>
        <w:r>
          <w:rPr>
            <w:rFonts w:asciiTheme="minorEastAsia" w:hAnsiTheme="minorEastAsia"/>
            <w:sz w:val="21"/>
            <w:szCs w:val="21"/>
          </w:rPr>
          <w:fldChar w:fldCharType="separate"/>
        </w:r>
        <w:r>
          <w:rPr>
            <w:rFonts w:ascii="宋体" w:eastAsia="宋体" w:hAnsi="宋体" w:cs="宋体"/>
            <w:sz w:val="26"/>
            <w:szCs w:val="21"/>
          </w:rPr>
          <w:t>3</w:t>
        </w:r>
        <w:r>
          <w:rPr>
            <w:rFonts w:asciiTheme="minorEastAsia" w:hAnsiTheme="minorEastAsia"/>
            <w:sz w:val="21"/>
            <w:szCs w:val="21"/>
          </w:rPr>
          <w:fldChar w:fldCharType="end"/>
        </w:r>
      </w:hyperlink>
      <w:r>
        <w:rPr>
          <w:b/>
          <w:color w:val="FFFFFF"/>
          <w:sz w:val="0"/>
        </w:rPr>
        <w:t>.</w:t>
      </w:r>
    </w:p>
    <w:p>
      <w:pPr>
        <w:pStyle w:val="TOC2"/>
        <w:spacing w:before="280" w:after="280" w:line="480" w:lineRule="auto"/>
        <w:rPr>
          <w:rFonts w:asciiTheme="minorEastAsia" w:hAnsiTheme="minorEastAsia"/>
          <w:smallCaps w:val="0"/>
          <w:sz w:val="21"/>
          <w:szCs w:val="21"/>
        </w:rPr>
      </w:pPr>
      <w:hyperlink w:anchor="_Toc9" w:history="1">
        <w:r>
          <w:rPr>
            <w:rStyle w:val="Hyperlink"/>
            <w:rFonts w:ascii="宋体" w:eastAsia="宋体" w:hAnsi="宋体" w:cs="宋体"/>
            <w:kern w:val="0"/>
            <w:sz w:val="26"/>
            <w:szCs w:val="21"/>
          </w:rPr>
          <w:t xml:space="preserve">5 </w:t>
        </w:r>
        <w:r>
          <w:rPr>
            <w:rStyle w:val="Hyperlink"/>
            <w:rFonts w:ascii="宋体" w:eastAsia="宋体" w:hAnsi="宋体" w:cs="宋体" w:hint="eastAsia"/>
            <w:kern w:val="0"/>
            <w:sz w:val="26"/>
            <w:szCs w:val="21"/>
          </w:rPr>
          <w:t>标志设置要点</w:t>
        </w:r>
        <w:r>
          <w:rPr>
            <w:rFonts w:ascii="宋体" w:eastAsia="宋体" w:hAnsi="宋体" w:cs="宋体"/>
            <w:sz w:val="26"/>
            <w:szCs w:val="21"/>
          </w:rPr>
          <w:tab/>
        </w:r>
        <w:r>
          <w:rPr>
            <w:rFonts w:asciiTheme="minorEastAsia" w:hAnsiTheme="minorEastAsia"/>
            <w:sz w:val="21"/>
            <w:szCs w:val="21"/>
          </w:rPr>
          <w:fldChar w:fldCharType="begin"/>
        </w:r>
        <w:r>
          <w:rPr>
            <w:rFonts w:ascii="宋体" w:eastAsia="宋体" w:hAnsi="宋体" w:cs="宋体"/>
            <w:sz w:val="26"/>
            <w:szCs w:val="21"/>
          </w:rPr>
          <w:instrText xml:space="preserve"> PAGEREF _Toc9 \h </w:instrText>
        </w:r>
        <w:r>
          <w:rPr>
            <w:rFonts w:asciiTheme="minorEastAsia" w:hAnsiTheme="minorEastAsia"/>
            <w:sz w:val="21"/>
            <w:szCs w:val="21"/>
          </w:rPr>
          <w:fldChar w:fldCharType="separate"/>
        </w:r>
        <w:r>
          <w:rPr>
            <w:rFonts w:ascii="宋体" w:eastAsia="宋体" w:hAnsi="宋体" w:cs="宋体"/>
            <w:sz w:val="26"/>
            <w:szCs w:val="21"/>
          </w:rPr>
          <w:t>3</w:t>
        </w:r>
        <w:r>
          <w:rPr>
            <w:rFonts w:asciiTheme="minorEastAsia" w:hAnsiTheme="minorEastAsia"/>
            <w:sz w:val="21"/>
            <w:szCs w:val="21"/>
          </w:rPr>
          <w:fldChar w:fldCharType="end"/>
        </w:r>
      </w:hyperlink>
      <w:r>
        <w:rPr>
          <w:b/>
          <w:color w:val="FFFFFF"/>
          <w:sz w:val="0"/>
        </w:rPr>
        <w:t>.</w:t>
      </w:r>
    </w:p>
    <w:p>
      <w:pPr>
        <w:pStyle w:val="TOC2"/>
        <w:spacing w:before="280" w:after="280" w:line="480" w:lineRule="auto"/>
        <w:rPr>
          <w:rFonts w:asciiTheme="minorEastAsia" w:hAnsiTheme="minorEastAsia"/>
          <w:smallCaps w:val="0"/>
          <w:sz w:val="21"/>
          <w:szCs w:val="21"/>
        </w:rPr>
      </w:pPr>
      <w:hyperlink w:anchor="_Toc0" w:history="1">
        <w:r>
          <w:rPr>
            <w:rStyle w:val="Hyperlink"/>
            <w:rFonts w:ascii="宋体" w:eastAsia="宋体" w:hAnsi="宋体" w:cs="宋体"/>
            <w:kern w:val="0"/>
            <w:sz w:val="26"/>
            <w:szCs w:val="21"/>
          </w:rPr>
          <w:t xml:space="preserve">6 </w:t>
        </w:r>
        <w:r>
          <w:rPr>
            <w:rStyle w:val="Hyperlink"/>
            <w:rFonts w:ascii="宋体" w:eastAsia="宋体" w:hAnsi="宋体" w:cs="宋体" w:hint="eastAsia"/>
            <w:kern w:val="0"/>
            <w:sz w:val="26"/>
            <w:szCs w:val="21"/>
          </w:rPr>
          <w:t>标志板、支撑方式及安装要求</w:t>
        </w:r>
        <w:r>
          <w:rPr>
            <w:rFonts w:ascii="宋体" w:eastAsia="宋体" w:hAnsi="宋体" w:cs="宋体"/>
            <w:sz w:val="26"/>
            <w:szCs w:val="21"/>
          </w:rPr>
          <w:tab/>
        </w:r>
        <w:r>
          <w:rPr>
            <w:rFonts w:asciiTheme="minorEastAsia" w:hAnsiTheme="minorEastAsia"/>
            <w:sz w:val="21"/>
            <w:szCs w:val="21"/>
          </w:rPr>
          <w:fldChar w:fldCharType="begin"/>
        </w:r>
        <w:r>
          <w:rPr>
            <w:rFonts w:ascii="宋体" w:eastAsia="宋体" w:hAnsi="宋体" w:cs="宋体"/>
            <w:sz w:val="26"/>
            <w:szCs w:val="21"/>
          </w:rPr>
          <w:instrText xml:space="preserve"> PAGEREF _Toc0 \h </w:instrText>
        </w:r>
        <w:r>
          <w:rPr>
            <w:rFonts w:asciiTheme="minorEastAsia" w:hAnsiTheme="minorEastAsia"/>
            <w:sz w:val="21"/>
            <w:szCs w:val="21"/>
          </w:rPr>
          <w:fldChar w:fldCharType="separate"/>
        </w:r>
        <w:r>
          <w:rPr>
            <w:rFonts w:ascii="宋体" w:eastAsia="宋体" w:hAnsi="宋体" w:cs="宋体"/>
            <w:sz w:val="26"/>
            <w:szCs w:val="21"/>
          </w:rPr>
          <w:t>8</w:t>
        </w:r>
        <w:r>
          <w:rPr>
            <w:rFonts w:asciiTheme="minorEastAsia" w:hAnsiTheme="minorEastAsia"/>
            <w:sz w:val="21"/>
            <w:szCs w:val="21"/>
          </w:rPr>
          <w:fldChar w:fldCharType="end"/>
        </w:r>
      </w:hyperlink>
      <w:r>
        <w:rPr>
          <w:b/>
          <w:color w:val="FFFFFF"/>
          <w:sz w:val="0"/>
        </w:rPr>
        <w:t>.</w:t>
      </w:r>
    </w:p>
    <w:p>
      <w:pPr>
        <w:pStyle w:val="TOC2"/>
        <w:spacing w:before="280" w:after="280" w:line="480" w:lineRule="auto"/>
        <w:rPr>
          <w:rFonts w:asciiTheme="minorEastAsia" w:hAnsiTheme="minorEastAsia"/>
          <w:smallCaps w:val="0"/>
          <w:sz w:val="21"/>
          <w:szCs w:val="21"/>
        </w:rPr>
      </w:pPr>
      <w:hyperlink w:anchor="_Toc1" w:history="1">
        <w:r>
          <w:rPr>
            <w:rStyle w:val="Hyperlink"/>
            <w:rFonts w:ascii="宋体" w:eastAsia="宋体" w:hAnsi="宋体" w:cs="宋体"/>
            <w:kern w:val="0"/>
            <w:sz w:val="26"/>
            <w:szCs w:val="21"/>
          </w:rPr>
          <w:t xml:space="preserve">7 </w:t>
        </w:r>
        <w:r>
          <w:rPr>
            <w:rStyle w:val="Hyperlink"/>
            <w:rFonts w:ascii="宋体" w:eastAsia="宋体" w:hAnsi="宋体" w:cs="宋体" w:hint="eastAsia"/>
            <w:kern w:val="0"/>
            <w:sz w:val="26"/>
            <w:szCs w:val="21"/>
          </w:rPr>
          <w:t>一般道路指路标志的设置</w:t>
        </w:r>
        <w:r>
          <w:rPr>
            <w:rFonts w:ascii="宋体" w:eastAsia="宋体" w:hAnsi="宋体" w:cs="宋体"/>
            <w:sz w:val="26"/>
            <w:szCs w:val="21"/>
          </w:rPr>
          <w:tab/>
        </w:r>
        <w:r>
          <w:rPr>
            <w:rFonts w:asciiTheme="minorEastAsia" w:hAnsiTheme="minorEastAsia"/>
            <w:sz w:val="21"/>
            <w:szCs w:val="21"/>
          </w:rPr>
          <w:fldChar w:fldCharType="begin"/>
        </w:r>
        <w:r>
          <w:rPr>
            <w:rFonts w:ascii="宋体" w:eastAsia="宋体" w:hAnsi="宋体" w:cs="宋体"/>
            <w:sz w:val="26"/>
            <w:szCs w:val="21"/>
          </w:rPr>
          <w:instrText xml:space="preserve"> PAGEREF _Toc1 \h </w:instrText>
        </w:r>
        <w:r>
          <w:rPr>
            <w:rFonts w:asciiTheme="minorEastAsia" w:hAnsiTheme="minorEastAsia"/>
            <w:sz w:val="21"/>
            <w:szCs w:val="21"/>
          </w:rPr>
          <w:fldChar w:fldCharType="separate"/>
        </w:r>
        <w:r>
          <w:rPr>
            <w:rFonts w:ascii="宋体" w:eastAsia="宋体" w:hAnsi="宋体" w:cs="宋体"/>
            <w:sz w:val="26"/>
            <w:szCs w:val="21"/>
          </w:rPr>
          <w:t>14</w:t>
        </w:r>
        <w:r>
          <w:rPr>
            <w:rFonts w:asciiTheme="minorEastAsia" w:hAnsiTheme="minorEastAsia"/>
            <w:sz w:val="21"/>
            <w:szCs w:val="21"/>
          </w:rPr>
          <w:fldChar w:fldCharType="end"/>
        </w:r>
      </w:hyperlink>
      <w:r>
        <w:rPr>
          <w:b/>
          <w:color w:val="FFFFFF"/>
          <w:sz w:val="0"/>
        </w:rPr>
        <w:t>.</w:t>
      </w:r>
    </w:p>
    <w:p>
      <w:pPr>
        <w:pStyle w:val="TOC2"/>
        <w:spacing w:before="280" w:after="280" w:line="480" w:lineRule="auto"/>
        <w:rPr>
          <w:rFonts w:asciiTheme="minorEastAsia" w:hAnsiTheme="minorEastAsia"/>
          <w:smallCaps w:val="0"/>
          <w:sz w:val="21"/>
          <w:szCs w:val="21"/>
        </w:rPr>
        <w:sectPr>
          <w:headerReference w:type="default" r:id="rId7"/>
          <w:pgSz w:w="11906" w:h="16838"/>
          <w:pgMar w:top="1440" w:right="1134" w:bottom="1440" w:left="1418" w:header="851" w:footer="992" w:gutter="0"/>
          <w:pgNumType w:fmt="upperRoman" w:start="1"/>
          <w:cols w:num="1" w:space="425"/>
          <w:docGrid w:type="lines" w:linePitch="312" w:charSpace="0"/>
        </w:sectPr>
      </w:pPr>
      <w:hyperlink w:anchor="_Toc2" w:history="1">
        <w:r>
          <w:rPr>
            <w:rStyle w:val="Hyperlink"/>
            <w:rFonts w:ascii="宋体" w:eastAsia="宋体" w:hAnsi="宋体" w:cs="宋体"/>
            <w:kern w:val="0"/>
            <w:sz w:val="26"/>
            <w:szCs w:val="21"/>
          </w:rPr>
          <w:t xml:space="preserve">8 </w:t>
        </w:r>
        <w:r>
          <w:rPr>
            <w:rStyle w:val="Hyperlink"/>
            <w:rFonts w:ascii="宋体" w:eastAsia="宋体" w:hAnsi="宋体" w:cs="宋体" w:hint="eastAsia"/>
            <w:kern w:val="0"/>
            <w:sz w:val="26"/>
            <w:szCs w:val="21"/>
          </w:rPr>
          <w:t>城市快速路标志的设置</w:t>
        </w:r>
        <w:r>
          <w:rPr>
            <w:rFonts w:ascii="宋体" w:eastAsia="宋体" w:hAnsi="宋体" w:cs="宋体"/>
            <w:sz w:val="26"/>
            <w:szCs w:val="21"/>
          </w:rPr>
          <w:tab/>
        </w:r>
        <w:r>
          <w:rPr>
            <w:rFonts w:asciiTheme="minorEastAsia" w:hAnsiTheme="minorEastAsia"/>
            <w:sz w:val="21"/>
            <w:szCs w:val="21"/>
          </w:rPr>
          <w:fldChar w:fldCharType="begin"/>
        </w:r>
        <w:r>
          <w:rPr>
            <w:rFonts w:ascii="宋体" w:eastAsia="宋体" w:hAnsi="宋体" w:cs="宋体"/>
            <w:sz w:val="26"/>
            <w:szCs w:val="21"/>
          </w:rPr>
          <w:instrText xml:space="preserve"> PAGEREF _Toc2 \h </w:instrText>
        </w:r>
        <w:r>
          <w:rPr>
            <w:rFonts w:asciiTheme="minorEastAsia" w:hAnsiTheme="minorEastAsia"/>
            <w:sz w:val="21"/>
            <w:szCs w:val="21"/>
          </w:rPr>
          <w:fldChar w:fldCharType="separate"/>
        </w:r>
        <w:r>
          <w:rPr>
            <w:rFonts w:ascii="宋体" w:eastAsia="宋体" w:hAnsi="宋体" w:cs="宋体"/>
            <w:sz w:val="26"/>
            <w:szCs w:val="21"/>
          </w:rPr>
          <w:t>21</w:t>
        </w:r>
        <w:r>
          <w:rPr>
            <w:rFonts w:asciiTheme="minorEastAsia" w:hAnsiTheme="minorEastAsia"/>
            <w:sz w:val="21"/>
            <w:szCs w:val="21"/>
          </w:rPr>
          <w:fldChar w:fldCharType="end"/>
        </w:r>
      </w:hyperlink>
      <w:r>
        <w:rPr>
          <w:b/>
          <w:color w:val="FFFFFF"/>
          <w:sz w:val="0"/>
        </w:rPr>
        <w:t>.</w:t>
      </w:r>
    </w:p>
    <w:p>
      <w:pPr>
        <w:widowControl/>
        <w:autoSpaceDE w:val="0"/>
        <w:autoSpaceDN w:val="0"/>
        <w:adjustRightInd w:val="0"/>
        <w:spacing w:before="280" w:after="280" w:line="480" w:lineRule="auto"/>
        <w:jc w:val="center"/>
        <w:outlineLvl w:val="0"/>
        <w:rPr>
          <w:rFonts w:ascii="黑体" w:eastAsia="黑体" w:hAnsi="黑体" w:cs="黑体"/>
          <w:color w:val="000000"/>
          <w:kern w:val="0"/>
          <w:sz w:val="32"/>
          <w:szCs w:val="32"/>
        </w:rPr>
      </w:pPr>
      <w:bookmarkStart w:id="1" w:name="_Toc510961704"/>
      <w:r>
        <w:rPr>
          <w:rFonts w:ascii="宋体" w:eastAsia="宋体" w:hAnsi="宋体" w:cs="宋体" w:hint="eastAsia"/>
          <w:color w:val="000000"/>
          <w:kern w:val="0"/>
          <w:sz w:val="26"/>
          <w:szCs w:val="32"/>
        </w:rPr>
        <w:t>城市道路交通安全设施设置规范 第1部分 交通标志</w:t>
      </w:r>
      <w:bookmarkEnd w:id="1"/>
      <w:r>
        <w:rPr>
          <w:b/>
          <w:color w:val="FFFFFF"/>
          <w:sz w:val="0"/>
        </w:rPr>
        <w:t>.</w:t>
      </w:r>
    </w:p>
    <w:p>
      <w:pPr>
        <w:widowControl/>
        <w:autoSpaceDE w:val="0"/>
        <w:autoSpaceDN w:val="0"/>
        <w:adjustRightInd w:val="0"/>
        <w:spacing w:before="280" w:after="280" w:line="480" w:lineRule="auto"/>
        <w:jc w:val="left"/>
        <w:outlineLvl w:val="1"/>
        <w:rPr>
          <w:rFonts w:ascii="黑体" w:eastAsia="黑体" w:hAnsi="黑体" w:cs="黑体"/>
          <w:color w:val="000000"/>
          <w:kern w:val="0"/>
          <w:szCs w:val="21"/>
        </w:rPr>
      </w:pPr>
      <w:bookmarkStart w:id="2" w:name="_Toc510961705"/>
      <w:r>
        <w:rPr>
          <w:rFonts w:ascii="宋体" w:eastAsia="宋体" w:hAnsi="宋体" w:cs="宋体" w:hint="eastAsia"/>
          <w:color w:val="000000"/>
          <w:kern w:val="0"/>
          <w:sz w:val="26"/>
          <w:szCs w:val="21"/>
        </w:rPr>
        <w:t>1 范围</w:t>
      </w:r>
      <w:bookmarkEnd w:id="2"/>
      <w:r>
        <w:rPr>
          <w:b/>
          <w:color w:val="FFFFFF"/>
          <w:sz w:val="0"/>
        </w:rPr>
        <w:t>.</w:t>
      </w:r>
    </w:p>
    <w:p>
      <w:pPr>
        <w:spacing w:before="280" w:after="280" w:line="480" w:lineRule="auto"/>
        <w:ind w:firstLine="525" w:firstLineChars="202"/>
        <w:jc w:val="left"/>
        <w:rPr>
          <w:rFonts w:ascii="Times New Roman" w:eastAsia="宋体" w:hAnsi="Times New Roman" w:cs="Times New Roman"/>
        </w:rPr>
      </w:pPr>
      <w:r>
        <w:rPr>
          <w:rFonts w:ascii="宋体" w:eastAsia="宋体" w:hAnsi="宋体" w:cs="宋体" w:hint="eastAsia"/>
          <w:sz w:val="26"/>
        </w:rPr>
        <w:t>本部分</w:t>
      </w:r>
      <w:r>
        <w:rPr>
          <w:rFonts w:ascii="宋体" w:eastAsia="宋体" w:hAnsi="宋体" w:cs="宋体"/>
          <w:sz w:val="26"/>
        </w:rPr>
        <w:t>规定了</w:t>
      </w:r>
      <w:r>
        <w:rPr>
          <w:rFonts w:ascii="宋体" w:eastAsia="宋体" w:hAnsi="宋体" w:cs="宋体" w:hint="eastAsia"/>
          <w:sz w:val="26"/>
        </w:rPr>
        <w:t>道路交通</w:t>
      </w:r>
      <w:r>
        <w:rPr>
          <w:rFonts w:ascii="宋体" w:eastAsia="宋体" w:hAnsi="宋体" w:cs="宋体"/>
          <w:sz w:val="26"/>
        </w:rPr>
        <w:t>标志</w:t>
      </w:r>
      <w:r>
        <w:rPr>
          <w:rFonts w:ascii="宋体" w:eastAsia="宋体" w:hAnsi="宋体" w:cs="宋体" w:hint="eastAsia"/>
          <w:sz w:val="26"/>
        </w:rPr>
        <w:t>的</w:t>
      </w:r>
      <w:r>
        <w:rPr>
          <w:rFonts w:ascii="宋体" w:eastAsia="宋体" w:hAnsi="宋体" w:cs="宋体"/>
          <w:sz w:val="26"/>
        </w:rPr>
        <w:t>结构</w:t>
      </w:r>
      <w:r>
        <w:rPr>
          <w:rFonts w:ascii="宋体" w:eastAsia="宋体" w:hAnsi="宋体" w:cs="宋体" w:hint="eastAsia"/>
          <w:sz w:val="26"/>
        </w:rPr>
        <w:t>、</w:t>
      </w:r>
      <w:r>
        <w:rPr>
          <w:rFonts w:ascii="宋体" w:eastAsia="宋体" w:hAnsi="宋体" w:cs="宋体"/>
          <w:sz w:val="26"/>
        </w:rPr>
        <w:t>尺寸</w:t>
      </w:r>
      <w:r>
        <w:rPr>
          <w:rFonts w:ascii="宋体" w:eastAsia="宋体" w:hAnsi="宋体" w:cs="宋体" w:hint="eastAsia"/>
          <w:sz w:val="26"/>
        </w:rPr>
        <w:t>及</w:t>
      </w:r>
      <w:r>
        <w:rPr>
          <w:rFonts w:ascii="宋体" w:eastAsia="宋体" w:hAnsi="宋体" w:cs="宋体"/>
          <w:sz w:val="26"/>
        </w:rPr>
        <w:t>设置要求。</w:t>
      </w:r>
      <w:r>
        <w:rPr>
          <w:b/>
          <w:color w:val="FFFFFF"/>
          <w:sz w:val="0"/>
        </w:rPr>
        <w:t>.</w:t>
      </w:r>
    </w:p>
    <w:p>
      <w:pPr>
        <w:spacing w:before="280" w:after="280" w:line="480" w:lineRule="auto"/>
        <w:ind w:firstLine="525" w:firstLineChars="202"/>
        <w:jc w:val="left"/>
        <w:rPr>
          <w:rFonts w:ascii="Times New Roman" w:eastAsia="宋体" w:hAnsi="Times New Roman" w:cs="Times New Roman"/>
        </w:rPr>
      </w:pPr>
      <w:r>
        <w:rPr>
          <w:rFonts w:ascii="宋体" w:eastAsia="宋体" w:hAnsi="宋体" w:cs="宋体" w:hint="eastAsia"/>
          <w:sz w:val="26"/>
        </w:rPr>
        <w:t>本部分适用于中心城区内城市道路、各区县政府所在地建成区内城市道路的交通标志</w:t>
      </w:r>
      <w:r>
        <w:rPr>
          <w:rFonts w:ascii="宋体" w:eastAsia="宋体" w:hAnsi="宋体" w:cs="宋体"/>
          <w:sz w:val="26"/>
        </w:rPr>
        <w:t>设置</w:t>
      </w:r>
      <w:r>
        <w:rPr>
          <w:rFonts w:ascii="宋体" w:eastAsia="宋体" w:hAnsi="宋体" w:cs="宋体" w:hint="eastAsia"/>
          <w:sz w:val="26"/>
        </w:rPr>
        <w:t>。</w:t>
      </w:r>
      <w:r>
        <w:rPr>
          <w:b/>
          <w:color w:val="FFFFFF"/>
          <w:sz w:val="0"/>
        </w:rPr>
        <w:t>.</w:t>
      </w:r>
    </w:p>
    <w:p>
      <w:pPr>
        <w:spacing w:before="280" w:after="280" w:line="480" w:lineRule="auto"/>
        <w:ind w:firstLine="525" w:firstLineChars="202"/>
        <w:jc w:val="left"/>
        <w:rPr>
          <w:rFonts w:asciiTheme="minorEastAsia" w:hAnsiTheme="minorEastAsia" w:cs="Times New Roman"/>
        </w:rPr>
      </w:pPr>
      <w:r>
        <w:rPr>
          <w:rFonts w:ascii="宋体" w:eastAsia="宋体" w:hAnsi="宋体" w:cs="宋体" w:hint="eastAsia"/>
          <w:sz w:val="26"/>
        </w:rPr>
        <w:t>本部分含有相关的术语和定义，规定了基本要求、标志设置要点、</w:t>
      </w:r>
      <w:r>
        <w:rPr>
          <w:rFonts w:ascii="宋体" w:eastAsia="宋体" w:hAnsi="宋体" w:cs="宋体" w:hint="eastAsia"/>
          <w:color w:val="000000"/>
          <w:kern w:val="0"/>
          <w:sz w:val="26"/>
          <w:szCs w:val="21"/>
        </w:rPr>
        <w:t>标志板、</w:t>
      </w:r>
      <w:r>
        <w:rPr>
          <w:rFonts w:ascii="宋体" w:eastAsia="宋体" w:hAnsi="宋体" w:cs="宋体"/>
          <w:color w:val="000000"/>
          <w:kern w:val="0"/>
          <w:sz w:val="26"/>
          <w:szCs w:val="21"/>
        </w:rPr>
        <w:t>支撑方式</w:t>
      </w:r>
      <w:r>
        <w:rPr>
          <w:rFonts w:ascii="宋体" w:eastAsia="宋体" w:hAnsi="宋体" w:cs="宋体" w:hint="eastAsia"/>
          <w:color w:val="000000"/>
          <w:kern w:val="0"/>
          <w:sz w:val="26"/>
          <w:szCs w:val="21"/>
        </w:rPr>
        <w:t>及</w:t>
      </w:r>
      <w:r>
        <w:rPr>
          <w:rFonts w:ascii="宋体" w:eastAsia="宋体" w:hAnsi="宋体" w:cs="宋体"/>
          <w:color w:val="000000"/>
          <w:kern w:val="0"/>
          <w:sz w:val="26"/>
          <w:szCs w:val="21"/>
        </w:rPr>
        <w:t>安装要求</w:t>
      </w:r>
      <w:r>
        <w:rPr>
          <w:rFonts w:ascii="宋体" w:eastAsia="宋体" w:hAnsi="宋体" w:cs="宋体" w:hint="eastAsia"/>
          <w:color w:val="000000"/>
          <w:kern w:val="0"/>
          <w:sz w:val="26"/>
          <w:szCs w:val="21"/>
        </w:rPr>
        <w:t>、一般道路指路标志的设置、城市快速路标志的设置。</w:t>
      </w:r>
      <w:r>
        <w:rPr>
          <w:b/>
          <w:color w:val="FFFFFF"/>
          <w:sz w:val="0"/>
        </w:rPr>
        <w:t>.</w:t>
      </w:r>
    </w:p>
    <w:p>
      <w:pPr>
        <w:widowControl/>
        <w:autoSpaceDE w:val="0"/>
        <w:autoSpaceDN w:val="0"/>
        <w:adjustRightInd w:val="0"/>
        <w:spacing w:before="280" w:after="280" w:line="480" w:lineRule="auto"/>
        <w:jc w:val="left"/>
        <w:outlineLvl w:val="1"/>
        <w:rPr>
          <w:rFonts w:ascii="黑体" w:eastAsia="黑体" w:hAnsi="黑体" w:cs="黑体"/>
          <w:color w:val="000000"/>
          <w:kern w:val="0"/>
          <w:szCs w:val="21"/>
        </w:rPr>
      </w:pPr>
      <w:bookmarkStart w:id="3" w:name="_Toc510961706"/>
      <w:r>
        <w:rPr>
          <w:rFonts w:ascii="宋体" w:eastAsia="宋体" w:hAnsi="宋体" w:cs="宋体" w:hint="eastAsia"/>
          <w:color w:val="000000"/>
          <w:kern w:val="0"/>
          <w:sz w:val="26"/>
          <w:szCs w:val="21"/>
        </w:rPr>
        <w:t>2 规范性引用文件</w:t>
      </w:r>
      <w:bookmarkEnd w:id="3"/>
      <w:r>
        <w:rPr>
          <w:b/>
          <w:color w:val="FFFFFF"/>
          <w:sz w:val="0"/>
        </w:rPr>
        <w:t>.</w:t>
      </w:r>
    </w:p>
    <w:p>
      <w:pPr>
        <w:spacing w:before="280" w:after="280" w:line="480" w:lineRule="auto"/>
        <w:ind w:firstLine="525" w:firstLineChars="202"/>
        <w:jc w:val="left"/>
        <w:rPr>
          <w:rFonts w:ascii="Times New Roman" w:eastAsia="宋体" w:hAnsi="Times New Roman" w:cs="Times New Roman"/>
          <w:szCs w:val="21"/>
        </w:rPr>
      </w:pPr>
      <w:r>
        <w:rPr>
          <w:rFonts w:ascii="宋体" w:eastAsia="宋体" w:hAnsi="宋体" w:cs="宋体" w:hint="eastAsia"/>
          <w:sz w:val="26"/>
          <w:szCs w:val="21"/>
        </w:rPr>
        <w:t>下列文件对于本文件的应用是必不可少的。凡是注日期的引用文件，仅所注日期的版本适用于本文件。凡是不注日期的引用文件，其最新版本（包括所有的修改单）适用于本文件。</w:t>
      </w:r>
      <w:r>
        <w:rPr>
          <w:b/>
          <w:color w:val="FFFFFF"/>
          <w:sz w:val="0"/>
        </w:rPr>
        <w:t>.</w:t>
      </w:r>
    </w:p>
    <w:p>
      <w:pPr>
        <w:spacing w:before="280" w:after="280" w:line="480" w:lineRule="auto"/>
        <w:ind w:firstLine="525" w:firstLineChars="202"/>
        <w:jc w:val="left"/>
        <w:rPr>
          <w:rFonts w:ascii="Times New Roman" w:eastAsia="宋体" w:hAnsi="Times New Roman" w:cs="Times New Roman"/>
          <w:szCs w:val="21"/>
        </w:rPr>
      </w:pPr>
      <w:r>
        <w:rPr>
          <w:rFonts w:ascii="宋体" w:eastAsia="宋体" w:hAnsi="宋体" w:cs="宋体" w:hint="eastAsia"/>
          <w:sz w:val="26"/>
          <w:szCs w:val="21"/>
        </w:rPr>
        <w:t>GB —2009 道路交通标志</w:t>
      </w:r>
      <w:r>
        <w:rPr>
          <w:b/>
          <w:color w:val="FFFFFF"/>
          <w:sz w:val="0"/>
        </w:rPr>
        <w:t>.</w:t>
      </w:r>
    </w:p>
    <w:p>
      <w:pPr>
        <w:spacing w:before="280" w:after="280" w:line="480" w:lineRule="auto"/>
        <w:ind w:firstLine="525" w:firstLineChars="202"/>
        <w:jc w:val="left"/>
        <w:rPr>
          <w:rFonts w:ascii="Times New Roman" w:eastAsia="宋体" w:hAnsi="Times New Roman" w:cs="Times New Roman"/>
          <w:szCs w:val="21"/>
        </w:rPr>
      </w:pPr>
      <w:r>
        <w:rPr>
          <w:rFonts w:ascii="宋体" w:eastAsia="宋体" w:hAnsi="宋体" w:cs="宋体" w:hint="eastAsia"/>
          <w:sz w:val="26"/>
          <w:szCs w:val="21"/>
        </w:rPr>
        <w:t>GB 50007 建筑地基基础设计规范</w:t>
      </w:r>
      <w:r>
        <w:rPr>
          <w:b/>
          <w:color w:val="FFFFFF"/>
          <w:sz w:val="0"/>
        </w:rPr>
        <w:t>.</w:t>
      </w:r>
    </w:p>
    <w:p>
      <w:pPr>
        <w:spacing w:before="280" w:after="280" w:line="480" w:lineRule="auto"/>
        <w:ind w:firstLine="525" w:firstLineChars="202"/>
        <w:jc w:val="left"/>
        <w:rPr>
          <w:rFonts w:ascii="Times New Roman" w:eastAsia="宋体" w:hAnsi="Times New Roman" w:cs="Times New Roman"/>
          <w:szCs w:val="21"/>
        </w:rPr>
      </w:pPr>
      <w:r>
        <w:rPr>
          <w:rFonts w:ascii="宋体" w:eastAsia="宋体" w:hAnsi="宋体" w:cs="宋体"/>
          <w:sz w:val="26"/>
          <w:szCs w:val="21"/>
        </w:rPr>
        <w:t xml:space="preserve">GB 50009 </w:t>
      </w:r>
      <w:r>
        <w:rPr>
          <w:rFonts w:ascii="宋体" w:eastAsia="宋体" w:hAnsi="宋体" w:cs="宋体" w:hint="eastAsia"/>
          <w:sz w:val="26"/>
          <w:szCs w:val="21"/>
        </w:rPr>
        <w:t>建筑结构荷载规范</w:t>
      </w:r>
      <w:r>
        <w:rPr>
          <w:b/>
          <w:color w:val="FFFFFF"/>
          <w:sz w:val="0"/>
        </w:rPr>
        <w:t>.</w:t>
      </w:r>
    </w:p>
    <w:p>
      <w:pPr>
        <w:spacing w:before="280" w:after="280" w:line="480" w:lineRule="auto"/>
        <w:ind w:firstLine="525" w:firstLineChars="202"/>
        <w:jc w:val="left"/>
        <w:rPr>
          <w:rFonts w:ascii="Times New Roman" w:eastAsia="宋体" w:hAnsi="Times New Roman" w:cs="Times New Roman"/>
          <w:szCs w:val="21"/>
        </w:rPr>
      </w:pPr>
      <w:r>
        <w:rPr>
          <w:rFonts w:ascii="宋体" w:eastAsia="宋体" w:hAnsi="宋体" w:cs="宋体"/>
          <w:sz w:val="26"/>
          <w:szCs w:val="21"/>
        </w:rPr>
        <w:t xml:space="preserve">GB 50017 </w:t>
      </w:r>
      <w:r>
        <w:rPr>
          <w:rFonts w:ascii="宋体" w:eastAsia="宋体" w:hAnsi="宋体" w:cs="宋体" w:hint="eastAsia"/>
          <w:sz w:val="26"/>
          <w:szCs w:val="21"/>
        </w:rPr>
        <w:t>钢结构设计规范</w:t>
      </w:r>
      <w:r>
        <w:rPr>
          <w:b/>
          <w:color w:val="FFFFFF"/>
          <w:sz w:val="0"/>
        </w:rPr>
        <w:t>.</w:t>
      </w:r>
    </w:p>
    <w:p>
      <w:pPr>
        <w:spacing w:before="280" w:after="280" w:line="480" w:lineRule="auto"/>
        <w:ind w:firstLine="525" w:firstLineChars="202"/>
        <w:jc w:val="left"/>
        <w:rPr>
          <w:rFonts w:ascii="Times New Roman" w:eastAsia="宋体" w:hAnsi="Times New Roman" w:cs="Times New Roman"/>
          <w:szCs w:val="21"/>
        </w:rPr>
      </w:pPr>
      <w:r>
        <w:rPr>
          <w:rFonts w:ascii="宋体" w:eastAsia="宋体" w:hAnsi="宋体" w:cs="宋体"/>
          <w:sz w:val="26"/>
          <w:szCs w:val="21"/>
        </w:rPr>
        <w:t>GB/T 18833</w:t>
      </w:r>
      <w:r>
        <w:rPr>
          <w:rFonts w:ascii="宋体" w:eastAsia="宋体" w:hAnsi="宋体" w:cs="宋体" w:hint="eastAsia"/>
          <w:sz w:val="26"/>
          <w:szCs w:val="21"/>
        </w:rPr>
        <w:t>—</w:t>
      </w:r>
      <w:r>
        <w:rPr>
          <w:rFonts w:ascii="宋体" w:eastAsia="宋体" w:hAnsi="宋体" w:cs="宋体"/>
          <w:sz w:val="26"/>
          <w:szCs w:val="21"/>
        </w:rPr>
        <w:t xml:space="preserve">2012 </w:t>
      </w:r>
      <w:r>
        <w:rPr>
          <w:rFonts w:ascii="宋体" w:eastAsia="宋体" w:hAnsi="宋体" w:cs="宋体" w:hint="eastAsia"/>
          <w:sz w:val="26"/>
          <w:szCs w:val="21"/>
        </w:rPr>
        <w:t>道路交通反光膜</w:t>
      </w:r>
      <w:r>
        <w:rPr>
          <w:b/>
          <w:color w:val="FFFFFF"/>
          <w:sz w:val="0"/>
        </w:rPr>
        <w:t>.</w:t>
      </w:r>
    </w:p>
    <w:p>
      <w:pPr>
        <w:spacing w:before="280" w:after="280" w:line="480" w:lineRule="auto"/>
        <w:ind w:firstLine="525" w:firstLineChars="202"/>
        <w:jc w:val="left"/>
        <w:rPr>
          <w:rFonts w:ascii="Times New Roman" w:eastAsia="宋体" w:hAnsi="Times New Roman" w:cs="Times New Roman"/>
          <w:szCs w:val="21"/>
        </w:rPr>
        <w:sectPr>
          <w:headerReference w:type="default" r:id="rId8"/>
          <w:pgSz w:w="11906" w:h="16838"/>
          <w:pgMar w:top="1440" w:right="1134" w:bottom="1440" w:left="1418" w:header="851" w:footer="992" w:gutter="0"/>
          <w:pgNumType w:start="2"/>
          <w:cols w:num="1" w:space="425"/>
          <w:docGrid w:type="lines" w:linePitch="312" w:charSpace="0"/>
        </w:sectPr>
      </w:pPr>
      <w:r>
        <w:rPr>
          <w:rFonts w:ascii="宋体" w:eastAsia="宋体" w:hAnsi="宋体" w:cs="宋体"/>
          <w:sz w:val="26"/>
          <w:szCs w:val="21"/>
        </w:rPr>
        <w:t xml:space="preserve">GB/T 23827 </w:t>
      </w:r>
      <w:r>
        <w:rPr>
          <w:rFonts w:ascii="宋体" w:eastAsia="宋体" w:hAnsi="宋体" w:cs="宋体" w:hint="eastAsia"/>
          <w:sz w:val="26"/>
          <w:szCs w:val="21"/>
        </w:rPr>
        <w:t>道路交通标志板及支撑件</w:t>
      </w:r>
      <w:r>
        <w:rPr>
          <w:b/>
          <w:color w:val="FFFFFF"/>
          <w:sz w:val="0"/>
        </w:rPr>
        <w:t>.</w:t>
      </w:r>
    </w:p>
    <w:p>
      <w:pPr>
        <w:spacing w:before="280" w:after="280" w:line="480" w:lineRule="auto"/>
        <w:ind w:firstLine="525" w:firstLineChars="202"/>
        <w:jc w:val="left"/>
        <w:rPr>
          <w:rFonts w:ascii="Times New Roman" w:eastAsia="宋体" w:hAnsi="Times New Roman" w:cs="Times New Roman"/>
          <w:szCs w:val="21"/>
        </w:rPr>
      </w:pPr>
      <w:r>
        <w:rPr>
          <w:rFonts w:ascii="宋体" w:eastAsia="宋体" w:hAnsi="宋体" w:cs="宋体" w:hint="eastAsia"/>
          <w:sz w:val="26"/>
          <w:szCs w:val="21"/>
        </w:rPr>
        <w:t>GB51038-2015城市道路交通标志和标线设置规范</w:t>
      </w:r>
      <w:r>
        <w:rPr>
          <w:b/>
          <w:color w:val="FFFFFF"/>
          <w:sz w:val="0"/>
        </w:rPr>
        <w:t>.</w:t>
      </w:r>
    </w:p>
    <w:p>
      <w:pPr>
        <w:spacing w:before="280" w:after="280" w:line="480" w:lineRule="auto"/>
        <w:ind w:firstLine="525" w:firstLineChars="202"/>
        <w:jc w:val="left"/>
        <w:rPr>
          <w:rFonts w:ascii="Times New Roman" w:eastAsia="宋体" w:hAnsi="Times New Roman" w:cs="Times New Roman"/>
          <w:szCs w:val="21"/>
        </w:rPr>
      </w:pPr>
      <w:r>
        <w:rPr>
          <w:rFonts w:ascii="宋体" w:eastAsia="宋体" w:hAnsi="宋体" w:cs="宋体" w:hint="eastAsia"/>
          <w:sz w:val="26"/>
          <w:szCs w:val="21"/>
        </w:rPr>
        <w:t>DB510100/T  道路指路标志系统-第</w:t>
      </w:r>
      <w:r>
        <w:rPr>
          <w:rFonts w:ascii="宋体" w:eastAsia="宋体" w:hAnsi="宋体" w:cs="宋体"/>
          <w:sz w:val="26"/>
          <w:szCs w:val="21"/>
        </w:rPr>
        <w:t>1</w:t>
      </w:r>
      <w:r>
        <w:rPr>
          <w:rFonts w:ascii="宋体" w:eastAsia="宋体" w:hAnsi="宋体" w:cs="宋体" w:hint="eastAsia"/>
          <w:sz w:val="26"/>
          <w:szCs w:val="21"/>
        </w:rPr>
        <w:t>部分-总则</w:t>
      </w:r>
      <w:r>
        <w:rPr>
          <w:b/>
          <w:color w:val="FFFFFF"/>
          <w:sz w:val="0"/>
        </w:rPr>
        <w:t>.</w:t>
      </w:r>
    </w:p>
    <w:p>
      <w:pPr>
        <w:spacing w:before="280" w:after="280" w:line="480" w:lineRule="auto"/>
        <w:ind w:firstLine="525" w:firstLineChars="202"/>
        <w:jc w:val="left"/>
        <w:rPr>
          <w:rFonts w:ascii="Times New Roman" w:eastAsia="宋体" w:hAnsi="Times New Roman" w:cs="Times New Roman"/>
          <w:szCs w:val="21"/>
        </w:rPr>
      </w:pPr>
      <w:r>
        <w:rPr>
          <w:rFonts w:ascii="宋体" w:eastAsia="宋体" w:hAnsi="宋体" w:cs="宋体" w:hint="eastAsia"/>
          <w:sz w:val="26"/>
          <w:szCs w:val="21"/>
        </w:rPr>
        <w:t>DB510100/T  道路指路标志系统-第2部分-一般城市道路</w:t>
      </w:r>
      <w:r>
        <w:rPr>
          <w:b/>
          <w:color w:val="FFFFFF"/>
          <w:sz w:val="0"/>
        </w:rPr>
        <w:t>.</w:t>
      </w:r>
    </w:p>
    <w:p>
      <w:pPr>
        <w:spacing w:before="280" w:after="280" w:line="480" w:lineRule="auto"/>
        <w:ind w:firstLine="525" w:firstLineChars="202"/>
        <w:jc w:val="left"/>
        <w:rPr>
          <w:rFonts w:ascii="Times New Roman" w:eastAsia="宋体" w:hAnsi="Times New Roman" w:cs="Times New Roman"/>
          <w:szCs w:val="21"/>
        </w:rPr>
      </w:pPr>
      <w:r>
        <w:rPr>
          <w:rFonts w:ascii="宋体" w:eastAsia="宋体" w:hAnsi="宋体" w:cs="宋体" w:hint="eastAsia"/>
          <w:sz w:val="26"/>
          <w:szCs w:val="21"/>
        </w:rPr>
        <w:t>DB510100/T  道路指路标志系统-第3部分-城市快速路</w:t>
      </w:r>
      <w:r>
        <w:rPr>
          <w:b/>
          <w:color w:val="FFFFFF"/>
          <w:sz w:val="0"/>
        </w:rPr>
        <w:t>.</w:t>
      </w:r>
    </w:p>
    <w:p>
      <w:pPr>
        <w:spacing w:before="280" w:after="280" w:line="480" w:lineRule="auto"/>
        <w:ind w:firstLine="525" w:firstLineChars="202"/>
        <w:jc w:val="left"/>
        <w:rPr>
          <w:rFonts w:ascii="Times New Roman" w:eastAsia="宋体" w:hAnsi="Times New Roman" w:cs="Times New Roman"/>
          <w:szCs w:val="21"/>
        </w:rPr>
      </w:pPr>
      <w:r>
        <w:rPr>
          <w:rFonts w:ascii="宋体" w:eastAsia="宋体" w:hAnsi="宋体" w:cs="宋体" w:hint="eastAsia"/>
          <w:sz w:val="26"/>
          <w:szCs w:val="21"/>
        </w:rPr>
        <w:t>DB510100/T  道路指路标志系统-第</w:t>
      </w:r>
      <w:r>
        <w:rPr>
          <w:rFonts w:ascii="宋体" w:eastAsia="宋体" w:hAnsi="宋体" w:cs="宋体"/>
          <w:sz w:val="26"/>
          <w:szCs w:val="21"/>
        </w:rPr>
        <w:t>4</w:t>
      </w:r>
      <w:r>
        <w:rPr>
          <w:rFonts w:ascii="宋体" w:eastAsia="宋体" w:hAnsi="宋体" w:cs="宋体" w:hint="eastAsia"/>
          <w:sz w:val="26"/>
          <w:szCs w:val="21"/>
        </w:rPr>
        <w:t>部分-一般公路</w:t>
      </w:r>
      <w:r>
        <w:rPr>
          <w:b/>
          <w:color w:val="FFFFFF"/>
          <w:sz w:val="0"/>
        </w:rPr>
        <w:t>.</w:t>
      </w:r>
    </w:p>
    <w:p>
      <w:pPr>
        <w:spacing w:before="280" w:after="280" w:line="480" w:lineRule="auto"/>
        <w:ind w:firstLine="525" w:firstLineChars="202"/>
        <w:jc w:val="left"/>
        <w:rPr>
          <w:rFonts w:ascii="Times New Roman" w:eastAsia="宋体" w:hAnsi="Times New Roman" w:cs="Times New Roman"/>
          <w:szCs w:val="21"/>
        </w:rPr>
      </w:pPr>
      <w:r>
        <w:rPr>
          <w:rFonts w:ascii="宋体" w:eastAsia="宋体" w:hAnsi="宋体" w:cs="宋体" w:hint="eastAsia"/>
          <w:sz w:val="26"/>
          <w:szCs w:val="21"/>
        </w:rPr>
        <w:t>DB510100/T  道路指路标志系统-第</w:t>
      </w:r>
      <w:r>
        <w:rPr>
          <w:rFonts w:ascii="宋体" w:eastAsia="宋体" w:hAnsi="宋体" w:cs="宋体"/>
          <w:sz w:val="26"/>
          <w:szCs w:val="21"/>
        </w:rPr>
        <w:t>5</w:t>
      </w:r>
      <w:r>
        <w:rPr>
          <w:rFonts w:ascii="宋体" w:eastAsia="宋体" w:hAnsi="宋体" w:cs="宋体" w:hint="eastAsia"/>
          <w:sz w:val="26"/>
          <w:szCs w:val="21"/>
        </w:rPr>
        <w:t>部分-慢行交通</w:t>
      </w:r>
      <w:r>
        <w:rPr>
          <w:b/>
          <w:color w:val="FFFFFF"/>
          <w:sz w:val="0"/>
        </w:rPr>
        <w:t>.</w:t>
      </w:r>
    </w:p>
    <w:p>
      <w:pPr>
        <w:widowControl/>
        <w:autoSpaceDE w:val="0"/>
        <w:autoSpaceDN w:val="0"/>
        <w:adjustRightInd w:val="0"/>
        <w:spacing w:before="280" w:after="280" w:line="480" w:lineRule="auto"/>
        <w:jc w:val="left"/>
        <w:outlineLvl w:val="1"/>
        <w:rPr>
          <w:rFonts w:ascii="黑体" w:eastAsia="黑体" w:hAnsi="黑体" w:cs="黑体"/>
          <w:color w:val="000000"/>
          <w:kern w:val="0"/>
          <w:szCs w:val="21"/>
        </w:rPr>
      </w:pPr>
      <w:bookmarkStart w:id="4" w:name="_Toc510961707"/>
      <w:r>
        <w:rPr>
          <w:rFonts w:ascii="宋体" w:eastAsia="宋体" w:hAnsi="宋体" w:cs="宋体" w:hint="eastAsia"/>
          <w:color w:val="000000"/>
          <w:kern w:val="0"/>
          <w:sz w:val="26"/>
          <w:szCs w:val="21"/>
        </w:rPr>
        <w:t>3 术语和定义</w:t>
      </w:r>
      <w:bookmarkEnd w:id="4"/>
      <w:r>
        <w:rPr>
          <w:b/>
          <w:color w:val="FFFFFF"/>
          <w:sz w:val="0"/>
        </w:rPr>
        <w:t>.</w:t>
      </w:r>
    </w:p>
    <w:p>
      <w:pPr>
        <w:autoSpaceDE w:val="0"/>
        <w:autoSpaceDN w:val="0"/>
        <w:adjustRightInd w:val="0"/>
        <w:spacing w:before="280" w:after="280" w:line="480" w:lineRule="auto"/>
        <w:ind w:firstLine="520" w:firstLineChars="200"/>
        <w:jc w:val="left"/>
        <w:rPr>
          <w:rFonts w:ascii="宋体" w:eastAsia="宋体" w:hAnsi="宋体" w:cs="黑体"/>
          <w:kern w:val="0"/>
          <w:szCs w:val="21"/>
        </w:rPr>
      </w:pPr>
      <w:r>
        <w:rPr>
          <w:rFonts w:ascii="宋体" w:eastAsia="宋体" w:hAnsi="宋体" w:cs="宋体" w:hint="eastAsia"/>
          <w:kern w:val="0"/>
          <w:sz w:val="26"/>
          <w:szCs w:val="21"/>
        </w:rPr>
        <w:t>下列术语和定义适用于本文件。</w:t>
      </w:r>
      <w:r>
        <w:rPr>
          <w:b/>
          <w:color w:val="FFFFFF"/>
          <w:sz w:val="0"/>
        </w:rPr>
        <w:t>.</w:t>
      </w:r>
    </w:p>
    <w:p>
      <w:pPr>
        <w:autoSpaceDE w:val="0"/>
        <w:autoSpaceDN w:val="0"/>
        <w:adjustRightInd w:val="0"/>
        <w:spacing w:before="280" w:after="280" w:line="480" w:lineRule="auto"/>
        <w:ind w:firstLine="520" w:firstLineChars="200"/>
        <w:jc w:val="left"/>
        <w:rPr>
          <w:rFonts w:ascii="Times New Roman" w:eastAsia="黑体" w:hAnsi="Times New Roman" w:cs="黑体"/>
          <w:color w:val="000000"/>
          <w:kern w:val="0"/>
          <w:szCs w:val="21"/>
        </w:rPr>
      </w:pPr>
      <w:r>
        <w:rPr>
          <w:rFonts w:ascii="宋体" w:eastAsia="宋体" w:hAnsi="宋体" w:cs="宋体" w:hint="eastAsia"/>
          <w:color w:val="000000"/>
          <w:kern w:val="0"/>
          <w:sz w:val="26"/>
          <w:szCs w:val="21"/>
        </w:rPr>
        <w:t>道路交通标志</w:t>
      </w:r>
      <w:r>
        <w:rPr>
          <w:rFonts w:ascii="宋体" w:eastAsia="宋体" w:hAnsi="宋体" w:cs="宋体"/>
          <w:color w:val="000000"/>
          <w:kern w:val="0"/>
          <w:sz w:val="26"/>
          <w:szCs w:val="21"/>
        </w:rPr>
        <w:t xml:space="preserve"> road traffic signs</w:t>
      </w:r>
      <w:r>
        <w:rPr>
          <w:b/>
          <w:color w:val="FFFFFF"/>
          <w:sz w:val="0"/>
        </w:rPr>
        <w:t>.</w:t>
      </w:r>
    </w:p>
    <w:p>
      <w:pPr>
        <w:autoSpaceDE w:val="0"/>
        <w:autoSpaceDN w:val="0"/>
        <w:adjustRightInd w:val="0"/>
        <w:spacing w:before="280" w:after="280" w:line="480" w:lineRule="auto"/>
        <w:ind w:firstLine="520" w:firstLineChars="200"/>
        <w:jc w:val="left"/>
        <w:rPr>
          <w:rFonts w:ascii="宋体" w:eastAsia="宋体" w:hAnsi="宋体" w:cs="黑体"/>
          <w:kern w:val="0"/>
          <w:szCs w:val="21"/>
        </w:rPr>
      </w:pPr>
      <w:r>
        <w:rPr>
          <w:rFonts w:ascii="宋体" w:eastAsia="宋体" w:hAnsi="宋体" w:cs="宋体" w:hint="eastAsia"/>
          <w:kern w:val="0"/>
          <w:sz w:val="26"/>
          <w:szCs w:val="21"/>
        </w:rPr>
        <w:t>在道路上用于交通管理目的并以颜色、形状、字符、图形等向道路使用者传递特定信息的设施。</w:t>
      </w:r>
      <w:r>
        <w:rPr>
          <w:b/>
          <w:color w:val="FFFFFF"/>
          <w:sz w:val="0"/>
        </w:rPr>
        <w:t>.</w:t>
      </w:r>
    </w:p>
    <w:p>
      <w:pPr>
        <w:autoSpaceDE w:val="0"/>
        <w:autoSpaceDN w:val="0"/>
        <w:adjustRightInd w:val="0"/>
        <w:spacing w:before="280" w:after="280" w:line="480" w:lineRule="auto"/>
        <w:ind w:firstLine="520" w:firstLineChars="200"/>
        <w:jc w:val="left"/>
        <w:rPr>
          <w:rFonts w:ascii="黑体" w:eastAsia="黑体" w:hAnsi="黑体" w:cs="黑体"/>
          <w:color w:val="000000"/>
          <w:kern w:val="0"/>
          <w:szCs w:val="21"/>
        </w:rPr>
      </w:pPr>
      <w:r>
        <w:rPr>
          <w:rFonts w:ascii="宋体" w:eastAsia="宋体" w:hAnsi="宋体" w:cs="宋体" w:hint="eastAsia"/>
          <w:color w:val="000000"/>
          <w:kern w:val="0"/>
          <w:sz w:val="26"/>
          <w:szCs w:val="21"/>
        </w:rPr>
        <w:t>组合标志</w:t>
      </w:r>
      <w:r>
        <w:rPr>
          <w:rFonts w:ascii="宋体" w:eastAsia="宋体" w:hAnsi="宋体" w:cs="宋体"/>
          <w:color w:val="000000"/>
          <w:kern w:val="0"/>
          <w:sz w:val="26"/>
          <w:szCs w:val="21"/>
        </w:rPr>
        <w:t xml:space="preserve"> combination signs</w:t>
      </w:r>
      <w:r>
        <w:rPr>
          <w:b/>
          <w:color w:val="FFFFFF"/>
          <w:sz w:val="0"/>
        </w:rPr>
        <w:t>.</w:t>
      </w:r>
    </w:p>
    <w:p>
      <w:pPr>
        <w:autoSpaceDE w:val="0"/>
        <w:autoSpaceDN w:val="0"/>
        <w:adjustRightInd w:val="0"/>
        <w:spacing w:before="280" w:after="280" w:line="480" w:lineRule="auto"/>
        <w:ind w:firstLine="520" w:firstLineChars="200"/>
        <w:jc w:val="left"/>
        <w:rPr>
          <w:rFonts w:ascii="宋体" w:eastAsia="宋体" w:hAnsi="宋体" w:cs="黑体"/>
          <w:kern w:val="0"/>
          <w:szCs w:val="21"/>
        </w:rPr>
      </w:pPr>
      <w:r>
        <w:rPr>
          <w:rFonts w:ascii="宋体" w:eastAsia="宋体" w:hAnsi="宋体" w:cs="宋体"/>
          <w:kern w:val="0"/>
          <w:sz w:val="26"/>
          <w:szCs w:val="21"/>
        </w:rPr>
        <w:t>两个或两个以上警告、禁令、指示标志布设在同一个版面上的交通标志。</w:t>
      </w:r>
      <w:r>
        <w:rPr>
          <w:b/>
          <w:color w:val="FFFFFF"/>
          <w:sz w:val="0"/>
        </w:rPr>
        <w:t>.</w:t>
      </w:r>
    </w:p>
    <w:p>
      <w:pPr>
        <w:autoSpaceDE w:val="0"/>
        <w:autoSpaceDN w:val="0"/>
        <w:adjustRightInd w:val="0"/>
        <w:spacing w:before="280" w:after="280" w:line="480" w:lineRule="auto"/>
        <w:ind w:firstLine="520" w:firstLineChars="200"/>
        <w:jc w:val="left"/>
        <w:rPr>
          <w:rFonts w:ascii="黑体" w:eastAsia="黑体" w:hAnsi="黑体" w:cs="黑体"/>
          <w:color w:val="000000"/>
          <w:kern w:val="0"/>
          <w:szCs w:val="21"/>
        </w:rPr>
      </w:pPr>
      <w:r>
        <w:rPr>
          <w:rFonts w:ascii="宋体" w:eastAsia="宋体" w:hAnsi="宋体" w:cs="宋体" w:hint="eastAsia"/>
          <w:color w:val="000000"/>
          <w:kern w:val="0"/>
          <w:sz w:val="26"/>
          <w:szCs w:val="21"/>
        </w:rPr>
        <w:t>作业区</w:t>
      </w:r>
      <w:r>
        <w:rPr>
          <w:rFonts w:ascii="宋体" w:eastAsia="宋体" w:hAnsi="宋体" w:cs="宋体"/>
          <w:color w:val="000000"/>
          <w:kern w:val="0"/>
          <w:sz w:val="26"/>
          <w:szCs w:val="21"/>
        </w:rPr>
        <w:t xml:space="preserve"> work zone</w:t>
      </w:r>
      <w:r>
        <w:rPr>
          <w:b/>
          <w:color w:val="FFFFFF"/>
          <w:sz w:val="0"/>
        </w:rPr>
        <w:t>.</w:t>
      </w:r>
    </w:p>
    <w:p>
      <w:pPr>
        <w:autoSpaceDE w:val="0"/>
        <w:autoSpaceDN w:val="0"/>
        <w:adjustRightInd w:val="0"/>
        <w:spacing w:before="280" w:after="280" w:line="480" w:lineRule="auto"/>
        <w:ind w:firstLine="520" w:firstLineChars="200"/>
        <w:jc w:val="left"/>
        <w:rPr>
          <w:rFonts w:ascii="宋体" w:eastAsia="宋体" w:hAnsi="宋体" w:cs="黑体"/>
          <w:kern w:val="0"/>
          <w:szCs w:val="21"/>
        </w:rPr>
      </w:pPr>
      <w:r>
        <w:rPr>
          <w:rFonts w:ascii="宋体" w:eastAsia="宋体" w:hAnsi="宋体" w:cs="宋体" w:hint="eastAsia"/>
          <w:kern w:val="0"/>
          <w:sz w:val="26"/>
          <w:szCs w:val="21"/>
        </w:rPr>
        <w:t>由于道路施工、养护等作业影响交通运行，而进行交通管控的路段。</w:t>
      </w:r>
      <w:r>
        <w:rPr>
          <w:b/>
          <w:color w:val="FFFFFF"/>
          <w:sz w:val="0"/>
        </w:rPr>
        <w:t>.</w:t>
      </w:r>
    </w:p>
    <w:p>
      <w:pPr>
        <w:widowControl/>
        <w:autoSpaceDE w:val="0"/>
        <w:autoSpaceDN w:val="0"/>
        <w:adjustRightInd w:val="0"/>
        <w:spacing w:before="280" w:after="280" w:line="480" w:lineRule="auto"/>
        <w:jc w:val="left"/>
        <w:outlineLvl w:val="1"/>
        <w:rPr>
          <w:rFonts w:ascii="黑体" w:eastAsia="黑体" w:hAnsi="黑体" w:cs="黑体"/>
          <w:color w:val="000000"/>
          <w:kern w:val="0"/>
          <w:szCs w:val="21"/>
        </w:rPr>
        <w:sectPr>
          <w:headerReference w:type="default" r:id="rId9"/>
          <w:type w:val="nextPage"/>
          <w:pgSz w:w="11906" w:h="16838"/>
          <w:pgMar w:top="1440" w:right="1134" w:bottom="1440" w:left="1418" w:header="851" w:footer="992" w:gutter="0"/>
          <w:pgNumType w:start="3"/>
          <w:cols w:num="1" w:space="425"/>
          <w:titlePg w:val="0"/>
          <w:docGrid w:type="lines" w:linePitch="312" w:charSpace="0"/>
        </w:sectPr>
      </w:pPr>
      <w:bookmarkStart w:id="5" w:name="_Toc510961708"/>
      <w:r>
        <w:rPr>
          <w:rFonts w:ascii="宋体" w:eastAsia="宋体" w:hAnsi="宋体" w:cs="宋体" w:hint="eastAsia"/>
          <w:color w:val="000000"/>
          <w:kern w:val="0"/>
          <w:sz w:val="26"/>
          <w:szCs w:val="21"/>
        </w:rPr>
        <w:t>4 基本</w:t>
      </w:r>
      <w:bookmarkEnd w:id="5"/>
      <w:r>
        <w:rPr>
          <w:rFonts w:ascii="宋体" w:eastAsia="宋体" w:hAnsi="宋体" w:cs="宋体" w:hint="eastAsia"/>
          <w:color w:val="000000"/>
          <w:kern w:val="0"/>
          <w:sz w:val="26"/>
          <w:szCs w:val="21"/>
        </w:rPr>
        <w:t>要求</w:t>
      </w:r>
      <w:r>
        <w:rPr>
          <w:b/>
          <w:color w:val="FFFFFF"/>
          <w:sz w:val="0"/>
        </w:rPr>
        <w:t>.</w:t>
      </w:r>
    </w:p>
    <w:p>
      <w:pPr>
        <w:autoSpaceDE w:val="0"/>
        <w:autoSpaceDN w:val="0"/>
        <w:adjustRightInd w:val="0"/>
        <w:spacing w:before="280" w:after="280" w:line="480" w:lineRule="auto"/>
        <w:jc w:val="left"/>
        <w:rPr>
          <w:rFonts w:asciiTheme="minorEastAsia" w:hAnsiTheme="minorEastAsia" w:cs="Times New Roman"/>
          <w:kern w:val="0"/>
          <w:szCs w:val="21"/>
        </w:rPr>
      </w:pPr>
      <w:r>
        <w:rPr>
          <w:rFonts w:ascii="宋体" w:eastAsia="宋体" w:hAnsi="宋体" w:cs="宋体"/>
          <w:kern w:val="0"/>
          <w:sz w:val="26"/>
          <w:szCs w:val="21"/>
        </w:rPr>
        <w:t xml:space="preserve"> 交通标志不应传递与道路交通无关的信息。</w:t>
      </w:r>
      <w:r>
        <w:rPr>
          <w:b/>
          <w:color w:val="FFFFFF"/>
          <w:sz w:val="0"/>
        </w:rPr>
        <w:t>.</w:t>
      </w:r>
    </w:p>
    <w:p>
      <w:pPr>
        <w:autoSpaceDE w:val="0"/>
        <w:autoSpaceDN w:val="0"/>
        <w:adjustRightInd w:val="0"/>
        <w:spacing w:before="280" w:after="280" w:line="480" w:lineRule="auto"/>
        <w:jc w:val="left"/>
        <w:rPr>
          <w:rFonts w:asciiTheme="minorEastAsia" w:hAnsiTheme="minorEastAsia" w:cs="Times New Roman"/>
          <w:kern w:val="0"/>
          <w:szCs w:val="21"/>
        </w:rPr>
      </w:pPr>
      <w:r>
        <w:rPr>
          <w:rFonts w:ascii="宋体" w:eastAsia="宋体" w:hAnsi="宋体" w:cs="宋体"/>
          <w:kern w:val="0"/>
          <w:sz w:val="26"/>
          <w:szCs w:val="21"/>
        </w:rPr>
        <w:t xml:space="preserve"> 同一版面中的禁令或指示标志的数量不应多于4种；快速路、隧道、特大桥路段的入口处，同一版面中的禁令或指示标志的数量不应多于6种。安装在同一支撑结构上标志不应超过4个，并应按禁令、指示、警告的顺序，先上后下、先左后右排列；同类标志的设置顺序，应按提示信息的重要程度排列。</w:t>
      </w:r>
      <w:r>
        <w:rPr>
          <w:b/>
          <w:color w:val="FFFFFF"/>
          <w:sz w:val="0"/>
        </w:rPr>
        <w:t>.</w:t>
      </w:r>
    </w:p>
    <w:p>
      <w:pPr>
        <w:autoSpaceDE w:val="0"/>
        <w:autoSpaceDN w:val="0"/>
        <w:adjustRightInd w:val="0"/>
        <w:spacing w:before="280" w:after="280" w:line="480" w:lineRule="auto"/>
        <w:jc w:val="left"/>
        <w:rPr>
          <w:rFonts w:asciiTheme="minorEastAsia" w:hAnsiTheme="minorEastAsia" w:cs="Times New Roman"/>
          <w:kern w:val="0"/>
          <w:szCs w:val="21"/>
        </w:rPr>
      </w:pPr>
      <w:r>
        <w:rPr>
          <w:rFonts w:ascii="宋体" w:eastAsia="宋体" w:hAnsi="宋体" w:cs="宋体"/>
          <w:kern w:val="0"/>
          <w:sz w:val="26"/>
          <w:szCs w:val="21"/>
        </w:rPr>
        <w:t xml:space="preserve"> 圆形标志版面直径为（立柱安装的为），三角形边长为，八角形标志外径为。</w:t>
      </w:r>
      <w:r>
        <w:rPr>
          <w:b/>
          <w:color w:val="FFFFFF"/>
          <w:sz w:val="0"/>
        </w:rPr>
        <w:t>.</w:t>
      </w:r>
    </w:p>
    <w:p>
      <w:pPr>
        <w:autoSpaceDE w:val="0"/>
        <w:autoSpaceDN w:val="0"/>
        <w:adjustRightInd w:val="0"/>
        <w:spacing w:before="280" w:after="280" w:line="480" w:lineRule="auto"/>
        <w:jc w:val="left"/>
        <w:rPr>
          <w:rFonts w:asciiTheme="minorEastAsia" w:hAnsiTheme="minorEastAsia" w:cs="Times New Roman"/>
          <w:kern w:val="0"/>
          <w:szCs w:val="21"/>
        </w:rPr>
      </w:pPr>
      <w:r>
        <w:rPr>
          <w:rFonts w:ascii="宋体" w:eastAsia="宋体" w:hAnsi="宋体" w:cs="宋体"/>
          <w:kern w:val="0"/>
          <w:sz w:val="26"/>
          <w:szCs w:val="21"/>
        </w:rPr>
        <w:t xml:space="preserve"> 交通标志的汉字、拼音字母、拉丁字母、数字等采用道路交通标志字体（简体）。</w:t>
      </w:r>
      <w:r>
        <w:rPr>
          <w:b/>
          <w:color w:val="FFFFFF"/>
          <w:sz w:val="0"/>
        </w:rPr>
        <w:t>.</w:t>
      </w:r>
    </w:p>
    <w:p>
      <w:pPr>
        <w:autoSpaceDE w:val="0"/>
        <w:autoSpaceDN w:val="0"/>
        <w:adjustRightInd w:val="0"/>
        <w:spacing w:before="280" w:after="280" w:line="480" w:lineRule="auto"/>
        <w:jc w:val="left"/>
        <w:rPr>
          <w:rFonts w:asciiTheme="minorEastAsia" w:hAnsiTheme="minorEastAsia" w:cs="Times New Roman"/>
          <w:kern w:val="0"/>
          <w:szCs w:val="21"/>
        </w:rPr>
      </w:pPr>
      <w:r>
        <w:rPr>
          <w:rFonts w:ascii="宋体" w:eastAsia="宋体" w:hAnsi="宋体" w:cs="宋体"/>
          <w:kern w:val="0"/>
          <w:sz w:val="26"/>
          <w:szCs w:val="21"/>
        </w:rPr>
        <w:t xml:space="preserve"> 标志及支撑结构的竖向及横向最小净空应满足：悬臂类标志板及悬臂结构下缘至路面的最小净空高度应大于，人行道上立柱类标志板及立柱结构下缘至人行道路面的最小净空高度应大于；位于路侧的各类标志板边缘及标志支撑结构边缘至车行道路面边缘的侧向距离，应大于或等于。</w:t>
      </w:r>
      <w:r>
        <w:rPr>
          <w:b/>
          <w:color w:val="FFFFFF"/>
          <w:sz w:val="0"/>
        </w:rPr>
        <w:t>.</w:t>
      </w:r>
    </w:p>
    <w:p>
      <w:pPr>
        <w:autoSpaceDE w:val="0"/>
        <w:autoSpaceDN w:val="0"/>
        <w:adjustRightInd w:val="0"/>
        <w:spacing w:before="280" w:after="280" w:line="480" w:lineRule="auto"/>
        <w:jc w:val="left"/>
        <w:rPr>
          <w:rFonts w:asciiTheme="minorEastAsia" w:hAnsiTheme="minorEastAsia" w:cs="Times New Roman"/>
          <w:kern w:val="0"/>
          <w:szCs w:val="21"/>
        </w:rPr>
      </w:pPr>
      <w:r>
        <w:rPr>
          <w:rFonts w:ascii="宋体" w:eastAsia="宋体" w:hAnsi="宋体" w:cs="宋体"/>
          <w:kern w:val="0"/>
          <w:sz w:val="26"/>
          <w:szCs w:val="21"/>
        </w:rPr>
        <w:t xml:space="preserve"> 标志的支撑结构（标志杆）应采用立柱为标准深灰色 CD-001（色标为C0 M0 Y0 K66)/横臂为标准浅灰色 CD-002（色标为C0 M0 Y0 K47)。标志板背面颜色与所附载体颜色一致。同一路段，同类标志支撑方式宜保持一致。</w:t>
      </w:r>
      <w:r>
        <w:rPr>
          <w:b/>
          <w:color w:val="FFFFFF"/>
          <w:sz w:val="0"/>
        </w:rPr>
        <w:t>.</w:t>
      </w:r>
    </w:p>
    <w:p>
      <w:pPr>
        <w:autoSpaceDE w:val="0"/>
        <w:autoSpaceDN w:val="0"/>
        <w:adjustRightInd w:val="0"/>
        <w:spacing w:before="280" w:after="280" w:line="480" w:lineRule="auto"/>
        <w:jc w:val="left"/>
        <w:rPr>
          <w:rFonts w:asciiTheme="minorEastAsia" w:hAnsiTheme="minorEastAsia" w:cs="Times New Roman"/>
          <w:kern w:val="0"/>
          <w:szCs w:val="21"/>
        </w:rPr>
      </w:pPr>
      <w:r>
        <w:rPr>
          <w:rFonts w:ascii="宋体" w:eastAsia="宋体" w:hAnsi="宋体" w:cs="宋体"/>
          <w:kern w:val="0"/>
          <w:sz w:val="26"/>
          <w:szCs w:val="21"/>
        </w:rPr>
        <w:t xml:space="preserve"> 城市道路上的标志采用GB/T 18833-2012中</w:t>
      </w:r>
      <w:r>
        <w:rPr>
          <w:rFonts w:ascii="宋体" w:eastAsia="宋体" w:hAnsi="宋体" w:cs="宋体" w:hint="eastAsia"/>
          <w:kern w:val="0"/>
          <w:sz w:val="26"/>
          <w:szCs w:val="21"/>
        </w:rPr>
        <w:t>Ⅳ</w:t>
      </w:r>
      <w:r>
        <w:rPr>
          <w:rFonts w:ascii="宋体" w:eastAsia="宋体" w:hAnsi="宋体" w:cs="宋体"/>
          <w:kern w:val="0"/>
          <w:sz w:val="26"/>
          <w:szCs w:val="21"/>
        </w:rPr>
        <w:t>类微棱镜型反光膜，城市快速路、高速公路上的标志采用GB/T 18833-2012中</w:t>
      </w:r>
      <w:r>
        <w:rPr>
          <w:rFonts w:ascii="宋体" w:eastAsia="宋体" w:hAnsi="宋体" w:cs="宋体" w:hint="eastAsia"/>
          <w:kern w:val="0"/>
          <w:sz w:val="26"/>
          <w:szCs w:val="21"/>
        </w:rPr>
        <w:t>Ⅴ</w:t>
      </w:r>
      <w:r>
        <w:rPr>
          <w:rFonts w:ascii="宋体" w:eastAsia="宋体" w:hAnsi="宋体" w:cs="宋体"/>
          <w:kern w:val="0"/>
          <w:sz w:val="26"/>
          <w:szCs w:val="21"/>
        </w:rPr>
        <w:t>类微棱镜型反光膜。</w:t>
      </w:r>
      <w:r>
        <w:rPr>
          <w:b/>
          <w:color w:val="FFFFFF"/>
          <w:sz w:val="0"/>
        </w:rPr>
        <w:t>.</w:t>
      </w:r>
    </w:p>
    <w:p>
      <w:pPr>
        <w:autoSpaceDE w:val="0"/>
        <w:autoSpaceDN w:val="0"/>
        <w:adjustRightInd w:val="0"/>
        <w:spacing w:before="280" w:after="280" w:line="480" w:lineRule="auto"/>
        <w:jc w:val="left"/>
        <w:rPr>
          <w:rFonts w:asciiTheme="minorEastAsia" w:hAnsiTheme="minorEastAsia" w:cs="Times New Roman"/>
          <w:kern w:val="0"/>
          <w:szCs w:val="21"/>
        </w:rPr>
        <w:sectPr>
          <w:headerReference w:type="default" r:id="rId10"/>
          <w:type w:val="nextPage"/>
          <w:pgSz w:w="11906" w:h="16838"/>
          <w:pgMar w:top="1440" w:right="1134" w:bottom="1440" w:left="1418" w:header="851" w:footer="992" w:gutter="0"/>
          <w:pgNumType w:start="4"/>
          <w:cols w:num="1" w:space="425"/>
          <w:titlePg w:val="0"/>
          <w:docGrid w:type="lines" w:linePitch="312" w:charSpace="0"/>
        </w:sectPr>
      </w:pPr>
      <w:r>
        <w:rPr>
          <w:rFonts w:ascii="宋体" w:eastAsia="宋体" w:hAnsi="宋体" w:cs="宋体"/>
          <w:kern w:val="0"/>
          <w:sz w:val="26"/>
          <w:szCs w:val="21"/>
        </w:rPr>
        <w:t xml:space="preserve"> 交通工程开工前应由建设业主主持，设计、主管、接养和施工、监理、过控、审计等单位负责人参加的技术交底会议。</w:t>
      </w:r>
      <w:r>
        <w:rPr>
          <w:b/>
          <w:color w:val="FFFFFF"/>
          <w:sz w:val="0"/>
        </w:rPr>
        <w:t>.</w:t>
      </w:r>
    </w:p>
    <w:p>
      <w:pPr>
        <w:pStyle w:val="CommentText"/>
        <w:spacing w:before="280" w:after="280" w:line="480" w:lineRule="auto"/>
      </w:pPr>
      <w:r>
        <w:rPr>
          <w:rFonts w:ascii="宋体" w:eastAsia="宋体" w:hAnsi="宋体" w:cs="宋体" w:hint="eastAsia"/>
          <w:kern w:val="0"/>
          <w:sz w:val="26"/>
          <w:szCs w:val="21"/>
        </w:rPr>
        <w:t xml:space="preserve"> 建设业主应向市、区级民政部门征询道路的标准命名，不得在</w:t>
      </w:r>
      <w:r>
        <w:rPr>
          <w:rFonts w:ascii="宋体" w:eastAsia="宋体" w:hAnsi="宋体" w:cs="宋体"/>
          <w:kern w:val="0"/>
          <w:sz w:val="26"/>
          <w:szCs w:val="21"/>
        </w:rPr>
        <w:t>指路标志版面中</w:t>
      </w:r>
      <w:r>
        <w:rPr>
          <w:rFonts w:ascii="宋体" w:eastAsia="宋体" w:hAnsi="宋体" w:cs="宋体" w:hint="eastAsia"/>
          <w:kern w:val="0"/>
          <w:sz w:val="26"/>
          <w:szCs w:val="21"/>
        </w:rPr>
        <w:t>出现“规划道路”或</w:t>
      </w:r>
      <w:r>
        <w:rPr>
          <w:rFonts w:ascii="宋体" w:eastAsia="宋体" w:hAnsi="宋体" w:cs="宋体"/>
          <w:kern w:val="0"/>
          <w:sz w:val="26"/>
          <w:szCs w:val="21"/>
        </w:rPr>
        <w:t>路</w:t>
      </w:r>
      <w:r>
        <w:rPr>
          <w:rFonts w:ascii="宋体" w:eastAsia="宋体" w:hAnsi="宋体" w:cs="宋体" w:hint="eastAsia"/>
          <w:kern w:val="0"/>
          <w:sz w:val="26"/>
          <w:szCs w:val="21"/>
        </w:rPr>
        <w:t>的</w:t>
      </w:r>
      <w:r>
        <w:rPr>
          <w:rFonts w:ascii="宋体" w:eastAsia="宋体" w:hAnsi="宋体" w:cs="宋体"/>
          <w:kern w:val="0"/>
          <w:sz w:val="26"/>
          <w:szCs w:val="21"/>
        </w:rPr>
        <w:t>工程名称</w:t>
      </w:r>
      <w:r>
        <w:rPr>
          <w:rFonts w:ascii="宋体" w:eastAsia="宋体" w:hAnsi="宋体" w:cs="宋体" w:hint="eastAsia"/>
          <w:kern w:val="0"/>
          <w:sz w:val="26"/>
          <w:szCs w:val="21"/>
        </w:rPr>
        <w:t>，</w:t>
      </w:r>
      <w:r>
        <w:rPr>
          <w:rFonts w:ascii="宋体" w:eastAsia="宋体" w:hAnsi="宋体" w:cs="宋体"/>
          <w:kern w:val="0"/>
          <w:sz w:val="26"/>
          <w:szCs w:val="21"/>
        </w:rPr>
        <w:t>无法核实</w:t>
      </w:r>
      <w:r>
        <w:rPr>
          <w:rFonts w:ascii="宋体" w:eastAsia="宋体" w:hAnsi="宋体" w:cs="宋体" w:hint="eastAsia"/>
          <w:kern w:val="0"/>
          <w:sz w:val="26"/>
          <w:szCs w:val="21"/>
        </w:rPr>
        <w:t>的道路名称</w:t>
      </w:r>
      <w:r>
        <w:rPr>
          <w:rFonts w:ascii="宋体" w:eastAsia="宋体" w:hAnsi="宋体" w:cs="宋体"/>
          <w:kern w:val="0"/>
          <w:sz w:val="26"/>
          <w:szCs w:val="21"/>
        </w:rPr>
        <w:t>可暂缓实施</w:t>
      </w:r>
      <w:r>
        <w:rPr>
          <w:rFonts w:ascii="宋体" w:eastAsia="宋体" w:hAnsi="宋体" w:cs="宋体" w:hint="eastAsia"/>
          <w:kern w:val="0"/>
          <w:sz w:val="26"/>
          <w:szCs w:val="21"/>
        </w:rPr>
        <w:t>。</w:t>
      </w:r>
      <w:r>
        <w:rPr>
          <w:rFonts w:ascii="宋体" w:eastAsia="宋体" w:hAnsi="宋体" w:cs="宋体"/>
          <w:kern w:val="0"/>
          <w:sz w:val="26"/>
          <w:szCs w:val="21"/>
        </w:rPr>
        <w:t>根据具体情况</w:t>
      </w:r>
      <w:r>
        <w:rPr>
          <w:rFonts w:ascii="宋体" w:eastAsia="宋体" w:hAnsi="宋体" w:cs="宋体" w:hint="eastAsia"/>
          <w:kern w:val="0"/>
          <w:sz w:val="26"/>
          <w:szCs w:val="21"/>
        </w:rPr>
        <w:t>可以前</w:t>
      </w:r>
      <w:r>
        <w:rPr>
          <w:rFonts w:ascii="宋体" w:eastAsia="宋体" w:hAnsi="宋体" w:cs="宋体"/>
          <w:kern w:val="0"/>
          <w:sz w:val="26"/>
          <w:szCs w:val="21"/>
        </w:rPr>
        <w:t>期预留标志基础，待道路名称确定后再设置路口指路标志。指路标志牌</w:t>
      </w:r>
      <w:r>
        <w:rPr>
          <w:rFonts w:ascii="宋体" w:eastAsia="宋体" w:hAnsi="宋体" w:cs="宋体" w:hint="eastAsia"/>
          <w:sz w:val="26"/>
        </w:rPr>
        <w:t>部分道路名称为规划道路、工程名称</w:t>
      </w:r>
      <w:r>
        <w:rPr>
          <w:rFonts w:ascii="宋体" w:eastAsia="宋体" w:hAnsi="宋体" w:cs="宋体"/>
          <w:kern w:val="0"/>
          <w:sz w:val="26"/>
          <w:szCs w:val="21"/>
        </w:rPr>
        <w:t>或无法核实</w:t>
      </w:r>
      <w:r>
        <w:rPr>
          <w:rFonts w:ascii="宋体" w:eastAsia="宋体" w:hAnsi="宋体" w:cs="宋体" w:hint="eastAsia"/>
          <w:kern w:val="0"/>
          <w:sz w:val="26"/>
          <w:szCs w:val="21"/>
        </w:rPr>
        <w:t>名称</w:t>
      </w:r>
      <w:r>
        <w:rPr>
          <w:rFonts w:ascii="宋体" w:eastAsia="宋体" w:hAnsi="宋体" w:cs="宋体" w:hint="eastAsia"/>
          <w:sz w:val="26"/>
        </w:rPr>
        <w:t>时应实施版面其他确认的道路名称，仅对应的</w:t>
      </w:r>
      <w:r>
        <w:rPr>
          <w:rFonts w:ascii="宋体" w:eastAsia="宋体" w:hAnsi="宋体" w:cs="宋体"/>
          <w:kern w:val="0"/>
          <w:sz w:val="26"/>
          <w:szCs w:val="21"/>
        </w:rPr>
        <w:t>规划道路名称、工程名称或无法核实的</w:t>
      </w:r>
      <w:r>
        <w:rPr>
          <w:rFonts w:ascii="宋体" w:eastAsia="宋体" w:hAnsi="宋体" w:cs="宋体" w:hint="eastAsia"/>
          <w:kern w:val="0"/>
          <w:sz w:val="26"/>
          <w:szCs w:val="21"/>
        </w:rPr>
        <w:t>名称</w:t>
      </w:r>
      <w:r>
        <w:rPr>
          <w:rFonts w:ascii="宋体" w:eastAsia="宋体" w:hAnsi="宋体" w:cs="宋体" w:hint="eastAsia"/>
          <w:sz w:val="26"/>
        </w:rPr>
        <w:t>暂不体现。</w:t>
      </w:r>
      <w:r>
        <w:rPr>
          <w:b/>
          <w:color w:val="FFFFFF"/>
          <w:sz w:val="0"/>
        </w:rPr>
        <w:t>.</w:t>
      </w:r>
    </w:p>
    <w:p>
      <w:pPr>
        <w:widowControl/>
        <w:autoSpaceDE w:val="0"/>
        <w:autoSpaceDN w:val="0"/>
        <w:adjustRightInd w:val="0"/>
        <w:spacing w:before="280" w:after="280" w:line="480" w:lineRule="auto"/>
        <w:jc w:val="left"/>
        <w:outlineLvl w:val="1"/>
        <w:rPr>
          <w:rFonts w:ascii="黑体" w:eastAsia="黑体" w:hAnsi="黑体" w:cs="黑体"/>
          <w:color w:val="000000"/>
          <w:kern w:val="0"/>
          <w:szCs w:val="21"/>
        </w:rPr>
      </w:pPr>
      <w:bookmarkStart w:id="6" w:name="_Toc510961709"/>
      <w:r>
        <w:rPr>
          <w:rFonts w:ascii="宋体" w:eastAsia="宋体" w:hAnsi="宋体" w:cs="宋体" w:hint="eastAsia"/>
          <w:color w:val="000000"/>
          <w:kern w:val="0"/>
          <w:sz w:val="26"/>
          <w:szCs w:val="21"/>
        </w:rPr>
        <w:t xml:space="preserve">5 </w:t>
      </w:r>
      <w:r>
        <w:rPr>
          <w:rFonts w:ascii="宋体" w:eastAsia="宋体" w:hAnsi="宋体" w:cs="宋体"/>
          <w:color w:val="000000"/>
          <w:kern w:val="0"/>
          <w:sz w:val="26"/>
          <w:szCs w:val="21"/>
        </w:rPr>
        <w:t>标志设置要点</w:t>
      </w:r>
      <w:bookmarkEnd w:id="6"/>
      <w:r>
        <w:rPr>
          <w:b/>
          <w:color w:val="FFFFFF"/>
          <w:sz w:val="0"/>
        </w:rPr>
        <w:t>.</w:t>
      </w:r>
    </w:p>
    <w:p>
      <w:pPr>
        <w:widowControl/>
        <w:autoSpaceDE w:val="0"/>
        <w:autoSpaceDN w:val="0"/>
        <w:adjustRightInd w:val="0"/>
        <w:spacing w:before="280" w:after="280" w:line="480" w:lineRule="auto"/>
        <w:jc w:val="left"/>
        <w:outlineLvl w:val="2"/>
        <w:rPr>
          <w:rFonts w:ascii="黑体" w:eastAsia="黑体" w:hAnsi="黑体" w:cs="黑体"/>
          <w:color w:val="000000"/>
          <w:kern w:val="0"/>
          <w:szCs w:val="21"/>
        </w:rPr>
      </w:pPr>
      <w:r>
        <w:rPr>
          <w:rFonts w:ascii="宋体" w:eastAsia="宋体" w:hAnsi="宋体" w:cs="宋体" w:hint="eastAsia"/>
          <w:color w:val="000000"/>
          <w:kern w:val="0"/>
          <w:sz w:val="26"/>
          <w:szCs w:val="21"/>
        </w:rPr>
        <w:t xml:space="preserve"> 基本原则</w:t>
      </w:r>
      <w:r>
        <w:rPr>
          <w:b/>
          <w:color w:val="FFFFFF"/>
          <w:sz w:val="0"/>
        </w:rPr>
        <w:t>.</w:t>
      </w:r>
    </w:p>
    <w:p>
      <w:pPr>
        <w:autoSpaceDE w:val="0"/>
        <w:autoSpaceDN w:val="0"/>
        <w:adjustRightInd w:val="0"/>
        <w:spacing w:before="280" w:after="280" w:line="480" w:lineRule="auto"/>
        <w:jc w:val="left"/>
        <w:rPr>
          <w:rFonts w:ascii="Times New Roman" w:eastAsia="宋体" w:hAnsi="Times New Roman" w:cs="Times New Roman"/>
          <w:kern w:val="0"/>
          <w:szCs w:val="21"/>
        </w:rPr>
      </w:pPr>
      <w:r>
        <w:rPr>
          <w:rFonts w:ascii="宋体" w:eastAsia="宋体" w:hAnsi="宋体" w:cs="宋体"/>
          <w:kern w:val="0"/>
          <w:sz w:val="26"/>
          <w:szCs w:val="21"/>
        </w:rPr>
        <w:t xml:space="preserve"> 严格</w:t>
      </w:r>
      <w:r>
        <w:rPr>
          <w:rFonts w:ascii="宋体" w:eastAsia="宋体" w:hAnsi="宋体" w:cs="宋体" w:hint="eastAsia"/>
          <w:kern w:val="0"/>
          <w:sz w:val="26"/>
          <w:szCs w:val="21"/>
        </w:rPr>
        <w:t>符合</w:t>
      </w:r>
      <w:r>
        <w:rPr>
          <w:rFonts w:ascii="宋体" w:eastAsia="宋体" w:hAnsi="宋体" w:cs="宋体"/>
          <w:kern w:val="0"/>
          <w:sz w:val="26"/>
          <w:szCs w:val="21"/>
        </w:rPr>
        <w:t>和GB51038的规定分类设置交通标志，从路段进入路口依次为：指路标志（距路口停止线80-120米处设置）、车道行驶方向标志（设置在车道发生变化前，原则上距路口停止线30-40米处设置）、禁止行驶方向标志（距路口停止线30-40米处设置，可与车道行驶方向标志组合设置）。如图</w:t>
      </w:r>
      <w:r>
        <w:rPr>
          <w:rFonts w:ascii="宋体" w:eastAsia="宋体" w:hAnsi="宋体" w:cs="宋体" w:hint="eastAsia"/>
          <w:kern w:val="0"/>
          <w:sz w:val="26"/>
          <w:szCs w:val="21"/>
        </w:rPr>
        <w:t>1、图2所示：</w:t>
      </w:r>
      <w:r>
        <w:rPr>
          <w:b/>
          <w:color w:val="FFFFFF"/>
          <w:sz w:val="0"/>
        </w:rPr>
        <w:t>.</w:t>
      </w:r>
    </w:p>
    <w:p>
      <w:pPr>
        <w:spacing w:before="280" w:after="280" w:line="480" w:lineRule="auto"/>
        <w:jc w:val="center"/>
        <w:rPr>
          <w:rFonts w:ascii="黑体" w:eastAsia="黑体" w:hAnsi="黑体" w:cs="Times New Roman"/>
          <w:szCs w:val="21"/>
        </w:rPr>
      </w:pPr>
      <w:r>
        <w:rPr>
          <w:rFonts w:ascii="宋体" w:eastAsia="宋体" w:hAnsi="宋体" w:cs="宋体" w:hint="eastAsia"/>
          <w:sz w:val="26"/>
          <w:szCs w:val="21"/>
        </w:rPr>
        <w:t>图1 单向三车道（不含）以下道路设置示意图</w:t>
      </w:r>
      <w:r>
        <w:rPr>
          <w:b/>
          <w:color w:val="FFFFFF"/>
          <w:sz w:val="0"/>
        </w:rPr>
        <w:t>.</w:t>
      </w:r>
    </w:p>
    <w:p>
      <w:pPr>
        <w:spacing w:before="280" w:after="280" w:line="480" w:lineRule="auto"/>
        <w:jc w:val="center"/>
        <w:rPr>
          <w:rFonts w:ascii="黑体" w:eastAsia="黑体" w:hAnsi="黑体" w:cs="Times New Roman"/>
          <w:szCs w:val="21"/>
        </w:rPr>
      </w:pPr>
      <w:r>
        <w:rPr>
          <w:rFonts w:ascii="宋体" w:eastAsia="宋体" w:hAnsi="宋体" w:cs="宋体" w:hint="eastAsia"/>
          <w:sz w:val="26"/>
          <w:szCs w:val="21"/>
        </w:rPr>
        <w:t>图2 单向三车道（含）以上道路设置示意图</w:t>
      </w:r>
      <w:r>
        <w:rPr>
          <w:b/>
          <w:color w:val="FFFFFF"/>
          <w:sz w:val="0"/>
        </w:rPr>
        <w:t>.</w:t>
      </w:r>
    </w:p>
    <w:p>
      <w:pPr>
        <w:spacing w:before="280" w:after="280" w:line="480" w:lineRule="auto"/>
        <w:rPr>
          <w:rFonts w:ascii="黑体" w:eastAsia="黑体" w:hAnsi="黑体" w:cs="Times New Roman"/>
          <w:szCs w:val="21"/>
        </w:rPr>
      </w:pPr>
      <w:r>
        <w:rPr>
          <w:rFonts w:ascii="宋体" w:eastAsia="宋体" w:hAnsi="宋体" w:cs="宋体" w:hint="eastAsia"/>
          <w:color w:val="000000"/>
          <w:kern w:val="0"/>
          <w:sz w:val="26"/>
          <w:szCs w:val="21"/>
        </w:rPr>
        <w:t xml:space="preserve"> 一般要求</w:t>
      </w:r>
      <w:r>
        <w:rPr>
          <w:b/>
          <w:color w:val="FFFFFF"/>
          <w:sz w:val="0"/>
        </w:rPr>
        <w:t>.</w:t>
      </w:r>
    </w:p>
    <w:p>
      <w:pPr>
        <w:spacing w:before="280" w:after="280" w:line="480" w:lineRule="auto"/>
        <w:rPr>
          <w:rFonts w:ascii="Times New Roman" w:eastAsia="宋体" w:hAnsi="Times New Roman" w:cs="Times New Roman"/>
          <w:color w:val="000000" w:themeColor="text1"/>
          <w:szCs w:val="24"/>
          <w14:textFill>
            <w14:solidFill>
              <w14:schemeClr w14:val="tx1"/>
            </w14:solidFill>
          </w14:textFill>
        </w:rPr>
      </w:pPr>
      <w:r>
        <w:rPr>
          <w:rFonts w:ascii="宋体" w:eastAsia="宋体" w:hAnsi="宋体" w:cs="宋体"/>
          <w:kern w:val="0"/>
          <w:sz w:val="26"/>
          <w:szCs w:val="21"/>
        </w:rPr>
        <w:t xml:space="preserve"> </w:t>
      </w:r>
      <w:r>
        <w:rPr>
          <w:rFonts w:ascii="宋体" w:eastAsia="宋体" w:hAnsi="宋体" w:cs="宋体" w:hint="eastAsia"/>
          <w:sz w:val="26"/>
          <w:szCs w:val="24"/>
        </w:rPr>
        <w:t>指路标志版面尺寸应符合《道路指路标志系统》（DB510100/T129）标准规范的要求</w:t>
      </w:r>
      <w:r>
        <w:rPr>
          <w:rFonts w:ascii="宋体" w:eastAsia="宋体" w:hAnsi="宋体" w:cs="宋体"/>
          <w:sz w:val="26"/>
          <w:szCs w:val="24"/>
        </w:rPr>
        <w:t>。即：机动车双向六车道及以上道路版面尺寸</w:t>
      </w:r>
      <w:r>
        <w:rPr>
          <w:rFonts w:ascii="宋体" w:eastAsia="宋体" w:hAnsi="宋体" w:cs="宋体"/>
          <w:color w:val="000000" w:themeColor="text1"/>
          <w:sz w:val="26"/>
          <w:szCs w:val="24"/>
          <w14:textFill>
            <w14:solidFill>
              <w14:schemeClr w14:val="tx1"/>
            </w14:solidFill>
          </w14:textFill>
        </w:rPr>
        <w:t>为5×米，机动车双向五车道</w:t>
      </w:r>
      <w:r>
        <w:rPr>
          <w:rFonts w:ascii="宋体" w:eastAsia="宋体" w:hAnsi="宋体" w:cs="宋体" w:hint="eastAsia"/>
          <w:color w:val="000000" w:themeColor="text1"/>
          <w:sz w:val="26"/>
          <w:szCs w:val="24"/>
          <w14:textFill>
            <w14:solidFill>
              <w14:schemeClr w14:val="tx1"/>
            </w14:solidFill>
          </w14:textFill>
        </w:rPr>
        <w:t>以下</w:t>
      </w:r>
      <w:r>
        <w:rPr>
          <w:rFonts w:ascii="宋体" w:eastAsia="宋体" w:hAnsi="宋体" w:cs="宋体"/>
          <w:color w:val="000000" w:themeColor="text1"/>
          <w:sz w:val="26"/>
          <w:szCs w:val="24"/>
          <w14:textFill>
            <w14:solidFill>
              <w14:schemeClr w14:val="tx1"/>
            </w14:solidFill>
          </w14:textFill>
        </w:rPr>
        <w:t>道路版面尺寸为4×米，</w:t>
      </w:r>
      <w:r>
        <w:rPr>
          <w:rFonts w:ascii="宋体" w:eastAsia="宋体" w:hAnsi="宋体" w:cs="宋体" w:hint="eastAsia"/>
          <w:color w:val="000000" w:themeColor="text1"/>
          <w:sz w:val="26"/>
          <w:szCs w:val="24"/>
          <w14:textFill>
            <w14:solidFill>
              <w14:schemeClr w14:val="tx1"/>
            </w14:solidFill>
          </w14:textFill>
        </w:rPr>
        <w:t>支</w:t>
      </w:r>
      <w:r>
        <w:rPr>
          <w:rFonts w:ascii="宋体" w:eastAsia="宋体" w:hAnsi="宋体" w:cs="宋体"/>
          <w:color w:val="000000" w:themeColor="text1"/>
          <w:sz w:val="26"/>
          <w:szCs w:val="24"/>
          <w14:textFill>
            <w14:solidFill>
              <w14:schemeClr w14:val="tx1"/>
            </w14:solidFill>
          </w14:textFill>
        </w:rPr>
        <w:t>路版面尺寸为×1米</w:t>
      </w:r>
      <w:r>
        <w:rPr>
          <w:rFonts w:ascii="宋体" w:eastAsia="宋体" w:hAnsi="宋体" w:cs="宋体" w:hint="eastAsia"/>
          <w:sz w:val="26"/>
          <w:szCs w:val="21"/>
        </w:rPr>
        <w:t>，机非混行双向四车道以下道路版面尺寸为3</w:t>
      </w:r>
      <w:r>
        <w:rPr>
          <w:rFonts w:ascii="宋体" w:eastAsia="宋体" w:hAnsi="宋体" w:cs="宋体"/>
          <w:color w:val="000000" w:themeColor="text1"/>
          <w:sz w:val="26"/>
          <w:szCs w:val="24"/>
          <w14:textFill>
            <w14:solidFill>
              <w14:schemeClr w14:val="tx1"/>
            </w14:solidFill>
          </w14:textFill>
        </w:rPr>
        <w:t>×米</w:t>
      </w:r>
      <w:r>
        <w:rPr>
          <w:rFonts w:ascii="宋体" w:eastAsia="宋体" w:hAnsi="宋体" w:cs="宋体" w:hint="eastAsia"/>
          <w:color w:val="000000" w:themeColor="text1"/>
          <w:sz w:val="26"/>
          <w:szCs w:val="24"/>
          <w14:textFill>
            <w14:solidFill>
              <w14:schemeClr w14:val="tx1"/>
            </w14:solidFill>
          </w14:textFill>
        </w:rPr>
        <w:t>，支路告知版面尺寸为</w:t>
      </w:r>
      <w:r>
        <w:rPr>
          <w:rFonts w:ascii="宋体" w:eastAsia="宋体" w:hAnsi="宋体" w:cs="宋体"/>
          <w:color w:val="000000" w:themeColor="text1"/>
          <w:sz w:val="26"/>
          <w:szCs w:val="24"/>
          <w14:textFill>
            <w14:solidFill>
              <w14:schemeClr w14:val="tx1"/>
            </w14:solidFill>
          </w14:textFill>
        </w:rPr>
        <w:t>×</w:t>
      </w:r>
      <w:r>
        <w:rPr>
          <w:rFonts w:ascii="宋体" w:eastAsia="宋体" w:hAnsi="宋体" w:cs="宋体" w:hint="eastAsia"/>
          <w:color w:val="000000" w:themeColor="text1"/>
          <w:sz w:val="26"/>
          <w:szCs w:val="24"/>
          <w14:textFill>
            <w14:solidFill>
              <w14:schemeClr w14:val="tx1"/>
            </w14:solidFill>
          </w14:textFill>
        </w:rPr>
        <w:t>1</w:t>
      </w:r>
      <w:r>
        <w:rPr>
          <w:rFonts w:ascii="宋体" w:eastAsia="宋体" w:hAnsi="宋体" w:cs="宋体"/>
          <w:color w:val="000000" w:themeColor="text1"/>
          <w:sz w:val="26"/>
          <w:szCs w:val="24"/>
          <w14:textFill>
            <w14:solidFill>
              <w14:schemeClr w14:val="tx1"/>
            </w14:solidFill>
          </w14:textFill>
        </w:rPr>
        <w:t>米</w:t>
      </w:r>
      <w:r>
        <w:rPr>
          <w:rFonts w:ascii="宋体" w:eastAsia="宋体" w:hAnsi="宋体" w:cs="宋体" w:hint="eastAsia"/>
          <w:color w:val="000000" w:themeColor="text1"/>
          <w:sz w:val="26"/>
          <w:szCs w:val="24"/>
          <w14:textFill>
            <w14:solidFill>
              <w14:schemeClr w14:val="tx1"/>
            </w14:solidFill>
          </w14:textFill>
        </w:rPr>
        <w:t>。</w:t>
      </w:r>
      <w:r>
        <w:rPr>
          <w:b/>
          <w:color w:val="FFFFFF"/>
          <w:sz w:val="0"/>
        </w:rPr>
        <w:t>.</w:t>
      </w:r>
    </w:p>
    <w:p>
      <w:pPr>
        <w:spacing w:before="280" w:after="280" w:line="480" w:lineRule="auto"/>
        <w:rPr>
          <w:rFonts w:ascii="Times New Roman" w:eastAsia="宋体" w:hAnsi="Times New Roman" w:cs="Times New Roman"/>
          <w:szCs w:val="24"/>
        </w:rPr>
        <w:sectPr>
          <w:headerReference w:type="default" r:id="rId11"/>
          <w:type w:val="nextPage"/>
          <w:pgSz w:w="11906" w:h="16838"/>
          <w:pgMar w:top="1440" w:right="1134" w:bottom="1440" w:left="1418" w:header="851" w:footer="992" w:gutter="0"/>
          <w:pgNumType w:start="5"/>
          <w:cols w:num="1" w:space="425"/>
          <w:titlePg w:val="0"/>
          <w:docGrid w:type="lines" w:linePitch="312" w:charSpace="0"/>
        </w:sectPr>
      </w:pPr>
      <w:r>
        <w:rPr>
          <w:rFonts w:ascii="宋体" w:eastAsia="宋体" w:hAnsi="宋体" w:cs="宋体" w:hint="eastAsia"/>
          <w:color w:val="000000" w:themeColor="text1"/>
          <w:sz w:val="26"/>
          <w:szCs w:val="21"/>
          <w14:textFill>
            <w14:solidFill>
              <w14:schemeClr w14:val="tx1"/>
            </w14:solidFill>
          </w14:textFill>
        </w:rPr>
        <w:t>单向3车道以上道路的路口之间距离不足100米，同时设置</w:t>
      </w:r>
    </w:p>
    <w:p>
      <w:pPr>
        <w:spacing w:before="280" w:after="280" w:line="480" w:lineRule="auto"/>
        <w:rPr>
          <w:rFonts w:ascii="Times New Roman" w:eastAsia="宋体" w:hAnsi="Times New Roman" w:cs="Times New Roman"/>
          <w:szCs w:val="24"/>
        </w:rPr>
      </w:pPr>
      <w:r>
        <w:rPr>
          <w:rFonts w:ascii="宋体" w:eastAsia="宋体" w:hAnsi="宋体" w:cs="宋体"/>
          <w:color w:val="000000" w:themeColor="text1"/>
          <w:sz w:val="26"/>
          <w:szCs w:val="24"/>
          <w14:textFill>
            <w14:solidFill>
              <w14:schemeClr w14:val="tx1"/>
            </w14:solidFill>
          </w14:textFill>
        </w:rPr>
        <w:t>指路标志与车道行驶方向标志</w:t>
      </w:r>
      <w:r>
        <w:rPr>
          <w:rFonts w:ascii="宋体" w:eastAsia="宋体" w:hAnsi="宋体" w:cs="宋体" w:hint="eastAsia"/>
          <w:color w:val="000000" w:themeColor="text1"/>
          <w:sz w:val="26"/>
          <w:szCs w:val="21"/>
          <w14:textFill>
            <w14:solidFill>
              <w14:schemeClr w14:val="tx1"/>
            </w14:solidFill>
          </w14:textFill>
        </w:rPr>
        <w:t>会相互遮挡的路段，</w:t>
      </w:r>
      <w:r>
        <w:rPr>
          <w:rFonts w:ascii="宋体" w:eastAsia="宋体" w:hAnsi="宋体" w:cs="宋体" w:hint="eastAsia"/>
          <w:sz w:val="26"/>
          <w:szCs w:val="24"/>
        </w:rPr>
        <w:t>应</w:t>
      </w:r>
      <w:r>
        <w:rPr>
          <w:rFonts w:ascii="宋体" w:eastAsia="宋体" w:hAnsi="宋体" w:cs="宋体"/>
          <w:sz w:val="26"/>
          <w:szCs w:val="24"/>
        </w:rPr>
        <w:t>将指路标志与车道行驶方向标志组合设置，或将指路标志与限制机动车行驶方向的禁令标志组合设置。</w:t>
      </w:r>
      <w:r>
        <w:rPr>
          <w:rFonts w:ascii="宋体" w:eastAsia="宋体" w:hAnsi="宋体" w:cs="宋体" w:hint="eastAsia"/>
          <w:sz w:val="26"/>
          <w:szCs w:val="21"/>
        </w:rPr>
        <w:t>组合设置的版面颜色按照各自内容的版面设计，版面高度应该一致，一般禁令组合标志设置在指路标志左侧。如图3所示：</w:t>
      </w:r>
      <w:r>
        <w:rPr>
          <w:b/>
          <w:color w:val="FFFFFF"/>
          <w:sz w:val="0"/>
        </w:rPr>
        <w:t>.</w:t>
      </w:r>
    </w:p>
    <w:p>
      <w:pPr>
        <w:spacing w:before="280" w:after="280" w:line="480" w:lineRule="auto"/>
        <w:jc w:val="center"/>
        <w:rPr>
          <w:rFonts w:ascii="黑体" w:eastAsia="黑体" w:hAnsi="黑体" w:cs="Times New Roman"/>
          <w:szCs w:val="21"/>
        </w:rPr>
      </w:pPr>
      <w:r>
        <w:rPr>
          <w:rFonts w:ascii="宋体" w:eastAsia="宋体" w:hAnsi="宋体" w:cs="宋体" w:hint="eastAsia"/>
          <w:sz w:val="26"/>
          <w:szCs w:val="21"/>
        </w:rPr>
        <w:t>图3 指路、车道和禁令等标志组合设置示意图</w:t>
      </w:r>
      <w:r>
        <w:rPr>
          <w:b/>
          <w:color w:val="FFFFFF"/>
          <w:sz w:val="0"/>
        </w:rPr>
        <w:t>.</w:t>
      </w:r>
    </w:p>
    <w:p>
      <w:pPr>
        <w:widowControl/>
        <w:autoSpaceDE w:val="0"/>
        <w:autoSpaceDN w:val="0"/>
        <w:adjustRightInd w:val="0"/>
        <w:spacing w:before="280" w:after="280" w:line="480" w:lineRule="auto"/>
        <w:jc w:val="left"/>
        <w:outlineLvl w:val="2"/>
        <w:rPr>
          <w:rFonts w:ascii="黑体" w:eastAsia="黑体" w:hAnsi="黑体" w:cs="黑体"/>
          <w:color w:val="000000"/>
          <w:kern w:val="0"/>
          <w:szCs w:val="21"/>
        </w:rPr>
      </w:pPr>
      <w:r>
        <w:rPr>
          <w:rFonts w:ascii="宋体" w:eastAsia="宋体" w:hAnsi="宋体" w:cs="宋体" w:hint="eastAsia"/>
          <w:color w:val="000000"/>
          <w:kern w:val="0"/>
          <w:sz w:val="26"/>
          <w:szCs w:val="21"/>
        </w:rPr>
        <w:t xml:space="preserve"> 路口出口标志与信号灯组合设置</w:t>
      </w:r>
      <w:r>
        <w:rPr>
          <w:b/>
          <w:color w:val="FFFFFF"/>
          <w:sz w:val="0"/>
        </w:rPr>
        <w:t>.</w:t>
      </w:r>
    </w:p>
    <w:p>
      <w:pPr>
        <w:spacing w:before="280" w:after="280" w:line="480" w:lineRule="auto"/>
        <w:rPr>
          <w:rFonts w:ascii="Times New Roman" w:eastAsia="宋体" w:hAnsi="Times New Roman" w:cs="Times New Roman"/>
          <w:kern w:val="0"/>
          <w:szCs w:val="21"/>
        </w:rPr>
      </w:pPr>
      <w:r>
        <w:rPr>
          <w:rFonts w:ascii="宋体" w:eastAsia="宋体" w:hAnsi="宋体" w:cs="宋体" w:hint="eastAsia"/>
          <w:sz w:val="26"/>
          <w:szCs w:val="24"/>
        </w:rPr>
        <w:t xml:space="preserve"> </w:t>
      </w:r>
      <w:r>
        <w:rPr>
          <w:rFonts w:ascii="宋体" w:eastAsia="宋体" w:hAnsi="宋体" w:cs="宋体"/>
          <w:sz w:val="26"/>
          <w:szCs w:val="24"/>
        </w:rPr>
        <w:t>禁止通行、禁直驶入、禁止停车、禁止鸣喇叭、限制速度等禁令标志设置在限制</w:t>
      </w:r>
      <w:r>
        <w:rPr>
          <w:rFonts w:ascii="宋体" w:eastAsia="宋体" w:hAnsi="宋体" w:cs="宋体"/>
          <w:kern w:val="0"/>
          <w:sz w:val="26"/>
          <w:szCs w:val="21"/>
        </w:rPr>
        <w:t>机动车路段的起点，即路口出口的信号灯悬臂上，根据禁令标志的数量组合设置</w:t>
      </w:r>
      <w:r>
        <w:rPr>
          <w:rFonts w:ascii="宋体" w:eastAsia="宋体" w:hAnsi="宋体" w:cs="宋体" w:hint="eastAsia"/>
          <w:kern w:val="0"/>
          <w:sz w:val="26"/>
          <w:szCs w:val="21"/>
        </w:rPr>
        <w:t>。</w:t>
      </w:r>
      <w:r>
        <w:rPr>
          <w:rFonts w:ascii="宋体" w:eastAsia="宋体" w:hAnsi="宋体" w:cs="宋体"/>
          <w:kern w:val="0"/>
          <w:sz w:val="26"/>
          <w:szCs w:val="21"/>
        </w:rPr>
        <w:t>如图</w:t>
      </w:r>
      <w:r>
        <w:rPr>
          <w:rFonts w:ascii="宋体" w:eastAsia="宋体" w:hAnsi="宋体" w:cs="宋体" w:hint="eastAsia"/>
          <w:kern w:val="0"/>
          <w:sz w:val="26"/>
          <w:szCs w:val="21"/>
        </w:rPr>
        <w:t>4所示：</w:t>
      </w:r>
      <w:r>
        <w:rPr>
          <w:b/>
          <w:color w:val="FFFFFF"/>
          <w:sz w:val="0"/>
        </w:rPr>
        <w:t>.</w:t>
      </w:r>
    </w:p>
    <w:p>
      <w:pPr>
        <w:spacing w:before="280" w:after="280" w:line="480" w:lineRule="auto"/>
        <w:jc w:val="center"/>
        <w:rPr>
          <w:rFonts w:asciiTheme="minorEastAsia" w:hAnsiTheme="minorEastAsia" w:cs="Times New Roman"/>
          <w:color w:val="FF0000"/>
          <w:szCs w:val="21"/>
        </w:rPr>
      </w:pPr>
      <w:r>
        <w:rPr>
          <w:rFonts w:ascii="宋体" w:eastAsia="宋体" w:hAnsi="宋体" w:cs="宋体" w:hint="eastAsia"/>
          <w:sz w:val="26"/>
          <w:szCs w:val="21"/>
        </w:rPr>
        <w:t>图4 禁令等组合标志与信号灯杆组合设置示意图</w:t>
      </w:r>
      <w:r>
        <w:rPr>
          <w:b/>
          <w:color w:val="FFFFFF"/>
          <w:sz w:val="0"/>
        </w:rPr>
        <w:t>.</w:t>
      </w:r>
    </w:p>
    <w:p>
      <w:pPr>
        <w:spacing w:before="280" w:after="280" w:line="480" w:lineRule="auto"/>
        <w:rPr>
          <w:rFonts w:ascii="Times New Roman" w:eastAsia="宋体" w:hAnsi="Times New Roman" w:cs="Times New Roman"/>
          <w:sz w:val="24"/>
          <w:szCs w:val="24"/>
        </w:rPr>
      </w:pPr>
      <w:r>
        <w:rPr>
          <w:rFonts w:ascii="宋体" w:eastAsia="宋体" w:hAnsi="宋体" w:cs="宋体" w:hint="eastAsia"/>
          <w:sz w:val="26"/>
          <w:szCs w:val="24"/>
        </w:rPr>
        <w:t xml:space="preserve"> 对于</w:t>
      </w:r>
      <w:r>
        <w:rPr>
          <w:rFonts w:ascii="宋体" w:eastAsia="宋体" w:hAnsi="宋体" w:cs="宋体"/>
          <w:sz w:val="26"/>
          <w:szCs w:val="24"/>
        </w:rPr>
        <w:t>设置有公交专用道的道路</w:t>
      </w:r>
      <w:r>
        <w:rPr>
          <w:rFonts w:ascii="宋体" w:eastAsia="宋体" w:hAnsi="宋体" w:cs="宋体" w:hint="eastAsia"/>
          <w:sz w:val="26"/>
          <w:szCs w:val="24"/>
        </w:rPr>
        <w:t>，公交专用道标志正对公交专用道上方，如标志不能设置在专用道上方，则取消公交专用道标志中的箭头。</w:t>
      </w:r>
      <w:r>
        <w:rPr>
          <w:rFonts w:ascii="宋体" w:eastAsia="宋体" w:hAnsi="宋体" w:cs="宋体" w:hint="eastAsia"/>
          <w:sz w:val="26"/>
          <w:szCs w:val="21"/>
        </w:rPr>
        <w:t>如图5所示</w:t>
      </w:r>
      <w:r>
        <w:rPr>
          <w:rFonts w:ascii="宋体" w:eastAsia="宋体" w:hAnsi="宋体" w:cs="宋体" w:hint="eastAsia"/>
          <w:sz w:val="26"/>
          <w:szCs w:val="24"/>
        </w:rPr>
        <w:t>：</w:t>
      </w:r>
      <w:r>
        <w:rPr>
          <w:b/>
          <w:color w:val="FFFFFF"/>
          <w:sz w:val="0"/>
        </w:rPr>
        <w:t>.</w:t>
      </w:r>
    </w:p>
    <w:p>
      <w:pPr>
        <w:spacing w:before="280" w:after="280" w:line="480" w:lineRule="auto"/>
        <w:jc w:val="center"/>
        <w:rPr>
          <w:rFonts w:ascii="黑体" w:eastAsia="黑体" w:hAnsi="黑体" w:cs="Times New Roman"/>
          <w:szCs w:val="21"/>
        </w:rPr>
      </w:pPr>
      <w:r>
        <w:rPr>
          <w:rFonts w:ascii="宋体" w:eastAsia="宋体" w:hAnsi="宋体" w:cs="宋体" w:hint="eastAsia"/>
          <w:sz w:val="26"/>
          <w:szCs w:val="21"/>
        </w:rPr>
        <w:t>图5 专用道、组合禁令标志与信号灯杆组合设置示意图</w:t>
      </w:r>
      <w:r>
        <w:rPr>
          <w:b/>
          <w:color w:val="FFFFFF"/>
          <w:sz w:val="0"/>
        </w:rPr>
        <w:t>.</w:t>
      </w:r>
    </w:p>
    <w:p>
      <w:pPr>
        <w:spacing w:before="280" w:after="280" w:line="480" w:lineRule="auto"/>
        <w:rPr>
          <w:rFonts w:ascii="Times New Roman" w:eastAsia="宋体" w:hAnsi="Times New Roman" w:cs="Times New Roman"/>
          <w:sz w:val="24"/>
          <w:szCs w:val="24"/>
        </w:rPr>
      </w:pPr>
      <w:r>
        <w:rPr>
          <w:rFonts w:ascii="宋体" w:eastAsia="宋体" w:hAnsi="宋体" w:cs="宋体"/>
          <w:sz w:val="26"/>
          <w:szCs w:val="24"/>
        </w:rPr>
        <w:t xml:space="preserve"> </w:t>
      </w:r>
      <w:r>
        <w:rPr>
          <w:rFonts w:ascii="宋体" w:eastAsia="宋体" w:hAnsi="宋体" w:cs="宋体" w:hint="eastAsia"/>
          <w:sz w:val="26"/>
          <w:szCs w:val="24"/>
        </w:rPr>
        <w:t>潮汐交通组织道路信号灯与组合标志原则如图6所示：</w:t>
      </w:r>
      <w:r>
        <w:rPr>
          <w:b/>
          <w:color w:val="FFFFFF"/>
          <w:sz w:val="0"/>
        </w:rPr>
        <w:t>.</w:t>
      </w:r>
    </w:p>
    <w:p>
      <w:pPr>
        <w:spacing w:before="280" w:after="280" w:line="480" w:lineRule="auto"/>
        <w:jc w:val="center"/>
        <w:rPr>
          <w:rFonts w:ascii="黑体" w:eastAsia="黑体" w:hAnsi="黑体"/>
        </w:rPr>
      </w:pPr>
      <w:r>
        <w:rPr>
          <w:rFonts w:ascii="宋体" w:eastAsia="宋体" w:hAnsi="宋体" w:cs="宋体" w:hint="eastAsia"/>
          <w:sz w:val="26"/>
        </w:rPr>
        <w:t>图6 潮汐交通、组合禁令标志与信号灯杆组合设置示意图</w:t>
      </w:r>
      <w:r>
        <w:rPr>
          <w:b/>
          <w:color w:val="FFFFFF"/>
          <w:sz w:val="0"/>
        </w:rPr>
        <w:t>.</w:t>
      </w:r>
    </w:p>
    <w:p>
      <w:pPr>
        <w:spacing w:before="280" w:after="280" w:line="480" w:lineRule="auto"/>
        <w:rPr>
          <w:rFonts w:ascii="Times New Roman" w:eastAsia="宋体" w:hAnsi="Times New Roman" w:cs="Times New Roman"/>
          <w:szCs w:val="24"/>
        </w:rPr>
      </w:pPr>
      <w:r>
        <w:rPr>
          <w:rFonts w:ascii="宋体" w:eastAsia="宋体" w:hAnsi="宋体" w:cs="宋体" w:hint="eastAsia"/>
          <w:kern w:val="0"/>
          <w:sz w:val="26"/>
          <w:szCs w:val="21"/>
        </w:rPr>
        <w:t xml:space="preserve"> </w:t>
      </w:r>
      <w:r>
        <w:rPr>
          <w:rFonts w:ascii="宋体" w:eastAsia="宋体" w:hAnsi="宋体" w:cs="宋体"/>
          <w:sz w:val="26"/>
          <w:szCs w:val="24"/>
        </w:rPr>
        <w:t>单向交通组织道路信号灯与组合标志原则如图</w:t>
      </w:r>
      <w:r>
        <w:rPr>
          <w:rFonts w:ascii="宋体" w:eastAsia="宋体" w:hAnsi="宋体" w:cs="宋体" w:hint="eastAsia"/>
          <w:sz w:val="26"/>
          <w:szCs w:val="24"/>
        </w:rPr>
        <w:t>7所示：</w:t>
      </w:r>
      <w:r>
        <w:rPr>
          <w:b/>
          <w:color w:val="FFFFFF"/>
          <w:sz w:val="0"/>
        </w:rPr>
        <w:t>.</w:t>
      </w:r>
    </w:p>
    <w:p>
      <w:pPr>
        <w:spacing w:before="280" w:after="280" w:line="480" w:lineRule="auto"/>
        <w:jc w:val="center"/>
        <w:rPr>
          <w:rFonts w:ascii="黑体" w:eastAsia="黑体" w:hAnsi="黑体" w:cs="Times New Roman"/>
          <w:szCs w:val="21"/>
        </w:rPr>
        <w:sectPr>
          <w:headerReference w:type="default" r:id="rId12"/>
          <w:type w:val="nextPage"/>
          <w:pgSz w:w="11906" w:h="16838"/>
          <w:pgMar w:top="1440" w:right="1134" w:bottom="1440" w:left="1418" w:header="851" w:footer="992" w:gutter="0"/>
          <w:pgNumType w:start="6"/>
          <w:cols w:num="1" w:space="425"/>
          <w:titlePg w:val="0"/>
          <w:docGrid w:type="lines" w:linePitch="312" w:charSpace="0"/>
        </w:sectPr>
      </w:pPr>
      <w:r>
        <w:rPr>
          <w:rFonts w:ascii="宋体" w:eastAsia="宋体" w:hAnsi="宋体" w:cs="宋体" w:hint="eastAsia"/>
          <w:sz w:val="26"/>
          <w:szCs w:val="21"/>
        </w:rPr>
        <w:t>图7 单行道、组合禁令标志与信号灯杆组合设置示意图</w:t>
      </w:r>
      <w:r>
        <w:rPr>
          <w:b/>
          <w:color w:val="FFFFFF"/>
          <w:sz w:val="0"/>
        </w:rPr>
        <w:t>.</w:t>
      </w:r>
    </w:p>
    <w:p>
      <w:pPr>
        <w:widowControl/>
        <w:autoSpaceDE w:val="0"/>
        <w:autoSpaceDN w:val="0"/>
        <w:adjustRightInd w:val="0"/>
        <w:spacing w:before="280" w:after="280" w:line="480" w:lineRule="auto"/>
        <w:jc w:val="left"/>
        <w:outlineLvl w:val="2"/>
        <w:rPr>
          <w:rFonts w:ascii="黑体" w:eastAsia="黑体" w:hAnsi="黑体" w:cs="黑体"/>
          <w:color w:val="000000"/>
          <w:kern w:val="0"/>
          <w:szCs w:val="21"/>
        </w:rPr>
      </w:pPr>
      <w:r>
        <w:rPr>
          <w:rFonts w:ascii="宋体" w:eastAsia="宋体" w:hAnsi="宋体" w:cs="宋体" w:hint="eastAsia"/>
          <w:color w:val="000000"/>
          <w:kern w:val="0"/>
          <w:sz w:val="26"/>
          <w:szCs w:val="21"/>
        </w:rPr>
        <w:t xml:space="preserve"> 禁令组合标志原则</w:t>
      </w:r>
      <w:r>
        <w:rPr>
          <w:b/>
          <w:color w:val="FFFFFF"/>
          <w:sz w:val="0"/>
        </w:rPr>
        <w:t>.</w:t>
      </w:r>
    </w:p>
    <w:p>
      <w:pPr>
        <w:autoSpaceDE w:val="0"/>
        <w:autoSpaceDN w:val="0"/>
        <w:adjustRightInd w:val="0"/>
        <w:spacing w:before="280" w:after="280" w:line="480" w:lineRule="auto"/>
        <w:ind w:firstLine="520" w:firstLineChars="200"/>
        <w:jc w:val="left"/>
        <w:rPr>
          <w:rFonts w:ascii="Times New Roman" w:hAnsi="Times New Roman" w:cs="Times New Roman"/>
          <w:kern w:val="0"/>
          <w:szCs w:val="24"/>
        </w:rPr>
      </w:pPr>
      <w:r>
        <w:rPr>
          <w:rFonts w:ascii="宋体" w:eastAsia="宋体" w:hAnsi="宋体" w:cs="宋体"/>
          <w:kern w:val="0"/>
          <w:sz w:val="26"/>
          <w:szCs w:val="24"/>
        </w:rPr>
        <w:t>组合在</w:t>
      </w:r>
      <w:r>
        <w:rPr>
          <w:rFonts w:ascii="宋体" w:eastAsia="宋体" w:hAnsi="宋体" w:cs="宋体" w:hint="eastAsia"/>
          <w:kern w:val="0"/>
          <w:sz w:val="26"/>
          <w:szCs w:val="24"/>
        </w:rPr>
        <w:t>同</w:t>
      </w:r>
      <w:r>
        <w:rPr>
          <w:rFonts w:ascii="宋体" w:eastAsia="宋体" w:hAnsi="宋体" w:cs="宋体"/>
          <w:kern w:val="0"/>
          <w:sz w:val="26"/>
          <w:szCs w:val="24"/>
        </w:rPr>
        <w:t>一版面上的标志同样不应超过4个，并应按禁令、指示、警告的顺序，先上后下、先左后右排列；同类标志的设置顺序，应按提示信息的重要程度排列。组合标志中禁令标志的单个图形不应小于?600mm，最大不超过?</w:t>
      </w:r>
      <w:r>
        <w:rPr>
          <w:rFonts w:ascii="宋体" w:eastAsia="宋体" w:hAnsi="宋体" w:cs="宋体" w:hint="eastAsia"/>
          <w:kern w:val="0"/>
          <w:sz w:val="26"/>
          <w:szCs w:val="24"/>
        </w:rPr>
        <w:t>1000mm</w:t>
      </w:r>
      <w:r>
        <w:rPr>
          <w:rFonts w:ascii="宋体" w:eastAsia="宋体" w:hAnsi="宋体" w:cs="宋体"/>
          <w:kern w:val="0"/>
          <w:sz w:val="26"/>
          <w:szCs w:val="24"/>
        </w:rPr>
        <w:t>。大版面上白底色不设置黑色边框</w:t>
      </w:r>
      <w:r>
        <w:rPr>
          <w:rFonts w:ascii="宋体" w:eastAsia="宋体" w:hAnsi="宋体" w:cs="宋体" w:hint="eastAsia"/>
          <w:kern w:val="0"/>
          <w:sz w:val="26"/>
          <w:szCs w:val="24"/>
        </w:rPr>
        <w:t>。</w:t>
      </w:r>
      <w:r>
        <w:rPr>
          <w:rFonts w:ascii="宋体" w:eastAsia="宋体" w:hAnsi="宋体" w:cs="宋体"/>
          <w:kern w:val="0"/>
          <w:sz w:val="26"/>
          <w:szCs w:val="24"/>
        </w:rPr>
        <w:t>如图</w:t>
      </w:r>
      <w:r>
        <w:rPr>
          <w:rFonts w:ascii="宋体" w:eastAsia="宋体" w:hAnsi="宋体" w:cs="宋体" w:hint="eastAsia"/>
          <w:kern w:val="0"/>
          <w:sz w:val="26"/>
          <w:szCs w:val="24"/>
        </w:rPr>
        <w:t>8所示：</w:t>
      </w:r>
      <w:r>
        <w:rPr>
          <w:b/>
          <w:color w:val="FFFFFF"/>
          <w:sz w:val="0"/>
        </w:rPr>
        <w:t>.</w:t>
      </w:r>
    </w:p>
    <w:p>
      <w:pPr>
        <w:spacing w:before="280" w:after="280" w:line="480" w:lineRule="auto"/>
        <w:jc w:val="center"/>
        <w:rPr>
          <w:rFonts w:ascii="黑体" w:eastAsia="黑体" w:hAnsi="黑体" w:cs="Times New Roman"/>
          <w:sz w:val="20"/>
          <w:szCs w:val="21"/>
        </w:rPr>
      </w:pPr>
      <w:r>
        <w:rPr>
          <w:rFonts w:ascii="宋体" w:eastAsia="宋体" w:hAnsi="宋体" w:cs="宋体" w:hint="eastAsia"/>
          <w:sz w:val="26"/>
          <w:szCs w:val="21"/>
        </w:rPr>
        <w:t>图8 禁令组合标志设置示意图</w:t>
      </w:r>
      <w:r>
        <w:rPr>
          <w:b/>
          <w:color w:val="FFFFFF"/>
          <w:sz w:val="0"/>
        </w:rPr>
        <w:t>.</w:t>
      </w:r>
    </w:p>
    <w:p>
      <w:pPr>
        <w:spacing w:before="280" w:after="280" w:line="480" w:lineRule="auto"/>
        <w:ind w:firstLine="420"/>
        <w:jc w:val="left"/>
        <w:rPr>
          <w:rFonts w:ascii="Times New Roman" w:hAnsi="Times New Roman" w:cs="Times New Roman"/>
          <w:kern w:val="0"/>
          <w:szCs w:val="24"/>
        </w:rPr>
      </w:pPr>
      <w:r>
        <w:rPr>
          <w:rFonts w:ascii="宋体" w:eastAsia="宋体" w:hAnsi="宋体" w:cs="宋体" w:hint="eastAsia"/>
          <w:kern w:val="0"/>
          <w:sz w:val="26"/>
          <w:szCs w:val="24"/>
        </w:rPr>
        <w:t>禁停标志与限速标志组合版面在次干路、支路等限速值在40公里以下的道路，其组合标志禁停图案下预留300mm空挡，用于标注禁停时间段；其他城市快速路、主干路等限速值在40公里以上的道路、其组合标志禁停图案下不预留空挡。如图</w:t>
      </w:r>
      <w:r>
        <w:rPr>
          <w:rFonts w:ascii="宋体" w:eastAsia="宋体" w:hAnsi="宋体" w:cs="宋体"/>
          <w:kern w:val="0"/>
          <w:sz w:val="26"/>
          <w:szCs w:val="24"/>
        </w:rPr>
        <w:t>9</w:t>
      </w:r>
      <w:r>
        <w:rPr>
          <w:rFonts w:ascii="宋体" w:eastAsia="宋体" w:hAnsi="宋体" w:cs="宋体" w:hint="eastAsia"/>
          <w:kern w:val="0"/>
          <w:sz w:val="26"/>
          <w:szCs w:val="24"/>
        </w:rPr>
        <w:t>所示：</w:t>
      </w:r>
      <w:r>
        <w:rPr>
          <w:b/>
          <w:color w:val="FFFFFF"/>
          <w:sz w:val="0"/>
        </w:rPr>
        <w:t>.</w:t>
      </w:r>
    </w:p>
    <w:p>
      <w:pPr>
        <w:spacing w:before="280" w:after="280" w:line="480" w:lineRule="auto"/>
        <w:ind w:firstLine="420"/>
        <w:jc w:val="center"/>
        <w:rPr>
          <w:rFonts w:ascii="黑体" w:eastAsia="黑体" w:hAnsi="黑体" w:cs="Times New Roman"/>
          <w:sz w:val="20"/>
          <w:szCs w:val="21"/>
        </w:rPr>
      </w:pPr>
      <w:r>
        <w:rPr>
          <w:rFonts w:ascii="宋体" w:eastAsia="宋体" w:hAnsi="宋体" w:cs="宋体" w:hint="eastAsia"/>
          <w:sz w:val="26"/>
          <w:szCs w:val="21"/>
        </w:rPr>
        <w:t xml:space="preserve">图 </w:t>
      </w:r>
      <w:r>
        <w:rPr>
          <w:rFonts w:ascii="宋体" w:eastAsia="宋体" w:hAnsi="宋体" w:cs="宋体"/>
          <w:sz w:val="26"/>
          <w:szCs w:val="21"/>
        </w:rPr>
        <w:t>9</w:t>
      </w:r>
      <w:r>
        <w:rPr>
          <w:rFonts w:ascii="宋体" w:eastAsia="宋体" w:hAnsi="宋体" w:cs="宋体" w:hint="eastAsia"/>
          <w:sz w:val="26"/>
          <w:szCs w:val="21"/>
        </w:rPr>
        <w:t xml:space="preserve"> 禁停与限速标志组合设置示意图</w:t>
      </w:r>
      <w:r>
        <w:rPr>
          <w:b/>
          <w:color w:val="FFFFFF"/>
          <w:sz w:val="0"/>
        </w:rPr>
        <w:t>.</w:t>
      </w:r>
    </w:p>
    <w:p>
      <w:pPr>
        <w:widowControl/>
        <w:autoSpaceDE w:val="0"/>
        <w:autoSpaceDN w:val="0"/>
        <w:adjustRightInd w:val="0"/>
        <w:spacing w:before="280" w:after="280" w:line="480" w:lineRule="auto"/>
        <w:jc w:val="left"/>
        <w:outlineLvl w:val="2"/>
        <w:rPr>
          <w:rFonts w:ascii="黑体" w:eastAsia="黑体" w:hAnsi="黑体" w:cs="黑体"/>
          <w:color w:val="000000"/>
          <w:kern w:val="0"/>
          <w:szCs w:val="21"/>
        </w:rPr>
      </w:pPr>
      <w:r>
        <w:rPr>
          <w:rFonts w:ascii="宋体" w:eastAsia="宋体" w:hAnsi="宋体" w:cs="宋体" w:hint="eastAsia"/>
          <w:color w:val="000000"/>
          <w:kern w:val="0"/>
          <w:sz w:val="26"/>
          <w:szCs w:val="21"/>
        </w:rPr>
        <w:t xml:space="preserve"> 辅助标志原则</w:t>
      </w:r>
      <w:r>
        <w:rPr>
          <w:b/>
          <w:color w:val="FFFFFF"/>
          <w:sz w:val="0"/>
        </w:rPr>
        <w:t>.</w:t>
      </w:r>
    </w:p>
    <w:p>
      <w:pPr>
        <w:autoSpaceDE w:val="0"/>
        <w:autoSpaceDN w:val="0"/>
        <w:adjustRightInd w:val="0"/>
        <w:spacing w:before="280" w:after="280" w:line="480" w:lineRule="auto"/>
        <w:ind w:firstLine="520" w:firstLineChars="200"/>
        <w:jc w:val="left"/>
        <w:rPr>
          <w:rFonts w:asciiTheme="minorEastAsia" w:hAnsiTheme="minorEastAsia" w:cs="Times New Roman"/>
          <w:color w:val="FF0000"/>
          <w:kern w:val="0"/>
          <w:szCs w:val="24"/>
        </w:rPr>
      </w:pPr>
      <w:r>
        <w:rPr>
          <w:rFonts w:ascii="宋体" w:eastAsia="宋体" w:hAnsi="宋体" w:cs="宋体"/>
          <w:kern w:val="0"/>
          <w:sz w:val="26"/>
          <w:szCs w:val="24"/>
        </w:rPr>
        <w:t>当主标志无法向道路使用者完整表达或指示其规定时，应设置辅助标志，辅助标志应设置在被说明的主标志下缘</w:t>
      </w:r>
      <w:r>
        <w:rPr>
          <w:rFonts w:ascii="宋体" w:eastAsia="宋体" w:hAnsi="宋体" w:cs="宋体" w:hint="eastAsia"/>
          <w:kern w:val="0"/>
          <w:sz w:val="26"/>
          <w:szCs w:val="24"/>
        </w:rPr>
        <w:t>；</w:t>
      </w:r>
      <w:r>
        <w:rPr>
          <w:rFonts w:ascii="宋体" w:eastAsia="宋体" w:hAnsi="宋体" w:cs="宋体"/>
          <w:kern w:val="0"/>
          <w:sz w:val="26"/>
          <w:szCs w:val="24"/>
        </w:rPr>
        <w:t>当需要两种以上内容的辅助标志对主标志进行说明时，可采用组合形式，但组合的内容不宜多于3种。辅助标志字体大小不应小于主版面大小的1/5。</w:t>
      </w:r>
      <w:r>
        <w:rPr>
          <w:b/>
          <w:color w:val="FFFFFF"/>
          <w:sz w:val="0"/>
        </w:rPr>
        <w:t>.</w:t>
      </w:r>
    </w:p>
    <w:p>
      <w:pPr>
        <w:widowControl/>
        <w:autoSpaceDE w:val="0"/>
        <w:autoSpaceDN w:val="0"/>
        <w:adjustRightInd w:val="0"/>
        <w:spacing w:before="280" w:after="280" w:line="480" w:lineRule="auto"/>
        <w:jc w:val="left"/>
        <w:outlineLvl w:val="2"/>
        <w:rPr>
          <w:rFonts w:ascii="黑体" w:eastAsia="黑体" w:hAnsi="黑体" w:cs="黑体"/>
          <w:color w:val="000000"/>
          <w:kern w:val="0"/>
          <w:szCs w:val="21"/>
        </w:rPr>
      </w:pPr>
      <w:r>
        <w:rPr>
          <w:rFonts w:ascii="宋体" w:eastAsia="宋体" w:hAnsi="宋体" w:cs="宋体" w:hint="eastAsia"/>
          <w:color w:val="000000"/>
          <w:kern w:val="0"/>
          <w:sz w:val="26"/>
          <w:szCs w:val="21"/>
        </w:rPr>
        <w:t xml:space="preserve"> 车道行驶方向指示标志</w:t>
      </w:r>
      <w:r>
        <w:rPr>
          <w:b/>
          <w:color w:val="FFFFFF"/>
          <w:sz w:val="0"/>
        </w:rPr>
        <w:t>.</w:t>
      </w:r>
    </w:p>
    <w:p>
      <w:pPr>
        <w:spacing w:before="280" w:after="280" w:line="480" w:lineRule="auto"/>
        <w:rPr>
          <w:rFonts w:ascii="Times New Roman" w:hAnsi="Times New Roman"/>
        </w:rPr>
        <w:sectPr>
          <w:headerReference w:type="default" r:id="rId13"/>
          <w:type w:val="nextPage"/>
          <w:pgSz w:w="11906" w:h="16838"/>
          <w:pgMar w:top="1440" w:right="1134" w:bottom="1440" w:left="1418" w:header="851" w:footer="992" w:gutter="0"/>
          <w:pgNumType w:start="7"/>
          <w:cols w:num="1" w:space="425"/>
          <w:titlePg w:val="0"/>
          <w:docGrid w:type="lines" w:linePitch="312" w:charSpace="0"/>
        </w:sectPr>
      </w:pPr>
      <w:r>
        <w:rPr>
          <w:rFonts w:ascii="宋体" w:eastAsia="宋体" w:hAnsi="宋体" w:cs="宋体" w:hint="eastAsia"/>
          <w:sz w:val="26"/>
        </w:rPr>
        <w:t xml:space="preserve"> 当交叉口某方向进口交通流量较大、转弯车辆较多或渠化车道数大于或等于</w:t>
      </w:r>
      <w:r>
        <w:rPr>
          <w:rFonts w:ascii="宋体" w:eastAsia="宋体" w:hAnsi="宋体" w:cs="宋体"/>
          <w:sz w:val="26"/>
        </w:rPr>
        <w:t xml:space="preserve">4 </w:t>
      </w:r>
      <w:r>
        <w:rPr>
          <w:rFonts w:ascii="宋体" w:eastAsia="宋体" w:hAnsi="宋体" w:cs="宋体" w:hint="eastAsia"/>
          <w:sz w:val="26"/>
        </w:rPr>
        <w:t>条车道时，宜设置车道行驶方向标志；</w:t>
      </w:r>
      <w:r>
        <w:rPr>
          <w:b/>
          <w:color w:val="FFFFFF"/>
          <w:sz w:val="0"/>
        </w:rPr>
        <w:t>.</w:t>
      </w:r>
    </w:p>
    <w:p>
      <w:pPr>
        <w:spacing w:before="280" w:after="280" w:line="480" w:lineRule="auto"/>
        <w:rPr>
          <w:rFonts w:ascii="宋体" w:eastAsia="宋体" w:hAnsi="Times New Roman"/>
        </w:rPr>
      </w:pPr>
      <w:r>
        <w:rPr>
          <w:rFonts w:ascii="宋体" w:eastAsia="宋体" w:hAnsi="宋体" w:cs="宋体" w:hint="eastAsia"/>
          <w:sz w:val="26"/>
        </w:rPr>
        <w:t xml:space="preserve"> 车道行驶方向标志所指方向应与车道布置方式及地面箭头标线一致；</w:t>
      </w:r>
      <w:r>
        <w:rPr>
          <w:b/>
          <w:color w:val="FFFFFF"/>
          <w:sz w:val="0"/>
        </w:rPr>
        <w:t>.</w:t>
      </w:r>
    </w:p>
    <w:p>
      <w:pPr>
        <w:autoSpaceDE w:val="0"/>
        <w:autoSpaceDN w:val="0"/>
        <w:adjustRightInd w:val="0"/>
        <w:spacing w:before="280" w:after="280" w:line="480" w:lineRule="auto"/>
        <w:jc w:val="left"/>
        <w:rPr>
          <w:rFonts w:ascii="宋体" w:eastAsia="宋体" w:hAnsi="Times New Roman" w:cs="宋体"/>
          <w:kern w:val="0"/>
          <w:szCs w:val="24"/>
        </w:rPr>
      </w:pPr>
      <w:r>
        <w:rPr>
          <w:rFonts w:ascii="宋体" w:eastAsia="宋体" w:hAnsi="宋体" w:cs="宋体" w:hint="eastAsia"/>
          <w:sz w:val="26"/>
        </w:rPr>
        <w:t xml:space="preserve"> </w:t>
      </w:r>
      <w:r>
        <w:rPr>
          <w:rFonts w:ascii="宋体" w:eastAsia="宋体" w:hAnsi="宋体" w:cs="宋体" w:hint="eastAsia"/>
          <w:kern w:val="0"/>
          <w:sz w:val="26"/>
          <w:szCs w:val="24"/>
        </w:rPr>
        <w:t>车道行驶方向标志不与指路信息同版面设置。</w:t>
      </w:r>
      <w:r>
        <w:rPr>
          <w:b/>
          <w:color w:val="FFFFFF"/>
          <w:sz w:val="0"/>
        </w:rPr>
        <w:t>.</w:t>
      </w:r>
    </w:p>
    <w:p>
      <w:pPr>
        <w:spacing w:before="280" w:after="280" w:line="480" w:lineRule="auto"/>
        <w:rPr>
          <w:rFonts w:ascii="Times New Roman" w:eastAsia="宋体" w:hAnsi="Times New Roman" w:cs="Times New Roman"/>
          <w:szCs w:val="24"/>
        </w:rPr>
      </w:pPr>
      <w:r>
        <w:rPr>
          <w:rFonts w:ascii="宋体" w:eastAsia="宋体" w:hAnsi="宋体" w:cs="宋体"/>
          <w:kern w:val="0"/>
          <w:sz w:val="26"/>
          <w:szCs w:val="24"/>
        </w:rPr>
        <w:t>车道行驶方向标志（俗称：</w:t>
      </w:r>
      <w:r>
        <w:rPr>
          <w:rFonts w:ascii="宋体" w:eastAsia="宋体" w:hAnsi="宋体" w:cs="宋体" w:hint="eastAsia"/>
          <w:kern w:val="0"/>
          <w:sz w:val="26"/>
          <w:szCs w:val="24"/>
        </w:rPr>
        <w:t>车道指示牌）高度为，3车道车车道指示牌宽度为，4车道车车</w:t>
      </w:r>
      <w:r>
        <w:rPr>
          <w:rFonts w:ascii="宋体" w:eastAsia="宋体" w:hAnsi="宋体" w:cs="宋体" w:hint="eastAsia"/>
          <w:sz w:val="26"/>
          <w:szCs w:val="24"/>
        </w:rPr>
        <w:t>道指示牌宽度为，5车道车车道指示牌宽度为，6车道车车道指示牌宽度为。如图10所示：</w:t>
      </w:r>
      <w:r>
        <w:rPr>
          <w:b/>
          <w:color w:val="FFFFFF"/>
          <w:sz w:val="0"/>
        </w:rPr>
        <w:t>.</w:t>
      </w:r>
    </w:p>
    <w:p>
      <w:pPr>
        <w:spacing w:before="280" w:after="280" w:line="480" w:lineRule="auto"/>
        <w:jc w:val="center"/>
        <w:rPr>
          <w:rFonts w:ascii="黑体" w:eastAsia="黑体" w:hAnsi="黑体" w:cs="Times New Roman"/>
          <w:sz w:val="20"/>
          <w:szCs w:val="21"/>
        </w:rPr>
      </w:pPr>
      <w:r>
        <w:rPr>
          <w:rFonts w:ascii="宋体" w:eastAsia="宋体" w:hAnsi="宋体" w:cs="宋体" w:hint="eastAsia"/>
          <w:sz w:val="26"/>
          <w:szCs w:val="21"/>
        </w:rPr>
        <w:t>图</w:t>
      </w:r>
      <w:r>
        <w:rPr>
          <w:rFonts w:ascii="宋体" w:eastAsia="宋体" w:hAnsi="宋体" w:cs="宋体"/>
          <w:sz w:val="26"/>
          <w:szCs w:val="21"/>
        </w:rPr>
        <w:t>10</w:t>
      </w:r>
      <w:r>
        <w:rPr>
          <w:rFonts w:ascii="宋体" w:eastAsia="宋体" w:hAnsi="宋体" w:cs="宋体" w:hint="eastAsia"/>
          <w:sz w:val="26"/>
          <w:szCs w:val="21"/>
        </w:rPr>
        <w:t xml:space="preserve"> 车道行驶方向指示标志示意图</w:t>
      </w:r>
      <w:r>
        <w:rPr>
          <w:b/>
          <w:color w:val="FFFFFF"/>
          <w:sz w:val="0"/>
        </w:rPr>
        <w:t>.</w:t>
      </w:r>
    </w:p>
    <w:p>
      <w:pPr>
        <w:widowControl/>
        <w:autoSpaceDE w:val="0"/>
        <w:autoSpaceDN w:val="0"/>
        <w:adjustRightInd w:val="0"/>
        <w:spacing w:before="280" w:after="280" w:line="480" w:lineRule="auto"/>
        <w:jc w:val="left"/>
        <w:outlineLvl w:val="2"/>
        <w:rPr>
          <w:rFonts w:ascii="黑体" w:eastAsia="黑体" w:hAnsi="黑体" w:cs="黑体"/>
          <w:color w:val="000000"/>
          <w:kern w:val="0"/>
          <w:szCs w:val="21"/>
        </w:rPr>
      </w:pPr>
      <w:r>
        <w:rPr>
          <w:rFonts w:ascii="宋体" w:eastAsia="宋体" w:hAnsi="宋体" w:cs="宋体" w:hint="eastAsia"/>
          <w:color w:val="000000"/>
          <w:kern w:val="0"/>
          <w:sz w:val="26"/>
          <w:szCs w:val="21"/>
        </w:rPr>
        <w:t xml:space="preserve"> 可变信息标志</w:t>
      </w:r>
      <w:r>
        <w:rPr>
          <w:b/>
          <w:color w:val="FFFFFF"/>
          <w:sz w:val="0"/>
        </w:rPr>
        <w:t>.</w:t>
      </w:r>
    </w:p>
    <w:p>
      <w:pPr>
        <w:spacing w:before="280" w:after="280" w:line="480" w:lineRule="auto"/>
        <w:rPr>
          <w:rFonts w:ascii="Times New Roman" w:hAnsi="Times New Roman"/>
        </w:rPr>
      </w:pPr>
      <w:r>
        <w:rPr>
          <w:rFonts w:ascii="宋体" w:eastAsia="宋体" w:hAnsi="宋体" w:cs="宋体" w:hint="eastAsia"/>
          <w:sz w:val="26"/>
        </w:rPr>
        <w:t xml:space="preserve"> 可变信息标志是一种因交通、道路、气候等状况的变化而改变显示内容的标志。一般可用作速度控制、车道控制、道路状况、气象状况及其他内容的显示。可变信息标志不宜显示和交通无关的信息。</w:t>
      </w:r>
      <w:r>
        <w:rPr>
          <w:b/>
          <w:color w:val="FFFFFF"/>
          <w:sz w:val="0"/>
        </w:rPr>
        <w:t>.</w:t>
      </w:r>
    </w:p>
    <w:p>
      <w:pPr>
        <w:autoSpaceDE w:val="0"/>
        <w:autoSpaceDN w:val="0"/>
        <w:adjustRightInd w:val="0"/>
        <w:spacing w:before="280" w:after="280" w:line="480" w:lineRule="auto"/>
        <w:jc w:val="left"/>
        <w:rPr>
          <w:rFonts w:asciiTheme="minorEastAsia" w:hAnsiTheme="minorEastAsia" w:cs="宋体"/>
          <w:kern w:val="0"/>
          <w:szCs w:val="24"/>
        </w:rPr>
      </w:pPr>
      <w:r>
        <w:rPr>
          <w:rFonts w:ascii="宋体" w:eastAsia="宋体" w:hAnsi="宋体" w:cs="宋体" w:hint="eastAsia"/>
          <w:sz w:val="26"/>
        </w:rPr>
        <w:t xml:space="preserve"> </w:t>
      </w:r>
      <w:r>
        <w:rPr>
          <w:rFonts w:ascii="宋体" w:eastAsia="宋体" w:hAnsi="宋体" w:cs="宋体" w:hint="eastAsia"/>
          <w:kern w:val="0"/>
          <w:sz w:val="26"/>
          <w:szCs w:val="24"/>
        </w:rPr>
        <w:t>可变信息标志的显示方式有多</w:t>
      </w:r>
      <w:r>
        <w:rPr>
          <w:rFonts w:ascii="宋体" w:eastAsia="宋体" w:hAnsi="宋体" w:cs="宋体" w:hint="eastAsia"/>
          <w:sz w:val="26"/>
        </w:rPr>
        <w:t>种，如：LED、磁翻板、字幕式、光纤式等，可根据标志的功能要求、显示内容、控制方式、环保节能、经济性等进行</w:t>
      </w:r>
      <w:r>
        <w:rPr>
          <w:rFonts w:ascii="宋体" w:eastAsia="宋体" w:hAnsi="宋体" w:cs="宋体" w:hint="eastAsia"/>
          <w:kern w:val="0"/>
          <w:sz w:val="26"/>
          <w:szCs w:val="24"/>
        </w:rPr>
        <w:t>选择。</w:t>
      </w:r>
      <w:r>
        <w:rPr>
          <w:b/>
          <w:color w:val="FFFFFF"/>
          <w:sz w:val="0"/>
        </w:rPr>
        <w:t>.</w:t>
      </w:r>
    </w:p>
    <w:p>
      <w:pPr>
        <w:autoSpaceDE w:val="0"/>
        <w:autoSpaceDN w:val="0"/>
        <w:adjustRightInd w:val="0"/>
        <w:spacing w:before="280" w:after="280" w:line="480" w:lineRule="auto"/>
        <w:jc w:val="left"/>
        <w:rPr>
          <w:rFonts w:asciiTheme="minorEastAsia" w:hAnsiTheme="minorEastAsia" w:cs="宋体"/>
          <w:kern w:val="0"/>
          <w:szCs w:val="24"/>
        </w:rPr>
      </w:pPr>
      <w:r>
        <w:rPr>
          <w:rFonts w:ascii="宋体" w:eastAsia="宋体" w:hAnsi="宋体" w:cs="宋体" w:hint="eastAsia"/>
          <w:sz w:val="26"/>
        </w:rPr>
        <w:t xml:space="preserve"> </w:t>
      </w:r>
      <w:r>
        <w:rPr>
          <w:rFonts w:ascii="宋体" w:eastAsia="宋体" w:hAnsi="宋体" w:cs="宋体" w:hint="eastAsia"/>
          <w:kern w:val="0"/>
          <w:sz w:val="26"/>
          <w:szCs w:val="24"/>
        </w:rPr>
        <w:t>可变信息标志设置应符合下列情况之一：</w:t>
      </w:r>
      <w:r>
        <w:rPr>
          <w:b/>
          <w:color w:val="FFFFFF"/>
          <w:sz w:val="0"/>
        </w:rPr>
        <w:t>.</w:t>
      </w:r>
    </w:p>
    <w:p>
      <w:pPr>
        <w:spacing w:before="280" w:after="280" w:line="480" w:lineRule="auto"/>
        <w:ind w:firstLine="520" w:firstLineChars="200"/>
        <w:rPr>
          <w:rFonts w:ascii="Times New Roman" w:hAnsi="Times New Roman"/>
        </w:rPr>
      </w:pPr>
      <w:r>
        <w:rPr>
          <w:rFonts w:ascii="宋体" w:eastAsia="宋体" w:hAnsi="宋体" w:cs="宋体" w:hint="eastAsia"/>
          <w:sz w:val="26"/>
        </w:rPr>
        <w:t>a）结合路网交通管理需求，城市快速路出入口前合适路段；</w:t>
      </w:r>
      <w:r>
        <w:rPr>
          <w:b/>
          <w:color w:val="FFFFFF"/>
          <w:sz w:val="0"/>
        </w:rPr>
        <w:t>.</w:t>
      </w:r>
    </w:p>
    <w:p>
      <w:pPr>
        <w:spacing w:before="280" w:after="280" w:line="480" w:lineRule="auto"/>
        <w:ind w:firstLine="520" w:firstLineChars="200"/>
        <w:rPr>
          <w:rFonts w:ascii="Times New Roman" w:hAnsi="Times New Roman"/>
        </w:rPr>
      </w:pPr>
      <w:r>
        <w:rPr>
          <w:rFonts w:ascii="宋体" w:eastAsia="宋体" w:hAnsi="宋体" w:cs="宋体" w:hint="eastAsia"/>
          <w:sz w:val="26"/>
        </w:rPr>
        <w:t>b）长隧道入口前或隧道内；</w:t>
      </w:r>
      <w:r>
        <w:rPr>
          <w:b/>
          <w:color w:val="FFFFFF"/>
          <w:sz w:val="0"/>
        </w:rPr>
        <w:t>.</w:t>
      </w:r>
    </w:p>
    <w:p>
      <w:pPr>
        <w:spacing w:before="280" w:after="280" w:line="480" w:lineRule="auto"/>
        <w:ind w:firstLine="520" w:firstLineChars="200"/>
        <w:rPr>
          <w:rFonts w:ascii="Times New Roman" w:hAnsi="Times New Roman"/>
        </w:rPr>
      </w:pPr>
      <w:r>
        <w:rPr>
          <w:rFonts w:ascii="宋体" w:eastAsia="宋体" w:hAnsi="宋体" w:cs="宋体" w:hint="eastAsia"/>
          <w:sz w:val="26"/>
        </w:rPr>
        <w:t>c）潮汐车道起始路段和可变导向车道进入交叉口前；</w:t>
      </w:r>
      <w:r>
        <w:rPr>
          <w:b/>
          <w:color w:val="FFFFFF"/>
          <w:sz w:val="0"/>
        </w:rPr>
        <w:t>.</w:t>
      </w:r>
    </w:p>
    <w:p>
      <w:pPr>
        <w:spacing w:before="280" w:after="280" w:line="480" w:lineRule="auto"/>
        <w:ind w:firstLine="520" w:firstLineChars="200"/>
        <w:rPr>
          <w:rFonts w:ascii="Times New Roman" w:hAnsi="Times New Roman"/>
        </w:rPr>
        <w:sectPr>
          <w:headerReference w:type="default" r:id="rId14"/>
          <w:type w:val="nextPage"/>
          <w:pgSz w:w="11906" w:h="16838"/>
          <w:pgMar w:top="1440" w:right="1134" w:bottom="1440" w:left="1418" w:header="851" w:footer="992" w:gutter="0"/>
          <w:pgNumType w:start="8"/>
          <w:cols w:num="1" w:space="425"/>
          <w:titlePg w:val="0"/>
          <w:docGrid w:type="lines" w:linePitch="312" w:charSpace="0"/>
        </w:sectPr>
      </w:pPr>
      <w:r>
        <w:rPr>
          <w:rFonts w:ascii="宋体" w:eastAsia="宋体" w:hAnsi="宋体" w:cs="宋体" w:hint="eastAsia"/>
          <w:sz w:val="26"/>
        </w:rPr>
        <w:t>d）设置有左转待转区和直行待行区的路口前；</w:t>
      </w:r>
      <w:r>
        <w:rPr>
          <w:b/>
          <w:color w:val="FFFFFF"/>
          <w:sz w:val="0"/>
        </w:rPr>
        <w:t>.</w:t>
      </w:r>
    </w:p>
    <w:p>
      <w:pPr>
        <w:spacing w:before="280" w:after="280" w:line="480" w:lineRule="auto"/>
        <w:ind w:firstLine="520" w:firstLineChars="200"/>
        <w:rPr>
          <w:rFonts w:ascii="Times New Roman" w:hAnsi="Times New Roman"/>
        </w:rPr>
      </w:pPr>
      <w:r>
        <w:rPr>
          <w:rFonts w:ascii="宋体" w:eastAsia="宋体" w:hAnsi="宋体" w:cs="宋体" w:hint="eastAsia"/>
          <w:sz w:val="26"/>
        </w:rPr>
        <w:t>e）有其他特殊要求的路段。</w:t>
      </w:r>
      <w:r>
        <w:rPr>
          <w:b/>
          <w:color w:val="FFFFFF"/>
          <w:sz w:val="0"/>
        </w:rPr>
        <w:t>.</w:t>
      </w:r>
    </w:p>
    <w:p>
      <w:pPr>
        <w:widowControl/>
        <w:autoSpaceDE w:val="0"/>
        <w:autoSpaceDN w:val="0"/>
        <w:adjustRightInd w:val="0"/>
        <w:spacing w:before="280" w:after="280" w:line="480" w:lineRule="auto"/>
        <w:jc w:val="left"/>
        <w:outlineLvl w:val="2"/>
        <w:rPr>
          <w:rFonts w:ascii="黑体" w:eastAsia="黑体" w:hAnsi="黑体" w:cs="黑体"/>
          <w:color w:val="000000"/>
          <w:kern w:val="0"/>
          <w:szCs w:val="21"/>
        </w:rPr>
      </w:pPr>
      <w:r>
        <w:rPr>
          <w:rFonts w:ascii="宋体" w:eastAsia="宋体" w:hAnsi="宋体" w:cs="宋体" w:hint="eastAsia"/>
          <w:color w:val="000000"/>
          <w:kern w:val="0"/>
          <w:sz w:val="26"/>
          <w:szCs w:val="21"/>
        </w:rPr>
        <w:t xml:space="preserve"> 作业区绕行标志</w:t>
      </w:r>
      <w:r>
        <w:rPr>
          <w:b/>
          <w:color w:val="FFFFFF"/>
          <w:sz w:val="0"/>
        </w:rPr>
        <w:t>.</w:t>
      </w:r>
    </w:p>
    <w:p>
      <w:pPr>
        <w:autoSpaceDE w:val="0"/>
        <w:autoSpaceDN w:val="0"/>
        <w:adjustRightInd w:val="0"/>
        <w:spacing w:before="280" w:after="280" w:line="480" w:lineRule="auto"/>
        <w:jc w:val="left"/>
        <w:rPr>
          <w:rFonts w:ascii="宋体" w:eastAsia="宋体" w:hAnsi="Times New Roman" w:cs="宋体"/>
          <w:kern w:val="0"/>
          <w:szCs w:val="24"/>
        </w:rPr>
      </w:pPr>
      <w:r>
        <w:rPr>
          <w:rFonts w:ascii="宋体" w:eastAsia="宋体" w:hAnsi="宋体" w:cs="宋体" w:hint="eastAsia"/>
          <w:kern w:val="0"/>
          <w:sz w:val="26"/>
          <w:szCs w:val="24"/>
        </w:rPr>
        <w:t xml:space="preserve"> 因施工、交通事故、自然灾害等造成前方道路发生交通干扰、车道变化、交通阻断、绕行</w:t>
      </w:r>
      <w:r>
        <w:rPr>
          <w:rFonts w:ascii="宋体" w:eastAsia="宋体" w:hAnsi="宋体" w:cs="宋体"/>
          <w:kern w:val="0"/>
          <w:sz w:val="26"/>
          <w:szCs w:val="24"/>
        </w:rPr>
        <w:t>等情况时，应设置作业区标志。相关作业区标志</w:t>
      </w:r>
      <w:r>
        <w:rPr>
          <w:rFonts w:ascii="宋体" w:eastAsia="宋体" w:hAnsi="宋体" w:cs="宋体" w:hint="eastAsia"/>
          <w:kern w:val="0"/>
          <w:sz w:val="26"/>
          <w:szCs w:val="24"/>
        </w:rPr>
        <w:t>应</w:t>
      </w:r>
      <w:r>
        <w:rPr>
          <w:rFonts w:ascii="宋体" w:eastAsia="宋体" w:hAnsi="宋体" w:cs="宋体"/>
          <w:kern w:val="0"/>
          <w:sz w:val="26"/>
          <w:szCs w:val="24"/>
        </w:rPr>
        <w:t>符合GB51038-2015规定。</w:t>
      </w:r>
      <w:r>
        <w:rPr>
          <w:b/>
          <w:color w:val="FFFFFF"/>
          <w:sz w:val="0"/>
        </w:rPr>
        <w:t>.</w:t>
      </w:r>
    </w:p>
    <w:p>
      <w:pPr>
        <w:autoSpaceDE w:val="0"/>
        <w:autoSpaceDN w:val="0"/>
        <w:adjustRightInd w:val="0"/>
        <w:spacing w:before="280" w:after="280" w:line="480" w:lineRule="auto"/>
        <w:jc w:val="left"/>
        <w:rPr>
          <w:rFonts w:asciiTheme="minorEastAsia" w:hAnsiTheme="minorEastAsia" w:cs="宋体"/>
          <w:kern w:val="0"/>
          <w:szCs w:val="24"/>
        </w:rPr>
      </w:pPr>
      <w:r>
        <w:rPr>
          <w:rFonts w:ascii="宋体" w:eastAsia="宋体" w:hAnsi="宋体" w:cs="宋体" w:hint="eastAsia"/>
          <w:kern w:val="0"/>
          <w:sz w:val="26"/>
          <w:szCs w:val="24"/>
        </w:rPr>
        <w:t xml:space="preserve"> 因作业其道路交通组织发生了变化的道路起始点的转换路口需设置交通组织变化告知示意图标志（如图11所示）；新的交通组织绕行的主要转换路口需设置作业绕行指路标志（如图12所示）。</w:t>
      </w:r>
      <w:r>
        <w:rPr>
          <w:b/>
          <w:color w:val="FFFFFF"/>
          <w:sz w:val="0"/>
        </w:rPr>
        <w:t>.</w:t>
      </w:r>
    </w:p>
    <w:p>
      <w:pPr>
        <w:spacing w:before="280" w:after="280" w:line="480" w:lineRule="auto"/>
        <w:jc w:val="center"/>
        <w:rPr>
          <w:rFonts w:ascii="黑体" w:eastAsia="黑体" w:hAnsi="黑体" w:cs="Times New Roman"/>
          <w:szCs w:val="21"/>
        </w:rPr>
      </w:pPr>
      <w:r>
        <w:rPr>
          <w:rFonts w:ascii="宋体" w:eastAsia="宋体" w:hAnsi="宋体" w:cs="宋体" w:hint="eastAsia"/>
          <w:sz w:val="26"/>
          <w:szCs w:val="21"/>
        </w:rPr>
        <w:t>图1</w:t>
      </w:r>
      <w:r>
        <w:rPr>
          <w:rFonts w:ascii="宋体" w:eastAsia="宋体" w:hAnsi="宋体" w:cs="宋体"/>
          <w:sz w:val="26"/>
          <w:szCs w:val="21"/>
        </w:rPr>
        <w:t>1</w:t>
      </w:r>
      <w:r>
        <w:rPr>
          <w:rFonts w:ascii="宋体" w:eastAsia="宋体" w:hAnsi="宋体" w:cs="宋体" w:hint="eastAsia"/>
          <w:sz w:val="26"/>
          <w:szCs w:val="21"/>
        </w:rPr>
        <w:t xml:space="preserve"> 交通组织变化告知示意图标志示意图</w:t>
      </w:r>
      <w:r>
        <w:rPr>
          <w:b/>
          <w:color w:val="FFFFFF"/>
          <w:sz w:val="0"/>
        </w:rPr>
        <w:t>.</w:t>
      </w:r>
    </w:p>
    <w:p>
      <w:pPr>
        <w:spacing w:before="280" w:after="280" w:line="480" w:lineRule="auto"/>
        <w:jc w:val="center"/>
        <w:rPr>
          <w:rFonts w:ascii="黑体" w:eastAsia="黑体" w:hAnsi="黑体"/>
        </w:rPr>
      </w:pPr>
      <w:r>
        <w:rPr>
          <w:rFonts w:ascii="宋体" w:eastAsia="宋体" w:hAnsi="宋体" w:cs="宋体" w:hint="eastAsia"/>
          <w:sz w:val="26"/>
        </w:rPr>
        <w:t>图1</w:t>
      </w:r>
      <w:r>
        <w:rPr>
          <w:rFonts w:ascii="宋体" w:eastAsia="宋体" w:hAnsi="宋体" w:cs="宋体"/>
          <w:sz w:val="26"/>
        </w:rPr>
        <w:t>2</w:t>
      </w:r>
      <w:r>
        <w:rPr>
          <w:rFonts w:ascii="宋体" w:eastAsia="宋体" w:hAnsi="宋体" w:cs="宋体" w:hint="eastAsia"/>
          <w:sz w:val="26"/>
        </w:rPr>
        <w:t xml:space="preserve"> 作业绕行（诱导）指路标志示意图</w:t>
      </w:r>
      <w:r>
        <w:rPr>
          <w:b/>
          <w:color w:val="FFFFFF"/>
          <w:sz w:val="0"/>
        </w:rPr>
        <w:t>.</w:t>
      </w:r>
    </w:p>
    <w:p>
      <w:pPr>
        <w:widowControl/>
        <w:autoSpaceDE w:val="0"/>
        <w:autoSpaceDN w:val="0"/>
        <w:adjustRightInd w:val="0"/>
        <w:spacing w:before="280" w:after="280" w:line="480" w:lineRule="auto"/>
        <w:jc w:val="left"/>
        <w:outlineLvl w:val="1"/>
        <w:rPr>
          <w:rFonts w:ascii="黑体" w:eastAsia="黑体" w:hAnsi="黑体" w:cs="黑体"/>
          <w:color w:val="000000"/>
          <w:kern w:val="0"/>
          <w:szCs w:val="21"/>
        </w:rPr>
      </w:pPr>
      <w:bookmarkStart w:id="7" w:name="_Toc510961710"/>
      <w:r>
        <w:rPr>
          <w:rFonts w:ascii="宋体" w:eastAsia="宋体" w:hAnsi="宋体" w:cs="宋体" w:hint="eastAsia"/>
          <w:color w:val="000000"/>
          <w:kern w:val="0"/>
          <w:sz w:val="26"/>
          <w:szCs w:val="21"/>
        </w:rPr>
        <w:t>6 标志板、</w:t>
      </w:r>
      <w:r>
        <w:rPr>
          <w:rFonts w:ascii="宋体" w:eastAsia="宋体" w:hAnsi="宋体" w:cs="宋体"/>
          <w:color w:val="000000"/>
          <w:kern w:val="0"/>
          <w:sz w:val="26"/>
          <w:szCs w:val="21"/>
        </w:rPr>
        <w:t>支撑方式</w:t>
      </w:r>
      <w:r>
        <w:rPr>
          <w:rFonts w:ascii="宋体" w:eastAsia="宋体" w:hAnsi="宋体" w:cs="宋体" w:hint="eastAsia"/>
          <w:color w:val="000000"/>
          <w:kern w:val="0"/>
          <w:sz w:val="26"/>
          <w:szCs w:val="21"/>
        </w:rPr>
        <w:t>及</w:t>
      </w:r>
      <w:r>
        <w:rPr>
          <w:rFonts w:ascii="宋体" w:eastAsia="宋体" w:hAnsi="宋体" w:cs="宋体"/>
          <w:color w:val="000000"/>
          <w:kern w:val="0"/>
          <w:sz w:val="26"/>
          <w:szCs w:val="21"/>
        </w:rPr>
        <w:t>安装要求</w:t>
      </w:r>
      <w:bookmarkEnd w:id="7"/>
      <w:r>
        <w:rPr>
          <w:b/>
          <w:color w:val="FFFFFF"/>
          <w:sz w:val="0"/>
        </w:rPr>
        <w:t>.</w:t>
      </w:r>
    </w:p>
    <w:p>
      <w:pPr>
        <w:spacing w:before="280" w:after="280" w:line="480" w:lineRule="auto"/>
      </w:pPr>
      <w:r>
        <w:rPr>
          <w:rFonts w:ascii="宋体" w:eastAsia="宋体" w:hAnsi="宋体" w:cs="宋体" w:hint="eastAsia"/>
          <w:sz w:val="26"/>
        </w:rPr>
        <w:t>标志板的生产、安装应符合《道路交通标志板及支撑件》（GB/T 23827）的标准。</w:t>
      </w:r>
      <w:r>
        <w:rPr>
          <w:b/>
          <w:color w:val="FFFFFF"/>
          <w:sz w:val="0"/>
        </w:rPr>
        <w:t>.</w:t>
      </w:r>
    </w:p>
    <w:p>
      <w:pPr>
        <w:widowControl/>
        <w:autoSpaceDE w:val="0"/>
        <w:autoSpaceDN w:val="0"/>
        <w:adjustRightInd w:val="0"/>
        <w:spacing w:before="280" w:after="280" w:line="480" w:lineRule="auto"/>
        <w:jc w:val="left"/>
        <w:outlineLvl w:val="2"/>
        <w:rPr>
          <w:rFonts w:ascii="黑体" w:eastAsia="黑体" w:hAnsi="黑体" w:cs="黑体"/>
          <w:color w:val="000000"/>
          <w:kern w:val="0"/>
          <w:szCs w:val="21"/>
        </w:rPr>
      </w:pPr>
      <w:r>
        <w:rPr>
          <w:rFonts w:ascii="宋体" w:eastAsia="宋体" w:hAnsi="宋体" w:cs="宋体" w:hint="eastAsia"/>
          <w:color w:val="000000"/>
          <w:kern w:val="0"/>
          <w:sz w:val="26"/>
          <w:szCs w:val="21"/>
        </w:rPr>
        <w:t xml:space="preserve"> 一般规定</w:t>
      </w:r>
      <w:r>
        <w:rPr>
          <w:b/>
          <w:color w:val="FFFFFF"/>
          <w:sz w:val="0"/>
        </w:rPr>
        <w:t>.</w:t>
      </w:r>
    </w:p>
    <w:p>
      <w:pPr>
        <w:spacing w:before="280" w:after="280" w:line="480" w:lineRule="auto"/>
        <w:rPr>
          <w:rFonts w:ascii="Times New Roman" w:eastAsia="宋体" w:hAnsi="Times New Roman" w:cs="Times New Roman"/>
          <w:szCs w:val="24"/>
        </w:rPr>
      </w:pPr>
      <w:r>
        <w:rPr>
          <w:rFonts w:ascii="宋体" w:eastAsia="宋体" w:hAnsi="宋体" w:cs="宋体"/>
          <w:sz w:val="26"/>
          <w:szCs w:val="24"/>
        </w:rPr>
        <w:t xml:space="preserve"> 标志牌全部采用铝合金材质材料制作，铝合金板厚度为</w:t>
      </w:r>
      <w:r>
        <w:rPr>
          <w:rFonts w:ascii="宋体" w:eastAsia="宋体" w:hAnsi="宋体" w:cs="宋体" w:hint="eastAsia"/>
          <w:sz w:val="26"/>
          <w:szCs w:val="24"/>
        </w:rPr>
        <w:t>2-3mm。标志底板尽可能使用最大尺寸制作，小于铝合金板型材面积的标志不允许拼接。如标志大于铝合金板型材面积，允许按照标志背板滑槽安装方向拼接（纵向或者横向），但需按铝合金板型材产品的最大宽度进行拼接。其铝合金板的拼接应采用铝焊，铝合金板与滑槽的加固连接可采用铆接和焊接，应满足GB/T 23827的规定。</w:t>
      </w:r>
      <w:r>
        <w:rPr>
          <w:b/>
          <w:color w:val="FFFFFF"/>
          <w:sz w:val="0"/>
        </w:rPr>
        <w:t>.</w:t>
      </w:r>
      <w:r>
        <w:rPr>
          <w:rFonts w:ascii="Times New Roman" w:eastAsia="宋体" w:hAnsi="Times New Roman" w:cs="Times New Roman"/>
          <w:szCs w:val="24"/>
        </w:rPr>
        <w:br/>
      </w:r>
      <w:r>
        <w:rPr>
          <w:rFonts w:ascii="Times New Roman" w:eastAsia="宋体" w:hAnsi="Times New Roman" w:cs="Times New Roman"/>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https://d.book118.com/578115057001006032</w:t>
        </w:r>
      </w:hyperlink>
    </w:p>
    <w:p>
      <w:pPr>
        <w:spacing w:before="280" w:after="280" w:line="480" w:lineRule="auto"/>
        <w:rPr>
          <w:rFonts w:ascii="Times New Roman" w:eastAsia="宋体" w:hAnsi="Times New Roman" w:cs="Times New Roman"/>
          <w:szCs w:val="24"/>
        </w:rPr>
      </w:pPr>
    </w:p>
    <w:sectPr>
      <w:headerReference w:type="default" r:id="rId16"/>
      <w:type w:val="nextPage"/>
      <w:pgSz w:w="11906" w:h="16838"/>
      <w:pgMar w:top="1440" w:right="1134" w:bottom="1440" w:left="1418"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C91163"/>
    <w:multiLevelType w:val="multilevel"/>
    <w:tmpl w:val="1FC91163"/>
    <w:lvl w:ilvl="0">
      <w:start w:val="1"/>
      <w:numFmt w:val="decimal"/>
      <w:pStyle w:val="a0"/>
      <w:suff w:val="nothing"/>
      <w:lvlText w:val="%1　"/>
      <w:lvlJc w:val="left"/>
      <w:pPr>
        <w:ind w:left="0" w:firstLine="0"/>
      </w:pPr>
      <w:rPr>
        <w:rFonts w:ascii="黑体" w:eastAsia="黑体" w:hAnsi="Times New Roman" w:hint="eastAsia"/>
        <w:b w:val="0"/>
        <w:i w:val="0"/>
        <w:sz w:val="21"/>
        <w:szCs w:val="21"/>
      </w:rPr>
    </w:lvl>
    <w:lvl w:ilvl="1">
      <w:start w:val="1"/>
      <w:numFmt w:val="decimal"/>
      <w:pStyle w:val="a"/>
      <w:suff w:val="nothing"/>
      <w:lvlText w:val="%1.%2　"/>
      <w:lvlJc w:val="left"/>
      <w:pPr>
        <w:ind w:left="284"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pStyle w:val="a1"/>
      <w:suff w:val="nothing"/>
      <w:lvlText w:val="%1.%2.%3　"/>
      <w:lvlJc w:val="left"/>
      <w:pPr>
        <w:ind w:left="710" w:firstLine="0"/>
      </w:pPr>
      <w:rPr>
        <w:rFonts w:ascii="黑体" w:eastAsia="黑体" w:hAnsi="Times New Roman" w:hint="eastAsia"/>
        <w:b w:val="0"/>
        <w:i w:val="0"/>
        <w:sz w:val="21"/>
      </w:rPr>
    </w:lvl>
    <w:lvl w:ilvl="3">
      <w:start w:val="1"/>
      <w:numFmt w:val="decimal"/>
      <w:pStyle w:val="a2"/>
      <w:suff w:val="nothing"/>
      <w:lvlText w:val="%1.%2.%3.%4　"/>
      <w:lvlJc w:val="left"/>
      <w:pPr>
        <w:ind w:left="0" w:firstLine="0"/>
      </w:pPr>
      <w:rPr>
        <w:rFonts w:ascii="黑体" w:eastAsia="黑体" w:hAnsi="Times New Roman" w:hint="eastAsia"/>
        <w:b w:val="0"/>
        <w:i w:val="0"/>
        <w:sz w:val="21"/>
      </w:rPr>
    </w:lvl>
    <w:lvl w:ilvl="4">
      <w:start w:val="1"/>
      <w:numFmt w:val="decimal"/>
      <w:pStyle w:val="a3"/>
      <w:suff w:val="nothing"/>
      <w:lvlText w:val="%1.%2.%3.%4.%5　"/>
      <w:lvlJc w:val="left"/>
      <w:pPr>
        <w:ind w:left="1277" w:firstLine="0"/>
      </w:pPr>
      <w:rPr>
        <w:rFonts w:ascii="黑体" w:eastAsia="黑体" w:hAnsi="Times New Roman" w:hint="eastAsia"/>
        <w:b w:val="0"/>
        <w:i w:val="0"/>
        <w:sz w:val="21"/>
      </w:rPr>
    </w:lvl>
    <w:lvl w:ilvl="5">
      <w:start w:val="1"/>
      <w:numFmt w:val="decimal"/>
      <w:pStyle w:val="a4"/>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
    <w:nsid w:val="2C5917C3"/>
    <w:multiLevelType w:val="multilevel"/>
    <w:tmpl w:val="2C5917C3"/>
    <w:lvl w:ilvl="0">
      <w:start w:val="1"/>
      <w:numFmt w:val="none"/>
      <w:pStyle w:val="a10"/>
      <w:suff w:val="nothing"/>
      <w:lvlText w:val="%1——"/>
      <w:lvlJc w:val="left"/>
      <w:pPr>
        <w:ind w:left="833" w:hanging="408"/>
      </w:pPr>
      <w:rPr>
        <w:rFonts w:hint="eastAsia"/>
      </w:rPr>
    </w:lvl>
    <w:lvl w:ilvl="1">
      <w:start w:val="1"/>
      <w:numFmt w:val="bullet"/>
      <w:pStyle w:val="a11"/>
      <w:lvlText w:val=""/>
      <w:lvlJc w:val="left"/>
      <w:pPr>
        <w:tabs>
          <w:tab w:val="left" w:pos="760"/>
        </w:tabs>
        <w:ind w:left="1264" w:hanging="413"/>
      </w:pPr>
      <w:rPr>
        <w:rFonts w:ascii="Symbol" w:hAnsi="Symbol" w:hint="default"/>
        <w:color w:val="auto"/>
      </w:rPr>
    </w:lvl>
    <w:lvl w:ilvl="2">
      <w:start w:val="1"/>
      <w:numFmt w:val="bullet"/>
      <w:pStyle w:val="a12"/>
      <w:lvlText w:val=""/>
      <w:lvlJc w:val="left"/>
      <w:pPr>
        <w:tabs>
          <w:tab w:val="left" w:pos="1678"/>
        </w:tabs>
        <w:ind w:left="1678" w:hanging="414"/>
      </w:pPr>
      <w:rPr>
        <w:rFonts w:ascii="Symbol" w:hAnsi="Symbol" w:hint="default"/>
        <w:color w:val="auto"/>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2">
    <w:nsid w:val="3C6F23BF"/>
    <w:multiLevelType w:val="multilevel"/>
    <w:tmpl w:val="3C6F23BF"/>
    <w:lvl w:ilvl="0">
      <w:start w:val="4"/>
      <w:numFmt w:val="japaneseCounting"/>
      <w:pStyle w:val="a14"/>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557C2AF5"/>
    <w:multiLevelType w:val="multilevel"/>
    <w:tmpl w:val="557C2AF5"/>
    <w:lvl w:ilvl="0">
      <w:start w:val="1"/>
      <w:numFmt w:val="decimal"/>
      <w:pStyle w:val="a16"/>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4">
    <w:nsid w:val="646260FA"/>
    <w:multiLevelType w:val="multilevel"/>
    <w:tmpl w:val="646260FA"/>
    <w:lvl w:ilvl="0">
      <w:start w:val="1"/>
      <w:numFmt w:val="decimal"/>
      <w:pStyle w:val="a15"/>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5">
    <w:nsid w:val="6B8F181A"/>
    <w:multiLevelType w:val="multilevel"/>
    <w:tmpl w:val="6B8F181A"/>
    <w:lvl w:ilvl="0">
      <w:start w:val="1"/>
      <w:numFmt w:val="lowerLetter"/>
      <w:pStyle w:val="a7"/>
      <w:lvlText w:val="%1)"/>
      <w:lvlJc w:val="left"/>
      <w:pPr>
        <w:tabs>
          <w:tab w:val="left" w:pos="839"/>
        </w:tabs>
        <w:ind w:left="839" w:hanging="419"/>
      </w:pPr>
      <w:rPr>
        <w:rFonts w:ascii="宋体" w:eastAsia="宋体" w:hAnsi="宋体" w:hint="eastAsia"/>
        <w:b w:val="0"/>
        <w:i w:val="0"/>
        <w:sz w:val="20"/>
        <w:szCs w:val="21"/>
      </w:rPr>
    </w:lvl>
    <w:lvl w:ilvl="1">
      <w:start w:val="1"/>
      <w:numFmt w:val="decimal"/>
      <w:pStyle w:val="a6"/>
      <w:lvlText w:val="%2)"/>
      <w:lvlJc w:val="left"/>
      <w:pPr>
        <w:tabs>
          <w:tab w:val="left" w:pos="1259"/>
        </w:tabs>
        <w:ind w:left="1259" w:hanging="420"/>
      </w:pPr>
      <w:rPr>
        <w:rFonts w:ascii="宋体" w:eastAsia="宋体" w:hAnsi="宋体" w:hint="eastAsia"/>
        <w:b w:val="0"/>
        <w:i w:val="0"/>
        <w:sz w:val="20"/>
      </w:rPr>
    </w:lvl>
    <w:lvl w:ilvl="2">
      <w:start w:val="1"/>
      <w:numFmt w:val="decimal"/>
      <w:pStyle w:val="a8"/>
      <w:lvlText w:val="(%3)"/>
      <w:lvlJc w:val="left"/>
      <w:pPr>
        <w:tabs>
          <w:tab w:val="left" w:pos="0"/>
        </w:tabs>
        <w:ind w:left="1678" w:hanging="419"/>
      </w:pPr>
      <w:rPr>
        <w:rFonts w:ascii="宋体" w:eastAsia="宋体" w:hAnsi="宋体" w:hint="eastAsia"/>
        <w:b w:val="0"/>
        <w:i w:val="0"/>
        <w:sz w:val="20"/>
        <w:szCs w:val="21"/>
      </w:rPr>
    </w:lvl>
    <w:lvl w:ilvl="3">
      <w:start w:val="1"/>
      <w:numFmt w:val="decimal"/>
      <w:lvlText w:val="%4."/>
      <w:lvlJc w:val="left"/>
      <w:pPr>
        <w:tabs>
          <w:tab w:val="left" w:pos="2098"/>
        </w:tabs>
        <w:ind w:left="2098" w:hanging="420"/>
      </w:pPr>
      <w:rPr>
        <w:rFonts w:hint="eastAsia"/>
      </w:rPr>
    </w:lvl>
    <w:lvl w:ilvl="4">
      <w:start w:val="1"/>
      <w:numFmt w:val="lowerLetter"/>
      <w:lvlText w:val="%5)"/>
      <w:lvlJc w:val="left"/>
      <w:pPr>
        <w:tabs>
          <w:tab w:val="left" w:pos="2517"/>
        </w:tabs>
        <w:ind w:left="2517" w:hanging="419"/>
      </w:pPr>
      <w:rPr>
        <w:rFonts w:hint="eastAsia"/>
      </w:rPr>
    </w:lvl>
    <w:lvl w:ilvl="5">
      <w:start w:val="1"/>
      <w:numFmt w:val="lowerRoman"/>
      <w:lvlText w:val="%6."/>
      <w:lvlJc w:val="right"/>
      <w:pPr>
        <w:tabs>
          <w:tab w:val="left" w:pos="2942"/>
        </w:tabs>
        <w:ind w:left="2937" w:hanging="420"/>
      </w:pPr>
      <w:rPr>
        <w:rFonts w:hint="eastAsia"/>
      </w:rPr>
    </w:lvl>
    <w:lvl w:ilvl="6">
      <w:start w:val="1"/>
      <w:numFmt w:val="decimal"/>
      <w:lvlText w:val="%7."/>
      <w:lvlJc w:val="left"/>
      <w:pPr>
        <w:tabs>
          <w:tab w:val="left" w:pos="3362"/>
        </w:tabs>
        <w:ind w:left="3356" w:hanging="414"/>
      </w:pPr>
      <w:rPr>
        <w:rFonts w:hint="eastAsia"/>
      </w:rPr>
    </w:lvl>
    <w:lvl w:ilvl="7">
      <w:start w:val="1"/>
      <w:numFmt w:val="lowerLetter"/>
      <w:lvlText w:val="%8)"/>
      <w:lvlJc w:val="left"/>
      <w:pPr>
        <w:tabs>
          <w:tab w:val="left" w:pos="3781"/>
        </w:tabs>
        <w:ind w:left="3776" w:hanging="414"/>
      </w:pPr>
      <w:rPr>
        <w:rFonts w:hint="eastAsia"/>
      </w:rPr>
    </w:lvl>
    <w:lvl w:ilvl="8">
      <w:start w:val="1"/>
      <w:numFmt w:val="lowerRoman"/>
      <w:lvlText w:val="%9."/>
      <w:lvlJc w:val="right"/>
      <w:pPr>
        <w:tabs>
          <w:tab w:val="left" w:pos="4201"/>
        </w:tabs>
        <w:ind w:left="4201" w:hanging="420"/>
      </w:pPr>
      <w:rPr>
        <w:rFonts w:hint="eastAsia"/>
      </w:rPr>
    </w:lvl>
  </w:abstractNum>
  <w:abstractNum w:abstractNumId="6">
    <w:nsid w:val="76933334"/>
    <w:multiLevelType w:val="multilevel"/>
    <w:tmpl w:val="76933334"/>
    <w:lvl w:ilvl="0">
      <w:start w:val="1"/>
      <w:numFmt w:val="none"/>
      <w:pStyle w:val="a18"/>
      <w:lvlText w:val="%1——"/>
      <w:lvlJc w:val="left"/>
      <w:pPr>
        <w:tabs>
          <w:tab w:val="left" w:pos="1140"/>
        </w:tabs>
        <w:ind w:left="840" w:hanging="420"/>
      </w:pPr>
      <w:rPr>
        <w:rFonts w:hint="eastAsia"/>
        <w:lang w:val="en-US"/>
      </w:rPr>
    </w:lvl>
    <w:lvl w:ilvl="1">
      <w:start w:val="1"/>
      <w:numFmt w:val="lowerLetter"/>
      <w:lvlText w:val="%2)"/>
      <w:lvlJc w:val="left"/>
      <w:pPr>
        <w:tabs>
          <w:tab w:val="left" w:pos="780"/>
        </w:tabs>
        <w:ind w:left="780" w:hanging="360"/>
      </w:pPr>
      <w:rPr>
        <w:rFonts w:hint="default"/>
      </w:rPr>
    </w:lvl>
    <w:lvl w:ilvl="2">
      <w:start w:val="6"/>
      <w:numFmt w:val="decimal"/>
      <w:lvlText w:val="%3）"/>
      <w:lvlJc w:val="left"/>
      <w:pPr>
        <w:tabs>
          <w:tab w:val="left" w:pos="1200"/>
        </w:tabs>
        <w:ind w:left="1200" w:hanging="360"/>
      </w:pPr>
      <w:rPr>
        <w:rFonts w:hint="eastAsia"/>
      </w:rPr>
    </w:lvl>
    <w:lvl w:ilvl="3">
      <w:start w:val="1"/>
      <w:numFmt w:val="upperLetter"/>
      <w:lvlText w:val="%4）"/>
      <w:lvlJc w:val="left"/>
      <w:pPr>
        <w:tabs>
          <w:tab w:val="left" w:pos="1620"/>
        </w:tabs>
        <w:ind w:left="1620" w:hanging="360"/>
      </w:pPr>
      <w:rPr>
        <w:rFonts w:hint="default"/>
      </w:rPr>
    </w:lvl>
    <w:lvl w:ilvl="4">
      <w:start w:val="1"/>
      <w:numFmt w:val="lowerLetter"/>
      <w:lvlText w:val="%5）"/>
      <w:lvlJc w:val="left"/>
      <w:pPr>
        <w:tabs>
          <w:tab w:val="left" w:pos="2040"/>
        </w:tabs>
        <w:ind w:left="2040" w:hanging="360"/>
      </w:pPr>
      <w:rPr>
        <w:rFonts w:ascii="宋体" w:eastAsia="宋体" w:hAnsi="Times New Roman" w:cs="Times New Roman"/>
      </w:r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nsid w:val="7E9A246F"/>
    <w:multiLevelType w:val="multilevel"/>
    <w:tmpl w:val="7E9A246F"/>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pStyle w:val="a13"/>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abstractNumId w:val="0"/>
  </w:num>
  <w:num w:numId="2">
    <w:abstractNumId w:val="5"/>
  </w:num>
  <w:num w:numId="3">
    <w:abstractNumId w:val="1"/>
  </w:num>
  <w:num w:numId="4">
    <w:abstractNumId w:val="7"/>
  </w:num>
  <w:num w:numId="5">
    <w:abstractNumId w:val="2"/>
  </w:num>
  <w:num w:numId="6">
    <w:abstractNumId w:val="4"/>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3"/>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208"/>
    <w:rsid w:val="00025B08"/>
    <w:rsid w:val="0004357C"/>
    <w:rsid w:val="000440E1"/>
    <w:rsid w:val="000620B5"/>
    <w:rsid w:val="000627B7"/>
    <w:rsid w:val="0006773D"/>
    <w:rsid w:val="00080E03"/>
    <w:rsid w:val="000C7064"/>
    <w:rsid w:val="000E490E"/>
    <w:rsid w:val="0011740B"/>
    <w:rsid w:val="0012146F"/>
    <w:rsid w:val="00150708"/>
    <w:rsid w:val="00177CCB"/>
    <w:rsid w:val="001B26A8"/>
    <w:rsid w:val="001C18BD"/>
    <w:rsid w:val="001D0118"/>
    <w:rsid w:val="00201D07"/>
    <w:rsid w:val="0022144D"/>
    <w:rsid w:val="002815B9"/>
    <w:rsid w:val="002E6569"/>
    <w:rsid w:val="00320881"/>
    <w:rsid w:val="00340B30"/>
    <w:rsid w:val="00343325"/>
    <w:rsid w:val="00352E21"/>
    <w:rsid w:val="003701EA"/>
    <w:rsid w:val="00393F77"/>
    <w:rsid w:val="003B4562"/>
    <w:rsid w:val="003C366B"/>
    <w:rsid w:val="003C3FF2"/>
    <w:rsid w:val="003C4657"/>
    <w:rsid w:val="003E078E"/>
    <w:rsid w:val="003F0A0F"/>
    <w:rsid w:val="003F6425"/>
    <w:rsid w:val="004041AC"/>
    <w:rsid w:val="00483DD4"/>
    <w:rsid w:val="004915FC"/>
    <w:rsid w:val="0049480E"/>
    <w:rsid w:val="00496F6A"/>
    <w:rsid w:val="005128EE"/>
    <w:rsid w:val="00521937"/>
    <w:rsid w:val="00524349"/>
    <w:rsid w:val="00530AA8"/>
    <w:rsid w:val="0056485D"/>
    <w:rsid w:val="005B65CC"/>
    <w:rsid w:val="005C4AB6"/>
    <w:rsid w:val="005D2CEE"/>
    <w:rsid w:val="005D73BE"/>
    <w:rsid w:val="005E3829"/>
    <w:rsid w:val="00617F5F"/>
    <w:rsid w:val="00631CC6"/>
    <w:rsid w:val="006469FC"/>
    <w:rsid w:val="00673585"/>
    <w:rsid w:val="00673C8E"/>
    <w:rsid w:val="0068398F"/>
    <w:rsid w:val="0068481A"/>
    <w:rsid w:val="00696C26"/>
    <w:rsid w:val="006A1104"/>
    <w:rsid w:val="006A59DF"/>
    <w:rsid w:val="006B106F"/>
    <w:rsid w:val="006E257B"/>
    <w:rsid w:val="006E5912"/>
    <w:rsid w:val="006F5435"/>
    <w:rsid w:val="00741A7E"/>
    <w:rsid w:val="00752FD2"/>
    <w:rsid w:val="00761C22"/>
    <w:rsid w:val="00773E30"/>
    <w:rsid w:val="00790A84"/>
    <w:rsid w:val="007B0A63"/>
    <w:rsid w:val="007B5D38"/>
    <w:rsid w:val="007F200D"/>
    <w:rsid w:val="00802605"/>
    <w:rsid w:val="00836675"/>
    <w:rsid w:val="00862BE8"/>
    <w:rsid w:val="0086672D"/>
    <w:rsid w:val="00871AD9"/>
    <w:rsid w:val="008C5CA6"/>
    <w:rsid w:val="008F32CB"/>
    <w:rsid w:val="00901166"/>
    <w:rsid w:val="0091162F"/>
    <w:rsid w:val="00925187"/>
    <w:rsid w:val="009372B1"/>
    <w:rsid w:val="009379D5"/>
    <w:rsid w:val="00945839"/>
    <w:rsid w:val="00946C4E"/>
    <w:rsid w:val="00967665"/>
    <w:rsid w:val="009F2B1A"/>
    <w:rsid w:val="00A07EDE"/>
    <w:rsid w:val="00A17519"/>
    <w:rsid w:val="00A3569A"/>
    <w:rsid w:val="00A42319"/>
    <w:rsid w:val="00A45FB7"/>
    <w:rsid w:val="00A47A86"/>
    <w:rsid w:val="00A47D56"/>
    <w:rsid w:val="00A92732"/>
    <w:rsid w:val="00AA0437"/>
    <w:rsid w:val="00AC2EF5"/>
    <w:rsid w:val="00AC3C14"/>
    <w:rsid w:val="00AD6EE5"/>
    <w:rsid w:val="00B005C5"/>
    <w:rsid w:val="00B05661"/>
    <w:rsid w:val="00B24563"/>
    <w:rsid w:val="00B24711"/>
    <w:rsid w:val="00B373DF"/>
    <w:rsid w:val="00B53477"/>
    <w:rsid w:val="00B55888"/>
    <w:rsid w:val="00B5593E"/>
    <w:rsid w:val="00B70D80"/>
    <w:rsid w:val="00B93F91"/>
    <w:rsid w:val="00BE37E7"/>
    <w:rsid w:val="00BF32DE"/>
    <w:rsid w:val="00C27605"/>
    <w:rsid w:val="00C415D9"/>
    <w:rsid w:val="00C51E30"/>
    <w:rsid w:val="00C6149D"/>
    <w:rsid w:val="00C64520"/>
    <w:rsid w:val="00C73DBD"/>
    <w:rsid w:val="00C773A2"/>
    <w:rsid w:val="00C914F7"/>
    <w:rsid w:val="00C935AE"/>
    <w:rsid w:val="00CA1B95"/>
    <w:rsid w:val="00CA73DA"/>
    <w:rsid w:val="00CB7EFB"/>
    <w:rsid w:val="00CC3D05"/>
    <w:rsid w:val="00CE5892"/>
    <w:rsid w:val="00CE5AFE"/>
    <w:rsid w:val="00CF5208"/>
    <w:rsid w:val="00D46CF9"/>
    <w:rsid w:val="00D50DC1"/>
    <w:rsid w:val="00D5639D"/>
    <w:rsid w:val="00D822FA"/>
    <w:rsid w:val="00D8359C"/>
    <w:rsid w:val="00D9018B"/>
    <w:rsid w:val="00D965EC"/>
    <w:rsid w:val="00DB0188"/>
    <w:rsid w:val="00DB4157"/>
    <w:rsid w:val="00DE15D9"/>
    <w:rsid w:val="00E138C5"/>
    <w:rsid w:val="00E32C8D"/>
    <w:rsid w:val="00E4761C"/>
    <w:rsid w:val="00E84CFF"/>
    <w:rsid w:val="00EA48D0"/>
    <w:rsid w:val="00F02889"/>
    <w:rsid w:val="00F41C00"/>
    <w:rsid w:val="00F422B4"/>
    <w:rsid w:val="00F65D81"/>
    <w:rsid w:val="00F82831"/>
    <w:rsid w:val="00F841D7"/>
    <w:rsid w:val="00F878EF"/>
    <w:rsid w:val="00FA05CB"/>
    <w:rsid w:val="00FB45B3"/>
    <w:rsid w:val="00FB7C9C"/>
    <w:rsid w:val="00FC3655"/>
    <w:rsid w:val="00FE3800"/>
    <w:rsid w:val="00FF55F1"/>
    <w:rsid w:val="00FF6482"/>
    <w:rsid w:val="1FB8313F"/>
    <w:rsid w:val="5D0E6630"/>
    <w:rsid w:val="71C52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Normal Indent"/>
    <w:lsdException w:name="footnote text"/>
    <w:lsdException w:name="annotation text" w:semiHidden="0"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qFormat="1"/>
    <w:lsdException w:name="Body Text First Indent"/>
    <w:lsdException w:name="Body Text First Indent 2"/>
    <w:lsdException w:name="Note Heading"/>
    <w:lsdException w:name="Body Text 2"/>
    <w:lsdException w:name="Body Text 3"/>
    <w:lsdException w:name="Body Text Indent 2" w:semiHidden="0" w:qFormat="1"/>
    <w:lsdException w:name="Body Text Indent 3" w:semiHidden="0" w:uiPriority="0" w:unhideWhenUsed="0" w:qFormat="1"/>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semiHidden="0" w:qFormat="1"/>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semiHidden="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3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Char"/>
    <w:uiPriority w:val="9"/>
    <w:qFormat/>
    <w:pPr>
      <w:keepNext/>
      <w:keepLines/>
      <w:spacing w:before="340" w:after="330" w:line="578" w:lineRule="auto"/>
      <w:ind w:firstLine="200" w:firstLineChars="200"/>
      <w:outlineLvl w:val="0"/>
    </w:pPr>
    <w:rPr>
      <w:rFonts w:ascii="Times New Roman" w:hAnsi="Times New Roman"/>
      <w:b/>
      <w:bCs/>
      <w:kern w:val="44"/>
      <w:sz w:val="44"/>
      <w:szCs w:val="44"/>
    </w:rPr>
  </w:style>
  <w:style w:type="paragraph" w:styleId="Heading2">
    <w:name w:val="heading 2"/>
    <w:basedOn w:val="Normal"/>
    <w:next w:val="Normal"/>
    <w:link w:val="2Char"/>
    <w:uiPriority w:val="9"/>
    <w:unhideWhenUsed/>
    <w:qFormat/>
    <w:pPr>
      <w:keepNext/>
      <w:keepLines/>
      <w:spacing w:before="260" w:after="260" w:line="416" w:lineRule="auto"/>
      <w:ind w:firstLine="200" w:firstLineChars="200"/>
      <w:outlineLvl w:val="1"/>
    </w:pPr>
    <w:rPr>
      <w:rFonts w:asciiTheme="majorHAnsi" w:eastAsiaTheme="majorEastAsia" w:hAnsiTheme="majorHAnsi" w:cstheme="majorBidi"/>
      <w:b/>
      <w:bCs/>
      <w:sz w:val="32"/>
      <w:szCs w:val="32"/>
    </w:rPr>
  </w:style>
  <w:style w:type="paragraph" w:styleId="Heading3">
    <w:name w:val="heading 3"/>
    <w:basedOn w:val="Normal"/>
    <w:next w:val="Normal"/>
    <w:link w:val="3Char"/>
    <w:uiPriority w:val="9"/>
    <w:unhideWhenUsed/>
    <w:qFormat/>
    <w:pPr>
      <w:keepNext/>
      <w:keepLines/>
      <w:spacing w:before="260" w:after="260" w:line="416" w:lineRule="auto"/>
      <w:ind w:firstLine="200" w:firstLineChars="200"/>
      <w:outlineLvl w:val="2"/>
    </w:pPr>
    <w:rPr>
      <w:rFonts w:ascii="Times New Roman" w:hAnsi="Times New Roman"/>
      <w:b/>
      <w:bCs/>
      <w:sz w:val="32"/>
      <w:szCs w:val="32"/>
    </w:rPr>
  </w:style>
  <w:style w:type="paragraph" w:styleId="Heading4">
    <w:name w:val="heading 4"/>
    <w:basedOn w:val="Normal"/>
    <w:next w:val="Normal"/>
    <w:link w:val="4Char"/>
    <w:uiPriority w:val="9"/>
    <w:unhideWhenUsed/>
    <w:qFormat/>
    <w:pPr>
      <w:keepNext/>
      <w:keepLines/>
      <w:spacing w:before="280" w:after="290" w:line="376" w:lineRule="auto"/>
      <w:ind w:firstLine="200" w:firstLineChars="200"/>
      <w:jc w:val="left"/>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TOC7">
    <w:name w:val="toc 7"/>
    <w:basedOn w:val="Normal"/>
    <w:next w:val="Normal"/>
    <w:uiPriority w:val="39"/>
    <w:unhideWhenUsed/>
    <w:qFormat/>
    <w:pPr>
      <w:spacing w:line="300" w:lineRule="auto"/>
      <w:ind w:left="1260" w:firstLine="200" w:firstLineChars="200"/>
      <w:jc w:val="left"/>
    </w:pPr>
    <w:rPr>
      <w:rFonts w:ascii="Times New Roman" w:hAnsi="Times New Roman"/>
      <w:sz w:val="18"/>
      <w:szCs w:val="18"/>
    </w:rPr>
  </w:style>
  <w:style w:type="paragraph" w:styleId="DocumentMap">
    <w:name w:val="Document Map"/>
    <w:basedOn w:val="Normal"/>
    <w:link w:val="Char3"/>
    <w:uiPriority w:val="99"/>
    <w:unhideWhenUsed/>
    <w:qFormat/>
    <w:pPr>
      <w:spacing w:line="300" w:lineRule="auto"/>
      <w:ind w:firstLine="200" w:firstLineChars="200"/>
    </w:pPr>
    <w:rPr>
      <w:rFonts w:ascii="宋体" w:eastAsia="宋体" w:hAnsi="Times New Roman"/>
      <w:sz w:val="18"/>
      <w:szCs w:val="18"/>
    </w:rPr>
  </w:style>
  <w:style w:type="paragraph" w:styleId="CommentText">
    <w:name w:val="annotation text"/>
    <w:basedOn w:val="Normal"/>
    <w:link w:val="Char1"/>
    <w:uiPriority w:val="99"/>
    <w:unhideWhenUsed/>
    <w:qFormat/>
    <w:pPr>
      <w:jc w:val="left"/>
    </w:pPr>
  </w:style>
  <w:style w:type="paragraph" w:styleId="TOC5">
    <w:name w:val="toc 5"/>
    <w:basedOn w:val="Normal"/>
    <w:next w:val="Normal"/>
    <w:uiPriority w:val="39"/>
    <w:unhideWhenUsed/>
    <w:qFormat/>
    <w:pPr>
      <w:spacing w:line="300" w:lineRule="auto"/>
      <w:ind w:left="840" w:firstLine="200" w:firstLineChars="200"/>
      <w:jc w:val="left"/>
    </w:pPr>
    <w:rPr>
      <w:rFonts w:ascii="Times New Roman" w:hAnsi="Times New Roman"/>
      <w:sz w:val="18"/>
      <w:szCs w:val="18"/>
    </w:rPr>
  </w:style>
  <w:style w:type="paragraph" w:styleId="TOC3">
    <w:name w:val="toc 3"/>
    <w:basedOn w:val="Normal"/>
    <w:next w:val="Normal"/>
    <w:uiPriority w:val="39"/>
    <w:unhideWhenUsed/>
    <w:qFormat/>
    <w:pPr>
      <w:spacing w:line="300" w:lineRule="auto"/>
      <w:ind w:left="420" w:firstLine="200" w:firstLineChars="200"/>
      <w:jc w:val="left"/>
    </w:pPr>
    <w:rPr>
      <w:rFonts w:ascii="Times New Roman" w:hAnsi="Times New Roman"/>
      <w:i/>
      <w:iCs/>
      <w:sz w:val="20"/>
      <w:szCs w:val="20"/>
    </w:rPr>
  </w:style>
  <w:style w:type="paragraph" w:styleId="TOC8">
    <w:name w:val="toc 8"/>
    <w:basedOn w:val="Normal"/>
    <w:next w:val="Normal"/>
    <w:uiPriority w:val="39"/>
    <w:unhideWhenUsed/>
    <w:qFormat/>
    <w:pPr>
      <w:spacing w:line="300" w:lineRule="auto"/>
      <w:ind w:left="1470" w:firstLine="200" w:firstLineChars="200"/>
      <w:jc w:val="left"/>
    </w:pPr>
    <w:rPr>
      <w:rFonts w:ascii="Times New Roman" w:hAnsi="Times New Roman"/>
      <w:sz w:val="18"/>
      <w:szCs w:val="18"/>
    </w:rPr>
  </w:style>
  <w:style w:type="paragraph" w:styleId="Date">
    <w:name w:val="Date"/>
    <w:basedOn w:val="Normal"/>
    <w:next w:val="Normal"/>
    <w:link w:val="Char4"/>
    <w:uiPriority w:val="99"/>
    <w:unhideWhenUsed/>
    <w:qFormat/>
    <w:pPr>
      <w:spacing w:line="276" w:lineRule="auto"/>
      <w:ind w:left="100" w:firstLine="200" w:leftChars="2500" w:firstLineChars="200"/>
      <w:jc w:val="left"/>
    </w:pPr>
    <w:rPr>
      <w:rFonts w:ascii="Times New Roman" w:hAnsi="Times New Roman"/>
    </w:rPr>
  </w:style>
  <w:style w:type="paragraph" w:styleId="BodyTextIndent2">
    <w:name w:val="Body Text Indent 2"/>
    <w:basedOn w:val="Normal"/>
    <w:link w:val="2Char0"/>
    <w:uiPriority w:val="99"/>
    <w:unhideWhenUsed/>
    <w:qFormat/>
    <w:pPr>
      <w:spacing w:after="120" w:line="480" w:lineRule="auto"/>
      <w:ind w:left="420" w:firstLine="200" w:leftChars="200" w:firstLineChars="200"/>
    </w:pPr>
    <w:rPr>
      <w:rFonts w:ascii="Times New Roman" w:eastAsia="宋体" w:hAnsi="Times New Roman" w:cs="Times New Roman"/>
      <w:szCs w:val="20"/>
    </w:rPr>
  </w:style>
  <w:style w:type="paragraph" w:styleId="BalloonText">
    <w:name w:val="Balloon Text"/>
    <w:basedOn w:val="Normal"/>
    <w:link w:val="Char5"/>
    <w:uiPriority w:val="99"/>
    <w:unhideWhenUsed/>
    <w:qFormat/>
    <w:pPr>
      <w:spacing w:line="300" w:lineRule="auto"/>
      <w:ind w:firstLine="200" w:firstLineChars="200"/>
      <w:jc w:val="left"/>
    </w:pPr>
    <w:rPr>
      <w:rFonts w:ascii="Times New Roman" w:hAnsi="Times New Roman"/>
      <w:sz w:val="18"/>
      <w:szCs w:val="18"/>
    </w:rPr>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unhideWhenUsed/>
    <w:qFormat/>
    <w:pPr>
      <w:tabs>
        <w:tab w:val="right" w:leader="dot" w:pos="9356"/>
      </w:tabs>
      <w:spacing w:before="120" w:after="120" w:line="300" w:lineRule="auto"/>
      <w:jc w:val="left"/>
    </w:pPr>
    <w:rPr>
      <w:rFonts w:ascii="黑体" w:eastAsia="黑体" w:hAnsi="黑体"/>
      <w:bCs/>
      <w:caps/>
      <w:sz w:val="20"/>
      <w:szCs w:val="20"/>
    </w:rPr>
  </w:style>
  <w:style w:type="paragraph" w:styleId="TOC4">
    <w:name w:val="toc 4"/>
    <w:basedOn w:val="Normal"/>
    <w:next w:val="Normal"/>
    <w:uiPriority w:val="39"/>
    <w:unhideWhenUsed/>
    <w:qFormat/>
    <w:pPr>
      <w:spacing w:line="300" w:lineRule="auto"/>
      <w:ind w:left="630" w:firstLine="200" w:firstLineChars="200"/>
      <w:jc w:val="left"/>
    </w:pPr>
    <w:rPr>
      <w:rFonts w:ascii="Times New Roman" w:hAnsi="Times New Roman"/>
      <w:sz w:val="18"/>
      <w:szCs w:val="18"/>
    </w:rPr>
  </w:style>
  <w:style w:type="paragraph" w:styleId="TOC6">
    <w:name w:val="toc 6"/>
    <w:basedOn w:val="Normal"/>
    <w:next w:val="Normal"/>
    <w:uiPriority w:val="39"/>
    <w:unhideWhenUsed/>
    <w:qFormat/>
    <w:pPr>
      <w:spacing w:line="300" w:lineRule="auto"/>
      <w:ind w:left="1050" w:firstLine="200" w:firstLineChars="200"/>
      <w:jc w:val="left"/>
    </w:pPr>
    <w:rPr>
      <w:rFonts w:ascii="Times New Roman" w:hAnsi="Times New Roman"/>
      <w:sz w:val="18"/>
      <w:szCs w:val="18"/>
    </w:rPr>
  </w:style>
  <w:style w:type="paragraph" w:styleId="BodyTextIndent3">
    <w:name w:val="Body Text Indent 3"/>
    <w:basedOn w:val="Normal"/>
    <w:link w:val="3Char0"/>
    <w:qFormat/>
    <w:pPr>
      <w:spacing w:line="300" w:lineRule="auto"/>
    </w:pPr>
    <w:rPr>
      <w:rFonts w:ascii="Times New Roman" w:eastAsia="宋体" w:hAnsi="Times New Roman" w:cs="Times New Roman"/>
      <w:szCs w:val="24"/>
    </w:rPr>
  </w:style>
  <w:style w:type="paragraph" w:styleId="TOC2">
    <w:name w:val="toc 2"/>
    <w:basedOn w:val="Normal"/>
    <w:next w:val="Normal"/>
    <w:uiPriority w:val="39"/>
    <w:unhideWhenUsed/>
    <w:qFormat/>
    <w:pPr>
      <w:tabs>
        <w:tab w:val="right" w:leader="dot" w:pos="9344"/>
      </w:tabs>
      <w:spacing w:line="300" w:lineRule="auto"/>
      <w:ind w:firstLine="400" w:firstLineChars="200"/>
      <w:jc w:val="left"/>
    </w:pPr>
    <w:rPr>
      <w:rFonts w:ascii="Times New Roman" w:hAnsi="Times New Roman"/>
      <w:smallCaps/>
      <w:sz w:val="20"/>
      <w:szCs w:val="20"/>
    </w:rPr>
  </w:style>
  <w:style w:type="paragraph" w:styleId="TOC9">
    <w:name w:val="toc 9"/>
    <w:basedOn w:val="Normal"/>
    <w:next w:val="Normal"/>
    <w:uiPriority w:val="39"/>
    <w:unhideWhenUsed/>
    <w:qFormat/>
    <w:pPr>
      <w:spacing w:line="300" w:lineRule="auto"/>
      <w:ind w:left="1680" w:firstLine="200" w:firstLineChars="200"/>
      <w:jc w:val="left"/>
    </w:pPr>
    <w:rPr>
      <w:rFonts w:ascii="Times New Roman" w:hAnsi="Times New Roman"/>
      <w:sz w:val="18"/>
      <w:szCs w:val="18"/>
    </w:rPr>
  </w:style>
  <w:style w:type="paragraph" w:styleId="CommentSubject">
    <w:name w:val="annotation subject"/>
    <w:basedOn w:val="CommentText"/>
    <w:next w:val="CommentText"/>
    <w:link w:val="Char2"/>
    <w:uiPriority w:val="99"/>
    <w:unhideWhenUsed/>
    <w:qFormat/>
    <w:pPr>
      <w:spacing w:line="300" w:lineRule="auto"/>
      <w:ind w:firstLine="200" w:firstLineChars="200"/>
    </w:pPr>
    <w:rPr>
      <w:rFonts w:ascii="Times New Roman" w:hAnsi="Times New Roman"/>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qFormat/>
    <w:rPr>
      <w:color w:val="0000FF" w:themeColor="hyperlink"/>
      <w:u w:val="single"/>
      <w14:textFill>
        <w14:solidFill>
          <w14:schemeClr w14:val="hlink"/>
        </w14:solidFill>
      </w14:textFill>
    </w:rPr>
  </w:style>
  <w:style w:type="character" w:styleId="CommentReference">
    <w:name w:val="annotation reference"/>
    <w:basedOn w:val="DefaultParagraphFont"/>
    <w:uiPriority w:val="99"/>
    <w:unhideWhenUsed/>
    <w:qFormat/>
    <w:rPr>
      <w:sz w:val="21"/>
      <w:szCs w:val="21"/>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qFormat/>
    <w:rPr>
      <w:sz w:val="18"/>
      <w:szCs w:val="18"/>
    </w:rPr>
  </w:style>
  <w:style w:type="character" w:customStyle="1" w:styleId="1Char">
    <w:name w:val="标题 1 Char"/>
    <w:basedOn w:val="DefaultParagraphFont"/>
    <w:link w:val="Heading1"/>
    <w:uiPriority w:val="9"/>
    <w:qFormat/>
    <w:rPr>
      <w:rFonts w:ascii="Times New Roman" w:hAnsi="Times New Roman"/>
      <w:b/>
      <w:bCs/>
      <w:kern w:val="44"/>
      <w:sz w:val="44"/>
      <w:szCs w:val="44"/>
    </w:rPr>
  </w:style>
  <w:style w:type="character" w:customStyle="1" w:styleId="2Char">
    <w:name w:val="标题 2 Char"/>
    <w:basedOn w:val="DefaultParagraphFont"/>
    <w:link w:val="Heading2"/>
    <w:uiPriority w:val="9"/>
    <w:qFormat/>
    <w:rPr>
      <w:rFonts w:asciiTheme="majorHAnsi" w:eastAsiaTheme="majorEastAsia" w:hAnsiTheme="majorHAnsi" w:cstheme="majorBidi"/>
      <w:b/>
      <w:bCs/>
      <w:sz w:val="32"/>
      <w:szCs w:val="32"/>
    </w:rPr>
  </w:style>
  <w:style w:type="character" w:customStyle="1" w:styleId="3Char">
    <w:name w:val="标题 3 Char"/>
    <w:basedOn w:val="DefaultParagraphFont"/>
    <w:link w:val="Heading3"/>
    <w:uiPriority w:val="9"/>
    <w:qFormat/>
    <w:rPr>
      <w:rFonts w:ascii="Times New Roman" w:hAnsi="Times New Roman"/>
      <w:b/>
      <w:bCs/>
      <w:sz w:val="32"/>
      <w:szCs w:val="32"/>
    </w:rPr>
  </w:style>
  <w:style w:type="character" w:customStyle="1" w:styleId="4Char">
    <w:name w:val="标题 4 Char"/>
    <w:basedOn w:val="DefaultParagraphFont"/>
    <w:link w:val="Heading4"/>
    <w:uiPriority w:val="9"/>
    <w:qFormat/>
    <w:rPr>
      <w:rFonts w:asciiTheme="majorHAnsi" w:eastAsiaTheme="majorEastAsia" w:hAnsiTheme="majorHAnsi" w:cstheme="majorBidi"/>
      <w:b/>
      <w:bCs/>
      <w:sz w:val="28"/>
      <w:szCs w:val="28"/>
    </w:rPr>
  </w:style>
  <w:style w:type="character" w:customStyle="1" w:styleId="Char1">
    <w:name w:val="批注文字 Char"/>
    <w:basedOn w:val="DefaultParagraphFont"/>
    <w:link w:val="CommentText"/>
    <w:uiPriority w:val="99"/>
    <w:qFormat/>
  </w:style>
  <w:style w:type="character" w:customStyle="1" w:styleId="Char2">
    <w:name w:val="批注主题 Char"/>
    <w:basedOn w:val="Char1"/>
    <w:link w:val="CommentSubject"/>
    <w:uiPriority w:val="99"/>
    <w:qFormat/>
    <w:rPr>
      <w:rFonts w:ascii="Times New Roman" w:hAnsi="Times New Roman"/>
      <w:b/>
      <w:bCs/>
    </w:rPr>
  </w:style>
  <w:style w:type="character" w:customStyle="1" w:styleId="Char3">
    <w:name w:val="文档结构图 Char"/>
    <w:basedOn w:val="DefaultParagraphFont"/>
    <w:link w:val="DocumentMap"/>
    <w:uiPriority w:val="99"/>
    <w:qFormat/>
    <w:rPr>
      <w:rFonts w:ascii="宋体" w:eastAsia="宋体" w:hAnsi="Times New Roman"/>
      <w:sz w:val="18"/>
      <w:szCs w:val="18"/>
    </w:rPr>
  </w:style>
  <w:style w:type="character" w:customStyle="1" w:styleId="Char4">
    <w:name w:val="日期 Char"/>
    <w:basedOn w:val="DefaultParagraphFont"/>
    <w:link w:val="Date"/>
    <w:uiPriority w:val="99"/>
    <w:qFormat/>
    <w:rPr>
      <w:rFonts w:ascii="Times New Roman" w:hAnsi="Times New Roman"/>
    </w:rPr>
  </w:style>
  <w:style w:type="character" w:customStyle="1" w:styleId="2Char0">
    <w:name w:val="正文文本缩进 2 Char"/>
    <w:basedOn w:val="DefaultParagraphFont"/>
    <w:link w:val="BodyTextIndent2"/>
    <w:uiPriority w:val="99"/>
    <w:qFormat/>
    <w:rPr>
      <w:rFonts w:ascii="Times New Roman" w:eastAsia="宋体" w:hAnsi="Times New Roman" w:cs="Times New Roman"/>
      <w:szCs w:val="20"/>
    </w:rPr>
  </w:style>
  <w:style w:type="character" w:customStyle="1" w:styleId="Char5">
    <w:name w:val="批注框文本 Char"/>
    <w:basedOn w:val="DefaultParagraphFont"/>
    <w:link w:val="BalloonText"/>
    <w:uiPriority w:val="99"/>
    <w:qFormat/>
    <w:rPr>
      <w:rFonts w:ascii="Times New Roman" w:hAnsi="Times New Roman"/>
      <w:sz w:val="18"/>
      <w:szCs w:val="18"/>
    </w:rPr>
  </w:style>
  <w:style w:type="character" w:customStyle="1" w:styleId="3Char0">
    <w:name w:val="正文文本缩进 3 Char"/>
    <w:basedOn w:val="DefaultParagraphFont"/>
    <w:link w:val="BodyTextIndent3"/>
    <w:qFormat/>
    <w:rPr>
      <w:rFonts w:ascii="Times New Roman" w:eastAsia="宋体" w:hAnsi="Times New Roman" w:cs="Times New Roman"/>
      <w:szCs w:val="24"/>
    </w:rPr>
  </w:style>
  <w:style w:type="paragraph" w:customStyle="1" w:styleId="1">
    <w:name w:val="列出段落1"/>
    <w:basedOn w:val="Normal"/>
    <w:uiPriority w:val="34"/>
    <w:qFormat/>
    <w:pPr>
      <w:spacing w:line="300" w:lineRule="auto"/>
      <w:ind w:firstLine="420" w:firstLineChars="200"/>
    </w:pPr>
    <w:rPr>
      <w:rFonts w:ascii="Times New Roman" w:hAnsi="Times New Roman"/>
    </w:rPr>
  </w:style>
  <w:style w:type="paragraph" w:customStyle="1" w:styleId="a">
    <w:name w:val="一级条标题"/>
    <w:next w:val="Normal"/>
    <w:link w:val="Char9"/>
    <w:qFormat/>
    <w:pPr>
      <w:numPr>
        <w:ilvl w:val="1"/>
        <w:numId w:val="1"/>
      </w:numPr>
      <w:spacing w:beforeLines="50" w:afterLines="50"/>
      <w:ind w:left="0"/>
      <w:outlineLvl w:val="2"/>
    </w:pPr>
    <w:rPr>
      <w:rFonts w:ascii="黑体" w:eastAsia="黑体" w:hAnsi="Times New Roman" w:cs="Times New Roman"/>
      <w:sz w:val="21"/>
      <w:szCs w:val="21"/>
      <w:lang w:val="en-US" w:eastAsia="zh-CN" w:bidi="ar-SA"/>
    </w:rPr>
  </w:style>
  <w:style w:type="paragraph" w:customStyle="1" w:styleId="a0">
    <w:name w:val="章标题"/>
    <w:next w:val="Normal"/>
    <w:link w:val="Char8"/>
    <w:qFormat/>
    <w:pPr>
      <w:numPr>
        <w:ilvl w:val="0"/>
        <w:numId w:val="1"/>
      </w:numPr>
      <w:spacing w:beforeLines="100" w:afterLines="100"/>
      <w:jc w:val="both"/>
      <w:outlineLvl w:val="1"/>
    </w:pPr>
    <w:rPr>
      <w:rFonts w:ascii="黑体" w:eastAsia="黑体" w:hAnsi="Times New Roman" w:cs="Times New Roman"/>
      <w:sz w:val="21"/>
      <w:lang w:val="en-US" w:eastAsia="zh-CN" w:bidi="ar-SA"/>
    </w:rPr>
  </w:style>
  <w:style w:type="paragraph" w:customStyle="1" w:styleId="a1">
    <w:name w:val="二级条标题"/>
    <w:basedOn w:val="a"/>
    <w:next w:val="Normal"/>
    <w:link w:val="Char10"/>
    <w:qFormat/>
    <w:pPr>
      <w:numPr>
        <w:ilvl w:val="2"/>
      </w:numPr>
      <w:spacing w:before="50" w:after="50"/>
      <w:ind w:left="0"/>
      <w:outlineLvl w:val="3"/>
    </w:pPr>
  </w:style>
  <w:style w:type="paragraph" w:customStyle="1" w:styleId="a2">
    <w:name w:val="三级条标题"/>
    <w:basedOn w:val="a1"/>
    <w:next w:val="Normal"/>
    <w:qFormat/>
    <w:pPr>
      <w:numPr>
        <w:ilvl w:val="3"/>
      </w:numPr>
      <w:outlineLvl w:val="4"/>
    </w:pPr>
  </w:style>
  <w:style w:type="paragraph" w:customStyle="1" w:styleId="a3">
    <w:name w:val="四级条标题"/>
    <w:basedOn w:val="a2"/>
    <w:next w:val="Normal"/>
    <w:qFormat/>
    <w:pPr>
      <w:numPr>
        <w:ilvl w:val="4"/>
      </w:numPr>
      <w:outlineLvl w:val="5"/>
    </w:pPr>
  </w:style>
  <w:style w:type="paragraph" w:customStyle="1" w:styleId="a4">
    <w:name w:val="五级条标题"/>
    <w:basedOn w:val="a3"/>
    <w:next w:val="Normal"/>
    <w:qFormat/>
    <w:pPr>
      <w:numPr>
        <w:ilvl w:val="5"/>
      </w:numPr>
      <w:outlineLvl w:val="6"/>
    </w:pPr>
  </w:style>
  <w:style w:type="paragraph" w:customStyle="1" w:styleId="a5">
    <w:name w:val="二级无"/>
    <w:basedOn w:val="a1"/>
    <w:qFormat/>
    <w:pPr>
      <w:spacing w:beforeLines="0" w:afterLines="0"/>
      <w:ind w:left="710"/>
    </w:pPr>
    <w:rPr>
      <w:rFonts w:ascii="宋体" w:eastAsia="宋体"/>
    </w:rPr>
  </w:style>
  <w:style w:type="paragraph" w:customStyle="1" w:styleId="TOC10">
    <w:name w:val="TOC 标题1"/>
    <w:basedOn w:val="Heading1"/>
    <w:next w:val="Normal"/>
    <w:uiPriority w:val="39"/>
    <w:unhideWhenUsed/>
    <w:qFormat/>
    <w:pPr>
      <w:widowControl/>
      <w:spacing w:before="480" w:after="0" w:line="276" w:lineRule="auto"/>
      <w:jc w:val="center"/>
      <w:outlineLvl w:val="9"/>
    </w:pPr>
    <w:rPr>
      <w:rFonts w:asciiTheme="majorHAnsi" w:eastAsiaTheme="majorEastAsia" w:hAnsiTheme="majorHAnsi" w:cstheme="majorBidi"/>
      <w:color w:val="376092" w:themeColor="accent1" w:themeShade="BF"/>
      <w:kern w:val="0"/>
      <w:sz w:val="28"/>
      <w:szCs w:val="28"/>
    </w:rPr>
  </w:style>
  <w:style w:type="paragraph" w:customStyle="1" w:styleId="a6">
    <w:name w:val="数字编号列项（二级）"/>
    <w:qFormat/>
    <w:pPr>
      <w:numPr>
        <w:ilvl w:val="1"/>
        <w:numId w:val="2"/>
      </w:numPr>
      <w:jc w:val="both"/>
    </w:pPr>
    <w:rPr>
      <w:rFonts w:ascii="宋体" w:eastAsia="宋体" w:hAnsi="Times New Roman" w:cs="Times New Roman"/>
      <w:sz w:val="21"/>
      <w:lang w:val="en-US" w:eastAsia="zh-CN" w:bidi="ar-SA"/>
    </w:rPr>
  </w:style>
  <w:style w:type="paragraph" w:customStyle="1" w:styleId="a7">
    <w:name w:val="字母编号列项（一级）"/>
    <w:qFormat/>
    <w:pPr>
      <w:numPr>
        <w:ilvl w:val="0"/>
        <w:numId w:val="2"/>
      </w:numPr>
      <w:jc w:val="both"/>
    </w:pPr>
    <w:rPr>
      <w:rFonts w:ascii="宋体" w:eastAsia="宋体" w:hAnsi="Times New Roman" w:cs="Times New Roman"/>
      <w:sz w:val="21"/>
      <w:lang w:val="en-US" w:eastAsia="zh-CN" w:bidi="ar-SA"/>
    </w:rPr>
  </w:style>
  <w:style w:type="paragraph" w:customStyle="1" w:styleId="a8">
    <w:name w:val="编号列项（三级）"/>
    <w:qFormat/>
    <w:pPr>
      <w:numPr>
        <w:ilvl w:val="2"/>
        <w:numId w:val="2"/>
      </w:numPr>
    </w:pPr>
    <w:rPr>
      <w:rFonts w:ascii="宋体" w:eastAsia="宋体" w:hAnsi="Times New Roman" w:cs="Times New Roman"/>
      <w:sz w:val="21"/>
      <w:lang w:val="en-US" w:eastAsia="zh-CN" w:bidi="ar-SA"/>
    </w:rPr>
  </w:style>
  <w:style w:type="paragraph" w:customStyle="1" w:styleId="a9">
    <w:name w:val="段"/>
    <w:link w:val="Char6"/>
    <w:qFormat/>
    <w:pPr>
      <w:tabs>
        <w:tab w:val="center" w:pos="4201"/>
        <w:tab w:val="right" w:leader="dot" w:pos="9298"/>
      </w:tabs>
      <w:autoSpaceDE w:val="0"/>
      <w:autoSpaceDN w:val="0"/>
      <w:ind w:firstLine="420" w:firstLineChars="200"/>
      <w:jc w:val="both"/>
    </w:pPr>
    <w:rPr>
      <w:rFonts w:ascii="宋体" w:eastAsia="宋体" w:hAnsi="Times New Roman" w:cs="Times New Roman"/>
      <w:sz w:val="21"/>
      <w:lang w:val="en-US" w:eastAsia="zh-CN" w:bidi="ar-SA"/>
    </w:rPr>
  </w:style>
  <w:style w:type="character" w:customStyle="1" w:styleId="Char6">
    <w:name w:val="段 Char"/>
    <w:basedOn w:val="DefaultParagraphFont"/>
    <w:link w:val="a9"/>
    <w:qFormat/>
    <w:rPr>
      <w:rFonts w:ascii="宋体" w:eastAsia="宋体" w:hAnsi="Times New Roman" w:cs="Times New Roman"/>
      <w:kern w:val="0"/>
      <w:szCs w:val="20"/>
    </w:rPr>
  </w:style>
  <w:style w:type="paragraph" w:customStyle="1" w:styleId="a10">
    <w:name w:val="列项——（一级）"/>
    <w:qFormat/>
    <w:pPr>
      <w:widowControl w:val="0"/>
      <w:numPr>
        <w:ilvl w:val="0"/>
        <w:numId w:val="3"/>
      </w:numPr>
      <w:jc w:val="both"/>
    </w:pPr>
    <w:rPr>
      <w:rFonts w:ascii="宋体" w:eastAsia="宋体" w:hAnsi="Times New Roman" w:cs="Times New Roman"/>
      <w:sz w:val="21"/>
      <w:lang w:val="en-US" w:eastAsia="zh-CN" w:bidi="ar-SA"/>
    </w:rPr>
  </w:style>
  <w:style w:type="paragraph" w:customStyle="1" w:styleId="a11">
    <w:name w:val="列项●（二级）"/>
    <w:qFormat/>
    <w:pPr>
      <w:numPr>
        <w:ilvl w:val="1"/>
        <w:numId w:val="3"/>
      </w:numPr>
      <w:tabs>
        <w:tab w:val="left" w:pos="840"/>
      </w:tabs>
      <w:jc w:val="both"/>
    </w:pPr>
    <w:rPr>
      <w:rFonts w:ascii="宋体" w:eastAsia="宋体" w:hAnsi="Times New Roman" w:cs="Times New Roman"/>
      <w:sz w:val="21"/>
      <w:lang w:val="en-US" w:eastAsia="zh-CN" w:bidi="ar-SA"/>
    </w:rPr>
  </w:style>
  <w:style w:type="paragraph" w:customStyle="1" w:styleId="a12">
    <w:name w:val="列项◆（三级）"/>
    <w:basedOn w:val="Normal"/>
    <w:qFormat/>
    <w:pPr>
      <w:numPr>
        <w:ilvl w:val="2"/>
        <w:numId w:val="3"/>
      </w:numPr>
      <w:spacing w:line="300" w:lineRule="auto"/>
      <w:ind w:firstLine="200" w:firstLineChars="200"/>
    </w:pPr>
    <w:rPr>
      <w:rFonts w:ascii="宋体" w:eastAsia="宋体" w:hAnsi="Times New Roman" w:cs="Times New Roman"/>
      <w:szCs w:val="21"/>
    </w:rPr>
  </w:style>
  <w:style w:type="paragraph" w:customStyle="1" w:styleId="a13">
    <w:name w:val="三级无"/>
    <w:basedOn w:val="a2"/>
    <w:qFormat/>
    <w:pPr>
      <w:numPr>
        <w:numId w:val="4"/>
      </w:numPr>
      <w:tabs>
        <w:tab w:val="left" w:pos="720"/>
        <w:tab w:val="left" w:pos="2880"/>
      </w:tabs>
      <w:spacing w:beforeLines="0" w:afterLines="0"/>
    </w:pPr>
    <w:rPr>
      <w:rFonts w:ascii="宋体" w:eastAsia="宋体"/>
    </w:rPr>
  </w:style>
  <w:style w:type="paragraph" w:customStyle="1" w:styleId="a14">
    <w:name w:val="正文表标题"/>
    <w:next w:val="a9"/>
    <w:qFormat/>
    <w:pPr>
      <w:numPr>
        <w:ilvl w:val="0"/>
        <w:numId w:val="5"/>
      </w:numPr>
      <w:tabs>
        <w:tab w:val="left" w:pos="360"/>
      </w:tabs>
      <w:spacing w:beforeLines="50" w:afterLines="50"/>
      <w:jc w:val="center"/>
    </w:pPr>
    <w:rPr>
      <w:rFonts w:ascii="黑体" w:eastAsia="黑体" w:hAnsi="Times New Roman" w:cs="Times New Roman"/>
      <w:sz w:val="21"/>
      <w:lang w:val="en-US" w:eastAsia="zh-CN" w:bidi="ar-SA"/>
    </w:rPr>
  </w:style>
  <w:style w:type="paragraph" w:customStyle="1" w:styleId="a15">
    <w:name w:val="正文图标题"/>
    <w:next w:val="a9"/>
    <w:qFormat/>
    <w:pPr>
      <w:numPr>
        <w:ilvl w:val="0"/>
        <w:numId w:val="6"/>
      </w:numPr>
      <w:tabs>
        <w:tab w:val="left" w:pos="360"/>
      </w:tabs>
      <w:spacing w:beforeLines="50" w:afterLines="50"/>
      <w:jc w:val="center"/>
    </w:pPr>
    <w:rPr>
      <w:rFonts w:ascii="黑体" w:eastAsia="黑体" w:hAnsi="Times New Roman" w:cs="Times New Roman"/>
      <w:sz w:val="21"/>
      <w:lang w:val="en-US" w:eastAsia="zh-CN" w:bidi="ar-SA"/>
    </w:rPr>
  </w:style>
  <w:style w:type="paragraph" w:customStyle="1" w:styleId="a16">
    <w:name w:val="其他发布日期"/>
    <w:basedOn w:val="Normal"/>
    <w:qFormat/>
    <w:pPr>
      <w:framePr w:w="3997" w:h="471" w:hRule="exact" w:vSpace="181" w:wrap="around" w:vAnchor="page" w:hAnchor="page" w:x="1419" w:y="14097" w:anchorLock="1"/>
      <w:widowControl/>
      <w:numPr>
        <w:ilvl w:val="0"/>
        <w:numId w:val="7"/>
      </w:numPr>
      <w:spacing w:line="300" w:lineRule="auto"/>
      <w:ind w:firstLine="200" w:firstLineChars="200"/>
      <w:jc w:val="left"/>
    </w:pPr>
    <w:rPr>
      <w:rFonts w:ascii="Times New Roman" w:eastAsia="黑体" w:hAnsi="Times New Roman" w:cs="Times New Roman"/>
      <w:kern w:val="0"/>
      <w:sz w:val="28"/>
      <w:szCs w:val="20"/>
    </w:rPr>
  </w:style>
  <w:style w:type="paragraph" w:customStyle="1" w:styleId="Default">
    <w:name w:val="Default"/>
    <w:qFormat/>
    <w:pPr>
      <w:widowControl w:val="0"/>
      <w:autoSpaceDE w:val="0"/>
      <w:autoSpaceDN w:val="0"/>
      <w:adjustRightInd w:val="0"/>
      <w:ind w:firstLine="200" w:firstLineChars="200"/>
      <w:jc w:val="center"/>
    </w:pPr>
    <w:rPr>
      <w:rFonts w:ascii="宋体" w:eastAsia="宋体" w:hAnsi="Calibri" w:cs="宋体"/>
      <w:color w:val="000000"/>
      <w:sz w:val="24"/>
      <w:szCs w:val="24"/>
      <w:lang w:val="en-US" w:eastAsia="zh-CN" w:bidi="ar-SA"/>
    </w:rPr>
  </w:style>
  <w:style w:type="paragraph" w:customStyle="1" w:styleId="10">
    <w:name w:val="无间隔1"/>
    <w:link w:val="Char7"/>
    <w:uiPriority w:val="1"/>
    <w:qFormat/>
    <w:pPr>
      <w:widowControl w:val="0"/>
      <w:spacing w:before="120" w:after="120" w:line="276" w:lineRule="auto"/>
      <w:jc w:val="center"/>
    </w:pPr>
    <w:rPr>
      <w:rFonts w:ascii="黑体" w:eastAsia="黑体" w:hAnsi="黑体" w:cstheme="minorBidi"/>
      <w:kern w:val="2"/>
      <w:sz w:val="21"/>
      <w:szCs w:val="22"/>
      <w:lang w:val="en-US" w:eastAsia="zh-CN" w:bidi="ar-SA"/>
    </w:rPr>
  </w:style>
  <w:style w:type="character" w:customStyle="1" w:styleId="Char7">
    <w:name w:val="无间隔 Char"/>
    <w:basedOn w:val="DefaultParagraphFont"/>
    <w:link w:val="10"/>
    <w:uiPriority w:val="1"/>
    <w:qFormat/>
    <w:rPr>
      <w:rFonts w:ascii="黑体" w:eastAsia="黑体" w:hAnsi="黑体"/>
    </w:rPr>
  </w:style>
  <w:style w:type="paragraph" w:customStyle="1" w:styleId="31">
    <w:name w:val="标题3.1"/>
    <w:basedOn w:val="Heading3"/>
    <w:next w:val="a2"/>
    <w:qFormat/>
    <w:pPr>
      <w:spacing w:before="120" w:after="120" w:line="300" w:lineRule="auto"/>
      <w:jc w:val="left"/>
    </w:pPr>
    <w:rPr>
      <w:rFonts w:eastAsia="Times New Roman" w:cs="Times New Roman"/>
      <w:b w:val="0"/>
      <w:sz w:val="21"/>
    </w:rPr>
  </w:style>
  <w:style w:type="paragraph" w:customStyle="1" w:styleId="-1">
    <w:name w:val="标题-1"/>
    <w:basedOn w:val="a0"/>
    <w:link w:val="-1Char"/>
    <w:qFormat/>
    <w:pPr>
      <w:numPr>
        <w:ilvl w:val="0"/>
        <w:numId w:val="0"/>
      </w:numPr>
      <w:autoSpaceDE w:val="0"/>
      <w:autoSpaceDN w:val="0"/>
      <w:adjustRightInd w:val="0"/>
      <w:spacing w:beforeLines="0" w:afterLines="0" w:line="276" w:lineRule="auto"/>
      <w:jc w:val="center"/>
      <w:outlineLvl w:val="0"/>
    </w:pPr>
    <w:rPr>
      <w:rFonts w:hAnsi="黑体" w:cs="黑体"/>
      <w:color w:val="000000"/>
      <w:sz w:val="32"/>
      <w:szCs w:val="32"/>
    </w:rPr>
  </w:style>
  <w:style w:type="paragraph" w:customStyle="1" w:styleId="-2">
    <w:name w:val="标题-2"/>
    <w:basedOn w:val="a"/>
    <w:link w:val="-2Char"/>
    <w:qFormat/>
    <w:pPr>
      <w:numPr>
        <w:ilvl w:val="0"/>
        <w:numId w:val="0"/>
      </w:numPr>
      <w:autoSpaceDE w:val="0"/>
      <w:autoSpaceDN w:val="0"/>
      <w:adjustRightInd w:val="0"/>
      <w:spacing w:beforeLines="0" w:afterLines="0"/>
      <w:outlineLvl w:val="1"/>
    </w:pPr>
    <w:rPr>
      <w:rFonts w:hAnsi="黑体" w:cs="黑体"/>
      <w:color w:val="000000"/>
      <w:sz w:val="24"/>
    </w:rPr>
  </w:style>
  <w:style w:type="character" w:customStyle="1" w:styleId="Char8">
    <w:name w:val="章标题 Char"/>
    <w:basedOn w:val="DefaultParagraphFont"/>
    <w:link w:val="a0"/>
    <w:qFormat/>
    <w:rPr>
      <w:rFonts w:ascii="黑体" w:eastAsia="黑体" w:hAnsi="Times New Roman" w:cs="Times New Roman"/>
      <w:kern w:val="0"/>
      <w:szCs w:val="20"/>
    </w:rPr>
  </w:style>
  <w:style w:type="character" w:customStyle="1" w:styleId="-1Char">
    <w:name w:val="标题-1 Char"/>
    <w:basedOn w:val="Char8"/>
    <w:link w:val="-1"/>
    <w:qFormat/>
    <w:rPr>
      <w:rFonts w:ascii="黑体" w:eastAsia="黑体" w:hAnsi="黑体" w:cs="黑体"/>
      <w:color w:val="000000"/>
      <w:kern w:val="0"/>
      <w:sz w:val="32"/>
      <w:szCs w:val="32"/>
    </w:rPr>
  </w:style>
  <w:style w:type="paragraph" w:customStyle="1" w:styleId="-3">
    <w:name w:val="标题-3"/>
    <w:basedOn w:val="a1"/>
    <w:link w:val="-3Char"/>
    <w:qFormat/>
    <w:pPr>
      <w:numPr>
        <w:ilvl w:val="0"/>
        <w:numId w:val="0"/>
      </w:numPr>
      <w:autoSpaceDE w:val="0"/>
      <w:autoSpaceDN w:val="0"/>
      <w:adjustRightInd w:val="0"/>
      <w:spacing w:beforeLines="0" w:afterLines="0" w:line="276" w:lineRule="auto"/>
      <w:outlineLvl w:val="2"/>
    </w:pPr>
    <w:rPr>
      <w:rFonts w:hAnsi="黑体" w:cs="黑体"/>
      <w:color w:val="000000"/>
    </w:rPr>
  </w:style>
  <w:style w:type="character" w:customStyle="1" w:styleId="Char9">
    <w:name w:val="一级条标题 Char"/>
    <w:basedOn w:val="DefaultParagraphFont"/>
    <w:link w:val="a"/>
    <w:qFormat/>
    <w:rPr>
      <w:rFonts w:ascii="黑体" w:eastAsia="黑体" w:hAnsi="Times New Roman" w:cs="Times New Roman"/>
      <w:kern w:val="0"/>
      <w:szCs w:val="21"/>
    </w:rPr>
  </w:style>
  <w:style w:type="character" w:customStyle="1" w:styleId="-2Char">
    <w:name w:val="标题-2 Char"/>
    <w:basedOn w:val="Char9"/>
    <w:link w:val="-2"/>
    <w:qFormat/>
    <w:rPr>
      <w:rFonts w:ascii="黑体" w:eastAsia="黑体" w:hAnsi="黑体" w:cs="黑体"/>
      <w:color w:val="000000"/>
      <w:kern w:val="0"/>
      <w:sz w:val="24"/>
      <w:szCs w:val="21"/>
    </w:rPr>
  </w:style>
  <w:style w:type="paragraph" w:customStyle="1" w:styleId="a17">
    <w:name w:val="术语和定义"/>
    <w:basedOn w:val="Normal"/>
    <w:link w:val="Char11"/>
    <w:qFormat/>
    <w:pPr>
      <w:autoSpaceDE w:val="0"/>
      <w:autoSpaceDN w:val="0"/>
      <w:adjustRightInd w:val="0"/>
      <w:spacing w:before="120" w:after="120" w:line="276" w:lineRule="auto"/>
      <w:ind w:firstLine="200" w:firstLineChars="200"/>
      <w:jc w:val="left"/>
    </w:pPr>
    <w:rPr>
      <w:rFonts w:ascii="Times New Roman" w:eastAsia="黑体" w:hAnsi="Times New Roman" w:cs="黑体"/>
      <w:color w:val="000000"/>
      <w:kern w:val="0"/>
      <w:szCs w:val="21"/>
    </w:rPr>
  </w:style>
  <w:style w:type="character" w:customStyle="1" w:styleId="Char10">
    <w:name w:val="二级条标题 Char"/>
    <w:basedOn w:val="Char9"/>
    <w:link w:val="a1"/>
    <w:qFormat/>
    <w:rPr>
      <w:rFonts w:ascii="黑体" w:eastAsia="黑体" w:hAnsi="Times New Roman" w:cs="Times New Roman"/>
      <w:kern w:val="0"/>
      <w:szCs w:val="21"/>
    </w:rPr>
  </w:style>
  <w:style w:type="character" w:customStyle="1" w:styleId="-3Char">
    <w:name w:val="标题-3 Char"/>
    <w:basedOn w:val="Char10"/>
    <w:link w:val="-3"/>
    <w:qFormat/>
    <w:rPr>
      <w:rFonts w:ascii="黑体" w:eastAsia="黑体" w:hAnsi="黑体" w:cs="黑体"/>
      <w:color w:val="000000"/>
      <w:kern w:val="0"/>
      <w:szCs w:val="21"/>
    </w:rPr>
  </w:style>
  <w:style w:type="character" w:customStyle="1" w:styleId="11">
    <w:name w:val="占位符文本1"/>
    <w:basedOn w:val="DefaultParagraphFont"/>
    <w:uiPriority w:val="99"/>
    <w:semiHidden/>
    <w:qFormat/>
    <w:rPr>
      <w:color w:val="808080"/>
    </w:rPr>
  </w:style>
  <w:style w:type="character" w:customStyle="1" w:styleId="Char11">
    <w:name w:val="术语和定义 Char"/>
    <w:basedOn w:val="DefaultParagraphFont"/>
    <w:link w:val="a17"/>
    <w:qFormat/>
    <w:rPr>
      <w:rFonts w:ascii="Times New Roman" w:eastAsia="黑体" w:hAnsi="Times New Roman" w:cs="黑体"/>
      <w:color w:val="000000"/>
      <w:kern w:val="0"/>
      <w:szCs w:val="21"/>
    </w:rPr>
  </w:style>
  <w:style w:type="table" w:customStyle="1" w:styleId="12">
    <w:name w:val="网格型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网格型1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网格型2"/>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网格型3"/>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网格型3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网格型31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网格型11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网格型4"/>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标题 21"/>
    <w:basedOn w:val="Normal"/>
    <w:next w:val="Normal"/>
    <w:uiPriority w:val="9"/>
    <w:unhideWhenUsed/>
    <w:qFormat/>
    <w:pPr>
      <w:keepNext/>
      <w:keepLines/>
      <w:spacing w:before="260" w:after="260" w:line="416" w:lineRule="auto"/>
      <w:ind w:firstLine="200" w:firstLineChars="200"/>
      <w:outlineLvl w:val="1"/>
    </w:pPr>
    <w:rPr>
      <w:rFonts w:ascii="Cambria" w:eastAsia="宋体" w:hAnsi="Cambria" w:cs="Times New Roman"/>
      <w:b/>
      <w:bCs/>
      <w:sz w:val="32"/>
      <w:szCs w:val="32"/>
    </w:rPr>
  </w:style>
  <w:style w:type="paragraph" w:customStyle="1" w:styleId="41">
    <w:name w:val="标题 41"/>
    <w:basedOn w:val="Normal"/>
    <w:next w:val="Normal"/>
    <w:uiPriority w:val="9"/>
    <w:unhideWhenUsed/>
    <w:qFormat/>
    <w:pPr>
      <w:keepNext/>
      <w:keepLines/>
      <w:spacing w:before="280" w:after="290" w:line="376" w:lineRule="auto"/>
      <w:ind w:firstLine="200" w:firstLineChars="200"/>
      <w:jc w:val="left"/>
      <w:outlineLvl w:val="3"/>
    </w:pPr>
    <w:rPr>
      <w:rFonts w:ascii="Cambria" w:eastAsia="宋体" w:hAnsi="Cambria" w:cs="Times New Roman"/>
      <w:b/>
      <w:bCs/>
      <w:sz w:val="28"/>
      <w:szCs w:val="28"/>
    </w:rPr>
  </w:style>
  <w:style w:type="character" w:customStyle="1" w:styleId="13">
    <w:name w:val="超链接1"/>
    <w:basedOn w:val="DefaultParagraphFont"/>
    <w:uiPriority w:val="99"/>
    <w:unhideWhenUsed/>
    <w:qFormat/>
    <w:rPr>
      <w:color w:val="0000FF"/>
      <w:u w:val="single"/>
    </w:rPr>
  </w:style>
  <w:style w:type="character" w:customStyle="1" w:styleId="2Char1">
    <w:name w:val="标题 2 Char1"/>
    <w:basedOn w:val="DefaultParagraphFont"/>
    <w:uiPriority w:val="9"/>
    <w:semiHidden/>
    <w:qFormat/>
    <w:rPr>
      <w:rFonts w:asciiTheme="majorHAnsi" w:eastAsiaTheme="majorEastAsia" w:hAnsiTheme="majorHAnsi" w:cstheme="majorBidi"/>
      <w:b/>
      <w:bCs/>
      <w:sz w:val="32"/>
      <w:szCs w:val="32"/>
    </w:rPr>
  </w:style>
  <w:style w:type="character" w:customStyle="1" w:styleId="4Char1">
    <w:name w:val="标题 4 Char1"/>
    <w:basedOn w:val="DefaultParagraphFont"/>
    <w:uiPriority w:val="9"/>
    <w:semiHidden/>
    <w:qFormat/>
    <w:rPr>
      <w:rFonts w:asciiTheme="majorHAnsi" w:eastAsiaTheme="majorEastAsia" w:hAnsiTheme="majorHAnsi" w:cstheme="majorBidi"/>
      <w:b/>
      <w:bCs/>
      <w:sz w:val="28"/>
      <w:szCs w:val="28"/>
    </w:rPr>
  </w:style>
  <w:style w:type="paragraph" w:customStyle="1" w:styleId="CharCharCharCharCharCharCharCharCharChar">
    <w:name w:val="Char Char Char Char Char Char Char Char Char Char"/>
    <w:basedOn w:val="Normal"/>
    <w:qFormat/>
    <w:pPr>
      <w:widowControl/>
      <w:spacing w:after="160" w:line="240" w:lineRule="exact"/>
      <w:ind w:firstLine="560" w:firstLineChars="200"/>
      <w:jc w:val="left"/>
    </w:pPr>
    <w:rPr>
      <w:rFonts w:ascii="宋体" w:eastAsia="宋体" w:hAnsi="宋体" w:cs="Times New Roman"/>
      <w:kern w:val="0"/>
      <w:sz w:val="28"/>
      <w:szCs w:val="28"/>
      <w:lang w:eastAsia="en-US"/>
    </w:rPr>
  </w:style>
  <w:style w:type="paragraph" w:customStyle="1" w:styleId="a18">
    <w:name w:val="列项——"/>
    <w:qFormat/>
    <w:pPr>
      <w:widowControl w:val="0"/>
      <w:numPr>
        <w:ilvl w:val="0"/>
        <w:numId w:val="8"/>
      </w:numPr>
      <w:jc w:val="both"/>
    </w:pPr>
    <w:rPr>
      <w:rFonts w:ascii="宋体" w:eastAsia="宋体" w:hAnsi="Times New Roman" w:cs="Times New Roman"/>
      <w:sz w:val="21"/>
      <w:lang w:val="en-US" w:eastAsia="zh-CN" w:bidi="ar-SA"/>
    </w:rPr>
  </w:style>
  <w:style w:type="table" w:customStyle="1" w:styleId="1111">
    <w:name w:val="网格型111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0">
    <w:name w:val="封面标准号2"/>
    <w:qFormat/>
    <w:pPr>
      <w:framePr w:w="9140" w:h="1242" w:hRule="exact" w:hSpace="284" w:wrap="around" w:vAnchor="page" w:hAnchor="page" w:x="1645" w:y="2910" w:anchorLock="1"/>
      <w:spacing w:before="357" w:line="280" w:lineRule="exact"/>
      <w:jc w:val="right"/>
    </w:pPr>
    <w:rPr>
      <w:rFonts w:ascii="黑体" w:eastAsia="黑体" w:hAnsi="Times New Roman" w:cs="Times New Roman"/>
      <w:sz w:val="28"/>
      <w:szCs w:val="28"/>
      <w:lang w:val="en-US" w:eastAsia="zh-CN" w:bidi="ar-SA"/>
    </w:rPr>
  </w:style>
  <w:style w:type="paragraph" w:customStyle="1" w:styleId="14">
    <w:name w:val="修订1"/>
    <w:hidden/>
    <w:uiPriority w:val="99"/>
    <w:semiHidden/>
    <w:qFormat/>
    <w:rPr>
      <w:rFonts w:ascii="Times New Roman" w:hAnsi="Times New Roman" w:eastAsiaTheme="minorEastAsia" w:cstheme="minorBidi"/>
      <w:kern w:val="2"/>
      <w:sz w:val="21"/>
      <w:szCs w:val="22"/>
      <w:lang w:val="en-US" w:eastAsia="zh-CN" w:bidi="ar-SA"/>
    </w:rPr>
  </w:style>
  <w:style w:type="paragraph" w:customStyle="1" w:styleId="22">
    <w:name w:val="列出段落2"/>
    <w:basedOn w:val="Normal"/>
    <w:uiPriority w:val="34"/>
    <w:qFormat/>
    <w:pPr>
      <w:ind w:firstLine="420" w:firstLineChars="200"/>
    </w:pPr>
  </w:style>
  <w:style w:type="paragraph" w:customStyle="1" w:styleId="23">
    <w:name w:val="修订2"/>
    <w:hidden/>
    <w:uiPriority w:val="99"/>
    <w:unhideWhenUsed/>
    <w:qFormat/>
    <w:rPr>
      <w:rFonts w:ascii="Times New Roman" w:hAnsi="Times New Roman" w:eastAsiaTheme="minorEastAsia" w:cstheme="minorBidi"/>
      <w:kern w:val="2"/>
      <w:sz w:val="21"/>
      <w:szCs w:val="22"/>
      <w:lang w:val="en-US" w:eastAsia="zh-CN" w:bidi="ar-SA"/>
    </w:rPr>
  </w:style>
  <w:style w:type="paragraph" w:customStyle="1" w:styleId="a19">
    <w:name w:val="其他标准标志"/>
    <w:basedOn w:val="Normal"/>
    <w:qFormat/>
    <w:pPr>
      <w:framePr w:w="6101" w:h="1389" w:hRule="exact" w:hSpace="181" w:vSpace="181" w:wrap="around" w:vAnchor="page" w:hAnchor="page" w:x="4673" w:y="942" w:anchorLock="1"/>
      <w:widowControl/>
      <w:shd w:val="solid" w:color="FFFFFF" w:fill="FFFFFF"/>
      <w:spacing w:line="0" w:lineRule="atLeast"/>
      <w:jc w:val="right"/>
    </w:pPr>
    <w:rPr>
      <w:rFonts w:ascii="Times New Roman" w:eastAsia="宋体" w:hAnsi="Times New Roman" w:cs="Times New Roman"/>
      <w:b/>
      <w:w w:val="130"/>
      <w:kern w:val="0"/>
      <w:sz w:val="96"/>
      <w:szCs w:val="96"/>
    </w:rPr>
  </w:style>
  <w:style w:type="character" w:customStyle="1" w:styleId="a20">
    <w:name w:val="发布"/>
    <w:qFormat/>
    <w:rPr>
      <w:rFonts w:ascii="黑体" w:eastAsia="黑体"/>
      <w:spacing w:val="85"/>
      <w:w w:val="100"/>
      <w:position w:val="3"/>
      <w:sz w:val="28"/>
      <w:szCs w:val="28"/>
    </w:rPr>
  </w:style>
  <w:style w:type="paragraph" w:customStyle="1" w:styleId="a21">
    <w:name w:val="文献分类号"/>
    <w:qFormat/>
    <w:pPr>
      <w:framePr w:hSpace="180" w:vSpace="180" w:wrap="around" w:vAnchor="margin" w:hAnchor="margin" w:y="1" w:anchorLock="1"/>
      <w:widowControl w:val="0"/>
      <w:textAlignment w:val="center"/>
    </w:pPr>
    <w:rPr>
      <w:rFonts w:ascii="黑体" w:eastAsia="黑体" w:hAnsi="Times New Roman" w:cs="Times New Roman"/>
      <w:sz w:val="21"/>
      <w:szCs w:val="21"/>
      <w:lang w:val="en-US" w:eastAsia="zh-CN" w:bidi="ar-SA"/>
    </w:rPr>
  </w:style>
  <w:style w:type="paragraph" w:customStyle="1" w:styleId="a22">
    <w:name w:val="封面标准英文名称"/>
    <w:basedOn w:val="a23"/>
    <w:qFormat/>
    <w:pPr>
      <w:framePr w:wrap="around"/>
      <w:spacing w:before="370" w:line="400" w:lineRule="exact"/>
    </w:pPr>
    <w:rPr>
      <w:rFonts w:ascii="Times New Roman"/>
      <w:sz w:val="28"/>
      <w:szCs w:val="28"/>
    </w:rPr>
  </w:style>
  <w:style w:type="paragraph" w:customStyle="1" w:styleId="a23">
    <w:name w:val="封面标准名称"/>
    <w:qFormat/>
    <w:pPr>
      <w:framePr w:w="9639" w:h="6917" w:hRule="exact" w:wrap="around" w:vAnchor="page" w:hAnchor="page" w:xAlign="center" w:y="6408" w:anchorLock="1"/>
      <w:widowControl w:val="0"/>
      <w:spacing w:line="680" w:lineRule="exact"/>
      <w:jc w:val="center"/>
      <w:textAlignment w:val="center"/>
    </w:pPr>
    <w:rPr>
      <w:rFonts w:ascii="黑体" w:eastAsia="黑体" w:hAnsi="Times New Roman" w:cs="Times New Roman"/>
      <w:sz w:val="52"/>
      <w:lang w:val="en-US" w:eastAsia="zh-CN" w:bidi="ar-SA"/>
    </w:rPr>
  </w:style>
  <w:style w:type="paragraph" w:customStyle="1" w:styleId="a24">
    <w:name w:val="封面标准文稿编辑信息"/>
    <w:basedOn w:val="a25"/>
    <w:qFormat/>
    <w:pPr>
      <w:framePr w:wrap="around"/>
      <w:spacing w:before="180" w:line="180" w:lineRule="exact"/>
    </w:pPr>
    <w:rPr>
      <w:sz w:val="21"/>
    </w:rPr>
  </w:style>
  <w:style w:type="paragraph" w:customStyle="1" w:styleId="a25">
    <w:name w:val="封面标准文稿类别"/>
    <w:basedOn w:val="a26"/>
    <w:qFormat/>
    <w:pPr>
      <w:framePr w:wrap="around"/>
      <w:spacing w:after="160" w:line="240" w:lineRule="auto"/>
    </w:pPr>
    <w:rPr>
      <w:sz w:val="24"/>
    </w:rPr>
  </w:style>
  <w:style w:type="paragraph" w:customStyle="1" w:styleId="a26">
    <w:name w:val="封面一致性程度标识"/>
    <w:basedOn w:val="a22"/>
    <w:qFormat/>
    <w:pPr>
      <w:framePr w:wrap="around"/>
      <w:spacing w:before="440"/>
    </w:pPr>
    <w:rPr>
      <w:rFonts w:ascii="宋体" w:eastAsia="宋体"/>
    </w:rPr>
  </w:style>
  <w:style w:type="paragraph" w:customStyle="1" w:styleId="a27">
    <w:name w:val="其他实施日期"/>
    <w:basedOn w:val="Normal"/>
    <w:qFormat/>
    <w:pPr>
      <w:framePr w:w="3997" w:h="471" w:hRule="exact" w:vSpace="181" w:wrap="around" w:vAnchor="page" w:hAnchor="page" w:x="7089" w:y="14097" w:anchorLock="1"/>
      <w:widowControl/>
      <w:jc w:val="right"/>
    </w:pPr>
    <w:rPr>
      <w:rFonts w:ascii="Times New Roman" w:eastAsia="黑体" w:hAnsi="Times New Roman" w:cs="Times New Roman"/>
      <w:kern w:val="0"/>
      <w:sz w:val="28"/>
      <w:szCs w:val="20"/>
    </w:rPr>
  </w:style>
  <w:style w:type="paragraph" w:customStyle="1" w:styleId="a28">
    <w:name w:val="其他标准称谓"/>
    <w:next w:val="Normal"/>
    <w:qFormat/>
    <w:pPr>
      <w:framePr w:hSpace="181" w:vSpace="181" w:wrap="around" w:vAnchor="page" w:hAnchor="page" w:x="1419" w:y="2286" w:anchorLock="1"/>
      <w:spacing w:line="0" w:lineRule="atLeast"/>
      <w:jc w:val="distribute"/>
    </w:pPr>
    <w:rPr>
      <w:rFonts w:ascii="黑体" w:eastAsia="黑体" w:hAnsi="宋体" w:cs="Times New Roman"/>
      <w:spacing w:val="-40"/>
      <w:sz w:val="48"/>
      <w:szCs w:val="52"/>
      <w:lang w:val="en-US" w:eastAsia="zh-CN" w:bidi="ar-SA"/>
    </w:rPr>
  </w:style>
  <w:style w:type="paragraph" w:customStyle="1" w:styleId="a29">
    <w:name w:val="其他发布部门"/>
    <w:basedOn w:val="Normal"/>
    <w:qFormat/>
    <w:pPr>
      <w:framePr w:w="7938" w:h="1134" w:hRule="exact" w:hSpace="125" w:vSpace="181" w:wrap="around" w:vAnchor="page" w:hAnchor="page" w:x="2150" w:y="15310" w:anchorLock="1"/>
      <w:widowControl/>
      <w:spacing w:line="0" w:lineRule="atLeast"/>
      <w:jc w:val="center"/>
    </w:pPr>
    <w:rPr>
      <w:rFonts w:ascii="黑体" w:eastAsia="黑体" w:hAnsi="Times New Roman" w:cs="Times New Roman"/>
      <w:spacing w:val="20"/>
      <w:w w:val="135"/>
      <w:kern w:val="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header" Target="header9.xml" /><Relationship Id="rId15" Type="http://schemas.openxmlformats.org/officeDocument/2006/relationships/hyperlink" Target="https://d.book118.com/578115057001006032" TargetMode="External" /><Relationship Id="rId16" Type="http://schemas.openxmlformats.org/officeDocument/2006/relationships/header" Target="header10.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FDC134-5DE3-4667-B638-3CC5E32A252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1609</Words>
  <Characters>9177</Characters>
  <Application>Microsoft Office Word</Application>
  <DocSecurity>0</DocSecurity>
  <Lines>76</Lines>
  <Paragraphs>21</Paragraphs>
  <ScaleCrop>false</ScaleCrop>
  <Manager>789120</Manager>
  <Company>789120</Company>
  <LinksUpToDate>false</LinksUpToDate>
  <CharactersWithSpaces>10765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789120</dc:subject>
  <dc:creator>789120</dc:creator>
  <cp:keywords>789120</cp:keywords>
  <dc:description>789120</dc:description>
  <cp:lastModifiedBy>小海豹</cp:lastModifiedBy>
  <cp:revision>4</cp:revision>
  <cp:lastPrinted>2017-11-14T09:31:00Z</cp:lastPrinted>
  <dcterms:created xsi:type="dcterms:W3CDTF">2019-02-11T02:58:00Z</dcterms:created>
  <dcterms:modified xsi:type="dcterms:W3CDTF">2023-11-26T15:18:56Z</dcterms:modified>
  <cp:category>789120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3E0B035A3B8542E6AA8DE22EE48FC049_13</vt:lpwstr>
  </property>
  <property fmtid="{D5CDD505-2E9C-101B-9397-08002B2CF9AE}" pid="3" name="KSOProductBuildVer">
    <vt:lpwstr>2052-12.1.0.15990</vt:lpwstr>
  </property>
</Properties>
</file>