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特种乳胶制品相关行业公司成立报告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_Toc7181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(七)、特种乳胶制品项目建设必要性分析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三、特种乳胶制品项目概况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6" w:history="1">
        <w:r>
          <w:rPr>
            <w:rFonts w:ascii="仿宋" w:eastAsia="仿宋" w:hAnsi="仿宋" w:cs="仿宋" w:hint="eastAsia"/>
            <w:lang w:eastAsia="zh-CN"/>
          </w:rPr>
          <w:t>(二)、特种乳胶制品项目提出的理由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1" w:history="1">
        <w:r>
          <w:rPr>
            <w:rFonts w:ascii="仿宋" w:eastAsia="仿宋" w:hAnsi="仿宋" w:cs="仿宋" w:hint="eastAsia"/>
            <w:lang w:eastAsia="zh-CN"/>
          </w:rPr>
          <w:t>(三)、特种乳胶制品项目选址</w:t>
        </w:r>
        <w:r>
          <w:tab/>
        </w:r>
        <w:r>
          <w:fldChar w:fldCharType="begin"/>
        </w:r>
        <w:r>
          <w:instrText xml:space="preserve"> PAGEREF _Toc30711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(六)、特种乳胶制品项目投资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(七)、特种乳胶制品项目进度规划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(九)、特种乳胶制品项目综合评价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(一)、特种乳胶制品项目选址原则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(五)、特种乳胶制品项目选址综合评价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_Toc27362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eastAsia="zh-CN"/>
          </w:rPr>
          <w:t>(一)、特种乳胶制品项目进度安排</w:t>
        </w:r>
        <w:r>
          <w:tab/>
        </w:r>
        <w:r>
          <w:fldChar w:fldCharType="begin"/>
        </w:r>
        <w:r>
          <w:instrText xml:space="preserve"> PAGEREF _Toc16241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(二)、特种乳胶制品项目实施保障措施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九、特种乳胶制品项目经济效益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(三)、特种乳胶制品项目盈利能力分析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(二)、合作特种乳胶制品项目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(一)、社会责任特种乳胶制品项目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_Toc18661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_Toc10489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5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https://d.book118.com/578122065134006036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122065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2024-02-04T14:55:00Z</dcterms:created>
  <dcterms:modified xsi:type="dcterms:W3CDTF">2024-02-04T14:56:00Z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FB68F4130B474B08B3098E077194CB6E_11</vt:lpwstr>
  </property>
  <property fmtid="{D5CDD505-2E9C-101B-9397-08002B2CF9AE}" pid="3" name="KSOProductBuildVer">
    <vt:lpwstr>2052-12.1.0.16250</vt:lpwstr>
  </property>
</Properties>
</file>