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r>
        <w:drawing>
          <wp:anchor distT="0" distB="0" distL="0" distR="0" simplePos="0" relativeHeight="251658240" behindDoc="1" locked="0" layoutInCell="1" allowOverlap="1">
            <wp:simplePos x="0" y="0"/>
            <wp:positionH relativeFrom="page">
              <wp:posOffset>1231900</wp:posOffset>
            </wp:positionH>
            <wp:positionV relativeFrom="page">
              <wp:posOffset>1155700</wp:posOffset>
            </wp:positionV>
            <wp:extent cx="8890000" cy="133477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4" cstate="print"/>
                    <a:stretch>
                      <a:fillRect/>
                    </a:stretch>
                  </pic:blipFill>
                  <pic:spPr>
                    <a:xfrm>
                      <a:off x="0" y="0"/>
                      <a:ext cx="8890000" cy="13347700"/>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154"/>
        <w:ind w:left="3665" w:right="0" w:firstLine="0"/>
        <w:jc w:val="left"/>
        <w:rPr>
          <w:rFonts w:ascii="宋体" w:eastAsia="宋体" w:hint="eastAsia"/>
          <w:sz w:val="45"/>
        </w:rPr>
      </w:pPr>
      <w:r>
        <w:rPr>
          <w:rFonts w:ascii="宋体" w:eastAsia="宋体" w:hint="eastAsia"/>
          <w:sz w:val="45"/>
        </w:rPr>
        <w:t>河 北 省 南 水 北 调 配 套 工 程</w:t>
      </w:r>
    </w:p>
    <w:p>
      <w:pPr>
        <w:pStyle w:val="BodyText"/>
        <w:spacing w:before="9"/>
        <w:rPr>
          <w:rFonts w:ascii="宋体"/>
          <w:sz w:val="56"/>
        </w:rPr>
      </w:pPr>
    </w:p>
    <w:p>
      <w:pPr>
        <w:spacing w:before="0" w:line="393" w:lineRule="auto"/>
        <w:ind w:left="2405" w:right="4202" w:firstLine="0"/>
        <w:jc w:val="center"/>
        <w:rPr>
          <w:rFonts w:ascii="宋体" w:eastAsia="宋体" w:hint="eastAsia"/>
          <w:sz w:val="45"/>
        </w:rPr>
      </w:pPr>
      <w:r>
        <w:rPr>
          <w:rFonts w:ascii="宋体" w:eastAsia="宋体" w:hint="eastAsia"/>
          <w:sz w:val="45"/>
        </w:rPr>
        <w:t>邯郸市南水北调配套工程水厂以上输水管道工程第一设计单元施工第三标段</w:t>
      </w:r>
    </w:p>
    <w:p>
      <w:pPr>
        <w:pStyle w:val="BodyText"/>
        <w:rPr>
          <w:rFonts w:ascii="宋体"/>
          <w:sz w:val="44"/>
        </w:rPr>
      </w:pPr>
    </w:p>
    <w:p>
      <w:pPr>
        <w:pStyle w:val="BodyText"/>
        <w:rPr>
          <w:rFonts w:ascii="宋体"/>
          <w:sz w:val="44"/>
        </w:rPr>
      </w:pPr>
    </w:p>
    <w:p>
      <w:pPr>
        <w:pStyle w:val="BodyText"/>
        <w:rPr>
          <w:rFonts w:ascii="宋体"/>
          <w:sz w:val="44"/>
        </w:rPr>
      </w:pPr>
    </w:p>
    <w:p>
      <w:pPr>
        <w:pStyle w:val="BodyText"/>
        <w:rPr>
          <w:rFonts w:ascii="宋体"/>
          <w:sz w:val="44"/>
        </w:rPr>
      </w:pPr>
    </w:p>
    <w:p>
      <w:pPr>
        <w:pStyle w:val="BodyText"/>
        <w:spacing w:before="11"/>
        <w:rPr>
          <w:rFonts w:ascii="宋体"/>
          <w:sz w:val="48"/>
        </w:rPr>
      </w:pPr>
    </w:p>
    <w:p>
      <w:pPr>
        <w:pStyle w:val="Heading1"/>
        <w:spacing w:before="1"/>
        <w:ind w:left="2405" w:right="3138"/>
        <w:jc w:val="center"/>
      </w:pPr>
      <w:r>
        <w:t>分部工程验收鉴定书</w:t>
      </w:r>
    </w:p>
    <w:p>
      <w:pPr>
        <w:pStyle w:val="BodyText"/>
        <w:rPr>
          <w:rFonts w:ascii="宋体"/>
          <w:b/>
          <w:sz w:val="54"/>
        </w:rPr>
      </w:pPr>
    </w:p>
    <w:p>
      <w:pPr>
        <w:pStyle w:val="BodyText"/>
        <w:rPr>
          <w:rFonts w:ascii="宋体"/>
          <w:b/>
          <w:sz w:val="54"/>
        </w:rPr>
      </w:pPr>
    </w:p>
    <w:p>
      <w:pPr>
        <w:pStyle w:val="BodyText"/>
        <w:rPr>
          <w:rFonts w:ascii="宋体"/>
          <w:b/>
          <w:sz w:val="54"/>
        </w:rPr>
      </w:pPr>
    </w:p>
    <w:p>
      <w:pPr>
        <w:pStyle w:val="BodyText"/>
        <w:rPr>
          <w:rFonts w:ascii="宋体"/>
          <w:b/>
          <w:sz w:val="54"/>
        </w:rPr>
      </w:pPr>
    </w:p>
    <w:p>
      <w:pPr>
        <w:pStyle w:val="BodyText"/>
        <w:rPr>
          <w:rFonts w:ascii="宋体"/>
          <w:b/>
          <w:sz w:val="54"/>
        </w:rPr>
      </w:pPr>
    </w:p>
    <w:p>
      <w:pPr>
        <w:pStyle w:val="BodyText"/>
        <w:rPr>
          <w:rFonts w:ascii="宋体"/>
          <w:b/>
          <w:sz w:val="54"/>
        </w:rPr>
      </w:pPr>
    </w:p>
    <w:p>
      <w:pPr>
        <w:pStyle w:val="BodyText"/>
        <w:rPr>
          <w:rFonts w:ascii="宋体"/>
          <w:b/>
          <w:sz w:val="54"/>
        </w:rPr>
      </w:pPr>
    </w:p>
    <w:p>
      <w:pPr>
        <w:pStyle w:val="BodyText"/>
        <w:rPr>
          <w:rFonts w:ascii="宋体"/>
          <w:b/>
          <w:sz w:val="54"/>
        </w:rPr>
      </w:pPr>
    </w:p>
    <w:p>
      <w:pPr>
        <w:pStyle w:val="BodyText"/>
        <w:rPr>
          <w:rFonts w:ascii="宋体"/>
          <w:b/>
          <w:sz w:val="54"/>
        </w:rPr>
      </w:pPr>
    </w:p>
    <w:p>
      <w:pPr>
        <w:tabs>
          <w:tab w:val="left" w:pos="5732"/>
        </w:tabs>
        <w:spacing w:before="406" w:line="280" w:lineRule="auto"/>
        <w:ind w:left="3478" w:right="5379" w:firstLine="0"/>
        <w:jc w:val="left"/>
        <w:rPr>
          <w:rFonts w:ascii="宋体" w:eastAsia="宋体" w:hint="eastAsia"/>
          <w:sz w:val="45"/>
        </w:rPr>
      </w:pPr>
      <w:r>
        <w:rPr>
          <w:rFonts w:ascii="宋体" w:eastAsia="宋体" w:hint="eastAsia"/>
          <w:sz w:val="45"/>
        </w:rPr>
        <w:t>单位工程名称：穿越河渠、道路工</w:t>
      </w:r>
      <w:r>
        <w:rPr>
          <w:rFonts w:ascii="宋体" w:eastAsia="宋体" w:hint="eastAsia"/>
          <w:spacing w:val="-18"/>
          <w:sz w:val="45"/>
        </w:rPr>
        <w:t>程</w:t>
      </w:r>
      <w:r>
        <w:rPr>
          <w:rFonts w:ascii="宋体" w:eastAsia="宋体" w:hint="eastAsia"/>
          <w:sz w:val="45"/>
        </w:rPr>
        <w:t>编</w:t>
        <w:tab/>
        <w:t>号：SG03-3</w:t>
      </w:r>
    </w:p>
    <w:p>
      <w:pPr>
        <w:tabs>
          <w:tab w:val="left" w:pos="5732"/>
        </w:tabs>
        <w:spacing w:before="0" w:line="280" w:lineRule="auto"/>
        <w:ind w:left="3478" w:right="6279" w:firstLine="0"/>
        <w:jc w:val="left"/>
        <w:rPr>
          <w:rFonts w:ascii="宋体" w:eastAsia="宋体" w:hint="eastAsia"/>
          <w:sz w:val="45"/>
        </w:rPr>
      </w:pPr>
      <w:r>
        <w:rPr>
          <w:rFonts w:ascii="宋体" w:eastAsia="宋体" w:hint="eastAsia"/>
          <w:sz w:val="45"/>
        </w:rPr>
        <w:t>分部工程名称：穿越民有二干</w:t>
      </w:r>
      <w:r>
        <w:rPr>
          <w:rFonts w:ascii="宋体" w:eastAsia="宋体" w:hint="eastAsia"/>
          <w:spacing w:val="-18"/>
          <w:sz w:val="45"/>
        </w:rPr>
        <w:t>渠</w:t>
      </w:r>
      <w:r>
        <w:rPr>
          <w:rFonts w:ascii="宋体" w:eastAsia="宋体" w:hint="eastAsia"/>
          <w:sz w:val="45"/>
        </w:rPr>
        <w:t>编</w:t>
        <w:tab/>
        <w:t>号：SG03-3-3</w:t>
      </w:r>
    </w:p>
    <w:p>
      <w:pPr>
        <w:pStyle w:val="BodyText"/>
        <w:spacing w:before="11"/>
        <w:rPr>
          <w:rFonts w:ascii="宋体"/>
        </w:rPr>
      </w:pPr>
    </w:p>
    <w:p>
      <w:pPr>
        <w:spacing w:before="0"/>
        <w:ind w:left="2405" w:right="4197" w:firstLine="0"/>
        <w:jc w:val="center"/>
        <w:rPr>
          <w:rFonts w:ascii="宋体" w:eastAsia="宋体" w:hint="eastAsia"/>
          <w:sz w:val="45"/>
        </w:rPr>
      </w:pPr>
      <w:r>
        <w:rPr>
          <w:rFonts w:ascii="宋体" w:eastAsia="宋体" w:hint="eastAsia"/>
          <w:sz w:val="45"/>
        </w:rPr>
        <w:t>二〇一五 年 十一 月 四 日</w:t>
      </w:r>
    </w:p>
    <w:p>
      <w:pPr>
        <w:spacing w:after="0"/>
        <w:jc w:val="center"/>
        <w:rPr>
          <w:rFonts w:ascii="宋体" w:eastAsia="宋体" w:hint="eastAsia"/>
          <w:sz w:val="45"/>
        </w:rPr>
        <w:sectPr>
          <w:headerReference w:type="default" r:id="rId5"/>
          <w:footerReference w:type="default" r:id="rId6"/>
          <w:type w:val="continuous"/>
          <w:pgSz w:w="17860" w:h="25260"/>
          <w:pgMar w:top="1400" w:right="0" w:bottom="1980" w:left="1800" w:header="1088" w:footer="1798"/>
          <w:cols w:space="708"/>
        </w:sectPr>
      </w:pPr>
    </w:p>
    <w:p>
      <w:pPr>
        <w:pStyle w:val="BodyText"/>
        <w:rPr>
          <w:rFonts w:ascii="宋体"/>
          <w:sz w:val="20"/>
        </w:rPr>
      </w:pPr>
      <w:r>
        <w:drawing>
          <wp:anchor distT="0" distB="0" distL="0" distR="0" simplePos="0" relativeHeight="251659264" behindDoc="1" locked="0" layoutInCell="1" allowOverlap="1">
            <wp:simplePos x="0" y="0"/>
            <wp:positionH relativeFrom="page">
              <wp:posOffset>1231900</wp:posOffset>
            </wp:positionH>
            <wp:positionV relativeFrom="page">
              <wp:posOffset>1155700</wp:posOffset>
            </wp:positionV>
            <wp:extent cx="8890000" cy="128270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7" cstate="print"/>
                    <a:stretch>
                      <a:fillRect/>
                    </a:stretch>
                  </pic:blipFill>
                  <pic:spPr>
                    <a:xfrm>
                      <a:off x="0" y="0"/>
                      <a:ext cx="8890000" cy="12827000"/>
                    </a:xfrm>
                    <a:prstGeom prst="rect">
                      <a:avLst/>
                    </a:prstGeom>
                  </pic:spPr>
                </pic:pic>
              </a:graphicData>
            </a:graphic>
          </wp:anchor>
        </w:drawing>
      </w:r>
    </w:p>
    <w:p>
      <w:pPr>
        <w:pStyle w:val="BodyText"/>
        <w:spacing w:before="2"/>
        <w:rPr>
          <w:rFonts w:ascii="宋体"/>
          <w:sz w:val="26"/>
        </w:rPr>
      </w:pPr>
    </w:p>
    <w:p>
      <w:pPr>
        <w:pStyle w:val="BodyText"/>
        <w:spacing w:before="42"/>
        <w:ind w:left="1167"/>
      </w:pPr>
      <w:r>
        <w:t>填表说明：</w:t>
      </w:r>
    </w:p>
    <w:p>
      <w:pPr>
        <w:pStyle w:val="BodyText"/>
        <w:spacing w:before="301" w:line="376" w:lineRule="auto"/>
        <w:ind w:left="328" w:right="2045" w:firstLine="838"/>
      </w:pPr>
      <w:r>
        <w:t>1、本证书由验收主持单位负责编写，符合档案管理有关规定，可使用打印件。</w:t>
      </w:r>
    </w:p>
    <w:p>
      <w:pPr>
        <w:pStyle w:val="BodyText"/>
        <w:spacing w:line="530" w:lineRule="exact"/>
        <w:ind w:left="1167"/>
      </w:pPr>
      <w:r>
        <w:t>2、本表所填写内容均为本分部工程数据。</w:t>
      </w:r>
    </w:p>
    <w:p>
      <w:pPr>
        <w:spacing w:after="0" w:line="530" w:lineRule="exact"/>
        <w:sectPr>
          <w:headerReference w:type="default" r:id="rId8"/>
          <w:footerReference w:type="default" r:id="rId9"/>
          <w:pgSz w:w="17860" w:h="25260"/>
          <w:pgMar w:top="1400" w:right="0" w:bottom="2040" w:left="1800" w:header="1088" w:footer="1798"/>
          <w:pgNumType w:start="2"/>
          <w:cols w:space="708"/>
        </w:sectPr>
      </w:pPr>
    </w:p>
    <w:p>
      <w:pPr>
        <w:pStyle w:val="BodyText"/>
        <w:rPr>
          <w:sz w:val="20"/>
        </w:rPr>
      </w:pPr>
      <w:r>
        <w:drawing>
          <wp:anchor distT="0" distB="0" distL="0" distR="0" simplePos="0" relativeHeight="251660288" behindDoc="1" locked="0" layoutInCell="1" allowOverlap="1">
            <wp:simplePos x="0" y="0"/>
            <wp:positionH relativeFrom="page">
              <wp:posOffset>1231900</wp:posOffset>
            </wp:positionH>
            <wp:positionV relativeFrom="page">
              <wp:posOffset>1155700</wp:posOffset>
            </wp:positionV>
            <wp:extent cx="8890000" cy="128270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7" cstate="print"/>
                    <a:stretch>
                      <a:fillRect/>
                    </a:stretch>
                  </pic:blipFill>
                  <pic:spPr>
                    <a:xfrm>
                      <a:off x="0" y="0"/>
                      <a:ext cx="8890000" cy="12827000"/>
                    </a:xfrm>
                    <a:prstGeom prst="rect">
                      <a:avLst/>
                    </a:prstGeom>
                  </pic:spPr>
                </pic:pic>
              </a:graphicData>
            </a:graphic>
          </wp:anchor>
        </w:drawing>
      </w:r>
    </w:p>
    <w:p>
      <w:pPr>
        <w:pStyle w:val="Heading1"/>
        <w:spacing w:before="155"/>
        <w:ind w:left="1048"/>
      </w:pPr>
      <w:r>
        <w:t>前言</w:t>
      </w:r>
    </w:p>
    <w:p>
      <w:pPr>
        <w:pStyle w:val="BodyText"/>
        <w:spacing w:before="369"/>
        <w:ind w:left="1167"/>
      </w:pPr>
      <w:r>
        <w:t>依据《河北省南水北调配套工程施工合同验收实施细则》（试行）、</w:t>
      </w:r>
    </w:p>
    <w:p>
      <w:pPr>
        <w:pStyle w:val="BodyText"/>
        <w:spacing w:before="305" w:line="374" w:lineRule="auto"/>
        <w:ind w:left="328" w:right="2112"/>
      </w:pPr>
      <w:r>
        <w:t>《水利水电建设工程验收规程》（</w:t>
      </w:r>
      <w:r>
        <w:rPr>
          <w:spacing w:val="-112"/>
        </w:rPr>
        <w:t xml:space="preserve"> </w:t>
      </w:r>
      <w:r>
        <w:t>SL223-2008）等有关规范规程及设计和</w:t>
      </w:r>
      <w:r>
        <w:rPr>
          <w:spacing w:val="-4"/>
        </w:rPr>
        <w:t>合同要求，</w:t>
      </w:r>
      <w:r>
        <w:rPr>
          <w:spacing w:val="-16"/>
        </w:rPr>
        <w:t>2015</w:t>
      </w:r>
      <w:r>
        <w:rPr>
          <w:spacing w:val="-70"/>
        </w:rPr>
        <w:t xml:space="preserve"> 年 </w:t>
      </w:r>
      <w:r>
        <w:t>11</w:t>
      </w:r>
      <w:r>
        <w:rPr>
          <w:spacing w:val="-67"/>
        </w:rPr>
        <w:t xml:space="preserve"> 月 </w:t>
      </w:r>
      <w:r>
        <w:t>4</w:t>
      </w:r>
      <w:r>
        <w:rPr>
          <w:spacing w:val="-22"/>
        </w:rPr>
        <w:t xml:space="preserve"> 日，河北省南水北调配套工程 </w:t>
      </w:r>
      <w:r>
        <w:t>1-3</w:t>
      </w:r>
      <w:r>
        <w:rPr>
          <w:spacing w:val="-19"/>
        </w:rPr>
        <w:t xml:space="preserve"> 标穿越民有二</w:t>
      </w:r>
      <w:r>
        <w:t>干渠（SG03-3-3）分部工程验收会议在河北水务集团邯郸市南水北调配套工程建设管理中心第一项目部召开。会议由邯郸市南水北调配套工程建设管理中心第一项目部组织，委托安阳市润安工程咨询监理公司主持，邯郸市南水北调配套工程建设管理中心第一项目部、安阳市润安工程咨询监理公司、邯郸市水利水电勘测设计研究院、新兴铸管股份有限公司、中国水利水电第十一工程局有限公司等单位的代表组成穿越民有二干渠工程</w:t>
      </w:r>
    </w:p>
    <w:p>
      <w:pPr>
        <w:pStyle w:val="BodyText"/>
        <w:spacing w:before="2" w:line="374" w:lineRule="auto"/>
        <w:ind w:left="328" w:right="2243"/>
        <w:jc w:val="both"/>
      </w:pPr>
      <w:r>
        <w:t>（SG03-3-3）分部工程验收工作组。验收工作组听取施工单位工程建设和单元工程质量评定情况的汇报、查看工程现场、检查单元工程质量评定及相关档案资料后，讨论并通过了分部工程验收鉴定书。</w:t>
      </w:r>
    </w:p>
    <w:p>
      <w:pPr>
        <w:pStyle w:val="BodyText"/>
        <w:spacing w:before="2" w:line="376" w:lineRule="auto"/>
        <w:ind w:left="328" w:right="2675" w:firstLine="838"/>
      </w:pPr>
      <w:r>
        <w:t>河北省南水北调工程质量监督站第十三巡查组的代表列席了验收会议。</w:t>
      </w:r>
    </w:p>
    <w:p>
      <w:pPr>
        <w:spacing w:after="0" w:line="376" w:lineRule="auto"/>
        <w:sectPr>
          <w:headerReference w:type="default" r:id="rId10"/>
          <w:footerReference w:type="default" r:id="rId11"/>
          <w:pgSz w:w="17860" w:h="25260"/>
          <w:pgMar w:top="1400" w:right="0" w:bottom="2040" w:left="1800" w:header="1088" w:footer="1798"/>
          <w:pgNumType w:start="3"/>
          <w:cols w:space="708"/>
        </w:sectPr>
      </w:pPr>
    </w:p>
    <w:p>
      <w:pPr>
        <w:pStyle w:val="BodyText"/>
        <w:rPr>
          <w:sz w:val="20"/>
        </w:rPr>
      </w:pPr>
      <w:r>
        <w:drawing>
          <wp:anchor distT="0" distB="0" distL="0" distR="0" simplePos="0" relativeHeight="251661312" behindDoc="1" locked="0" layoutInCell="1" allowOverlap="1">
            <wp:simplePos x="0" y="0"/>
            <wp:positionH relativeFrom="page">
              <wp:posOffset>1231900</wp:posOffset>
            </wp:positionH>
            <wp:positionV relativeFrom="page">
              <wp:posOffset>1155700</wp:posOffset>
            </wp:positionV>
            <wp:extent cx="8890000" cy="13309600"/>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pic:cNvPicPr/>
                  </pic:nvPicPr>
                  <pic:blipFill>
                    <a:blip xmlns:r="http://schemas.openxmlformats.org/officeDocument/2006/relationships" r:embed="rId12" cstate="print"/>
                    <a:stretch>
                      <a:fillRect/>
                    </a:stretch>
                  </pic:blipFill>
                  <pic:spPr>
                    <a:xfrm>
                      <a:off x="0" y="0"/>
                      <a:ext cx="8890000" cy="13309600"/>
                    </a:xfrm>
                    <a:prstGeom prst="rect">
                      <a:avLst/>
                    </a:prstGeom>
                  </pic:spPr>
                </pic:pic>
              </a:graphicData>
            </a:graphic>
          </wp:anchor>
        </w:drawing>
      </w:r>
    </w:p>
    <w:p>
      <w:pPr>
        <w:pStyle w:val="Heading1"/>
        <w:spacing w:before="155"/>
      </w:pPr>
      <w:r>
        <w:t>一、开完工日期</w:t>
      </w:r>
    </w:p>
    <w:p>
      <w:pPr>
        <w:pStyle w:val="BodyText"/>
        <w:spacing w:before="68" w:line="840" w:lineRule="atLeast"/>
        <w:ind w:left="1167" w:right="9320"/>
      </w:pPr>
      <w:r>
        <w:t>开工日期：2014</w:t>
      </w:r>
      <w:r>
        <w:rPr>
          <w:spacing w:val="-72"/>
        </w:rPr>
        <w:t xml:space="preserve"> 年 </w:t>
      </w:r>
      <w:r>
        <w:t>9</w:t>
      </w:r>
      <w:r>
        <w:rPr>
          <w:spacing w:val="-69"/>
        </w:rPr>
        <w:t xml:space="preserve"> 月 </w:t>
      </w:r>
      <w:r>
        <w:t>21</w:t>
      </w:r>
      <w:r>
        <w:rPr>
          <w:spacing w:val="-55"/>
        </w:rPr>
        <w:t xml:space="preserve"> 日完工日期：2014</w:t>
      </w:r>
      <w:r>
        <w:rPr>
          <w:spacing w:val="-71"/>
        </w:rPr>
        <w:t xml:space="preserve"> 年 </w:t>
      </w:r>
      <w:r>
        <w:t>10</w:t>
      </w:r>
      <w:r>
        <w:rPr>
          <w:spacing w:val="-70"/>
        </w:rPr>
        <w:t xml:space="preserve"> 月 </w:t>
      </w:r>
      <w:r>
        <w:t>29</w:t>
      </w:r>
      <w:r>
        <w:rPr>
          <w:spacing w:val="-60"/>
        </w:rPr>
        <w:t xml:space="preserve"> 日</w:t>
      </w:r>
    </w:p>
    <w:p>
      <w:pPr>
        <w:pStyle w:val="Heading1"/>
        <w:spacing w:before="81"/>
      </w:pPr>
      <w:r>
        <w:t>二、主要工程量</w:t>
      </w:r>
    </w:p>
    <w:p>
      <w:pPr>
        <w:pStyle w:val="BodyText"/>
        <w:spacing w:before="354" w:line="367" w:lineRule="auto"/>
        <w:ind w:left="328" w:right="1867" w:firstLine="838"/>
      </w:pPr>
      <w:r>
        <w:rPr>
          <w:w w:val="100"/>
        </w:rPr>
        <w:t>土方开挖</w:t>
      </w:r>
      <w:r>
        <w:rPr>
          <w:spacing w:val="-106"/>
        </w:rPr>
        <w:t xml:space="preserve"> </w:t>
      </w:r>
      <w:r>
        <w:rPr>
          <w:w w:val="100"/>
        </w:rPr>
        <w:t>6160.60</w:t>
      </w:r>
      <w:r>
        <w:rPr>
          <w:spacing w:val="-3"/>
          <w:w w:val="100"/>
        </w:rPr>
        <w:t>m</w:t>
      </w:r>
      <w:r>
        <w:rPr>
          <w:spacing w:val="-4"/>
          <w:w w:val="99"/>
          <w:position w:val="3"/>
          <w:sz w:val="21"/>
        </w:rPr>
        <w:t>3</w:t>
      </w:r>
      <w:r>
        <w:rPr>
          <w:spacing w:val="-36"/>
          <w:w w:val="100"/>
        </w:rPr>
        <w:t>，土方回填</w:t>
      </w:r>
      <w:r>
        <w:rPr>
          <w:spacing w:val="-106"/>
        </w:rPr>
        <w:t xml:space="preserve"> </w:t>
      </w:r>
      <w:r>
        <w:rPr>
          <w:w w:val="100"/>
        </w:rPr>
        <w:t>5370.54</w:t>
      </w:r>
      <w:r>
        <w:rPr>
          <w:spacing w:val="-7"/>
          <w:w w:val="100"/>
        </w:rPr>
        <w:t>m</w:t>
      </w:r>
      <w:r>
        <w:rPr>
          <w:spacing w:val="-4"/>
          <w:w w:val="99"/>
          <w:position w:val="3"/>
          <w:sz w:val="21"/>
        </w:rPr>
        <w:t>3</w:t>
      </w:r>
      <w:r>
        <w:rPr>
          <w:w w:val="100"/>
        </w:rPr>
        <w:t>，</w:t>
      </w:r>
      <w:r>
        <w:rPr>
          <w:spacing w:val="-176"/>
        </w:rPr>
        <w:t xml:space="preserve"> </w:t>
      </w:r>
      <w:r>
        <w:rPr>
          <w:w w:val="100"/>
        </w:rPr>
        <w:t>DN1600</w:t>
      </w:r>
      <w:r>
        <w:rPr>
          <w:spacing w:val="-112"/>
        </w:rPr>
        <w:t xml:space="preserve"> </w:t>
      </w:r>
      <w:r>
        <w:rPr>
          <w:w w:val="100"/>
        </w:rPr>
        <w:t>DIP</w:t>
      </w:r>
      <w:r>
        <w:rPr>
          <w:spacing w:val="-107"/>
        </w:rPr>
        <w:t xml:space="preserve"> </w:t>
      </w:r>
      <w:r>
        <w:rPr>
          <w:w w:val="100"/>
        </w:rPr>
        <w:t>管道安装</w:t>
      </w:r>
      <w:r>
        <w:rPr>
          <w:spacing w:val="-105"/>
        </w:rPr>
        <w:t xml:space="preserve"> </w:t>
      </w:r>
      <w:r>
        <w:rPr>
          <w:spacing w:val="-3"/>
          <w:w w:val="100"/>
        </w:rPr>
        <w:t>120</w:t>
      </w:r>
      <w:r>
        <w:rPr>
          <w:spacing w:val="-11"/>
          <w:w w:val="100"/>
        </w:rPr>
        <w:t>m</w:t>
      </w:r>
      <w:r>
        <w:rPr>
          <w:spacing w:val="-3"/>
          <w:w w:val="100"/>
        </w:rPr>
        <w:t>，</w:t>
      </w:r>
      <w:r>
        <w:rPr>
          <w:w w:val="100"/>
        </w:rPr>
        <w:t xml:space="preserve"> 10</w:t>
      </w:r>
      <w:r>
        <w:rPr>
          <w:spacing w:val="7"/>
          <w:w w:val="100"/>
        </w:rPr>
        <w:t>%水泥土垫层</w:t>
      </w:r>
      <w:r>
        <w:rPr>
          <w:w w:val="100"/>
        </w:rPr>
        <w:t>169.76</w:t>
      </w:r>
      <w:r>
        <w:rPr>
          <w:spacing w:val="-1"/>
          <w:w w:val="100"/>
        </w:rPr>
        <w:t>m</w:t>
      </w:r>
      <w:r>
        <w:rPr>
          <w:spacing w:val="-4"/>
          <w:w w:val="99"/>
          <w:position w:val="3"/>
          <w:sz w:val="21"/>
        </w:rPr>
        <w:t>3</w:t>
      </w:r>
      <w:r>
        <w:rPr>
          <w:spacing w:val="-209"/>
          <w:w w:val="100"/>
        </w:rPr>
        <w:t>，</w:t>
      </w:r>
      <w:r>
        <w:rPr>
          <w:w w:val="100"/>
        </w:rPr>
        <w:t>C25W6F150</w:t>
      </w:r>
      <w:r>
        <w:rPr>
          <w:spacing w:val="-162"/>
        </w:rPr>
        <w:t xml:space="preserve"> </w:t>
      </w:r>
      <w:r>
        <w:rPr>
          <w:spacing w:val="16"/>
          <w:w w:val="100"/>
        </w:rPr>
        <w:t>混凝土</w:t>
      </w:r>
      <w:r>
        <w:rPr>
          <w:w w:val="100"/>
        </w:rPr>
        <w:t>105.27</w:t>
      </w:r>
      <w:r>
        <w:rPr>
          <w:spacing w:val="-2"/>
          <w:w w:val="100"/>
        </w:rPr>
        <w:t>m</w:t>
      </w:r>
      <w:r>
        <w:rPr>
          <w:spacing w:val="-4"/>
          <w:w w:val="99"/>
          <w:position w:val="3"/>
          <w:sz w:val="21"/>
        </w:rPr>
        <w:t>3</w:t>
      </w:r>
      <w:r>
        <w:rPr>
          <w:spacing w:val="1"/>
          <w:w w:val="100"/>
        </w:rPr>
        <w:t>，</w:t>
      </w:r>
      <w:r>
        <w:rPr>
          <w:w w:val="100"/>
        </w:rPr>
        <w:t>C25</w:t>
      </w:r>
      <w:r>
        <w:rPr>
          <w:spacing w:val="-160"/>
        </w:rPr>
        <w:t xml:space="preserve"> </w:t>
      </w:r>
      <w:r>
        <w:rPr>
          <w:spacing w:val="18"/>
          <w:w w:val="100"/>
        </w:rPr>
        <w:t>混凝土</w:t>
      </w:r>
      <w:r>
        <w:rPr>
          <w:spacing w:val="-2"/>
          <w:w w:val="100"/>
        </w:rPr>
        <w:t>144.76</w:t>
      </w:r>
      <w:r>
        <w:rPr>
          <w:spacing w:val="-8"/>
          <w:w w:val="100"/>
        </w:rPr>
        <w:t>m</w:t>
      </w:r>
      <w:r>
        <w:rPr>
          <w:spacing w:val="-6"/>
          <w:w w:val="99"/>
          <w:position w:val="3"/>
          <w:sz w:val="21"/>
        </w:rPr>
        <w:t>3</w:t>
      </w:r>
      <w:r>
        <w:rPr>
          <w:spacing w:val="-2"/>
          <w:w w:val="100"/>
        </w:rPr>
        <w:t>，</w:t>
      </w:r>
    </w:p>
    <w:p>
      <w:pPr>
        <w:pStyle w:val="BodyText"/>
        <w:spacing w:before="6"/>
        <w:ind w:left="328"/>
      </w:pPr>
      <w:r>
        <w:t>C15 混凝土 114.23m</w:t>
      </w:r>
      <w:r>
        <w:rPr>
          <w:position w:val="3"/>
          <w:sz w:val="21"/>
        </w:rPr>
        <w:t>3</w:t>
      </w:r>
      <w:r>
        <w:t>，钢筋制安 12.61t。</w:t>
      </w:r>
    </w:p>
    <w:p>
      <w:pPr>
        <w:pStyle w:val="Heading1"/>
      </w:pPr>
      <w:r>
        <w:t>三、工程内容及施工经过</w:t>
      </w:r>
    </w:p>
    <w:p>
      <w:pPr>
        <w:pStyle w:val="Heading2"/>
        <w:numPr>
          <w:ilvl w:val="0"/>
          <w:numId w:val="9"/>
        </w:numPr>
        <w:tabs>
          <w:tab w:val="left" w:pos="1694"/>
        </w:tabs>
        <w:spacing w:before="260" w:after="0" w:line="240" w:lineRule="auto"/>
        <w:ind w:left="1693" w:right="0" w:hanging="401"/>
        <w:jc w:val="left"/>
        <w:rPr>
          <w:rFonts w:ascii="黑体" w:eastAsia="黑体" w:hint="eastAsia"/>
        </w:rPr>
      </w:pPr>
      <w:r>
        <w:rPr>
          <w:rFonts w:ascii="黑体" w:eastAsia="黑体" w:hint="eastAsia"/>
        </w:rPr>
        <w:t>工程内容</w:t>
      </w:r>
    </w:p>
    <w:p>
      <w:pPr>
        <w:pStyle w:val="BodyText"/>
        <w:spacing w:before="333" w:line="376" w:lineRule="auto"/>
        <w:ind w:left="328" w:right="1913" w:firstLine="838"/>
      </w:pPr>
      <w:r>
        <w:t>穿越民有二干渠分部工程主要建设内容</w:t>
      </w:r>
      <w:r>
        <w:rPr>
          <w:spacing w:val="-37"/>
        </w:rPr>
        <w:t>：渠道衬砌</w:t>
      </w:r>
      <w:r>
        <w:t>50m，DIP</w:t>
      </w:r>
      <w:r>
        <w:rPr>
          <w:spacing w:val="-28"/>
        </w:rPr>
        <w:t xml:space="preserve"> 管道</w:t>
      </w:r>
      <w:r>
        <w:rPr>
          <w:spacing w:val="-4"/>
        </w:rPr>
        <w:t xml:space="preserve">120m， </w:t>
      </w:r>
      <w:r>
        <w:rPr>
          <w:spacing w:val="-13"/>
        </w:rPr>
        <w:t xml:space="preserve">管线共布设排泥井 </w:t>
      </w:r>
      <w:r>
        <w:t>1</w:t>
      </w:r>
      <w:r>
        <w:rPr>
          <w:spacing w:val="-32"/>
        </w:rPr>
        <w:t xml:space="preserve"> 座、排气井 </w:t>
      </w:r>
      <w:r>
        <w:t>2</w:t>
      </w:r>
      <w:r>
        <w:rPr>
          <w:spacing w:val="-37"/>
        </w:rPr>
        <w:t xml:space="preserve"> 座，支墩 </w:t>
      </w:r>
      <w:r>
        <w:t>5</w:t>
      </w:r>
      <w:r>
        <w:rPr>
          <w:spacing w:val="-36"/>
        </w:rPr>
        <w:t xml:space="preserve"> 个。</w:t>
      </w:r>
    </w:p>
    <w:p>
      <w:pPr>
        <w:pStyle w:val="BodyText"/>
        <w:spacing w:line="515" w:lineRule="exact"/>
        <w:ind w:left="1167"/>
      </w:pPr>
      <w:r>
        <w:t>主要施工项目：土方开挖、DIP 管道安装、支墩混凝土浇筑、渠道混凝</w:t>
      </w:r>
    </w:p>
    <w:p>
      <w:pPr>
        <w:pStyle w:val="BodyText"/>
        <w:spacing w:before="286"/>
        <w:ind w:left="328"/>
      </w:pPr>
      <w:r>
        <w:t>土衬砌、排气井和排泥井混凝土浇筑、土方回填等。</w:t>
      </w:r>
    </w:p>
    <w:p>
      <w:pPr>
        <w:pStyle w:val="Heading2"/>
        <w:numPr>
          <w:ilvl w:val="0"/>
          <w:numId w:val="9"/>
        </w:numPr>
        <w:tabs>
          <w:tab w:val="left" w:pos="1694"/>
        </w:tabs>
        <w:spacing w:before="192" w:after="0" w:line="240" w:lineRule="auto"/>
        <w:ind w:left="1693" w:right="0" w:hanging="401"/>
        <w:jc w:val="left"/>
        <w:rPr>
          <w:rFonts w:ascii="黑体" w:eastAsia="黑体" w:hint="eastAsia"/>
        </w:rPr>
      </w:pPr>
      <w:r>
        <w:rPr>
          <w:rFonts w:ascii="黑体" w:eastAsia="黑体" w:hint="eastAsia"/>
        </w:rPr>
        <w:t>施工经过</w:t>
      </w:r>
    </w:p>
    <w:p>
      <w:pPr>
        <w:pStyle w:val="ListParagraph"/>
        <w:numPr>
          <w:ilvl w:val="0"/>
          <w:numId w:val="8"/>
        </w:numPr>
        <w:tabs>
          <w:tab w:val="left" w:pos="2011"/>
        </w:tabs>
        <w:spacing w:before="323" w:after="0" w:line="240" w:lineRule="auto"/>
        <w:ind w:left="2010" w:right="0" w:hanging="1053"/>
        <w:jc w:val="left"/>
        <w:rPr>
          <w:sz w:val="42"/>
        </w:rPr>
      </w:pPr>
      <w:r>
        <w:rPr>
          <w:sz w:val="42"/>
        </w:rPr>
        <w:t>测量放线</w:t>
      </w:r>
    </w:p>
    <w:p>
      <w:pPr>
        <w:pStyle w:val="BodyText"/>
        <w:spacing w:before="300" w:line="374" w:lineRule="auto"/>
        <w:ind w:left="328" w:right="2202" w:firstLine="838"/>
      </w:pPr>
      <w:r>
        <w:t>由专职测量人员利用施工现场布设的测量控制网 ,根据设计施工图纸测放出征地及开挖边线，并洒白灰线标记。</w:t>
      </w:r>
    </w:p>
    <w:p>
      <w:pPr>
        <w:pStyle w:val="ListParagraph"/>
        <w:numPr>
          <w:ilvl w:val="1"/>
          <w:numId w:val="8"/>
        </w:numPr>
        <w:tabs>
          <w:tab w:val="left" w:pos="2220"/>
        </w:tabs>
        <w:spacing w:before="3" w:after="0" w:line="240" w:lineRule="auto"/>
        <w:ind w:left="2219" w:right="0" w:hanging="1053"/>
        <w:jc w:val="left"/>
        <w:rPr>
          <w:sz w:val="42"/>
        </w:rPr>
      </w:pPr>
      <w:r>
        <w:rPr>
          <w:sz w:val="42"/>
        </w:rPr>
        <w:t>土方开挖</w:t>
      </w:r>
    </w:p>
    <w:p>
      <w:pPr>
        <w:pStyle w:val="BodyText"/>
        <w:spacing w:before="300" w:line="374" w:lineRule="auto"/>
        <w:ind w:left="328" w:right="2070" w:firstLine="838"/>
      </w:pPr>
      <w:r>
        <w:t>土方开挖前先进行测量放样，确定开口边线，做好标记后，采用自上而下分层分段开挖的方式施工。开挖过程中，由测量人员随时检查开挖边</w:t>
      </w:r>
      <w:r>
        <w:rPr>
          <w:spacing w:val="-12"/>
        </w:rPr>
        <w:t xml:space="preserve">线及高程，槽底预留 </w:t>
      </w:r>
      <w:r>
        <w:t>20cm</w:t>
      </w:r>
      <w:r>
        <w:rPr>
          <w:spacing w:val="-12"/>
        </w:rPr>
        <w:t xml:space="preserve"> 厚保护层，保护层由人工开挖至设计高程。同时</w:t>
      </w:r>
      <w:r>
        <w:rPr>
          <w:spacing w:val="104"/>
        </w:rPr>
        <w:t>在</w:t>
      </w:r>
      <w:r>
        <w:t>DIP</w:t>
      </w:r>
      <w:r>
        <w:rPr>
          <w:spacing w:val="-11"/>
        </w:rPr>
        <w:t xml:space="preserve"> 管道各接口处人工开挖工作坑，工作坑大小符合规范要求。</w:t>
      </w:r>
    </w:p>
    <w:p>
      <w:pPr>
        <w:pStyle w:val="ListParagraph"/>
        <w:numPr>
          <w:ilvl w:val="1"/>
          <w:numId w:val="8"/>
        </w:numPr>
        <w:tabs>
          <w:tab w:val="left" w:pos="2220"/>
        </w:tabs>
        <w:spacing w:before="2" w:after="0" w:line="240" w:lineRule="auto"/>
        <w:ind w:left="2219" w:right="0" w:hanging="1053"/>
        <w:jc w:val="left"/>
        <w:rPr>
          <w:sz w:val="42"/>
        </w:rPr>
      </w:pPr>
      <w:r>
        <w:rPr>
          <w:sz w:val="42"/>
        </w:rPr>
        <w:t>管道基础垫层</w:t>
      </w:r>
    </w:p>
    <w:p>
      <w:pPr>
        <w:pStyle w:val="BodyText"/>
        <w:spacing w:before="304" w:line="374" w:lineRule="auto"/>
        <w:ind w:left="328" w:right="2120" w:firstLine="838"/>
      </w:pPr>
      <w:r>
        <w:rPr>
          <w:spacing w:val="-11"/>
        </w:rPr>
        <w:t xml:space="preserve">管道基础垫层为 </w:t>
      </w:r>
      <w:r>
        <w:t>10</w:t>
      </w:r>
      <w:r>
        <w:rPr>
          <w:spacing w:val="-6"/>
        </w:rPr>
        <w:t xml:space="preserve">%水泥土，水泥采用袋装太行山牌 </w:t>
      </w:r>
      <w:r>
        <w:t>PO32.5</w:t>
      </w:r>
      <w:r>
        <w:rPr>
          <w:spacing w:val="-21"/>
        </w:rPr>
        <w:t xml:space="preserve"> 普通硅酸</w:t>
      </w:r>
      <w:r>
        <w:t>盐水泥，由人工在沟槽内拌合完成，摊铺、平整后，由人工木夯配合打夯</w:t>
      </w:r>
    </w:p>
    <w:p>
      <w:pPr>
        <w:spacing w:after="0" w:line="374" w:lineRule="auto"/>
        <w:sectPr>
          <w:headerReference w:type="default" r:id="rId13"/>
          <w:footerReference w:type="default" r:id="rId14"/>
          <w:pgSz w:w="17860" w:h="25260"/>
          <w:pgMar w:top="1400" w:right="0" w:bottom="2040" w:left="1800" w:header="1088" w:footer="1798"/>
          <w:pgNumType w:start="4"/>
          <w:cols w:space="708"/>
        </w:sectPr>
      </w:pPr>
    </w:p>
    <w:p>
      <w:pPr>
        <w:pStyle w:val="BodyText"/>
        <w:rPr>
          <w:sz w:val="20"/>
        </w:rPr>
      </w:pPr>
      <w:r>
        <w:drawing>
          <wp:anchor distT="0" distB="0" distL="0" distR="0" simplePos="0" relativeHeight="251662336" behindDoc="1" locked="0" layoutInCell="1" allowOverlap="1">
            <wp:simplePos x="0" y="0"/>
            <wp:positionH relativeFrom="page">
              <wp:posOffset>1231900</wp:posOffset>
            </wp:positionH>
            <wp:positionV relativeFrom="page">
              <wp:posOffset>1155700</wp:posOffset>
            </wp:positionV>
            <wp:extent cx="8890000" cy="13208000"/>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pic:nvPicPr>
                  <pic:blipFill>
                    <a:blip xmlns:r="http://schemas.openxmlformats.org/officeDocument/2006/relationships" r:embed="rId15" cstate="print"/>
                    <a:stretch>
                      <a:fillRect/>
                    </a:stretch>
                  </pic:blipFill>
                  <pic:spPr>
                    <a:xfrm>
                      <a:off x="0" y="0"/>
                      <a:ext cx="8890000" cy="13208000"/>
                    </a:xfrm>
                    <a:prstGeom prst="rect">
                      <a:avLst/>
                    </a:prstGeom>
                  </pic:spPr>
                </pic:pic>
              </a:graphicData>
            </a:graphic>
          </wp:anchor>
        </w:drawing>
      </w:r>
    </w:p>
    <w:p>
      <w:pPr>
        <w:pStyle w:val="BodyText"/>
        <w:spacing w:before="2"/>
        <w:rPr>
          <w:sz w:val="26"/>
        </w:rPr>
      </w:pPr>
    </w:p>
    <w:p>
      <w:pPr>
        <w:pStyle w:val="BodyText"/>
        <w:spacing w:before="42"/>
        <w:ind w:left="328"/>
      </w:pPr>
      <w:r>
        <w:t>机夯实。</w:t>
      </w:r>
    </w:p>
    <w:p>
      <w:pPr>
        <w:pStyle w:val="ListParagraph"/>
        <w:numPr>
          <w:ilvl w:val="1"/>
          <w:numId w:val="10"/>
        </w:numPr>
        <w:tabs>
          <w:tab w:val="left" w:pos="2220"/>
        </w:tabs>
        <w:spacing w:before="301" w:after="0" w:line="240" w:lineRule="auto"/>
        <w:ind w:left="2219" w:right="0" w:hanging="1053"/>
        <w:jc w:val="left"/>
        <w:rPr>
          <w:sz w:val="42"/>
        </w:rPr>
      </w:pPr>
      <w:r>
        <w:rPr>
          <w:sz w:val="42"/>
        </w:rPr>
        <w:t>管道安装</w:t>
      </w:r>
    </w:p>
    <w:p>
      <w:pPr>
        <w:pStyle w:val="BodyText"/>
        <w:spacing w:before="304" w:line="374" w:lineRule="auto"/>
        <w:ind w:left="328" w:right="1867" w:firstLine="838"/>
      </w:pPr>
      <w:r>
        <w:t>DIP 管道进场后，由建管单位、监造监理单位、施工监理单位、管道厂家和施工单位五方对管道进行落地联合验收。</w:t>
      </w:r>
    </w:p>
    <w:p>
      <w:pPr>
        <w:pStyle w:val="BodyText"/>
        <w:spacing w:line="522" w:lineRule="exact"/>
        <w:ind w:left="1167"/>
      </w:pPr>
      <w:r>
        <w:t>DIP 管道安装，采用人工配合 50t 履带吊进行安装。先由地面人员利用</w:t>
      </w:r>
    </w:p>
    <w:p>
      <w:pPr>
        <w:pStyle w:val="BodyText"/>
        <w:spacing w:before="287" w:line="367" w:lineRule="auto"/>
        <w:ind w:left="328" w:right="1896"/>
      </w:pPr>
      <w:r>
        <w:t>纤维吊带将管道敷紧、挂牢至履带吊吊钩，匀速吊至沟槽底部，沟槽内管</w:t>
      </w:r>
      <w:r>
        <w:rPr>
          <w:spacing w:val="-12"/>
        </w:rPr>
        <w:t xml:space="preserve">道安装人员对承插口进行清理和涂抹植物油，插口植物油涂抹宽度为 </w:t>
      </w:r>
      <w:r>
        <w:t>25cm。</w:t>
      </w:r>
      <w:r>
        <w:rPr>
          <w:spacing w:val="-3"/>
        </w:rPr>
        <w:t xml:space="preserve">同时将橡胶圈拧成 </w:t>
      </w:r>
      <w:r>
        <w:t>8</w:t>
      </w:r>
      <w:r>
        <w:rPr>
          <w:spacing w:val="-3"/>
        </w:rPr>
        <w:t xml:space="preserve"> 字形放在承口内槽就位，胶圈安放位置准确无误后， 采用木锤沿管口内周围轻轻敲打，使橡胶圈完全安放在承口凹槽内，并在已安装好的橡胶圈表面涂抹植物油。然后对接管道。待管道插口距离已装</w:t>
      </w:r>
      <w:r>
        <w:rPr>
          <w:spacing w:val="-22"/>
        </w:rPr>
        <w:t xml:space="preserve">管道的承口 </w:t>
      </w:r>
      <w:r>
        <w:t>10～20cm</w:t>
      </w:r>
      <w:r>
        <w:rPr>
          <w:spacing w:val="-35"/>
        </w:rPr>
        <w:t xml:space="preserve"> 时，管道接口处两侧各安排 </w:t>
      </w:r>
      <w:r>
        <w:t>1</w:t>
      </w:r>
      <w:r>
        <w:rPr>
          <w:spacing w:val="-14"/>
        </w:rPr>
        <w:t xml:space="preserve"> 人观察承插口对接情况， </w:t>
      </w:r>
      <w:r>
        <w:t>将插口靠近承口，人工指挥吊车调整管道左右、上下偏差，使吊装管道插口匀速缓慢进入上一节管道承口内，同时安排专人从管道内利用钢板尺随时测量各方向接缝宽度，保障承插口对正，对正后使用管道两侧安装的手拉葫芦使插口缓慢进入承口，进入过程中，仔细观察胶圈滑入情况，用钢板尺及时检查环向间隙是否均匀，并随时调整。</w:t>
      </w:r>
    </w:p>
    <w:p>
      <w:pPr>
        <w:pStyle w:val="BodyText"/>
        <w:spacing w:before="20" w:line="367" w:lineRule="auto"/>
        <w:ind w:left="328" w:right="2113" w:firstLine="838"/>
      </w:pPr>
      <w:r>
        <w:t>管道对接就位后，用经纬仪校核管道轴线，用水准仪校核管道高程。轴线、高程符合要求后，缓缓放松纤维吊带，再重新复核轴线、标高，检查密封橡胶圈、接口间隙均符合规范要求，各项要求完全合格后，采用中</w:t>
      </w:r>
      <w:r>
        <w:rPr>
          <w:spacing w:val="-10"/>
        </w:rPr>
        <w:t xml:space="preserve">粗砂回填工作坑和 </w:t>
      </w:r>
      <w:r>
        <w:t>10</w:t>
      </w:r>
      <w:r>
        <w:rPr>
          <w:spacing w:val="-13"/>
        </w:rPr>
        <w:t>%水泥土回填管道两侧，并用自制木夯夯实。避免了管</w:t>
      </w:r>
      <w:r>
        <w:t>道移开吊具后发生位移。</w:t>
      </w:r>
    </w:p>
    <w:p>
      <w:pPr>
        <w:pStyle w:val="ListParagraph"/>
        <w:numPr>
          <w:ilvl w:val="1"/>
          <w:numId w:val="10"/>
        </w:numPr>
        <w:tabs>
          <w:tab w:val="left" w:pos="2220"/>
        </w:tabs>
        <w:spacing w:before="24" w:after="0" w:line="240" w:lineRule="auto"/>
        <w:ind w:left="2219" w:right="0" w:hanging="1053"/>
        <w:jc w:val="left"/>
        <w:rPr>
          <w:sz w:val="42"/>
        </w:rPr>
      </w:pPr>
      <w:r>
        <w:rPr>
          <w:sz w:val="42"/>
        </w:rPr>
        <w:t>支墩混凝土施工</w:t>
      </w:r>
    </w:p>
    <w:p>
      <w:pPr>
        <w:pStyle w:val="BodyText"/>
        <w:spacing w:before="301" w:line="374" w:lineRule="auto"/>
        <w:ind w:left="328" w:right="2118" w:firstLine="838"/>
        <w:jc w:val="both"/>
      </w:pPr>
      <w:r>
        <w:t>DIP</w:t>
      </w:r>
      <w:r>
        <w:rPr>
          <w:spacing w:val="-18"/>
        </w:rPr>
        <w:t xml:space="preserve"> 管道安装完成后，根据设计图纸对管道支墩进行开挖，开挖成型后</w:t>
      </w:r>
      <w:r>
        <w:t>采用人工对基面进行清理。按照设计图纸尺寸支设模板，经现场监理工程</w:t>
      </w:r>
      <w:r>
        <w:rPr>
          <w:spacing w:val="1"/>
        </w:rPr>
        <w:t>师验收合格后浇筑混凝土，混凝土浇筑由泵车入仓，并采用</w:t>
      </w:r>
      <w:r>
        <w:t>φ50</w:t>
      </w:r>
      <w:r>
        <w:rPr>
          <w:spacing w:val="-20"/>
        </w:rPr>
        <w:t xml:space="preserve"> 插入式振</w:t>
      </w:r>
    </w:p>
    <w:p>
      <w:pPr>
        <w:spacing w:after="0" w:line="374" w:lineRule="auto"/>
        <w:jc w:val="both"/>
        <w:sectPr>
          <w:headerReference w:type="default" r:id="rId16"/>
          <w:footerReference w:type="default" r:id="rId17"/>
          <w:pgSz w:w="17860" w:h="25260"/>
          <w:pgMar w:top="1400" w:right="0" w:bottom="2040" w:left="1800" w:header="1088" w:footer="1798"/>
          <w:pgNumType w:start="5"/>
          <w:cols w:space="708"/>
        </w:sectPr>
      </w:pPr>
    </w:p>
    <w:p>
      <w:pPr>
        <w:pStyle w:val="BodyText"/>
        <w:rPr>
          <w:sz w:val="20"/>
        </w:rPr>
      </w:pPr>
      <w:r>
        <w:drawing>
          <wp:anchor distT="0" distB="0" distL="0" distR="0" simplePos="0" relativeHeight="251663360" behindDoc="1" locked="0" layoutInCell="1" allowOverlap="1">
            <wp:simplePos x="0" y="0"/>
            <wp:positionH relativeFrom="page">
              <wp:posOffset>1231900</wp:posOffset>
            </wp:positionH>
            <wp:positionV relativeFrom="page">
              <wp:posOffset>1155700</wp:posOffset>
            </wp:positionV>
            <wp:extent cx="8890000" cy="13309600"/>
            <wp:effectExtent l="0" t="0" r="0" b="0"/>
            <wp:wrapNone/>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png"/>
                    <pic:cNvPicPr/>
                  </pic:nvPicPr>
                  <pic:blipFill>
                    <a:blip xmlns:r="http://schemas.openxmlformats.org/officeDocument/2006/relationships" r:embed="rId12" cstate="print"/>
                    <a:stretch>
                      <a:fillRect/>
                    </a:stretch>
                  </pic:blipFill>
                  <pic:spPr>
                    <a:xfrm>
                      <a:off x="0" y="0"/>
                      <a:ext cx="8890000" cy="13309600"/>
                    </a:xfrm>
                    <a:prstGeom prst="rect">
                      <a:avLst/>
                    </a:prstGeom>
                  </pic:spPr>
                </pic:pic>
              </a:graphicData>
            </a:graphic>
          </wp:anchor>
        </w:drawing>
      </w:r>
    </w:p>
    <w:p>
      <w:pPr>
        <w:pStyle w:val="BodyText"/>
        <w:spacing w:before="2"/>
        <w:rPr>
          <w:sz w:val="26"/>
        </w:rPr>
      </w:pPr>
    </w:p>
    <w:p>
      <w:pPr>
        <w:pStyle w:val="BodyText"/>
        <w:spacing w:before="42" w:line="374" w:lineRule="auto"/>
        <w:ind w:left="328" w:right="2250"/>
      </w:pPr>
      <w:r>
        <w:t>捣器进行振捣。混凝土浇筑至设计标高，初凝前进行抹面，并在混凝土表面及时用塑料薄膜遮盖。终凝后采用洒水车及时洒水养护。</w:t>
      </w:r>
    </w:p>
    <w:p>
      <w:pPr>
        <w:pStyle w:val="ListParagraph"/>
        <w:numPr>
          <w:ilvl w:val="1"/>
          <w:numId w:val="11"/>
        </w:numPr>
        <w:tabs>
          <w:tab w:val="left" w:pos="2220"/>
        </w:tabs>
        <w:spacing w:before="3" w:after="0" w:line="240" w:lineRule="auto"/>
        <w:ind w:left="2219" w:right="0" w:hanging="1053"/>
        <w:jc w:val="left"/>
        <w:rPr>
          <w:sz w:val="42"/>
        </w:rPr>
      </w:pPr>
      <w:r>
        <w:rPr>
          <w:sz w:val="42"/>
        </w:rPr>
        <w:t>土方回填</w:t>
      </w:r>
    </w:p>
    <w:p>
      <w:pPr>
        <w:pStyle w:val="BodyText"/>
        <w:spacing w:before="300" w:line="374" w:lineRule="auto"/>
        <w:ind w:left="328" w:right="2048" w:firstLine="838"/>
      </w:pPr>
      <w:r>
        <w:t>管道沟槽回填前,先将槽底杂物清理干净，回填时根据现场碾压试验确定的回填参数进行铺土、整平、碾压。</w:t>
      </w:r>
    </w:p>
    <w:p>
      <w:pPr>
        <w:pStyle w:val="BodyText"/>
        <w:spacing w:before="3" w:line="374" w:lineRule="auto"/>
        <w:ind w:left="328" w:right="2045" w:firstLine="838"/>
      </w:pPr>
      <w:r>
        <w:rPr>
          <w:spacing w:val="-16"/>
        </w:rPr>
        <w:t xml:space="preserve">沟槽回填时，管道左右两侧同时回填，防止管道偏离。管道 </w:t>
      </w:r>
      <w:r>
        <w:t>120°包角</w:t>
      </w:r>
      <w:r>
        <w:rPr>
          <w:spacing w:val="-15"/>
        </w:rPr>
        <w:t xml:space="preserve">范围内采用 </w:t>
      </w:r>
      <w:r>
        <w:t>10</w:t>
      </w:r>
      <w:r>
        <w:rPr>
          <w:spacing w:val="1"/>
        </w:rPr>
        <w:t>%水泥土进行回填，并由人工木夯配合打夯机夯实；回填</w:t>
      </w:r>
      <w:r>
        <w:t>10% 水泥土压实度满足设计要求。然后再进行土方回填，管道两侧水泥土以上</w:t>
      </w:r>
      <w:r>
        <w:rPr>
          <w:spacing w:val="-23"/>
        </w:rPr>
        <w:t xml:space="preserve">至管顶 </w:t>
      </w:r>
      <w:r>
        <w:t>50</w:t>
      </w:r>
      <w:r>
        <w:rPr>
          <w:spacing w:val="-12"/>
        </w:rPr>
        <w:t xml:space="preserve"> ㎝范围回填采用装载机和挖掘机运料，人工摊铺平整，碾压时主</w:t>
      </w:r>
      <w:r>
        <w:t>要采用人工木夯配合手扶振动碾进行夯实、碾压；上部大面积铺料采用机</w:t>
      </w:r>
      <w:r>
        <w:rPr>
          <w:spacing w:val="-6"/>
        </w:rPr>
        <w:t>械摊平，手扶振动碾碾压密实。压实厚度均控制在</w:t>
      </w:r>
      <w:r>
        <w:t>15-18cm。采用核子密度仪检验，合格后进行下一层土料的填筑。</w:t>
      </w:r>
    </w:p>
    <w:p>
      <w:pPr>
        <w:pStyle w:val="ListParagraph"/>
        <w:numPr>
          <w:ilvl w:val="1"/>
          <w:numId w:val="11"/>
        </w:numPr>
        <w:tabs>
          <w:tab w:val="left" w:pos="2220"/>
        </w:tabs>
        <w:spacing w:before="3" w:after="0" w:line="240" w:lineRule="auto"/>
        <w:ind w:left="2219" w:right="0" w:hanging="1053"/>
        <w:jc w:val="left"/>
        <w:rPr>
          <w:sz w:val="42"/>
        </w:rPr>
      </w:pPr>
      <w:r>
        <w:rPr>
          <w:sz w:val="42"/>
        </w:rPr>
        <w:t>渠道混凝土衬砌</w:t>
      </w:r>
    </w:p>
    <w:p>
      <w:pPr>
        <w:pStyle w:val="BodyText"/>
        <w:spacing w:before="301" w:line="376" w:lineRule="auto"/>
        <w:ind w:left="328" w:right="2254" w:firstLine="838"/>
      </w:pPr>
      <w:r>
        <w:t>根据设计施工图纸要求，对渠道衬砌基础面进行清理，并按要求进行压实。</w:t>
      </w:r>
    </w:p>
    <w:p>
      <w:pPr>
        <w:pStyle w:val="BodyText"/>
        <w:spacing w:line="515" w:lineRule="exact"/>
        <w:ind w:left="1167"/>
      </w:pPr>
      <w:r>
        <w:t>渠道衬砌采用跳仓进行混凝土浇筑，渠坡、渠底混凝土浇筑厚度均为</w:t>
      </w:r>
    </w:p>
    <w:p>
      <w:pPr>
        <w:pStyle w:val="BodyText"/>
        <w:spacing w:before="286" w:line="367" w:lineRule="auto"/>
        <w:ind w:left="328" w:right="2247"/>
      </w:pPr>
      <w:r>
        <w:t>12cm。采用平板振捣器进行振捣。初凝前进行抹面，并在混凝土表面及时用塑料薄膜进行遮盖。终凝后采用洒水车及时洒水养护。</w:t>
      </w:r>
    </w:p>
    <w:p>
      <w:pPr>
        <w:pStyle w:val="BodyText"/>
        <w:spacing w:before="2" w:line="369" w:lineRule="auto"/>
        <w:ind w:left="328" w:right="2066" w:firstLine="838"/>
        <w:jc w:val="both"/>
      </w:pPr>
      <w:r>
        <w:rPr>
          <w:spacing w:val="-14"/>
        </w:rPr>
        <w:t xml:space="preserve">渠坡、渠底每隔 </w:t>
      </w:r>
      <w:r>
        <w:t>5m</w:t>
      </w:r>
      <w:r>
        <w:rPr>
          <w:spacing w:val="-12"/>
        </w:rPr>
        <w:t xml:space="preserve"> 设置一道横向伸缩缝，在渠坡、渠底中间及渠底坡</w:t>
      </w:r>
      <w:r>
        <w:rPr>
          <w:spacing w:val="-13"/>
        </w:rPr>
        <w:t xml:space="preserve">脚处各设置一道纵向伸缩缝，缝宽 </w:t>
      </w:r>
      <w:r>
        <w:rPr>
          <w:spacing w:val="-21"/>
        </w:rPr>
        <w:t>2cm</w:t>
      </w:r>
      <w:r>
        <w:rPr>
          <w:spacing w:val="-15"/>
        </w:rPr>
        <w:t xml:space="preserve">，缝内填充泡沫板及 </w:t>
      </w:r>
      <w:r>
        <w:t>2cm</w:t>
      </w:r>
      <w:r>
        <w:rPr>
          <w:spacing w:val="-17"/>
        </w:rPr>
        <w:t xml:space="preserve"> 厚聚硫密封膏，防护段上下游与现状渠道衔接处设置齿槽。</w:t>
      </w:r>
    </w:p>
    <w:p>
      <w:pPr>
        <w:pStyle w:val="ListParagraph"/>
        <w:numPr>
          <w:ilvl w:val="1"/>
          <w:numId w:val="11"/>
        </w:numPr>
        <w:tabs>
          <w:tab w:val="left" w:pos="2220"/>
        </w:tabs>
        <w:spacing w:before="7" w:after="0" w:line="374" w:lineRule="auto"/>
        <w:ind w:left="1167" w:right="9206" w:firstLine="0"/>
        <w:jc w:val="left"/>
        <w:rPr>
          <w:sz w:val="42"/>
        </w:rPr>
      </w:pPr>
      <w:r>
        <w:rPr>
          <w:sz w:val="42"/>
        </w:rPr>
        <w:t>排气井、排泥井施工  1）</w:t>
      </w:r>
      <w:r>
        <w:rPr>
          <w:spacing w:val="-2"/>
          <w:sz w:val="42"/>
        </w:rPr>
        <w:t>排气井、排泥井混凝土浇筑</w:t>
      </w:r>
    </w:p>
    <w:p>
      <w:pPr>
        <w:pStyle w:val="BodyText"/>
        <w:spacing w:before="2"/>
        <w:ind w:left="1167"/>
      </w:pPr>
      <w:r>
        <w:t>本分部工程共有 2 座排气井和 1 座排泥井。</w:t>
      </w:r>
    </w:p>
    <w:p>
      <w:pPr>
        <w:pStyle w:val="BodyText"/>
        <w:spacing w:before="300"/>
        <w:ind w:left="1167"/>
      </w:pPr>
      <w:r>
        <w:t>施工步骤：混凝土垫层→钢筋混凝土底板→钢筋混凝土侧墙→预制混</w:t>
      </w:r>
    </w:p>
    <w:p>
      <w:pPr>
        <w:spacing w:after="0"/>
        <w:sectPr>
          <w:headerReference w:type="default" r:id="rId18"/>
          <w:footerReference w:type="default" r:id="rId19"/>
          <w:pgSz w:w="17860" w:h="25260"/>
          <w:pgMar w:top="1400" w:right="0" w:bottom="2040" w:left="1800" w:header="1088" w:footer="1798"/>
          <w:pgNumType w:start="6"/>
          <w:cols w:space="708"/>
        </w:sectPr>
      </w:pPr>
    </w:p>
    <w:p>
      <w:pPr>
        <w:pStyle w:val="BodyText"/>
        <w:rPr>
          <w:sz w:val="20"/>
        </w:rPr>
      </w:pPr>
      <w:r>
        <w:drawing>
          <wp:anchor distT="0" distB="0" distL="0" distR="0" simplePos="0" relativeHeight="251664384" behindDoc="1" locked="0" layoutInCell="1" allowOverlap="1">
            <wp:simplePos x="0" y="0"/>
            <wp:positionH relativeFrom="page">
              <wp:posOffset>1231900</wp:posOffset>
            </wp:positionH>
            <wp:positionV relativeFrom="page">
              <wp:posOffset>1155700</wp:posOffset>
            </wp:positionV>
            <wp:extent cx="8890000" cy="13296900"/>
            <wp:effectExtent l="0" t="0" r="0" b="0"/>
            <wp:wrapNone/>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png"/>
                    <pic:cNvPicPr/>
                  </pic:nvPicPr>
                  <pic:blipFill>
                    <a:blip xmlns:r="http://schemas.openxmlformats.org/officeDocument/2006/relationships" r:embed="rId20" cstate="print"/>
                    <a:stretch>
                      <a:fillRect/>
                    </a:stretch>
                  </pic:blipFill>
                  <pic:spPr>
                    <a:xfrm>
                      <a:off x="0" y="0"/>
                      <a:ext cx="8890000" cy="13296900"/>
                    </a:xfrm>
                    <a:prstGeom prst="rect">
                      <a:avLst/>
                    </a:prstGeom>
                  </pic:spPr>
                </pic:pic>
              </a:graphicData>
            </a:graphic>
          </wp:anchor>
        </w:drawing>
      </w:r>
    </w:p>
    <w:p>
      <w:pPr>
        <w:pStyle w:val="BodyText"/>
        <w:spacing w:before="2"/>
        <w:rPr>
          <w:sz w:val="26"/>
        </w:rPr>
      </w:pPr>
    </w:p>
    <w:p>
      <w:pPr>
        <w:pStyle w:val="BodyText"/>
        <w:spacing w:before="42"/>
        <w:ind w:left="328"/>
      </w:pPr>
      <w:r>
        <w:t>凝土顶板安装→井盖安装；施工工序：基础面处理→钢筋制安→模板安装</w:t>
      </w:r>
    </w:p>
    <w:p>
      <w:pPr>
        <w:pStyle w:val="BodyText"/>
        <w:spacing w:before="301"/>
        <w:ind w:left="328"/>
      </w:pPr>
      <w:r>
        <w:t>→混凝土浇筑→模板拆除。</w:t>
      </w:r>
    </w:p>
    <w:p>
      <w:pPr>
        <w:pStyle w:val="BodyText"/>
        <w:spacing w:before="304" w:line="374" w:lineRule="auto"/>
        <w:ind w:left="328" w:right="2254" w:firstLine="838"/>
      </w:pPr>
      <w:r>
        <w:t>混凝土采用批准的商品混凝土，混凝土罐车运送至施工现场，由混凝土泵车入仓。</w:t>
      </w:r>
    </w:p>
    <w:p>
      <w:pPr>
        <w:pStyle w:val="BodyText"/>
        <w:spacing w:line="374" w:lineRule="auto"/>
        <w:ind w:left="328" w:right="2073" w:firstLine="838"/>
      </w:pPr>
      <w:r>
        <w:t>垫层混凝土基础开挖成型后，报请现场建管机构、监理机构、设计单位进行验收，验收合格后，支设木模板浇筑混凝土垫层。混凝土由泵车入仓，人工摊平振捣，用木抹子抹平。垫层强度等级为C10，现场实际浇筑垫层强度等级为C15，厚度为 10cm。</w:t>
      </w:r>
    </w:p>
    <w:p>
      <w:pPr>
        <w:pStyle w:val="BodyText"/>
        <w:spacing w:before="4" w:line="374" w:lineRule="auto"/>
        <w:ind w:left="328" w:right="1895" w:firstLine="838"/>
      </w:pPr>
      <w:r>
        <w:t>垫层模板拆除后，开始排泥井底板的放样、垫层清理、钢筋制安，钢筋绑扎完成上报监理工程师检查验收后，进行模板支设、混凝土浇筑。底</w:t>
      </w:r>
      <w:r>
        <w:rPr>
          <w:spacing w:val="1"/>
        </w:rPr>
        <w:t>板混凝土浇筑采用泵车入仓。浇筑过程中随浇随平仓，并采用</w:t>
      </w:r>
      <w:r>
        <w:t>φ50</w:t>
      </w:r>
      <w:r>
        <w:rPr>
          <w:spacing w:val="-26"/>
        </w:rPr>
        <w:t xml:space="preserve"> 插入式</w:t>
      </w:r>
      <w:r>
        <w:rPr>
          <w:spacing w:val="-29"/>
        </w:rPr>
        <w:t xml:space="preserve">振捣器进行振捣，振捣时间大于 </w:t>
      </w:r>
      <w:r>
        <w:rPr>
          <w:spacing w:val="-32"/>
        </w:rPr>
        <w:t>30s</w:t>
      </w:r>
      <w:r>
        <w:rPr>
          <w:spacing w:val="-15"/>
        </w:rPr>
        <w:t xml:space="preserve">，无漏振。底板混凝土浇筑至设计标高， </w:t>
      </w:r>
      <w:r>
        <w:t>初凝前进行抹面，并采用塑料薄膜进行覆盖。</w:t>
      </w:r>
    </w:p>
    <w:p>
      <w:pPr>
        <w:pStyle w:val="BodyText"/>
        <w:spacing w:line="525" w:lineRule="exact"/>
        <w:ind w:left="1167"/>
      </w:pPr>
      <w:r>
        <w:t>侧墙施工前先进行墙体边线放样，将侧墙与底板接口处凿毛，并用水</w:t>
      </w:r>
    </w:p>
    <w:p>
      <w:pPr>
        <w:pStyle w:val="BodyText"/>
        <w:spacing w:before="287" w:line="367" w:lineRule="auto"/>
        <w:ind w:left="328" w:right="1829"/>
      </w:pPr>
      <w:r>
        <w:t xml:space="preserve">枪将凿毛后的接触面冲洗干净，然后进行钢筋制安、支设模板、混凝土浇 </w:t>
      </w:r>
      <w:r>
        <w:rPr>
          <w:spacing w:val="-2"/>
        </w:rPr>
        <w:t xml:space="preserve">筑。侧墙混凝土浇筑时，先在施工缝部位铺设 </w:t>
      </w:r>
      <w:r>
        <w:t>2-3cm</w:t>
      </w:r>
      <w:r>
        <w:rPr>
          <w:spacing w:val="-4"/>
        </w:rPr>
        <w:t xml:space="preserve"> 厚的水泥砂浆，再浇</w:t>
      </w:r>
      <w:r>
        <w:t>筑混凝土，浇筑过程中随浇随平仓，并采用φ50</w:t>
      </w:r>
      <w:r>
        <w:rPr>
          <w:spacing w:val="-11"/>
        </w:rPr>
        <w:t xml:space="preserve"> 插入式振捣器进行振捣， </w:t>
      </w:r>
      <w:r>
        <w:rPr>
          <w:spacing w:val="-13"/>
        </w:rPr>
        <w:t xml:space="preserve">振捣时间大于 </w:t>
      </w:r>
      <w:r>
        <w:t>30s</w:t>
      </w:r>
      <w:r>
        <w:rPr>
          <w:spacing w:val="-3"/>
        </w:rPr>
        <w:t xml:space="preserve">，且插入下层混凝土深度 </w:t>
      </w:r>
      <w:r>
        <w:t>5-10cm，无漏振。侧墙混凝土</w:t>
      </w:r>
      <w:r>
        <w:rPr>
          <w:spacing w:val="-1"/>
        </w:rPr>
        <w:t>浇筑至设计标高，初凝前进行抹面，并在混凝土表面及时用塑料薄膜遮盖。</w:t>
      </w:r>
      <w:r>
        <w:t>终凝后采用洒水车及时洒水养护。</w:t>
      </w:r>
    </w:p>
    <w:p>
      <w:pPr>
        <w:pStyle w:val="BodyText"/>
        <w:spacing w:before="25" w:line="374" w:lineRule="auto"/>
        <w:ind w:left="328" w:right="1833" w:firstLine="838"/>
      </w:pPr>
      <w:r>
        <w:rPr>
          <w:spacing w:val="-1"/>
        </w:rPr>
        <w:t xml:space="preserve">盖板在井室周边空地进行预制，在阀井内阀门、阀件设备安装完成后， </w:t>
      </w:r>
      <w:r>
        <w:t>采用吊车安装。阀井施工完成后对侧墙、盖板、井圈的接口处由人工进行 勾缝处理，盖板吊环用水泥砂浆包裹。并在阀门井井壁按规定喷涂“邯郸 南水北调”字样。</w:t>
      </w:r>
    </w:p>
    <w:p>
      <w:pPr>
        <w:pStyle w:val="BodyText"/>
        <w:spacing w:before="4"/>
        <w:ind w:left="1167"/>
      </w:pPr>
      <w:r>
        <w:t>排泥井与排气井施工工序一致，分期进行施工。</w:t>
      </w:r>
    </w:p>
    <w:p>
      <w:pPr>
        <w:spacing w:after="0"/>
        <w:sectPr>
          <w:headerReference w:type="default" r:id="rId21"/>
          <w:footerReference w:type="default" r:id="rId22"/>
          <w:pgSz w:w="17860" w:h="25260"/>
          <w:pgMar w:top="1400" w:right="0" w:bottom="2040" w:left="1800" w:header="1088" w:footer="1798"/>
          <w:pgNumType w:start="7"/>
          <w:cols w:space="708"/>
        </w:sectPr>
      </w:pPr>
    </w:p>
    <w:p>
      <w:pPr>
        <w:pStyle w:val="BodyText"/>
        <w:rPr>
          <w:sz w:val="20"/>
        </w:rPr>
      </w:pPr>
      <w:r>
        <w:drawing>
          <wp:anchor distT="0" distB="0" distL="0" distR="0" simplePos="0" relativeHeight="251665408" behindDoc="1" locked="0" layoutInCell="1" allowOverlap="1">
            <wp:simplePos x="0" y="0"/>
            <wp:positionH relativeFrom="page">
              <wp:posOffset>1231900</wp:posOffset>
            </wp:positionH>
            <wp:positionV relativeFrom="page">
              <wp:posOffset>1155700</wp:posOffset>
            </wp:positionV>
            <wp:extent cx="8890000" cy="13296900"/>
            <wp:effectExtent l="0" t="0" r="0" b="0"/>
            <wp:wrapNone/>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6.png"/>
                    <pic:cNvPicPr/>
                  </pic:nvPicPr>
                  <pic:blipFill>
                    <a:blip xmlns:r="http://schemas.openxmlformats.org/officeDocument/2006/relationships" r:embed="rId20" cstate="print"/>
                    <a:stretch>
                      <a:fillRect/>
                    </a:stretch>
                  </pic:blipFill>
                  <pic:spPr>
                    <a:xfrm>
                      <a:off x="0" y="0"/>
                      <a:ext cx="8890000" cy="13296900"/>
                    </a:xfrm>
                    <a:prstGeom prst="rect">
                      <a:avLst/>
                    </a:prstGeom>
                  </pic:spPr>
                </pic:pic>
              </a:graphicData>
            </a:graphic>
          </wp:anchor>
        </w:drawing>
      </w:r>
    </w:p>
    <w:p>
      <w:pPr>
        <w:pStyle w:val="BodyText"/>
        <w:spacing w:before="1"/>
        <w:rPr>
          <w:sz w:val="25"/>
        </w:rPr>
      </w:pPr>
    </w:p>
    <w:p>
      <w:pPr>
        <w:pStyle w:val="BodyText"/>
        <w:spacing w:before="42"/>
        <w:ind w:left="1167"/>
      </w:pPr>
      <w:r>
        <w:t>2 ）排气井、排泥井土方回填</w:t>
      </w:r>
    </w:p>
    <w:p>
      <w:pPr>
        <w:pStyle w:val="BodyText"/>
        <w:spacing w:before="286" w:line="367" w:lineRule="auto"/>
        <w:ind w:left="328" w:right="1896" w:firstLine="838"/>
      </w:pPr>
      <w:r>
        <w:t>排气井、排泥井混凝土浇筑完成并达到强度要求后，开始井室周围土方回填。回填采用分层水平填筑，阀井四周同时对称回填。井室底至管顶</w:t>
      </w:r>
      <w:r>
        <w:rPr>
          <w:spacing w:val="-32"/>
        </w:rPr>
        <w:t xml:space="preserve">以上 </w:t>
      </w:r>
      <w:r>
        <w:t>50cm</w:t>
      </w:r>
      <w:r>
        <w:rPr>
          <w:spacing w:val="-11"/>
        </w:rPr>
        <w:t xml:space="preserve"> 范围内采用装载机和挖掘机运料，人工摊铺平整，碾压时主要采</w:t>
      </w:r>
      <w:r>
        <w:rPr>
          <w:spacing w:val="-29"/>
        </w:rPr>
        <w:t xml:space="preserve">用人工木夯配合打夯机进行夯实；管顶 </w:t>
      </w:r>
      <w:r>
        <w:t>50cm</w:t>
      </w:r>
      <w:r>
        <w:rPr>
          <w:spacing w:val="-13"/>
        </w:rPr>
        <w:t xml:space="preserve"> 以上大面积铺料采用机械摊平， </w:t>
      </w:r>
      <w:r>
        <w:rPr>
          <w:spacing w:val="-6"/>
        </w:rPr>
        <w:t xml:space="preserve">手扶振动碾碾压密实。压实厚度均控制在 </w:t>
      </w:r>
      <w:r>
        <w:t>15-18cm。采用核子密度仪检验， 合格后进行下一层土料的填筑。</w:t>
      </w:r>
    </w:p>
    <w:p>
      <w:pPr>
        <w:pStyle w:val="ListParagraph"/>
        <w:numPr>
          <w:ilvl w:val="1"/>
          <w:numId w:val="8"/>
        </w:numPr>
        <w:tabs>
          <w:tab w:val="left" w:pos="2220"/>
        </w:tabs>
        <w:spacing w:before="25" w:after="0" w:line="240" w:lineRule="auto"/>
        <w:ind w:left="2219" w:right="0" w:hanging="1053"/>
        <w:jc w:val="left"/>
        <w:rPr>
          <w:sz w:val="42"/>
        </w:rPr>
      </w:pPr>
      <w:r>
        <w:rPr>
          <w:sz w:val="42"/>
        </w:rPr>
        <w:t>工程标识</w:t>
      </w:r>
    </w:p>
    <w:p>
      <w:pPr>
        <w:pStyle w:val="ListParagraph"/>
        <w:numPr>
          <w:ilvl w:val="0"/>
          <w:numId w:val="7"/>
        </w:numPr>
        <w:tabs>
          <w:tab w:val="left" w:pos="1798"/>
        </w:tabs>
        <w:spacing w:before="200" w:after="0" w:line="374" w:lineRule="auto"/>
        <w:ind w:left="328" w:right="1992" w:firstLine="838"/>
        <w:jc w:val="both"/>
        <w:rPr>
          <w:sz w:val="42"/>
        </w:rPr>
      </w:pPr>
      <w:r>
        <w:rPr>
          <w:spacing w:val="-2"/>
          <w:sz w:val="42"/>
        </w:rPr>
        <w:t xml:space="preserve">警示带：埋设于河道外堤线范围外管道正上方 </w:t>
      </w:r>
      <w:r>
        <w:rPr>
          <w:sz w:val="42"/>
        </w:rPr>
        <w:t>50cm</w:t>
      </w:r>
      <w:r>
        <w:rPr>
          <w:spacing w:val="-4"/>
          <w:sz w:val="42"/>
        </w:rPr>
        <w:t xml:space="preserve"> 处，警示带采</w:t>
      </w:r>
      <w:r>
        <w:rPr>
          <w:sz w:val="42"/>
        </w:rPr>
        <w:t>用黄底红字塑料警示带，带宽100mm</w:t>
      </w:r>
      <w:r>
        <w:rPr>
          <w:spacing w:val="-2"/>
          <w:sz w:val="42"/>
        </w:rPr>
        <w:t>。标有“下有南水北调输水管道，严禁</w:t>
      </w:r>
      <w:r>
        <w:rPr>
          <w:sz w:val="42"/>
        </w:rPr>
        <w:t>开挖”字样。</w:t>
      </w:r>
    </w:p>
    <w:p>
      <w:pPr>
        <w:pStyle w:val="ListParagraph"/>
        <w:numPr>
          <w:ilvl w:val="0"/>
          <w:numId w:val="7"/>
        </w:numPr>
        <w:tabs>
          <w:tab w:val="left" w:pos="1798"/>
        </w:tabs>
        <w:spacing w:before="2" w:after="0" w:line="376" w:lineRule="auto"/>
        <w:ind w:left="328" w:right="2089" w:firstLine="838"/>
        <w:jc w:val="left"/>
        <w:rPr>
          <w:sz w:val="42"/>
        </w:rPr>
      </w:pPr>
      <w:r>
        <w:rPr>
          <w:spacing w:val="5"/>
          <w:sz w:val="42"/>
        </w:rPr>
        <w:t>阀井：本分部工程共有阀井</w:t>
      </w:r>
      <w:r>
        <w:rPr>
          <w:sz w:val="42"/>
        </w:rPr>
        <w:t>3</w:t>
      </w:r>
      <w:r>
        <w:rPr>
          <w:spacing w:val="-11"/>
          <w:sz w:val="42"/>
        </w:rPr>
        <w:t xml:space="preserve"> 座，每座阀井阴面一侧统一居中均匀</w:t>
      </w:r>
      <w:r>
        <w:rPr>
          <w:sz w:val="42"/>
        </w:rPr>
        <w:t>喷涂“邯郸南水北调”字样。</w:t>
      </w:r>
    </w:p>
    <w:p>
      <w:pPr>
        <w:pStyle w:val="Heading1"/>
        <w:spacing w:before="0" w:line="563" w:lineRule="exact"/>
      </w:pPr>
      <w:r>
        <w:t>四、质量事故及缺陷处理</w:t>
      </w:r>
    </w:p>
    <w:p>
      <w:pPr>
        <w:pStyle w:val="BodyText"/>
        <w:spacing w:before="369"/>
        <w:ind w:left="1588"/>
      </w:pPr>
      <w:r>
        <w:rPr>
          <w:w w:val="100"/>
        </w:rPr>
        <w:t>无</w:t>
      </w:r>
    </w:p>
    <w:p>
      <w:pPr>
        <w:pStyle w:val="Heading1"/>
        <w:spacing w:before="82"/>
      </w:pPr>
      <w:r>
        <w:t>五、主要工程质量指标</w:t>
      </w:r>
    </w:p>
    <w:p>
      <w:pPr>
        <w:pStyle w:val="Heading2"/>
        <w:numPr>
          <w:ilvl w:val="0"/>
          <w:numId w:val="6"/>
        </w:numPr>
        <w:tabs>
          <w:tab w:val="left" w:pos="1779"/>
        </w:tabs>
        <w:spacing w:before="259" w:after="0" w:line="240" w:lineRule="auto"/>
        <w:ind w:left="1779" w:right="0" w:hanging="486"/>
        <w:jc w:val="left"/>
      </w:pPr>
      <w:r>
        <w:t>主要设计指标</w:t>
      </w:r>
    </w:p>
    <w:p>
      <w:pPr>
        <w:pStyle w:val="ListParagraph"/>
        <w:numPr>
          <w:ilvl w:val="0"/>
          <w:numId w:val="5"/>
        </w:numPr>
        <w:tabs>
          <w:tab w:val="left" w:pos="2220"/>
        </w:tabs>
        <w:spacing w:before="334" w:after="0" w:line="376" w:lineRule="auto"/>
        <w:ind w:left="328" w:right="2068" w:firstLine="838"/>
        <w:jc w:val="both"/>
        <w:rPr>
          <w:sz w:val="42"/>
        </w:rPr>
      </w:pPr>
      <w:r>
        <w:rPr>
          <w:sz w:val="42"/>
        </w:rPr>
        <w:t>DN1600/K12</w:t>
      </w:r>
      <w:r>
        <w:rPr>
          <w:spacing w:val="-26"/>
          <w:sz w:val="42"/>
        </w:rPr>
        <w:t xml:space="preserve"> 球墨铸铁管安装 </w:t>
      </w:r>
      <w:r>
        <w:rPr>
          <w:sz w:val="42"/>
        </w:rPr>
        <w:t>120m</w:t>
      </w:r>
      <w:r>
        <w:rPr>
          <w:spacing w:val="6"/>
          <w:sz w:val="42"/>
        </w:rPr>
        <w:t>，管道设计内压为</w:t>
      </w:r>
      <w:r>
        <w:rPr>
          <w:sz w:val="42"/>
        </w:rPr>
        <w:t>1.0MPa</w:t>
      </w:r>
      <w:r>
        <w:rPr>
          <w:spacing w:val="-1"/>
          <w:sz w:val="42"/>
        </w:rPr>
        <w:t xml:space="preserve"> ， </w:t>
      </w:r>
      <w:r>
        <w:rPr>
          <w:spacing w:val="-25"/>
          <w:sz w:val="42"/>
        </w:rPr>
        <w:t xml:space="preserve">工作内压 </w:t>
      </w:r>
      <w:r>
        <w:rPr>
          <w:sz w:val="42"/>
        </w:rPr>
        <w:t>0.5MPa。</w:t>
      </w:r>
    </w:p>
    <w:p>
      <w:pPr>
        <w:pStyle w:val="ListParagraph"/>
        <w:numPr>
          <w:ilvl w:val="0"/>
          <w:numId w:val="5"/>
        </w:numPr>
        <w:tabs>
          <w:tab w:val="left" w:pos="2220"/>
        </w:tabs>
        <w:spacing w:before="0" w:after="0" w:line="374" w:lineRule="auto"/>
        <w:ind w:left="328" w:right="1910" w:firstLine="838"/>
        <w:jc w:val="both"/>
        <w:rPr>
          <w:sz w:val="42"/>
        </w:rPr>
      </w:pPr>
      <w:r>
        <w:rPr>
          <w:spacing w:val="-20"/>
          <w:sz w:val="42"/>
        </w:rPr>
        <w:t xml:space="preserve">混凝土等级：渠道衬砌、空气阀井、排泥井 </w:t>
      </w:r>
      <w:r>
        <w:rPr>
          <w:spacing w:val="-11"/>
          <w:sz w:val="42"/>
        </w:rPr>
        <w:t>C25W6F150</w:t>
      </w:r>
      <w:r>
        <w:rPr>
          <w:spacing w:val="-4"/>
          <w:sz w:val="42"/>
        </w:rPr>
        <w:t xml:space="preserve">，支墩 </w:t>
      </w:r>
      <w:r>
        <w:rPr>
          <w:spacing w:val="-5"/>
          <w:sz w:val="42"/>
        </w:rPr>
        <w:t>C15</w:t>
      </w:r>
      <w:r>
        <w:rPr>
          <w:spacing w:val="19"/>
          <w:sz w:val="42"/>
        </w:rPr>
        <w:t>，阀井垫层</w:t>
      </w:r>
      <w:r>
        <w:rPr>
          <w:sz w:val="42"/>
        </w:rPr>
        <w:t>C10（</w:t>
      </w:r>
      <w:r>
        <w:rPr>
          <w:spacing w:val="25"/>
          <w:sz w:val="42"/>
        </w:rPr>
        <w:t>实际采用</w:t>
      </w:r>
      <w:r>
        <w:rPr>
          <w:sz w:val="42"/>
        </w:rPr>
        <w:t>C15</w:t>
      </w:r>
      <w:r>
        <w:rPr>
          <w:spacing w:val="-19"/>
          <w:sz w:val="42"/>
        </w:rPr>
        <w:t xml:space="preserve"> 混凝土浇筑</w:t>
      </w:r>
      <w:r>
        <w:rPr>
          <w:sz w:val="42"/>
        </w:rPr>
        <w:t>）。</w:t>
      </w:r>
    </w:p>
    <w:p>
      <w:pPr>
        <w:pStyle w:val="BodyText"/>
        <w:spacing w:line="374" w:lineRule="auto"/>
        <w:ind w:left="328" w:right="1964" w:firstLine="838"/>
        <w:jc w:val="both"/>
      </w:pPr>
      <w:r>
        <w:t>（3）</w:t>
      </w:r>
      <w:r>
        <w:rPr>
          <w:spacing w:val="-16"/>
        </w:rPr>
        <w:t xml:space="preserve">渠道衬砌长度 </w:t>
      </w:r>
      <w:r>
        <w:t>50m</w:t>
      </w:r>
      <w:r>
        <w:rPr>
          <w:spacing w:val="-17"/>
        </w:rPr>
        <w:t xml:space="preserve">，渠坡坡度 </w:t>
      </w:r>
      <w:r>
        <w:t>1:1.8（左侧）</w:t>
      </w:r>
      <w:r>
        <w:rPr>
          <w:spacing w:val="-51"/>
        </w:rPr>
        <w:t xml:space="preserve">和 </w:t>
      </w:r>
      <w:r>
        <w:t>1:1.6（右侧</w:t>
      </w:r>
      <w:r>
        <w:rPr>
          <w:spacing w:val="-7"/>
        </w:rPr>
        <w:t xml:space="preserve">）， </w:t>
      </w:r>
      <w:r>
        <w:rPr>
          <w:spacing w:val="-11"/>
        </w:rPr>
        <w:t>渠道衬砌混凝土厚度 12cm</w:t>
      </w:r>
      <w:r>
        <w:rPr>
          <w:spacing w:val="3"/>
        </w:rPr>
        <w:t>，渠坡、渠底每隔</w:t>
      </w:r>
      <w:r>
        <w:t>5m</w:t>
      </w:r>
      <w:r>
        <w:rPr>
          <w:spacing w:val="-11"/>
        </w:rPr>
        <w:t xml:space="preserve"> 设置一道横向伸缩缝，在渠</w:t>
      </w:r>
      <w:r>
        <w:rPr>
          <w:spacing w:val="-12"/>
        </w:rPr>
        <w:t>坡、渠底中间及渠底坡脚处各设置一道纵向伸缩缝，缝宽</w:t>
      </w:r>
      <w:r>
        <w:t>2cm，缝内填充泡</w:t>
      </w:r>
      <w:r>
        <w:rPr>
          <w:spacing w:val="-27"/>
        </w:rPr>
        <w:t xml:space="preserve">沫板及 </w:t>
      </w:r>
      <w:r>
        <w:t>2cm</w:t>
      </w:r>
      <w:r>
        <w:rPr>
          <w:spacing w:val="-16"/>
        </w:rPr>
        <w:t xml:space="preserve"> 厚聚硫密封膏。</w:t>
      </w:r>
    </w:p>
    <w:p>
      <w:pPr>
        <w:spacing w:after="0" w:line="374" w:lineRule="auto"/>
        <w:jc w:val="both"/>
        <w:sectPr>
          <w:headerReference w:type="default" r:id="rId23"/>
          <w:footerReference w:type="default" r:id="rId24"/>
          <w:pgSz w:w="17860" w:h="25260"/>
          <w:pgMar w:top="1400" w:right="0" w:bottom="2040" w:left="1800" w:header="1088" w:footer="1798"/>
          <w:pgNumType w:start="8"/>
          <w:cols w:space="708"/>
        </w:sectPr>
      </w:pPr>
    </w:p>
    <w:p>
      <w:pPr>
        <w:pStyle w:val="BodyText"/>
        <w:rPr>
          <w:sz w:val="20"/>
        </w:rPr>
      </w:pPr>
      <w:r>
        <w:drawing>
          <wp:anchor distT="0" distB="0" distL="0" distR="0" simplePos="0" relativeHeight="251666432" behindDoc="1" locked="0" layoutInCell="1" allowOverlap="1">
            <wp:simplePos x="0" y="0"/>
            <wp:positionH relativeFrom="page">
              <wp:posOffset>1231900</wp:posOffset>
            </wp:positionH>
            <wp:positionV relativeFrom="page">
              <wp:posOffset>1155700</wp:posOffset>
            </wp:positionV>
            <wp:extent cx="8890000" cy="13296900"/>
            <wp:effectExtent l="0" t="0" r="0" b="0"/>
            <wp:wrapNone/>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png"/>
                    <pic:cNvPicPr/>
                  </pic:nvPicPr>
                  <pic:blipFill>
                    <a:blip xmlns:r="http://schemas.openxmlformats.org/officeDocument/2006/relationships" r:embed="rId20" cstate="print"/>
                    <a:stretch>
                      <a:fillRect/>
                    </a:stretch>
                  </pic:blipFill>
                  <pic:spPr>
                    <a:xfrm>
                      <a:off x="0" y="0"/>
                      <a:ext cx="8890000" cy="13296900"/>
                    </a:xfrm>
                    <a:prstGeom prst="rect">
                      <a:avLst/>
                    </a:prstGeom>
                  </pic:spPr>
                </pic:pic>
              </a:graphicData>
            </a:graphic>
          </wp:anchor>
        </w:drawing>
      </w:r>
    </w:p>
    <w:p>
      <w:pPr>
        <w:pStyle w:val="BodyText"/>
        <w:spacing w:before="2"/>
        <w:rPr>
          <w:sz w:val="26"/>
        </w:rPr>
      </w:pPr>
    </w:p>
    <w:p>
      <w:pPr>
        <w:pStyle w:val="ListParagraph"/>
        <w:numPr>
          <w:ilvl w:val="0"/>
          <w:numId w:val="12"/>
        </w:numPr>
        <w:tabs>
          <w:tab w:val="left" w:pos="2220"/>
        </w:tabs>
        <w:spacing w:before="42" w:after="0" w:line="374" w:lineRule="auto"/>
        <w:ind w:left="328" w:right="2112" w:firstLine="838"/>
        <w:jc w:val="left"/>
        <w:rPr>
          <w:sz w:val="42"/>
        </w:rPr>
      </w:pPr>
      <w:r>
        <w:rPr>
          <w:sz w:val="42"/>
        </w:rPr>
        <w:t>DIP</w:t>
      </w:r>
      <w:r>
        <w:rPr>
          <w:spacing w:val="-46"/>
          <w:sz w:val="42"/>
        </w:rPr>
        <w:t xml:space="preserve"> 管道 </w:t>
      </w:r>
      <w:r>
        <w:rPr>
          <w:sz w:val="42"/>
        </w:rPr>
        <w:t>120</w:t>
      </w:r>
      <w:r>
        <w:rPr>
          <w:spacing w:val="-13"/>
          <w:sz w:val="42"/>
        </w:rPr>
        <w:t xml:space="preserve">°包角至管底 </w:t>
      </w:r>
      <w:r>
        <w:rPr>
          <w:sz w:val="42"/>
        </w:rPr>
        <w:t>10cm</w:t>
      </w:r>
      <w:r>
        <w:rPr>
          <w:spacing w:val="-39"/>
          <w:sz w:val="42"/>
        </w:rPr>
        <w:t xml:space="preserve"> 范围内 </w:t>
      </w:r>
      <w:r>
        <w:rPr>
          <w:sz w:val="42"/>
        </w:rPr>
        <w:t>10</w:t>
      </w:r>
      <w:r>
        <w:rPr>
          <w:spacing w:val="-2"/>
          <w:sz w:val="42"/>
        </w:rPr>
        <w:t xml:space="preserve">%水泥土回填压实度≥ </w:t>
      </w:r>
      <w:r>
        <w:rPr>
          <w:sz w:val="42"/>
        </w:rPr>
        <w:t>95%。</w:t>
      </w:r>
    </w:p>
    <w:p>
      <w:pPr>
        <w:pStyle w:val="ListParagraph"/>
        <w:numPr>
          <w:ilvl w:val="0"/>
          <w:numId w:val="12"/>
        </w:numPr>
        <w:tabs>
          <w:tab w:val="left" w:pos="2230"/>
        </w:tabs>
        <w:spacing w:before="3" w:after="0" w:line="374" w:lineRule="auto"/>
        <w:ind w:left="328" w:right="2181" w:firstLine="838"/>
        <w:jc w:val="left"/>
        <w:rPr>
          <w:sz w:val="42"/>
        </w:rPr>
      </w:pPr>
      <w:r>
        <w:rPr>
          <w:spacing w:val="-10"/>
          <w:sz w:val="42"/>
        </w:rPr>
        <w:t xml:space="preserve">土方回填，管身区压实度≥ </w:t>
      </w:r>
      <w:r>
        <w:rPr>
          <w:sz w:val="42"/>
        </w:rPr>
        <w:t>95</w:t>
      </w:r>
      <w:r>
        <w:rPr>
          <w:spacing w:val="-1"/>
          <w:sz w:val="42"/>
        </w:rPr>
        <w:t xml:space="preserve">%，外堤脚线范围内管顶压实度≥ </w:t>
      </w:r>
      <w:r>
        <w:rPr>
          <w:sz w:val="42"/>
        </w:rPr>
        <w:t>94</w:t>
      </w:r>
      <w:r>
        <w:rPr>
          <w:spacing w:val="-8"/>
          <w:sz w:val="42"/>
        </w:rPr>
        <w:t xml:space="preserve">%，外堤脚线范围外管顶压实度为 </w:t>
      </w:r>
      <w:r>
        <w:rPr>
          <w:sz w:val="42"/>
        </w:rPr>
        <w:t>85%。</w:t>
      </w:r>
    </w:p>
    <w:p>
      <w:pPr>
        <w:pStyle w:val="Heading2"/>
        <w:numPr>
          <w:ilvl w:val="0"/>
          <w:numId w:val="6"/>
        </w:numPr>
        <w:tabs>
          <w:tab w:val="left" w:pos="1779"/>
        </w:tabs>
        <w:spacing w:before="0" w:after="0" w:line="504" w:lineRule="exact"/>
        <w:ind w:left="1779" w:right="0" w:hanging="486"/>
        <w:jc w:val="left"/>
      </w:pPr>
      <w:r>
        <w:t>施工单位自检统计结果</w:t>
      </w:r>
    </w:p>
    <w:p>
      <w:pPr>
        <w:pStyle w:val="ListParagraph"/>
        <w:numPr>
          <w:ilvl w:val="0"/>
          <w:numId w:val="3"/>
        </w:numPr>
        <w:tabs>
          <w:tab w:val="left" w:pos="2220"/>
        </w:tabs>
        <w:spacing w:before="336" w:after="0" w:line="240" w:lineRule="auto"/>
        <w:ind w:left="2219" w:right="0" w:hanging="1053"/>
        <w:jc w:val="left"/>
        <w:rPr>
          <w:sz w:val="42"/>
        </w:rPr>
      </w:pPr>
      <w:r>
        <w:rPr>
          <w:sz w:val="42"/>
        </w:rPr>
        <w:t>原材料及中间产品</w:t>
      </w:r>
    </w:p>
    <w:p>
      <w:pPr>
        <w:pStyle w:val="BodyText"/>
        <w:spacing w:before="301" w:line="374" w:lineRule="auto"/>
        <w:ind w:left="328" w:right="2120" w:firstLine="838"/>
      </w:pPr>
      <w:r>
        <w:rPr>
          <w:spacing w:val="-21"/>
        </w:rPr>
        <w:t xml:space="preserve">水泥自检 </w:t>
      </w:r>
      <w:r>
        <w:t>1</w:t>
      </w:r>
      <w:r>
        <w:rPr>
          <w:spacing w:val="-28"/>
        </w:rPr>
        <w:t xml:space="preserve"> 组，减水剂自检 </w:t>
      </w:r>
      <w:r>
        <w:t>1</w:t>
      </w:r>
      <w:r>
        <w:rPr>
          <w:spacing w:val="-28"/>
        </w:rPr>
        <w:t xml:space="preserve"> 组，引气剂自检 </w:t>
      </w:r>
      <w:r>
        <w:t>1</w:t>
      </w:r>
      <w:r>
        <w:rPr>
          <w:spacing w:val="-27"/>
        </w:rPr>
        <w:t xml:space="preserve"> 组，粉煤灰自检 </w:t>
      </w:r>
      <w:r>
        <w:t>1</w:t>
      </w:r>
      <w:r>
        <w:rPr>
          <w:spacing w:val="-39"/>
        </w:rPr>
        <w:t xml:space="preserve"> 组, </w:t>
      </w:r>
      <w:r>
        <w:t>全部合格。</w:t>
      </w:r>
    </w:p>
    <w:p>
      <w:pPr>
        <w:pStyle w:val="BodyText"/>
        <w:spacing w:before="3"/>
        <w:ind w:left="1167"/>
      </w:pPr>
      <w:r>
        <w:t>砂自检 1 组，碎石自检 1 组，全部合格。</w:t>
      </w:r>
    </w:p>
    <w:p>
      <w:pPr>
        <w:pStyle w:val="BodyText"/>
        <w:spacing w:before="286" w:line="367" w:lineRule="auto"/>
        <w:ind w:left="328" w:right="2102" w:firstLine="838"/>
        <w:jc w:val="both"/>
      </w:pPr>
      <w:r>
        <w:t>C15</w:t>
      </w:r>
      <w:r>
        <w:rPr>
          <w:spacing w:val="-31"/>
        </w:rPr>
        <w:t xml:space="preserve"> 混凝土自检 </w:t>
      </w:r>
      <w:r>
        <w:t>4</w:t>
      </w:r>
      <w:r>
        <w:rPr>
          <w:spacing w:val="-29"/>
        </w:rPr>
        <w:t xml:space="preserve"> 组，试块抗压强度在 </w:t>
      </w:r>
      <w:r>
        <w:t>17.8～18.4MPa</w:t>
      </w:r>
      <w:r>
        <w:rPr>
          <w:spacing w:val="-24"/>
        </w:rPr>
        <w:t xml:space="preserve"> 之间，平均强度18.1MPa；C25</w:t>
      </w:r>
      <w:r>
        <w:rPr>
          <w:spacing w:val="-28"/>
        </w:rPr>
        <w:t xml:space="preserve"> 混凝土自检 </w:t>
      </w:r>
      <w:r>
        <w:t>2</w:t>
      </w:r>
      <w:r>
        <w:rPr>
          <w:spacing w:val="-19"/>
        </w:rPr>
        <w:t xml:space="preserve"> 组，试块抗压强度在 </w:t>
      </w:r>
      <w:r>
        <w:t>29.0～30.3MPa</w:t>
      </w:r>
      <w:r>
        <w:rPr>
          <w:spacing w:val="-20"/>
        </w:rPr>
        <w:t xml:space="preserve"> 之间，平</w:t>
      </w:r>
      <w:r>
        <w:rPr>
          <w:spacing w:val="-8"/>
        </w:rPr>
        <w:t xml:space="preserve">均强度 </w:t>
      </w:r>
      <w:r>
        <w:t>29.7MPa；C25W6F150</w:t>
      </w:r>
      <w:r>
        <w:rPr>
          <w:spacing w:val="6"/>
        </w:rPr>
        <w:t xml:space="preserve"> 混凝土自检 </w:t>
      </w:r>
      <w:r>
        <w:t>6</w:t>
      </w:r>
      <w:r>
        <w:rPr>
          <w:spacing w:val="6"/>
        </w:rPr>
        <w:t xml:space="preserve"> 组，试块抗压强度在 </w:t>
      </w:r>
      <w:r>
        <w:t>27.4～ 30.4MPa</w:t>
      </w:r>
      <w:r>
        <w:rPr>
          <w:spacing w:val="-5"/>
        </w:rPr>
        <w:t xml:space="preserve"> 之间，平均强度 </w:t>
      </w:r>
      <w:r>
        <w:t>29.69MPa</w:t>
      </w:r>
      <w:r>
        <w:rPr>
          <w:spacing w:val="-1"/>
        </w:rPr>
        <w:t>，检测结果均符合设计要求，评定结果</w:t>
      </w:r>
      <w:r>
        <w:t>合格。</w:t>
      </w:r>
    </w:p>
    <w:p>
      <w:pPr>
        <w:pStyle w:val="ListParagraph"/>
        <w:numPr>
          <w:ilvl w:val="0"/>
          <w:numId w:val="3"/>
        </w:numPr>
        <w:tabs>
          <w:tab w:val="left" w:pos="2220"/>
        </w:tabs>
        <w:spacing w:before="10" w:after="0" w:line="240" w:lineRule="auto"/>
        <w:ind w:left="2219" w:right="0" w:hanging="1053"/>
        <w:jc w:val="left"/>
        <w:rPr>
          <w:sz w:val="42"/>
        </w:rPr>
      </w:pPr>
      <w:r>
        <w:rPr>
          <w:sz w:val="42"/>
        </w:rPr>
        <w:t>土方回填压实度检测</w:t>
      </w:r>
    </w:p>
    <w:p>
      <w:pPr>
        <w:pStyle w:val="BodyText"/>
        <w:spacing w:before="286"/>
        <w:ind w:left="1167"/>
      </w:pPr>
      <w:r>
        <w:t>土方回填压实度共检测 420 点，合格 408 点，合格率 97.1%。</w:t>
      </w:r>
    </w:p>
    <w:p>
      <w:pPr>
        <w:pStyle w:val="BodyText"/>
        <w:spacing w:before="301"/>
        <w:ind w:left="1167"/>
      </w:pPr>
      <w:r>
        <w:t>（3）10%水泥土回填压实度检测</w:t>
      </w:r>
    </w:p>
    <w:p>
      <w:pPr>
        <w:pStyle w:val="BodyText"/>
        <w:spacing w:before="301"/>
        <w:ind w:left="1167"/>
      </w:pPr>
      <w:r>
        <w:t>10%水泥土回填压实度共检测 24 点，全部合格。</w:t>
      </w:r>
    </w:p>
    <w:p>
      <w:pPr>
        <w:pStyle w:val="Heading2"/>
        <w:numPr>
          <w:ilvl w:val="0"/>
          <w:numId w:val="6"/>
        </w:numPr>
        <w:tabs>
          <w:tab w:val="left" w:pos="1779"/>
        </w:tabs>
        <w:spacing w:before="194" w:after="0" w:line="240" w:lineRule="auto"/>
        <w:ind w:left="1779" w:right="0" w:hanging="486"/>
        <w:jc w:val="left"/>
      </w:pPr>
      <w:r>
        <w:t>监理单位抽查结果</w:t>
      </w:r>
    </w:p>
    <w:p>
      <w:pPr>
        <w:pStyle w:val="ListParagraph"/>
        <w:numPr>
          <w:ilvl w:val="0"/>
          <w:numId w:val="2"/>
        </w:numPr>
        <w:tabs>
          <w:tab w:val="left" w:pos="2220"/>
        </w:tabs>
        <w:spacing w:before="334" w:after="0" w:line="240" w:lineRule="auto"/>
        <w:ind w:left="2219" w:right="0" w:hanging="1053"/>
        <w:jc w:val="left"/>
        <w:rPr>
          <w:sz w:val="42"/>
        </w:rPr>
      </w:pPr>
      <w:r>
        <w:rPr>
          <w:sz w:val="42"/>
        </w:rPr>
        <w:t>原材料及中间产品</w:t>
      </w:r>
    </w:p>
    <w:p>
      <w:pPr>
        <w:pStyle w:val="BodyText"/>
        <w:spacing w:before="301" w:line="376" w:lineRule="auto"/>
        <w:ind w:left="328" w:right="1910" w:firstLine="838"/>
      </w:pPr>
      <w:r>
        <w:rPr>
          <w:spacing w:val="-21"/>
        </w:rPr>
        <w:t xml:space="preserve">水泥抽检 </w:t>
      </w:r>
      <w:r>
        <w:t>1</w:t>
      </w:r>
      <w:r>
        <w:rPr>
          <w:spacing w:val="-27"/>
        </w:rPr>
        <w:t xml:space="preserve"> 组，粉煤灰抽检 </w:t>
      </w:r>
      <w:r>
        <w:t>1</w:t>
      </w:r>
      <w:r>
        <w:rPr>
          <w:spacing w:val="-27"/>
        </w:rPr>
        <w:t xml:space="preserve"> 组，引气剂抽检 </w:t>
      </w:r>
      <w:r>
        <w:t>1</w:t>
      </w:r>
      <w:r>
        <w:rPr>
          <w:spacing w:val="-27"/>
        </w:rPr>
        <w:t xml:space="preserve"> 组，减水剂抽检 </w:t>
      </w:r>
      <w:r>
        <w:t>1</w:t>
      </w:r>
      <w:r>
        <w:rPr>
          <w:spacing w:val="-39"/>
        </w:rPr>
        <w:t xml:space="preserve"> 组， </w:t>
      </w:r>
      <w:r>
        <w:t>全部合格。</w:t>
      </w:r>
    </w:p>
    <w:p>
      <w:pPr>
        <w:pStyle w:val="BodyText"/>
        <w:spacing w:line="530" w:lineRule="exact"/>
        <w:ind w:left="1167"/>
      </w:pPr>
      <w:r>
        <w:t>砂抽检 1 组，碎石抽检 1 组，全部合格。</w:t>
      </w:r>
    </w:p>
    <w:p>
      <w:pPr>
        <w:pStyle w:val="BodyText"/>
        <w:spacing w:before="301" w:line="376" w:lineRule="auto"/>
        <w:ind w:left="328" w:right="1913" w:firstLine="838"/>
      </w:pPr>
      <w:r>
        <w:rPr>
          <w:spacing w:val="-4"/>
        </w:rPr>
        <w:t>混凝土试块抗压强度：</w:t>
      </w:r>
      <w:r>
        <w:rPr>
          <w:spacing w:val="-35"/>
        </w:rPr>
        <w:t>C15</w:t>
      </w:r>
      <w:r>
        <w:rPr>
          <w:spacing w:val="-30"/>
        </w:rPr>
        <w:t xml:space="preserve"> 混凝土抽检 </w:t>
      </w:r>
      <w:r>
        <w:t>1</w:t>
      </w:r>
      <w:r>
        <w:rPr>
          <w:spacing w:val="-33"/>
        </w:rPr>
        <w:t xml:space="preserve"> 组，试块抗压强度为 </w:t>
      </w:r>
      <w:r>
        <w:rPr>
          <w:spacing w:val="-3"/>
        </w:rPr>
        <w:t xml:space="preserve">18.0MPa， </w:t>
      </w:r>
      <w:r>
        <w:rPr>
          <w:spacing w:val="-1"/>
        </w:rPr>
        <w:t>符合设计要求；</w:t>
      </w:r>
      <w:r>
        <w:rPr>
          <w:spacing w:val="-5"/>
        </w:rPr>
        <w:t>C25</w:t>
      </w:r>
      <w:r>
        <w:rPr>
          <w:spacing w:val="-31"/>
        </w:rPr>
        <w:t xml:space="preserve"> 混凝土抽检 </w:t>
      </w:r>
      <w:r>
        <w:t>1</w:t>
      </w:r>
      <w:r>
        <w:rPr>
          <w:spacing w:val="-23"/>
        </w:rPr>
        <w:t xml:space="preserve"> 组，试块抗压强度为 </w:t>
      </w:r>
      <w:r>
        <w:t>29.0MPa，符合设计</w:t>
      </w:r>
    </w:p>
    <w:p>
      <w:pPr>
        <w:spacing w:after="0" w:line="376" w:lineRule="auto"/>
        <w:sectPr>
          <w:headerReference w:type="default" r:id="rId25"/>
          <w:footerReference w:type="default" r:id="rId26"/>
          <w:pgSz w:w="17860" w:h="25260"/>
          <w:pgMar w:top="1400" w:right="0" w:bottom="2040" w:left="1800" w:header="1088" w:footer="1798"/>
          <w:pgNumType w:start="9"/>
          <w:cols w:space="708"/>
        </w:sectPr>
      </w:pPr>
    </w:p>
    <w:p>
      <w:pPr>
        <w:pStyle w:val="BodyText"/>
        <w:rPr>
          <w:sz w:val="20"/>
        </w:rPr>
      </w:pPr>
      <w:r>
        <w:drawing>
          <wp:anchor distT="0" distB="0" distL="0" distR="0" simplePos="0" relativeHeight="251667456" behindDoc="1" locked="0" layoutInCell="1" allowOverlap="1">
            <wp:simplePos x="0" y="0"/>
            <wp:positionH relativeFrom="page">
              <wp:posOffset>1231900</wp:posOffset>
            </wp:positionH>
            <wp:positionV relativeFrom="page">
              <wp:posOffset>1155700</wp:posOffset>
            </wp:positionV>
            <wp:extent cx="8890000" cy="13322300"/>
            <wp:effectExtent l="0" t="0" r="0" b="0"/>
            <wp:wrapNone/>
            <wp:docPr id="2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png"/>
                    <pic:cNvPicPr/>
                  </pic:nvPicPr>
                  <pic:blipFill>
                    <a:blip xmlns:r="http://schemas.openxmlformats.org/officeDocument/2006/relationships" r:embed="rId27" cstate="print"/>
                    <a:stretch>
                      <a:fillRect/>
                    </a:stretch>
                  </pic:blipFill>
                  <pic:spPr>
                    <a:xfrm>
                      <a:off x="0" y="0"/>
                      <a:ext cx="8890000" cy="13322300"/>
                    </a:xfrm>
                    <a:prstGeom prst="rect">
                      <a:avLst/>
                    </a:prstGeom>
                  </pic:spPr>
                </pic:pic>
              </a:graphicData>
            </a:graphic>
          </wp:anchor>
        </w:drawing>
      </w:r>
    </w:p>
    <w:p>
      <w:pPr>
        <w:pStyle w:val="BodyText"/>
        <w:spacing w:before="2"/>
        <w:rPr>
          <w:sz w:val="26"/>
        </w:rPr>
      </w:pPr>
    </w:p>
    <w:p>
      <w:pPr>
        <w:pStyle w:val="BodyText"/>
        <w:spacing w:before="42" w:line="374" w:lineRule="auto"/>
        <w:ind w:left="328" w:right="2097"/>
      </w:pPr>
      <w:r>
        <w:t>要求；C25W6F150</w:t>
      </w:r>
      <w:r>
        <w:rPr>
          <w:spacing w:val="-32"/>
        </w:rPr>
        <w:t xml:space="preserve"> 混凝土抽检 </w:t>
      </w:r>
      <w:r>
        <w:t>1</w:t>
      </w:r>
      <w:r>
        <w:rPr>
          <w:spacing w:val="-24"/>
        </w:rPr>
        <w:t xml:space="preserve"> 组，试块抗压强度位 </w:t>
      </w:r>
      <w:r>
        <w:t>29.7MPa</w:t>
      </w:r>
      <w:r>
        <w:rPr>
          <w:spacing w:val="-3"/>
        </w:rPr>
        <w:t>，符合设计要</w:t>
      </w:r>
      <w:r>
        <w:t>求。</w:t>
      </w:r>
    </w:p>
    <w:p>
      <w:pPr>
        <w:pStyle w:val="ListParagraph"/>
        <w:numPr>
          <w:ilvl w:val="0"/>
          <w:numId w:val="13"/>
        </w:numPr>
        <w:tabs>
          <w:tab w:val="left" w:pos="2220"/>
        </w:tabs>
        <w:spacing w:before="3" w:after="0" w:line="240" w:lineRule="auto"/>
        <w:ind w:left="2219" w:right="0" w:hanging="1053"/>
        <w:jc w:val="left"/>
        <w:rPr>
          <w:sz w:val="42"/>
        </w:rPr>
      </w:pPr>
      <w:r>
        <w:rPr>
          <w:sz w:val="42"/>
        </w:rPr>
        <w:t>土方回填压实度检测</w:t>
      </w:r>
    </w:p>
    <w:p>
      <w:pPr>
        <w:pStyle w:val="BodyText"/>
        <w:spacing w:before="300"/>
        <w:ind w:left="1167"/>
      </w:pPr>
      <w:r>
        <w:t>土方回填压实度检测抽检 41 点，合格 39 点，合格率 95.1%。</w:t>
      </w:r>
    </w:p>
    <w:p>
      <w:pPr>
        <w:pStyle w:val="ListParagraph"/>
        <w:numPr>
          <w:ilvl w:val="0"/>
          <w:numId w:val="13"/>
        </w:numPr>
        <w:tabs>
          <w:tab w:val="left" w:pos="2220"/>
        </w:tabs>
        <w:spacing w:before="301" w:after="0" w:line="240" w:lineRule="auto"/>
        <w:ind w:left="2219" w:right="0" w:hanging="1053"/>
        <w:jc w:val="left"/>
        <w:rPr>
          <w:sz w:val="42"/>
        </w:rPr>
      </w:pPr>
      <w:r>
        <w:rPr>
          <w:sz w:val="42"/>
        </w:rPr>
        <w:t>水泥土回填压实度检测</w:t>
      </w:r>
    </w:p>
    <w:p>
      <w:pPr>
        <w:pStyle w:val="BodyText"/>
        <w:spacing w:before="304"/>
        <w:ind w:left="1167"/>
      </w:pPr>
      <w:r>
        <w:t>水泥土回填压实度检测抽检 4 点，全部合格。</w:t>
      </w:r>
    </w:p>
    <w:p>
      <w:pPr>
        <w:pStyle w:val="Heading1"/>
      </w:pPr>
      <w:r>
        <w:t>六、质量评定</w:t>
      </w:r>
    </w:p>
    <w:p>
      <w:pPr>
        <w:pStyle w:val="BodyText"/>
        <w:spacing w:before="355" w:line="367" w:lineRule="auto"/>
        <w:ind w:left="328" w:right="2052" w:firstLine="838"/>
      </w:pPr>
      <w:r>
        <w:rPr>
          <w:spacing w:val="-14"/>
        </w:rPr>
        <w:t xml:space="preserve">本分部工程共 </w:t>
      </w:r>
      <w:r>
        <w:t>16</w:t>
      </w:r>
      <w:r>
        <w:rPr>
          <w:spacing w:val="-12"/>
        </w:rPr>
        <w:t xml:space="preserve"> 个单元工程，单元工程质量全部合格，施工单位自评</w:t>
      </w:r>
      <w:r>
        <w:rPr>
          <w:spacing w:val="-17"/>
        </w:rPr>
        <w:t xml:space="preserve">优良率为 </w:t>
      </w:r>
      <w:r>
        <w:t>93.8</w:t>
      </w:r>
      <w:r>
        <w:rPr>
          <w:spacing w:val="5"/>
        </w:rPr>
        <w:t>%，经监理单位复核优良率</w:t>
      </w:r>
      <w:r>
        <w:t>93.8%。重要隐蔽单元工程及关键</w:t>
      </w:r>
      <w:r>
        <w:rPr>
          <w:spacing w:val="-15"/>
        </w:rPr>
        <w:t xml:space="preserve">部位单元工程 </w:t>
      </w:r>
      <w:r>
        <w:t>3</w:t>
      </w:r>
      <w:r>
        <w:rPr>
          <w:spacing w:val="-8"/>
        </w:rPr>
        <w:t xml:space="preserve"> 个，优良率为</w:t>
      </w:r>
      <w:r>
        <w:t>66.7</w:t>
      </w:r>
      <w:r>
        <w:rPr>
          <w:spacing w:val="-10"/>
        </w:rPr>
        <w:t>%。没有结构性缺陷，且未发生过质量事故；原材料质量合格，混凝土试件质量等级合格，中间产品质量合格。无质量事故及质量缺陷处理情况。</w:t>
      </w:r>
    </w:p>
    <w:p>
      <w:pPr>
        <w:pStyle w:val="BodyText"/>
        <w:spacing w:before="24"/>
        <w:ind w:left="1167"/>
      </w:pPr>
      <w:r>
        <w:t>该分部工程质量等级施工单位自评为合格，经监理单位复核为合格。</w:t>
      </w:r>
    </w:p>
    <w:p>
      <w:pPr>
        <w:pStyle w:val="Heading1"/>
      </w:pPr>
      <w:r>
        <w:t>七、存在（遗留）问题及处理意见</w:t>
      </w:r>
    </w:p>
    <w:p>
      <w:pPr>
        <w:pStyle w:val="BodyText"/>
        <w:spacing w:before="372"/>
        <w:ind w:left="1588"/>
      </w:pPr>
      <w:r>
        <w:t>无。</w:t>
      </w:r>
    </w:p>
    <w:p>
      <w:pPr>
        <w:pStyle w:val="Heading1"/>
      </w:pPr>
      <w:r>
        <w:t>八、验收结论</w:t>
      </w:r>
    </w:p>
    <w:p>
      <w:pPr>
        <w:pStyle w:val="BodyText"/>
        <w:spacing w:before="369"/>
        <w:ind w:left="328" w:firstLine="838"/>
      </w:pPr>
      <w:r>
        <w:t>该分部工程已按合同文件规定的内容全部完成，工程质量符合合同、</w:t>
      </w:r>
    </w:p>
    <w:p>
      <w:pPr>
        <w:pStyle w:val="BodyText"/>
        <w:spacing w:before="2" w:line="840" w:lineRule="atLeast"/>
        <w:ind w:left="328" w:right="2250"/>
      </w:pPr>
      <w:r>
        <w:t>设计和规范要求，验收资料齐全并满足验收要求。验收工作组同意该分部工程通过验收，分部工程质量等级为合格。</w:t>
      </w:r>
    </w:p>
    <w:p>
      <w:pPr>
        <w:pStyle w:val="Heading1"/>
        <w:spacing w:before="78"/>
      </w:pPr>
      <w:r>
        <w:t>九、保留意见</w:t>
      </w:r>
    </w:p>
    <w:p>
      <w:pPr>
        <w:spacing w:after="0"/>
        <w:sectPr>
          <w:headerReference w:type="default" r:id="rId28"/>
          <w:footerReference w:type="default" r:id="rId29"/>
          <w:pgSz w:w="17860" w:h="25260"/>
          <w:pgMar w:top="1400" w:right="0" w:bottom="2040" w:left="1800" w:header="1088" w:footer="1798"/>
          <w:pgNumType w:start="10"/>
          <w:cols w:space="708"/>
        </w:sectPr>
      </w:pPr>
    </w:p>
    <w:p>
      <w:pPr>
        <w:pStyle w:val="BodyText"/>
        <w:rPr>
          <w:rFonts w:ascii="宋体"/>
          <w:b/>
          <w:sz w:val="20"/>
        </w:rPr>
      </w:pPr>
      <w:r>
        <w:drawing>
          <wp:anchor distT="0" distB="0" distL="0" distR="0" simplePos="0" relativeHeight="251668480" behindDoc="1" locked="0" layoutInCell="1" allowOverlap="1">
            <wp:simplePos x="0" y="0"/>
            <wp:positionH relativeFrom="page">
              <wp:posOffset>1231900</wp:posOffset>
            </wp:positionH>
            <wp:positionV relativeFrom="page">
              <wp:posOffset>1155700</wp:posOffset>
            </wp:positionV>
            <wp:extent cx="8890000" cy="13233400"/>
            <wp:effectExtent l="0" t="0" r="0" b="0"/>
            <wp:wrapNone/>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8.png"/>
                    <pic:cNvPicPr/>
                  </pic:nvPicPr>
                  <pic:blipFill>
                    <a:blip xmlns:r="http://schemas.openxmlformats.org/officeDocument/2006/relationships" r:embed="rId30" cstate="print"/>
                    <a:stretch>
                      <a:fillRect/>
                    </a:stretch>
                  </pic:blipFill>
                  <pic:spPr>
                    <a:xfrm>
                      <a:off x="0" y="0"/>
                      <a:ext cx="8890000" cy="13233400"/>
                    </a:xfrm>
                    <a:prstGeom prst="rect">
                      <a:avLst/>
                    </a:prstGeom>
                  </pic:spPr>
                </pic:pic>
              </a:graphicData>
            </a:graphic>
          </wp:anchor>
        </w:drawing>
      </w: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rPr>
          <w:rFonts w:ascii="宋体"/>
          <w:b/>
          <w:sz w:val="20"/>
        </w:rPr>
      </w:pPr>
    </w:p>
    <w:p>
      <w:pPr>
        <w:pStyle w:val="BodyText"/>
        <w:spacing w:before="3"/>
        <w:rPr>
          <w:rFonts w:ascii="宋体"/>
          <w:b/>
          <w:sz w:val="24"/>
        </w:rPr>
      </w:pPr>
    </w:p>
    <w:p>
      <w:pPr>
        <w:pStyle w:val="BodyText"/>
        <w:spacing w:before="42"/>
        <w:ind w:left="2405" w:right="999"/>
        <w:jc w:val="center"/>
      </w:pPr>
      <w:r>
        <w:t>保留意见人（签字）</w:t>
      </w:r>
    </w:p>
    <w:p>
      <w:pPr>
        <w:pStyle w:val="BodyText"/>
        <w:spacing w:before="301"/>
        <w:ind w:left="1167"/>
      </w:pPr>
      <w:r>
        <w:t>附件：</w:t>
      </w:r>
    </w:p>
    <w:p>
      <w:pPr>
        <w:pStyle w:val="BodyText"/>
        <w:spacing w:before="300"/>
        <w:ind w:left="1167"/>
      </w:pPr>
      <w:r>
        <w:t>1、备查资料总目录</w:t>
      </w:r>
    </w:p>
    <w:p>
      <w:pPr>
        <w:pStyle w:val="BodyText"/>
        <w:spacing w:before="6"/>
        <w:rPr>
          <w:sz w:val="20"/>
        </w:rPr>
      </w:pPr>
    </w:p>
    <w:p>
      <w:pPr>
        <w:pStyle w:val="BodyText"/>
        <w:spacing w:before="42" w:line="374" w:lineRule="auto"/>
        <w:ind w:left="328" w:right="2045" w:firstLine="838"/>
      </w:pPr>
      <w:r>
        <w:t>2、验收遗留问题处理记录（负责实施单位处理情况、实施单位及验收单位签字、盖章和日期）</w:t>
      </w:r>
    </w:p>
    <w:p>
      <w:pPr>
        <w:pStyle w:val="BodyText"/>
        <w:spacing w:line="538" w:lineRule="exact"/>
        <w:ind w:left="1167"/>
      </w:pPr>
      <w:r>
        <w:t>3、验收工作组成员签字表</w:t>
      </w:r>
    </w:p>
    <w:p>
      <w:pPr>
        <w:pStyle w:val="BodyText"/>
      </w:pPr>
    </w:p>
    <w:p>
      <w:pPr>
        <w:pStyle w:val="BodyText"/>
      </w:pPr>
    </w:p>
    <w:p>
      <w:pPr>
        <w:pStyle w:val="BodyText"/>
        <w:spacing w:before="2"/>
        <w:rPr>
          <w:sz w:val="54"/>
        </w:rPr>
      </w:pPr>
    </w:p>
    <w:p>
      <w:pPr>
        <w:pStyle w:val="BodyText"/>
        <w:spacing w:line="367" w:lineRule="auto"/>
        <w:ind w:left="1383" w:right="12564" w:hanging="418"/>
      </w:pPr>
      <w:r>
        <w:t>质量监督机构核备意见</w:t>
      </w:r>
    </w:p>
    <w:p>
      <w:pPr>
        <w:spacing w:after="0" w:line="367" w:lineRule="auto"/>
        <w:sectPr>
          <w:headerReference w:type="default" r:id="rId31"/>
          <w:footerReference w:type="default" r:id="rId32"/>
          <w:pgSz w:w="17860" w:h="25260"/>
          <w:pgMar w:top="1400" w:right="0" w:bottom="2040" w:left="1800" w:header="1088" w:footer="1798"/>
          <w:pgNumType w:start="11"/>
          <w:cols w:space="708"/>
        </w:sectPr>
      </w:pPr>
    </w:p>
    <w:p>
      <w:pPr>
        <w:pStyle w:val="BodyText"/>
        <w:rPr>
          <w:sz w:val="20"/>
        </w:rPr>
      </w:pPr>
      <w:r>
        <w:drawing>
          <wp:anchor distT="0" distB="0" distL="0" distR="0" simplePos="0" relativeHeight="251669504" behindDoc="1" locked="0" layoutInCell="1" allowOverlap="1">
            <wp:simplePos x="0" y="0"/>
            <wp:positionH relativeFrom="page">
              <wp:posOffset>1231900</wp:posOffset>
            </wp:positionH>
            <wp:positionV relativeFrom="page">
              <wp:posOffset>1689100</wp:posOffset>
            </wp:positionV>
            <wp:extent cx="8842438" cy="12630245"/>
            <wp:effectExtent l="0" t="0" r="0" b="0"/>
            <wp:wrapNone/>
            <wp:docPr id="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9.png"/>
                    <pic:cNvPicPr/>
                  </pic:nvPicPr>
                  <pic:blipFill>
                    <a:blip xmlns:r="http://schemas.openxmlformats.org/officeDocument/2006/relationships" r:embed="rId33" cstate="print"/>
                    <a:stretch>
                      <a:fillRect/>
                    </a:stretch>
                  </pic:blipFill>
                  <pic:spPr>
                    <a:xfrm>
                      <a:off x="0" y="0"/>
                      <a:ext cx="8842438" cy="12630245"/>
                    </a:xfrm>
                    <a:prstGeom prst="rect">
                      <a:avLst/>
                    </a:prstGeom>
                  </pic:spPr>
                </pic:pic>
              </a:graphicData>
            </a:graphic>
          </wp:anchor>
        </w:drawing>
      </w:r>
    </w:p>
    <w:p>
      <w:pPr>
        <w:pStyle w:val="BodyText"/>
        <w:spacing w:before="2"/>
        <w:rPr>
          <w:sz w:val="17"/>
        </w:rPr>
      </w:pPr>
    </w:p>
    <w:p>
      <w:pPr>
        <w:pStyle w:val="Heading3"/>
        <w:tabs>
          <w:tab w:val="left" w:pos="6448"/>
        </w:tabs>
        <w:ind w:left="4865"/>
      </w:pPr>
      <w:r>
        <w:t>附件</w:t>
      </w:r>
      <w:r>
        <w:rPr>
          <w:spacing w:val="-105"/>
        </w:rPr>
        <w:t xml:space="preserve"> </w:t>
      </w:r>
      <w:r>
        <w:t>1</w:t>
        <w:tab/>
        <w:t>备查资料总目录</w:t>
      </w:r>
    </w:p>
    <w:p>
      <w:pPr>
        <w:pStyle w:val="BodyText"/>
        <w:rPr>
          <w:rFonts w:ascii="宋体"/>
          <w:b/>
          <w:sz w:val="20"/>
        </w:rPr>
      </w:pPr>
    </w:p>
    <w:p>
      <w:pPr>
        <w:pStyle w:val="BodyText"/>
        <w:rPr>
          <w:rFonts w:ascii="宋体"/>
          <w:b/>
          <w:sz w:val="20"/>
        </w:rPr>
      </w:pPr>
    </w:p>
    <w:p>
      <w:pPr>
        <w:pStyle w:val="BodyText"/>
        <w:spacing w:before="11"/>
        <w:rPr>
          <w:rFonts w:ascii="宋体"/>
          <w:b/>
          <w:sz w:val="17"/>
        </w:rPr>
      </w:pPr>
    </w:p>
    <w:tbl>
      <w:tblPr>
        <w:tblStyle w:val="TableNormal0"/>
        <w:tblW w:w="0" w:type="auto"/>
        <w:jc w:val="left"/>
        <w:tblInd w:w="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16"/>
        <w:gridCol w:w="8311"/>
        <w:gridCol w:w="2121"/>
        <w:gridCol w:w="1706"/>
      </w:tblGrid>
      <w:tr>
        <w:tblPrEx>
          <w:tblW w:w="0" w:type="auto"/>
          <w:jc w:val="left"/>
          <w:tblInd w:w="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22"/>
          <w:jc w:val="left"/>
        </w:trPr>
        <w:tc>
          <w:tcPr>
            <w:tcW w:w="1416" w:type="dxa"/>
          </w:tcPr>
          <w:p>
            <w:pPr>
              <w:pStyle w:val="TableParagraph"/>
              <w:spacing w:line="411" w:lineRule="exact"/>
              <w:ind w:left="30" w:right="625"/>
              <w:jc w:val="center"/>
              <w:rPr>
                <w:sz w:val="36"/>
              </w:rPr>
            </w:pPr>
            <w:r>
              <w:rPr>
                <w:sz w:val="36"/>
              </w:rPr>
              <w:t>序号</w:t>
            </w:r>
          </w:p>
        </w:tc>
        <w:tc>
          <w:tcPr>
            <w:tcW w:w="8311" w:type="dxa"/>
          </w:tcPr>
          <w:p>
            <w:pPr>
              <w:pStyle w:val="TableParagraph"/>
              <w:spacing w:line="411" w:lineRule="exact"/>
              <w:ind w:left="627" w:right="801"/>
              <w:jc w:val="center"/>
              <w:rPr>
                <w:sz w:val="36"/>
              </w:rPr>
            </w:pPr>
            <w:r>
              <w:rPr>
                <w:sz w:val="36"/>
              </w:rPr>
              <w:t>备查资料目录</w:t>
            </w:r>
          </w:p>
        </w:tc>
        <w:tc>
          <w:tcPr>
            <w:tcW w:w="2121" w:type="dxa"/>
          </w:tcPr>
          <w:p>
            <w:pPr>
              <w:pStyle w:val="TableParagraph"/>
              <w:spacing w:line="411" w:lineRule="exact"/>
              <w:ind w:left="445" w:right="196"/>
              <w:jc w:val="center"/>
              <w:rPr>
                <w:sz w:val="36"/>
              </w:rPr>
            </w:pPr>
            <w:r>
              <w:rPr>
                <w:sz w:val="36"/>
              </w:rPr>
              <w:t>提供单位</w:t>
            </w:r>
          </w:p>
        </w:tc>
        <w:tc>
          <w:tcPr>
            <w:tcW w:w="1706" w:type="dxa"/>
          </w:tcPr>
          <w:p>
            <w:pPr>
              <w:pStyle w:val="TableParagraph"/>
              <w:spacing w:line="411" w:lineRule="exact"/>
              <w:ind w:left="197" w:right="29"/>
              <w:jc w:val="center"/>
              <w:rPr>
                <w:sz w:val="36"/>
              </w:rPr>
            </w:pPr>
            <w:r>
              <w:rPr>
                <w:sz w:val="36"/>
              </w:rPr>
              <w:t>备注</w:t>
            </w:r>
          </w:p>
        </w:tc>
      </w:tr>
      <w:tr>
        <w:tblPrEx>
          <w:tblW w:w="0" w:type="auto"/>
          <w:jc w:val="left"/>
          <w:tblInd w:w="347" w:type="dxa"/>
          <w:tblLayout w:type="fixed"/>
          <w:tblCellMar>
            <w:top w:w="0" w:type="dxa"/>
            <w:left w:w="0" w:type="dxa"/>
            <w:bottom w:w="0" w:type="dxa"/>
            <w:right w:w="0" w:type="dxa"/>
          </w:tblCellMar>
          <w:tblLook w:val="01E0"/>
        </w:tblPrEx>
        <w:trPr>
          <w:trHeight w:val="1207"/>
          <w:jc w:val="left"/>
        </w:trPr>
        <w:tc>
          <w:tcPr>
            <w:tcW w:w="1416" w:type="dxa"/>
          </w:tcPr>
          <w:p>
            <w:pPr>
              <w:pStyle w:val="TableParagraph"/>
              <w:spacing w:before="1"/>
              <w:rPr>
                <w:rFonts w:ascii="宋体"/>
                <w:b/>
                <w:sz w:val="32"/>
              </w:rPr>
            </w:pPr>
          </w:p>
          <w:p>
            <w:pPr>
              <w:pStyle w:val="TableParagraph"/>
              <w:spacing w:before="1"/>
              <w:ind w:right="595"/>
              <w:jc w:val="center"/>
              <w:rPr>
                <w:sz w:val="36"/>
              </w:rPr>
            </w:pPr>
            <w:r>
              <w:rPr>
                <w:sz w:val="36"/>
              </w:rPr>
              <w:t>1</w:t>
            </w:r>
          </w:p>
        </w:tc>
        <w:tc>
          <w:tcPr>
            <w:tcW w:w="8311" w:type="dxa"/>
          </w:tcPr>
          <w:p>
            <w:pPr>
              <w:pStyle w:val="TableParagraph"/>
              <w:spacing w:before="1"/>
              <w:rPr>
                <w:rFonts w:ascii="宋体"/>
                <w:b/>
                <w:sz w:val="32"/>
              </w:rPr>
            </w:pPr>
          </w:p>
          <w:p>
            <w:pPr>
              <w:pStyle w:val="TableParagraph"/>
              <w:spacing w:before="1"/>
              <w:ind w:left="627" w:right="803"/>
              <w:jc w:val="center"/>
              <w:rPr>
                <w:sz w:val="36"/>
              </w:rPr>
            </w:pPr>
            <w:r>
              <w:rPr>
                <w:sz w:val="36"/>
              </w:rPr>
              <w:t>拟验分部工程的单元工程清单</w:t>
            </w:r>
          </w:p>
        </w:tc>
        <w:tc>
          <w:tcPr>
            <w:tcW w:w="2121" w:type="dxa"/>
          </w:tcPr>
          <w:p>
            <w:pPr>
              <w:pStyle w:val="TableParagraph"/>
              <w:spacing w:before="1"/>
              <w:rPr>
                <w:rFonts w:ascii="宋体"/>
                <w:b/>
                <w:sz w:val="32"/>
              </w:rPr>
            </w:pPr>
          </w:p>
          <w:p>
            <w:pPr>
              <w:pStyle w:val="TableParagraph"/>
              <w:spacing w:before="1"/>
              <w:ind w:left="445" w:right="196"/>
              <w:jc w:val="center"/>
              <w:rPr>
                <w:sz w:val="36"/>
              </w:rPr>
            </w:pPr>
            <w:r>
              <w:rPr>
                <w:sz w:val="36"/>
              </w:rPr>
              <w:t>施工</w:t>
            </w:r>
          </w:p>
        </w:tc>
        <w:tc>
          <w:tcPr>
            <w:tcW w:w="1706" w:type="dxa"/>
          </w:tcPr>
          <w:p>
            <w:pPr>
              <w:pStyle w:val="TableParagraph"/>
              <w:rPr>
                <w:rFonts w:ascii="Times New Roman"/>
                <w:sz w:val="36"/>
              </w:rPr>
            </w:pPr>
          </w:p>
        </w:tc>
      </w:tr>
      <w:tr>
        <w:tblPrEx>
          <w:tblW w:w="0" w:type="auto"/>
          <w:jc w:val="left"/>
          <w:tblInd w:w="347" w:type="dxa"/>
          <w:tblLayout w:type="fixed"/>
          <w:tblCellMar>
            <w:top w:w="0" w:type="dxa"/>
            <w:left w:w="0" w:type="dxa"/>
            <w:bottom w:w="0" w:type="dxa"/>
            <w:right w:w="0" w:type="dxa"/>
          </w:tblCellMar>
          <w:tblLook w:val="01E0"/>
        </w:tblPrEx>
        <w:trPr>
          <w:trHeight w:val="1125"/>
          <w:jc w:val="left"/>
        </w:trPr>
        <w:tc>
          <w:tcPr>
            <w:tcW w:w="1416" w:type="dxa"/>
          </w:tcPr>
          <w:p>
            <w:pPr>
              <w:pStyle w:val="TableParagraph"/>
              <w:spacing w:before="1"/>
              <w:rPr>
                <w:rFonts w:ascii="宋体"/>
                <w:b/>
                <w:sz w:val="26"/>
              </w:rPr>
            </w:pPr>
          </w:p>
          <w:p>
            <w:pPr>
              <w:pStyle w:val="TableParagraph"/>
              <w:ind w:right="595"/>
              <w:jc w:val="center"/>
              <w:rPr>
                <w:sz w:val="36"/>
              </w:rPr>
            </w:pPr>
            <w:r>
              <w:rPr>
                <w:sz w:val="36"/>
              </w:rPr>
              <w:t>2</w:t>
            </w:r>
          </w:p>
        </w:tc>
        <w:tc>
          <w:tcPr>
            <w:tcW w:w="8311" w:type="dxa"/>
          </w:tcPr>
          <w:p>
            <w:pPr>
              <w:pStyle w:val="TableParagraph"/>
              <w:spacing w:before="1"/>
              <w:rPr>
                <w:rFonts w:ascii="宋体"/>
                <w:b/>
                <w:sz w:val="26"/>
              </w:rPr>
            </w:pPr>
          </w:p>
          <w:p>
            <w:pPr>
              <w:pStyle w:val="TableParagraph"/>
              <w:ind w:left="627" w:right="803"/>
              <w:jc w:val="center"/>
              <w:rPr>
                <w:sz w:val="36"/>
              </w:rPr>
            </w:pPr>
            <w:r>
              <w:rPr>
                <w:sz w:val="36"/>
              </w:rPr>
              <w:t>主要原材料、构件检测试验统计表</w:t>
            </w:r>
          </w:p>
        </w:tc>
        <w:tc>
          <w:tcPr>
            <w:tcW w:w="2121" w:type="dxa"/>
          </w:tcPr>
          <w:p>
            <w:pPr>
              <w:pStyle w:val="TableParagraph"/>
              <w:spacing w:before="1"/>
              <w:rPr>
                <w:rFonts w:ascii="宋体"/>
                <w:b/>
                <w:sz w:val="26"/>
              </w:rPr>
            </w:pPr>
          </w:p>
          <w:p>
            <w:pPr>
              <w:pStyle w:val="TableParagraph"/>
              <w:ind w:left="445" w:right="196"/>
              <w:jc w:val="center"/>
              <w:rPr>
                <w:sz w:val="36"/>
              </w:rPr>
            </w:pPr>
            <w:r>
              <w:rPr>
                <w:sz w:val="36"/>
              </w:rPr>
              <w:t>施工</w:t>
            </w:r>
          </w:p>
        </w:tc>
        <w:tc>
          <w:tcPr>
            <w:tcW w:w="1706" w:type="dxa"/>
          </w:tcPr>
          <w:p>
            <w:pPr>
              <w:pStyle w:val="TableParagraph"/>
              <w:rPr>
                <w:rFonts w:ascii="Times New Roman"/>
                <w:sz w:val="36"/>
              </w:rPr>
            </w:pPr>
          </w:p>
        </w:tc>
      </w:tr>
      <w:tr>
        <w:tblPrEx>
          <w:tblW w:w="0" w:type="auto"/>
          <w:jc w:val="left"/>
          <w:tblInd w:w="347" w:type="dxa"/>
          <w:tblLayout w:type="fixed"/>
          <w:tblCellMar>
            <w:top w:w="0" w:type="dxa"/>
            <w:left w:w="0" w:type="dxa"/>
            <w:bottom w:w="0" w:type="dxa"/>
            <w:right w:w="0" w:type="dxa"/>
          </w:tblCellMar>
          <w:tblLook w:val="01E0"/>
        </w:tblPrEx>
        <w:trPr>
          <w:trHeight w:val="1130"/>
          <w:jc w:val="left"/>
        </w:trPr>
        <w:tc>
          <w:tcPr>
            <w:tcW w:w="1416" w:type="dxa"/>
          </w:tcPr>
          <w:p>
            <w:pPr>
              <w:pStyle w:val="TableParagraph"/>
              <w:spacing w:before="8"/>
              <w:rPr>
                <w:rFonts w:ascii="宋体"/>
                <w:b/>
                <w:sz w:val="25"/>
              </w:rPr>
            </w:pPr>
          </w:p>
          <w:p>
            <w:pPr>
              <w:pStyle w:val="TableParagraph"/>
              <w:spacing w:before="1"/>
              <w:ind w:right="595"/>
              <w:jc w:val="center"/>
              <w:rPr>
                <w:sz w:val="36"/>
              </w:rPr>
            </w:pPr>
            <w:r>
              <w:rPr>
                <w:sz w:val="36"/>
              </w:rPr>
              <w:t>3</w:t>
            </w:r>
          </w:p>
        </w:tc>
        <w:tc>
          <w:tcPr>
            <w:tcW w:w="8311" w:type="dxa"/>
          </w:tcPr>
          <w:p>
            <w:pPr>
              <w:pStyle w:val="TableParagraph"/>
              <w:spacing w:before="8"/>
              <w:rPr>
                <w:rFonts w:ascii="宋体"/>
                <w:b/>
                <w:sz w:val="25"/>
              </w:rPr>
            </w:pPr>
          </w:p>
          <w:p>
            <w:pPr>
              <w:pStyle w:val="TableParagraph"/>
              <w:spacing w:before="1"/>
              <w:ind w:left="627" w:right="803"/>
              <w:jc w:val="center"/>
              <w:rPr>
                <w:sz w:val="36"/>
              </w:rPr>
            </w:pPr>
            <w:r>
              <w:rPr>
                <w:sz w:val="36"/>
              </w:rPr>
              <w:t>中间产品、混凝土（砂浆）试件质量统计表</w:t>
            </w:r>
          </w:p>
        </w:tc>
        <w:tc>
          <w:tcPr>
            <w:tcW w:w="2121" w:type="dxa"/>
          </w:tcPr>
          <w:p>
            <w:pPr>
              <w:pStyle w:val="TableParagraph"/>
              <w:spacing w:before="8"/>
              <w:rPr>
                <w:rFonts w:ascii="宋体"/>
                <w:b/>
                <w:sz w:val="25"/>
              </w:rPr>
            </w:pPr>
          </w:p>
          <w:p>
            <w:pPr>
              <w:pStyle w:val="TableParagraph"/>
              <w:spacing w:before="1"/>
              <w:ind w:left="445" w:right="196"/>
              <w:jc w:val="center"/>
              <w:rPr>
                <w:sz w:val="36"/>
              </w:rPr>
            </w:pPr>
            <w:r>
              <w:rPr>
                <w:sz w:val="36"/>
              </w:rPr>
              <w:t>施工</w:t>
            </w:r>
          </w:p>
        </w:tc>
        <w:tc>
          <w:tcPr>
            <w:tcW w:w="1706" w:type="dxa"/>
          </w:tcPr>
          <w:p>
            <w:pPr>
              <w:pStyle w:val="TableParagraph"/>
              <w:rPr>
                <w:rFonts w:ascii="Times New Roman"/>
                <w:sz w:val="36"/>
              </w:rPr>
            </w:pPr>
          </w:p>
        </w:tc>
      </w:tr>
      <w:tr>
        <w:tblPrEx>
          <w:tblW w:w="0" w:type="auto"/>
          <w:jc w:val="left"/>
          <w:tblInd w:w="347" w:type="dxa"/>
          <w:tblLayout w:type="fixed"/>
          <w:tblCellMar>
            <w:top w:w="0" w:type="dxa"/>
            <w:left w:w="0" w:type="dxa"/>
            <w:bottom w:w="0" w:type="dxa"/>
            <w:right w:w="0" w:type="dxa"/>
          </w:tblCellMar>
          <w:tblLook w:val="01E0"/>
        </w:tblPrEx>
        <w:trPr>
          <w:trHeight w:val="751"/>
          <w:jc w:val="left"/>
        </w:trPr>
        <w:tc>
          <w:tcPr>
            <w:tcW w:w="1416" w:type="dxa"/>
          </w:tcPr>
          <w:p>
            <w:pPr>
              <w:pStyle w:val="TableParagraph"/>
              <w:spacing w:before="7"/>
              <w:rPr>
                <w:rFonts w:ascii="宋体"/>
                <w:b/>
                <w:sz w:val="26"/>
              </w:rPr>
            </w:pPr>
          </w:p>
          <w:p>
            <w:pPr>
              <w:pStyle w:val="TableParagraph"/>
              <w:spacing w:line="391" w:lineRule="exact"/>
              <w:ind w:right="595"/>
              <w:jc w:val="center"/>
              <w:rPr>
                <w:sz w:val="36"/>
              </w:rPr>
            </w:pPr>
            <w:r>
              <w:rPr>
                <w:sz w:val="36"/>
              </w:rPr>
              <w:t>4</w:t>
            </w:r>
          </w:p>
        </w:tc>
        <w:tc>
          <w:tcPr>
            <w:tcW w:w="8311" w:type="dxa"/>
          </w:tcPr>
          <w:p>
            <w:pPr>
              <w:pStyle w:val="TableParagraph"/>
              <w:spacing w:before="7"/>
              <w:rPr>
                <w:rFonts w:ascii="宋体"/>
                <w:b/>
                <w:sz w:val="26"/>
              </w:rPr>
            </w:pPr>
          </w:p>
          <w:p>
            <w:pPr>
              <w:pStyle w:val="TableParagraph"/>
              <w:spacing w:line="391" w:lineRule="exact"/>
              <w:ind w:left="627" w:right="803"/>
              <w:jc w:val="center"/>
              <w:rPr>
                <w:sz w:val="36"/>
              </w:rPr>
            </w:pPr>
            <w:r>
              <w:rPr>
                <w:sz w:val="36"/>
              </w:rPr>
              <w:t>施工图纸、设计变更、施工技术说明统计表</w:t>
            </w:r>
          </w:p>
        </w:tc>
        <w:tc>
          <w:tcPr>
            <w:tcW w:w="2121" w:type="dxa"/>
          </w:tcPr>
          <w:p>
            <w:pPr>
              <w:pStyle w:val="TableParagraph"/>
              <w:spacing w:before="7"/>
              <w:rPr>
                <w:rFonts w:ascii="宋体"/>
                <w:b/>
                <w:sz w:val="26"/>
              </w:rPr>
            </w:pPr>
          </w:p>
          <w:p>
            <w:pPr>
              <w:pStyle w:val="TableParagraph"/>
              <w:spacing w:line="391" w:lineRule="exact"/>
              <w:ind w:left="445" w:right="196"/>
              <w:jc w:val="center"/>
              <w:rPr>
                <w:sz w:val="36"/>
              </w:rPr>
            </w:pPr>
            <w:r>
              <w:rPr>
                <w:sz w:val="36"/>
              </w:rPr>
              <w:t>设计</w:t>
            </w:r>
          </w:p>
        </w:tc>
        <w:tc>
          <w:tcPr>
            <w:tcW w:w="1706" w:type="dxa"/>
          </w:tcPr>
          <w:p>
            <w:pPr>
              <w:pStyle w:val="TableParagraph"/>
              <w:rPr>
                <w:rFonts w:ascii="Times New Roman"/>
                <w:sz w:val="36"/>
              </w:rPr>
            </w:pPr>
          </w:p>
        </w:tc>
      </w:tr>
      <w:tr>
        <w:tblPrEx>
          <w:tblW w:w="0" w:type="auto"/>
          <w:jc w:val="left"/>
          <w:tblInd w:w="347" w:type="dxa"/>
          <w:tblLayout w:type="fixed"/>
          <w:tblCellMar>
            <w:top w:w="0" w:type="dxa"/>
            <w:left w:w="0" w:type="dxa"/>
            <w:bottom w:w="0" w:type="dxa"/>
            <w:right w:w="0" w:type="dxa"/>
          </w:tblCellMar>
          <w:tblLook w:val="01E0"/>
        </w:tblPrEx>
        <w:trPr>
          <w:trHeight w:val="1119"/>
          <w:jc w:val="left"/>
        </w:trPr>
        <w:tc>
          <w:tcPr>
            <w:tcW w:w="13554" w:type="dxa"/>
            <w:gridSpan w:val="4"/>
          </w:tcPr>
          <w:p>
            <w:pPr>
              <w:pStyle w:val="TableParagraph"/>
              <w:spacing w:before="9"/>
              <w:rPr>
                <w:rFonts w:ascii="宋体"/>
                <w:b/>
                <w:sz w:val="52"/>
              </w:rPr>
            </w:pPr>
          </w:p>
          <w:p>
            <w:pPr>
              <w:pStyle w:val="TableParagraph"/>
              <w:tabs>
                <w:tab w:val="left" w:pos="1158"/>
                <w:tab w:val="left" w:pos="10552"/>
              </w:tabs>
              <w:spacing w:line="156" w:lineRule="auto"/>
              <w:ind w:left="320"/>
              <w:rPr>
                <w:sz w:val="36"/>
              </w:rPr>
            </w:pPr>
            <w:r>
              <w:rPr>
                <w:position w:val="-11"/>
                <w:sz w:val="36"/>
              </w:rPr>
              <w:t>5</w:t>
              <w:tab/>
            </w:r>
            <w:r>
              <w:rPr>
                <w:sz w:val="36"/>
              </w:rPr>
              <w:t>设备产品出厂资料</w:t>
            </w:r>
            <w:r>
              <w:rPr>
                <w:spacing w:val="-58"/>
                <w:sz w:val="36"/>
              </w:rPr>
              <w:t>，</w:t>
            </w:r>
            <w:r>
              <w:rPr>
                <w:sz w:val="36"/>
              </w:rPr>
              <w:t>图纸说明书</w:t>
            </w:r>
            <w:r>
              <w:rPr>
                <w:spacing w:val="-55"/>
                <w:sz w:val="36"/>
              </w:rPr>
              <w:t>，</w:t>
            </w:r>
            <w:r>
              <w:rPr>
                <w:sz w:val="36"/>
              </w:rPr>
              <w:t>测绘验收</w:t>
            </w:r>
            <w:r>
              <w:rPr>
                <w:spacing w:val="-54"/>
                <w:sz w:val="36"/>
              </w:rPr>
              <w:t>、</w:t>
            </w:r>
            <w:r>
              <w:rPr>
                <w:sz w:val="36"/>
              </w:rPr>
              <w:t>安装调试、</w:t>
              <w:tab/>
            </w:r>
            <w:r>
              <w:rPr>
                <w:position w:val="-11"/>
                <w:sz w:val="36"/>
              </w:rPr>
              <w:t>施工</w:t>
            </w:r>
          </w:p>
        </w:tc>
      </w:tr>
      <w:tr>
        <w:tblPrEx>
          <w:tblW w:w="0" w:type="auto"/>
          <w:jc w:val="left"/>
          <w:tblInd w:w="347" w:type="dxa"/>
          <w:tblLayout w:type="fixed"/>
          <w:tblCellMar>
            <w:top w:w="0" w:type="dxa"/>
            <w:left w:w="0" w:type="dxa"/>
            <w:bottom w:w="0" w:type="dxa"/>
            <w:right w:w="0" w:type="dxa"/>
          </w:tblCellMar>
          <w:tblLook w:val="01E0"/>
        </w:tblPrEx>
        <w:trPr>
          <w:trHeight w:val="694"/>
          <w:jc w:val="left"/>
        </w:trPr>
        <w:tc>
          <w:tcPr>
            <w:tcW w:w="1416" w:type="dxa"/>
          </w:tcPr>
          <w:p>
            <w:pPr>
              <w:pStyle w:val="TableParagraph"/>
              <w:rPr>
                <w:rFonts w:ascii="Times New Roman"/>
                <w:sz w:val="36"/>
              </w:rPr>
            </w:pPr>
          </w:p>
        </w:tc>
        <w:tc>
          <w:tcPr>
            <w:tcW w:w="8311" w:type="dxa"/>
          </w:tcPr>
          <w:p>
            <w:pPr>
              <w:pStyle w:val="TableParagraph"/>
              <w:spacing w:before="313" w:line="362" w:lineRule="exact"/>
              <w:ind w:left="627" w:right="803"/>
              <w:jc w:val="center"/>
              <w:rPr>
                <w:sz w:val="36"/>
              </w:rPr>
            </w:pPr>
            <w:r>
              <w:rPr>
                <w:sz w:val="36"/>
              </w:rPr>
              <w:t>性能鉴定及试运行等资料统计表</w:t>
            </w:r>
          </w:p>
        </w:tc>
        <w:tc>
          <w:tcPr>
            <w:tcW w:w="2121" w:type="dxa"/>
          </w:tcPr>
          <w:p>
            <w:pPr>
              <w:pStyle w:val="TableParagraph"/>
              <w:rPr>
                <w:rFonts w:ascii="Times New Roman"/>
                <w:sz w:val="36"/>
              </w:rPr>
            </w:pPr>
          </w:p>
        </w:tc>
        <w:tc>
          <w:tcPr>
            <w:tcW w:w="1706" w:type="dxa"/>
          </w:tcPr>
          <w:p>
            <w:pPr>
              <w:pStyle w:val="TableParagraph"/>
              <w:spacing w:line="313" w:lineRule="exact"/>
              <w:ind w:left="197" w:right="29"/>
              <w:jc w:val="center"/>
              <w:rPr>
                <w:sz w:val="36"/>
              </w:rPr>
            </w:pPr>
            <w:r>
              <w:rPr>
                <w:sz w:val="36"/>
              </w:rPr>
              <w:t>按参加验</w:t>
            </w:r>
          </w:p>
        </w:tc>
      </w:tr>
      <w:tr>
        <w:tblPrEx>
          <w:tblW w:w="0" w:type="auto"/>
          <w:jc w:val="left"/>
          <w:tblInd w:w="347" w:type="dxa"/>
          <w:tblLayout w:type="fixed"/>
          <w:tblCellMar>
            <w:top w:w="0" w:type="dxa"/>
            <w:left w:w="0" w:type="dxa"/>
            <w:bottom w:w="0" w:type="dxa"/>
            <w:right w:w="0" w:type="dxa"/>
          </w:tblCellMar>
          <w:tblLook w:val="01E0"/>
        </w:tblPrEx>
        <w:trPr>
          <w:trHeight w:val="737"/>
          <w:jc w:val="left"/>
        </w:trPr>
        <w:tc>
          <w:tcPr>
            <w:tcW w:w="9727" w:type="dxa"/>
            <w:gridSpan w:val="2"/>
          </w:tcPr>
          <w:p>
            <w:pPr>
              <w:pStyle w:val="TableParagraph"/>
              <w:tabs>
                <w:tab w:val="left" w:pos="3863"/>
              </w:tabs>
              <w:spacing w:line="411" w:lineRule="exact"/>
              <w:ind w:left="320"/>
              <w:rPr>
                <w:sz w:val="36"/>
              </w:rPr>
            </w:pPr>
            <w:r>
              <w:rPr>
                <w:sz w:val="36"/>
              </w:rPr>
              <w:t>6</w:t>
              <w:tab/>
              <w:t>工程质量事故统计表</w:t>
            </w:r>
          </w:p>
        </w:tc>
        <w:tc>
          <w:tcPr>
            <w:tcW w:w="2121" w:type="dxa"/>
          </w:tcPr>
          <w:p>
            <w:pPr>
              <w:pStyle w:val="TableParagraph"/>
              <w:spacing w:line="411" w:lineRule="exact"/>
              <w:ind w:left="445" w:right="196"/>
              <w:jc w:val="center"/>
              <w:rPr>
                <w:sz w:val="36"/>
              </w:rPr>
            </w:pPr>
            <w:r>
              <w:rPr>
                <w:sz w:val="36"/>
              </w:rPr>
              <w:t>施工</w:t>
            </w:r>
          </w:p>
        </w:tc>
        <w:tc>
          <w:tcPr>
            <w:tcW w:w="1706" w:type="dxa"/>
          </w:tcPr>
          <w:p>
            <w:pPr>
              <w:pStyle w:val="TableParagraph"/>
              <w:spacing w:line="457" w:lineRule="exact"/>
              <w:ind w:left="197" w:right="29"/>
              <w:jc w:val="center"/>
              <w:rPr>
                <w:sz w:val="36"/>
              </w:rPr>
            </w:pPr>
            <w:r>
              <w:rPr>
                <w:sz w:val="36"/>
              </w:rPr>
              <w:t>收单位各</w:t>
            </w:r>
          </w:p>
        </w:tc>
      </w:tr>
      <w:tr>
        <w:tblPrEx>
          <w:tblW w:w="0" w:type="auto"/>
          <w:jc w:val="left"/>
          <w:tblInd w:w="347" w:type="dxa"/>
          <w:tblLayout w:type="fixed"/>
          <w:tblCellMar>
            <w:top w:w="0" w:type="dxa"/>
            <w:left w:w="0" w:type="dxa"/>
            <w:bottom w:w="0" w:type="dxa"/>
            <w:right w:w="0" w:type="dxa"/>
          </w:tblCellMar>
          <w:tblLook w:val="01E0"/>
        </w:tblPrEx>
        <w:trPr>
          <w:trHeight w:val="1069"/>
          <w:jc w:val="left"/>
        </w:trPr>
        <w:tc>
          <w:tcPr>
            <w:tcW w:w="9727" w:type="dxa"/>
            <w:gridSpan w:val="2"/>
          </w:tcPr>
          <w:p>
            <w:pPr>
              <w:pStyle w:val="TableParagraph"/>
              <w:tabs>
                <w:tab w:val="left" w:pos="2962"/>
              </w:tabs>
              <w:spacing w:before="280"/>
              <w:ind w:left="320"/>
              <w:rPr>
                <w:sz w:val="36"/>
              </w:rPr>
            </w:pPr>
            <w:r>
              <w:rPr>
                <w:sz w:val="36"/>
              </w:rPr>
              <w:t>7</w:t>
              <w:tab/>
              <w:t>重要会议记录及声像资料统计表</w:t>
            </w:r>
          </w:p>
        </w:tc>
        <w:tc>
          <w:tcPr>
            <w:tcW w:w="2121" w:type="dxa"/>
          </w:tcPr>
          <w:p>
            <w:pPr>
              <w:pStyle w:val="TableParagraph"/>
              <w:spacing w:before="280"/>
              <w:ind w:left="445" w:right="196"/>
              <w:jc w:val="center"/>
              <w:rPr>
                <w:sz w:val="36"/>
              </w:rPr>
            </w:pPr>
            <w:r>
              <w:rPr>
                <w:sz w:val="36"/>
              </w:rPr>
              <w:t>施工</w:t>
            </w:r>
          </w:p>
        </w:tc>
        <w:tc>
          <w:tcPr>
            <w:tcW w:w="1706" w:type="dxa"/>
          </w:tcPr>
          <w:p>
            <w:pPr>
              <w:pStyle w:val="TableParagraph"/>
              <w:spacing w:before="97"/>
              <w:ind w:left="197" w:right="29"/>
              <w:jc w:val="center"/>
              <w:rPr>
                <w:sz w:val="36"/>
              </w:rPr>
            </w:pPr>
            <w:r>
              <w:rPr>
                <w:sz w:val="36"/>
              </w:rPr>
              <w:t>一份准备</w:t>
            </w:r>
          </w:p>
        </w:tc>
      </w:tr>
      <w:tr>
        <w:tblPrEx>
          <w:tblW w:w="0" w:type="auto"/>
          <w:jc w:val="left"/>
          <w:tblInd w:w="347" w:type="dxa"/>
          <w:tblLayout w:type="fixed"/>
          <w:tblCellMar>
            <w:top w:w="0" w:type="dxa"/>
            <w:left w:w="0" w:type="dxa"/>
            <w:bottom w:w="0" w:type="dxa"/>
            <w:right w:w="0" w:type="dxa"/>
          </w:tblCellMar>
          <w:tblLook w:val="01E0"/>
        </w:tblPrEx>
        <w:trPr>
          <w:trHeight w:val="1141"/>
          <w:jc w:val="left"/>
        </w:trPr>
        <w:tc>
          <w:tcPr>
            <w:tcW w:w="9727" w:type="dxa"/>
            <w:gridSpan w:val="2"/>
          </w:tcPr>
          <w:p>
            <w:pPr>
              <w:pStyle w:val="TableParagraph"/>
              <w:spacing w:before="7"/>
              <w:rPr>
                <w:rFonts w:ascii="宋体"/>
                <w:b/>
                <w:sz w:val="25"/>
              </w:rPr>
            </w:pPr>
          </w:p>
          <w:p>
            <w:pPr>
              <w:pStyle w:val="TableParagraph"/>
              <w:tabs>
                <w:tab w:val="left" w:pos="3502"/>
              </w:tabs>
              <w:ind w:left="320"/>
              <w:rPr>
                <w:sz w:val="36"/>
              </w:rPr>
            </w:pPr>
            <w:r>
              <w:rPr>
                <w:sz w:val="36"/>
              </w:rPr>
              <w:t>8</w:t>
              <w:tab/>
              <w:t>重要隐蔽单元工程统计表</w:t>
            </w:r>
          </w:p>
        </w:tc>
        <w:tc>
          <w:tcPr>
            <w:tcW w:w="2121" w:type="dxa"/>
          </w:tcPr>
          <w:p>
            <w:pPr>
              <w:pStyle w:val="TableParagraph"/>
              <w:spacing w:before="7"/>
              <w:rPr>
                <w:rFonts w:ascii="宋体"/>
                <w:b/>
                <w:sz w:val="25"/>
              </w:rPr>
            </w:pPr>
          </w:p>
          <w:p>
            <w:pPr>
              <w:pStyle w:val="TableParagraph"/>
              <w:ind w:left="445" w:right="196"/>
              <w:jc w:val="center"/>
              <w:rPr>
                <w:sz w:val="36"/>
              </w:rPr>
            </w:pPr>
            <w:r>
              <w:rPr>
                <w:sz w:val="36"/>
              </w:rPr>
              <w:t>施工</w:t>
            </w:r>
          </w:p>
        </w:tc>
        <w:tc>
          <w:tcPr>
            <w:tcW w:w="1706" w:type="dxa"/>
          </w:tcPr>
          <w:p>
            <w:pPr>
              <w:pStyle w:val="TableParagraph"/>
              <w:rPr>
                <w:rFonts w:ascii="Times New Roman"/>
                <w:sz w:val="36"/>
              </w:rPr>
            </w:pPr>
          </w:p>
        </w:tc>
      </w:tr>
      <w:tr>
        <w:tblPrEx>
          <w:tblW w:w="0" w:type="auto"/>
          <w:jc w:val="left"/>
          <w:tblInd w:w="347" w:type="dxa"/>
          <w:tblLayout w:type="fixed"/>
          <w:tblCellMar>
            <w:top w:w="0" w:type="dxa"/>
            <w:left w:w="0" w:type="dxa"/>
            <w:bottom w:w="0" w:type="dxa"/>
            <w:right w:w="0" w:type="dxa"/>
          </w:tblCellMar>
          <w:tblLook w:val="01E0"/>
        </w:tblPrEx>
        <w:trPr>
          <w:trHeight w:val="1164"/>
          <w:jc w:val="left"/>
        </w:trPr>
        <w:tc>
          <w:tcPr>
            <w:tcW w:w="9727" w:type="dxa"/>
            <w:gridSpan w:val="2"/>
          </w:tcPr>
          <w:p>
            <w:pPr>
              <w:pStyle w:val="TableParagraph"/>
              <w:spacing w:before="6"/>
              <w:rPr>
                <w:rFonts w:ascii="宋体"/>
                <w:b/>
                <w:sz w:val="27"/>
              </w:rPr>
            </w:pPr>
          </w:p>
          <w:p>
            <w:pPr>
              <w:pStyle w:val="TableParagraph"/>
              <w:tabs>
                <w:tab w:val="left" w:pos="3863"/>
              </w:tabs>
              <w:spacing w:before="1"/>
              <w:ind w:left="320"/>
              <w:rPr>
                <w:sz w:val="36"/>
              </w:rPr>
            </w:pPr>
            <w:r>
              <w:rPr>
                <w:sz w:val="36"/>
              </w:rPr>
              <w:t>9</w:t>
              <w:tab/>
              <w:t>工程质量缺陷统计表</w:t>
            </w:r>
          </w:p>
        </w:tc>
        <w:tc>
          <w:tcPr>
            <w:tcW w:w="2121" w:type="dxa"/>
          </w:tcPr>
          <w:p>
            <w:pPr>
              <w:pStyle w:val="TableParagraph"/>
              <w:spacing w:before="6"/>
              <w:rPr>
                <w:rFonts w:ascii="宋体"/>
                <w:b/>
                <w:sz w:val="27"/>
              </w:rPr>
            </w:pPr>
          </w:p>
          <w:p>
            <w:pPr>
              <w:pStyle w:val="TableParagraph"/>
              <w:spacing w:before="1"/>
              <w:ind w:left="445" w:right="196"/>
              <w:jc w:val="center"/>
              <w:rPr>
                <w:sz w:val="36"/>
              </w:rPr>
            </w:pPr>
            <w:r>
              <w:rPr>
                <w:sz w:val="36"/>
              </w:rPr>
              <w:t>监理</w:t>
            </w:r>
          </w:p>
        </w:tc>
        <w:tc>
          <w:tcPr>
            <w:tcW w:w="1706" w:type="dxa"/>
          </w:tcPr>
          <w:p>
            <w:pPr>
              <w:pStyle w:val="TableParagraph"/>
              <w:rPr>
                <w:rFonts w:ascii="Times New Roman"/>
                <w:sz w:val="36"/>
              </w:rPr>
            </w:pPr>
          </w:p>
        </w:tc>
      </w:tr>
      <w:tr>
        <w:tblPrEx>
          <w:tblW w:w="0" w:type="auto"/>
          <w:jc w:val="left"/>
          <w:tblInd w:w="347" w:type="dxa"/>
          <w:tblLayout w:type="fixed"/>
          <w:tblCellMar>
            <w:top w:w="0" w:type="dxa"/>
            <w:left w:w="0" w:type="dxa"/>
            <w:bottom w:w="0" w:type="dxa"/>
            <w:right w:w="0" w:type="dxa"/>
          </w:tblCellMar>
          <w:tblLook w:val="01E0"/>
        </w:tblPrEx>
        <w:trPr>
          <w:trHeight w:val="1148"/>
          <w:jc w:val="left"/>
        </w:trPr>
        <w:tc>
          <w:tcPr>
            <w:tcW w:w="9727" w:type="dxa"/>
            <w:gridSpan w:val="2"/>
          </w:tcPr>
          <w:p>
            <w:pPr>
              <w:pStyle w:val="TableParagraph"/>
              <w:spacing w:before="4"/>
              <w:rPr>
                <w:rFonts w:ascii="宋体"/>
                <w:b/>
                <w:sz w:val="27"/>
              </w:rPr>
            </w:pPr>
          </w:p>
          <w:p>
            <w:pPr>
              <w:pStyle w:val="TableParagraph"/>
              <w:tabs>
                <w:tab w:val="left" w:pos="2782"/>
              </w:tabs>
              <w:spacing w:before="1"/>
              <w:ind w:left="230"/>
              <w:rPr>
                <w:sz w:val="36"/>
              </w:rPr>
            </w:pPr>
            <w:r>
              <w:rPr>
                <w:sz w:val="36"/>
              </w:rPr>
              <w:t>10</w:t>
              <w:tab/>
              <w:t>监理批复、通知、现场指示统计表</w:t>
            </w:r>
          </w:p>
        </w:tc>
        <w:tc>
          <w:tcPr>
            <w:tcW w:w="2121" w:type="dxa"/>
          </w:tcPr>
          <w:p>
            <w:pPr>
              <w:pStyle w:val="TableParagraph"/>
              <w:spacing w:before="4"/>
              <w:rPr>
                <w:rFonts w:ascii="宋体"/>
                <w:b/>
                <w:sz w:val="27"/>
              </w:rPr>
            </w:pPr>
          </w:p>
          <w:p>
            <w:pPr>
              <w:pStyle w:val="TableParagraph"/>
              <w:spacing w:before="1"/>
              <w:ind w:left="445" w:right="196"/>
              <w:jc w:val="center"/>
              <w:rPr>
                <w:sz w:val="36"/>
              </w:rPr>
            </w:pPr>
            <w:r>
              <w:rPr>
                <w:sz w:val="36"/>
              </w:rPr>
              <w:t>监理</w:t>
            </w:r>
          </w:p>
        </w:tc>
        <w:tc>
          <w:tcPr>
            <w:tcW w:w="1706" w:type="dxa"/>
          </w:tcPr>
          <w:p>
            <w:pPr>
              <w:pStyle w:val="TableParagraph"/>
              <w:rPr>
                <w:rFonts w:ascii="Times New Roman"/>
                <w:sz w:val="36"/>
              </w:rPr>
            </w:pPr>
          </w:p>
        </w:tc>
      </w:tr>
      <w:tr>
        <w:tblPrEx>
          <w:tblW w:w="0" w:type="auto"/>
          <w:jc w:val="left"/>
          <w:tblInd w:w="347" w:type="dxa"/>
          <w:tblLayout w:type="fixed"/>
          <w:tblCellMar>
            <w:top w:w="0" w:type="dxa"/>
            <w:left w:w="0" w:type="dxa"/>
            <w:bottom w:w="0" w:type="dxa"/>
            <w:right w:w="0" w:type="dxa"/>
          </w:tblCellMar>
          <w:tblLook w:val="01E0"/>
        </w:tblPrEx>
        <w:trPr>
          <w:trHeight w:val="1153"/>
          <w:jc w:val="left"/>
        </w:trPr>
        <w:tc>
          <w:tcPr>
            <w:tcW w:w="9727" w:type="dxa"/>
            <w:gridSpan w:val="2"/>
          </w:tcPr>
          <w:p>
            <w:pPr>
              <w:pStyle w:val="TableParagraph"/>
              <w:spacing w:before="3"/>
              <w:rPr>
                <w:rFonts w:ascii="宋体"/>
                <w:b/>
                <w:sz w:val="26"/>
              </w:rPr>
            </w:pPr>
          </w:p>
          <w:p>
            <w:pPr>
              <w:pStyle w:val="TableParagraph"/>
              <w:tabs>
                <w:tab w:val="left" w:pos="3863"/>
              </w:tabs>
              <w:ind w:left="230"/>
              <w:rPr>
                <w:sz w:val="36"/>
              </w:rPr>
            </w:pPr>
            <w:r>
              <w:rPr>
                <w:sz w:val="36"/>
              </w:rPr>
              <w:t>11</w:t>
              <w:tab/>
              <w:t>监理工序抽检统计表</w:t>
            </w:r>
          </w:p>
        </w:tc>
        <w:tc>
          <w:tcPr>
            <w:tcW w:w="2121" w:type="dxa"/>
          </w:tcPr>
          <w:p>
            <w:pPr>
              <w:pStyle w:val="TableParagraph"/>
              <w:spacing w:before="3"/>
              <w:rPr>
                <w:rFonts w:ascii="宋体"/>
                <w:b/>
                <w:sz w:val="26"/>
              </w:rPr>
            </w:pPr>
          </w:p>
          <w:p>
            <w:pPr>
              <w:pStyle w:val="TableParagraph"/>
              <w:ind w:left="445" w:right="196"/>
              <w:jc w:val="center"/>
              <w:rPr>
                <w:sz w:val="36"/>
              </w:rPr>
            </w:pPr>
            <w:r>
              <w:rPr>
                <w:sz w:val="36"/>
              </w:rPr>
              <w:t>监理</w:t>
            </w:r>
          </w:p>
        </w:tc>
        <w:tc>
          <w:tcPr>
            <w:tcW w:w="1706" w:type="dxa"/>
          </w:tcPr>
          <w:p>
            <w:pPr>
              <w:pStyle w:val="TableParagraph"/>
              <w:rPr>
                <w:rFonts w:ascii="Times New Roman"/>
                <w:sz w:val="36"/>
              </w:rPr>
            </w:pPr>
          </w:p>
        </w:tc>
      </w:tr>
      <w:tr>
        <w:tblPrEx>
          <w:tblW w:w="0" w:type="auto"/>
          <w:jc w:val="left"/>
          <w:tblInd w:w="347" w:type="dxa"/>
          <w:tblLayout w:type="fixed"/>
          <w:tblCellMar>
            <w:top w:w="0" w:type="dxa"/>
            <w:left w:w="0" w:type="dxa"/>
            <w:bottom w:w="0" w:type="dxa"/>
            <w:right w:w="0" w:type="dxa"/>
          </w:tblCellMar>
          <w:tblLook w:val="01E0"/>
        </w:tblPrEx>
        <w:trPr>
          <w:trHeight w:val="772"/>
          <w:jc w:val="left"/>
        </w:trPr>
        <w:tc>
          <w:tcPr>
            <w:tcW w:w="9727" w:type="dxa"/>
            <w:gridSpan w:val="2"/>
          </w:tcPr>
          <w:p>
            <w:pPr>
              <w:pStyle w:val="TableParagraph"/>
              <w:spacing w:before="10"/>
              <w:rPr>
                <w:rFonts w:ascii="宋体"/>
                <w:b/>
                <w:sz w:val="27"/>
              </w:rPr>
            </w:pPr>
          </w:p>
          <w:p>
            <w:pPr>
              <w:pStyle w:val="TableParagraph"/>
              <w:tabs>
                <w:tab w:val="left" w:pos="2782"/>
              </w:tabs>
              <w:spacing w:line="396" w:lineRule="exact"/>
              <w:ind w:left="230"/>
              <w:rPr>
                <w:sz w:val="36"/>
              </w:rPr>
            </w:pPr>
            <w:r>
              <w:rPr>
                <w:sz w:val="36"/>
              </w:rPr>
              <w:t>12</w:t>
              <w:tab/>
              <w:t>监理原材料、构件检测试验统计表</w:t>
            </w:r>
          </w:p>
        </w:tc>
        <w:tc>
          <w:tcPr>
            <w:tcW w:w="2121" w:type="dxa"/>
          </w:tcPr>
          <w:p>
            <w:pPr>
              <w:pStyle w:val="TableParagraph"/>
              <w:spacing w:before="10"/>
              <w:rPr>
                <w:rFonts w:ascii="宋体"/>
                <w:b/>
                <w:sz w:val="27"/>
              </w:rPr>
            </w:pPr>
          </w:p>
          <w:p>
            <w:pPr>
              <w:pStyle w:val="TableParagraph"/>
              <w:spacing w:line="396" w:lineRule="exact"/>
              <w:ind w:left="445" w:right="196"/>
              <w:jc w:val="center"/>
              <w:rPr>
                <w:sz w:val="36"/>
              </w:rPr>
            </w:pPr>
            <w:r>
              <w:rPr>
                <w:sz w:val="36"/>
              </w:rPr>
              <w:t>监理</w:t>
            </w:r>
          </w:p>
        </w:tc>
        <w:tc>
          <w:tcPr>
            <w:tcW w:w="1706" w:type="dxa"/>
          </w:tcPr>
          <w:p>
            <w:pPr>
              <w:pStyle w:val="TableParagraph"/>
              <w:rPr>
                <w:rFonts w:ascii="Times New Roman"/>
                <w:sz w:val="36"/>
              </w:rPr>
            </w:pPr>
          </w:p>
        </w:tc>
      </w:tr>
      <w:tr>
        <w:tblPrEx>
          <w:tblW w:w="0" w:type="auto"/>
          <w:jc w:val="left"/>
          <w:tblInd w:w="347" w:type="dxa"/>
          <w:tblLayout w:type="fixed"/>
          <w:tblCellMar>
            <w:top w:w="0" w:type="dxa"/>
            <w:left w:w="0" w:type="dxa"/>
            <w:bottom w:w="0" w:type="dxa"/>
            <w:right w:w="0" w:type="dxa"/>
          </w:tblCellMar>
          <w:tblLook w:val="01E0"/>
        </w:tblPrEx>
        <w:trPr>
          <w:trHeight w:val="585"/>
          <w:jc w:val="left"/>
        </w:trPr>
        <w:tc>
          <w:tcPr>
            <w:tcW w:w="9727" w:type="dxa"/>
            <w:gridSpan w:val="2"/>
          </w:tcPr>
          <w:p>
            <w:pPr>
              <w:pStyle w:val="TableParagraph"/>
              <w:rPr>
                <w:rFonts w:ascii="Times New Roman"/>
                <w:sz w:val="36"/>
              </w:rPr>
            </w:pPr>
          </w:p>
        </w:tc>
        <w:tc>
          <w:tcPr>
            <w:tcW w:w="2121" w:type="dxa"/>
          </w:tcPr>
          <w:p>
            <w:pPr>
              <w:pStyle w:val="TableParagraph"/>
              <w:rPr>
                <w:rFonts w:ascii="Times New Roman"/>
                <w:sz w:val="36"/>
              </w:rPr>
            </w:pPr>
          </w:p>
        </w:tc>
        <w:tc>
          <w:tcPr>
            <w:tcW w:w="1706" w:type="dxa"/>
          </w:tcPr>
          <w:p>
            <w:pPr>
              <w:pStyle w:val="TableParagraph"/>
              <w:spacing w:line="416" w:lineRule="exact"/>
              <w:ind w:left="197" w:right="29"/>
              <w:jc w:val="center"/>
              <w:rPr>
                <w:sz w:val="36"/>
              </w:rPr>
            </w:pPr>
            <w:r>
              <w:rPr>
                <w:sz w:val="36"/>
              </w:rPr>
              <w:t>按参加验</w:t>
            </w:r>
          </w:p>
        </w:tc>
      </w:tr>
      <w:tr>
        <w:tblPrEx>
          <w:tblW w:w="0" w:type="auto"/>
          <w:jc w:val="left"/>
          <w:tblInd w:w="347" w:type="dxa"/>
          <w:tblLayout w:type="fixed"/>
          <w:tblCellMar>
            <w:top w:w="0" w:type="dxa"/>
            <w:left w:w="0" w:type="dxa"/>
            <w:bottom w:w="0" w:type="dxa"/>
            <w:right w:w="0" w:type="dxa"/>
          </w:tblCellMar>
          <w:tblLook w:val="01E0"/>
        </w:tblPrEx>
        <w:trPr>
          <w:trHeight w:val="622"/>
          <w:jc w:val="left"/>
        </w:trPr>
        <w:tc>
          <w:tcPr>
            <w:tcW w:w="9727" w:type="dxa"/>
            <w:gridSpan w:val="2"/>
          </w:tcPr>
          <w:p>
            <w:pPr>
              <w:pStyle w:val="TableParagraph"/>
              <w:tabs>
                <w:tab w:val="left" w:pos="1702"/>
              </w:tabs>
              <w:spacing w:before="169" w:line="434" w:lineRule="exact"/>
              <w:ind w:left="230"/>
              <w:rPr>
                <w:sz w:val="36"/>
              </w:rPr>
            </w:pPr>
            <w:r>
              <w:rPr>
                <w:sz w:val="36"/>
              </w:rPr>
              <w:t>13</w:t>
              <w:tab/>
              <w:t>监理中间产品、混凝土（砂浆）试件质量统计表</w:t>
            </w:r>
          </w:p>
        </w:tc>
        <w:tc>
          <w:tcPr>
            <w:tcW w:w="2121" w:type="dxa"/>
          </w:tcPr>
          <w:p>
            <w:pPr>
              <w:pStyle w:val="TableParagraph"/>
              <w:spacing w:before="169" w:line="434" w:lineRule="exact"/>
              <w:ind w:left="445" w:right="196"/>
              <w:jc w:val="center"/>
              <w:rPr>
                <w:sz w:val="36"/>
              </w:rPr>
            </w:pPr>
            <w:r>
              <w:rPr>
                <w:sz w:val="36"/>
              </w:rPr>
              <w:t>监理</w:t>
            </w:r>
          </w:p>
        </w:tc>
        <w:tc>
          <w:tcPr>
            <w:tcW w:w="1706" w:type="dxa"/>
          </w:tcPr>
          <w:p>
            <w:pPr>
              <w:pStyle w:val="TableParagraph"/>
              <w:spacing w:before="212" w:line="391" w:lineRule="exact"/>
              <w:ind w:left="197" w:right="29"/>
              <w:jc w:val="center"/>
              <w:rPr>
                <w:sz w:val="36"/>
              </w:rPr>
            </w:pPr>
            <w:r>
              <w:rPr>
                <w:sz w:val="36"/>
              </w:rPr>
              <w:t>收单位各</w:t>
            </w:r>
          </w:p>
        </w:tc>
      </w:tr>
      <w:tr>
        <w:tblPrEx>
          <w:tblW w:w="0" w:type="auto"/>
          <w:jc w:val="left"/>
          <w:tblInd w:w="347" w:type="dxa"/>
          <w:tblLayout w:type="fixed"/>
          <w:tblCellMar>
            <w:top w:w="0" w:type="dxa"/>
            <w:left w:w="0" w:type="dxa"/>
            <w:bottom w:w="0" w:type="dxa"/>
            <w:right w:w="0" w:type="dxa"/>
          </w:tblCellMar>
          <w:tblLook w:val="01E0"/>
        </w:tblPrEx>
        <w:trPr>
          <w:trHeight w:val="811"/>
          <w:jc w:val="left"/>
        </w:trPr>
        <w:tc>
          <w:tcPr>
            <w:tcW w:w="1416" w:type="dxa"/>
          </w:tcPr>
          <w:p>
            <w:pPr>
              <w:pStyle w:val="TableParagraph"/>
              <w:rPr>
                <w:rFonts w:ascii="Times New Roman"/>
                <w:sz w:val="36"/>
              </w:rPr>
            </w:pPr>
          </w:p>
        </w:tc>
        <w:tc>
          <w:tcPr>
            <w:tcW w:w="8311" w:type="dxa"/>
          </w:tcPr>
          <w:p>
            <w:pPr>
              <w:pStyle w:val="TableParagraph"/>
              <w:rPr>
                <w:rFonts w:ascii="Times New Roman"/>
                <w:sz w:val="36"/>
              </w:rPr>
            </w:pPr>
          </w:p>
        </w:tc>
        <w:tc>
          <w:tcPr>
            <w:tcW w:w="2121" w:type="dxa"/>
          </w:tcPr>
          <w:p>
            <w:pPr>
              <w:pStyle w:val="TableParagraph"/>
              <w:rPr>
                <w:rFonts w:ascii="Times New Roman"/>
                <w:sz w:val="36"/>
              </w:rPr>
            </w:pPr>
          </w:p>
        </w:tc>
        <w:tc>
          <w:tcPr>
            <w:tcW w:w="1706" w:type="dxa"/>
          </w:tcPr>
          <w:p>
            <w:pPr>
              <w:pStyle w:val="TableParagraph"/>
              <w:spacing w:before="6"/>
              <w:rPr>
                <w:rFonts w:ascii="宋体"/>
                <w:b/>
                <w:sz w:val="33"/>
              </w:rPr>
            </w:pPr>
          </w:p>
          <w:p>
            <w:pPr>
              <w:pStyle w:val="TableParagraph"/>
              <w:spacing w:line="362" w:lineRule="exact"/>
              <w:ind w:left="197" w:right="29"/>
              <w:jc w:val="center"/>
              <w:rPr>
                <w:sz w:val="36"/>
              </w:rPr>
            </w:pPr>
            <w:r>
              <w:rPr>
                <w:sz w:val="36"/>
              </w:rPr>
              <w:t>一份准备</w:t>
            </w:r>
          </w:p>
        </w:tc>
      </w:tr>
      <w:tr>
        <w:tblPrEx>
          <w:tblW w:w="0" w:type="auto"/>
          <w:jc w:val="left"/>
          <w:tblInd w:w="347" w:type="dxa"/>
          <w:tblLayout w:type="fixed"/>
          <w:tblCellMar>
            <w:top w:w="0" w:type="dxa"/>
            <w:left w:w="0" w:type="dxa"/>
            <w:bottom w:w="0" w:type="dxa"/>
            <w:right w:w="0" w:type="dxa"/>
          </w:tblCellMar>
          <w:tblLook w:val="01E0"/>
        </w:tblPrEx>
        <w:trPr>
          <w:trHeight w:val="360"/>
          <w:jc w:val="left"/>
        </w:trPr>
        <w:tc>
          <w:tcPr>
            <w:tcW w:w="1416" w:type="dxa"/>
          </w:tcPr>
          <w:p>
            <w:pPr>
              <w:pStyle w:val="TableParagraph"/>
              <w:spacing w:line="340" w:lineRule="exact"/>
              <w:ind w:left="30" w:right="625"/>
              <w:jc w:val="center"/>
              <w:rPr>
                <w:sz w:val="36"/>
              </w:rPr>
            </w:pPr>
            <w:r>
              <w:rPr>
                <w:sz w:val="36"/>
              </w:rPr>
              <w:t>14</w:t>
            </w:r>
          </w:p>
        </w:tc>
        <w:tc>
          <w:tcPr>
            <w:tcW w:w="8311" w:type="dxa"/>
          </w:tcPr>
          <w:p>
            <w:pPr>
              <w:pStyle w:val="TableParagraph"/>
              <w:spacing w:line="340" w:lineRule="exact"/>
              <w:ind w:left="627" w:right="801"/>
              <w:jc w:val="center"/>
              <w:rPr>
                <w:sz w:val="36"/>
              </w:rPr>
            </w:pPr>
            <w:r>
              <w:rPr>
                <w:sz w:val="36"/>
              </w:rPr>
              <w:t>工程项目划分资料</w:t>
            </w:r>
          </w:p>
        </w:tc>
        <w:tc>
          <w:tcPr>
            <w:tcW w:w="3827" w:type="dxa"/>
            <w:gridSpan w:val="2"/>
          </w:tcPr>
          <w:p>
            <w:pPr>
              <w:pStyle w:val="TableParagraph"/>
              <w:spacing w:line="340" w:lineRule="exact"/>
              <w:ind w:left="825"/>
              <w:rPr>
                <w:sz w:val="36"/>
              </w:rPr>
            </w:pPr>
            <w:r>
              <w:rPr>
                <w:sz w:val="36"/>
              </w:rPr>
              <w:t>监理</w:t>
            </w:r>
          </w:p>
        </w:tc>
      </w:tr>
    </w:tbl>
    <w:p>
      <w:pPr>
        <w:spacing w:after="0" w:line="340" w:lineRule="exact"/>
        <w:rPr>
          <w:sz w:val="36"/>
        </w:rPr>
        <w:sectPr>
          <w:headerReference w:type="default" r:id="rId34"/>
          <w:footerReference w:type="default" r:id="rId35"/>
          <w:pgSz w:w="17860" w:h="25260"/>
          <w:pgMar w:top="1400" w:right="0" w:bottom="2040" w:left="1800" w:header="1088" w:footer="1798"/>
          <w:pgNumType w:start="12"/>
          <w:cols w:space="708"/>
        </w:sectPr>
      </w:pPr>
    </w:p>
    <w:p>
      <w:pPr>
        <w:pStyle w:val="BodyText"/>
        <w:rPr>
          <w:rFonts w:ascii="宋体"/>
          <w:b/>
          <w:sz w:val="20"/>
        </w:rPr>
      </w:pPr>
      <w:r>
        <w:drawing>
          <wp:anchor distT="0" distB="0" distL="0" distR="0" simplePos="0" relativeHeight="251670528" behindDoc="1" locked="0" layoutInCell="1" allowOverlap="1">
            <wp:simplePos x="0" y="0"/>
            <wp:positionH relativeFrom="page">
              <wp:posOffset>1231900</wp:posOffset>
            </wp:positionH>
            <wp:positionV relativeFrom="page">
              <wp:posOffset>2222500</wp:posOffset>
            </wp:positionV>
            <wp:extent cx="9321800" cy="12242800"/>
            <wp:effectExtent l="0" t="0" r="0" b="0"/>
            <wp:wrapNone/>
            <wp:docPr id="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0.png"/>
                    <pic:cNvPicPr/>
                  </pic:nvPicPr>
                  <pic:blipFill>
                    <a:blip xmlns:r="http://schemas.openxmlformats.org/officeDocument/2006/relationships" r:embed="rId36" cstate="print"/>
                    <a:stretch>
                      <a:fillRect/>
                    </a:stretch>
                  </pic:blipFill>
                  <pic:spPr>
                    <a:xfrm>
                      <a:off x="0" y="0"/>
                      <a:ext cx="9321800" cy="12242800"/>
                    </a:xfrm>
                    <a:prstGeom prst="rect">
                      <a:avLst/>
                    </a:prstGeom>
                  </pic:spPr>
                </pic:pic>
              </a:graphicData>
            </a:graphic>
          </wp:anchor>
        </w:drawing>
      </w:r>
    </w:p>
    <w:p>
      <w:pPr>
        <w:pStyle w:val="BodyText"/>
        <w:spacing w:before="2"/>
        <w:rPr>
          <w:rFonts w:ascii="宋体"/>
          <w:b/>
          <w:sz w:val="17"/>
        </w:rPr>
      </w:pPr>
    </w:p>
    <w:p>
      <w:pPr>
        <w:tabs>
          <w:tab w:val="left" w:pos="4656"/>
        </w:tabs>
        <w:spacing w:before="42"/>
        <w:ind w:left="328" w:right="0" w:firstLine="0"/>
        <w:jc w:val="left"/>
        <w:rPr>
          <w:rFonts w:ascii="宋体" w:eastAsia="宋体" w:hint="eastAsia"/>
          <w:b/>
          <w:sz w:val="42"/>
        </w:rPr>
      </w:pPr>
      <w:r>
        <w:rPr>
          <w:rFonts w:ascii="宋体" w:eastAsia="宋体" w:hint="eastAsia"/>
          <w:b/>
          <w:sz w:val="42"/>
        </w:rPr>
        <w:t>表</w:t>
      </w:r>
      <w:r>
        <w:rPr>
          <w:rFonts w:ascii="宋体" w:eastAsia="宋体" w:hint="eastAsia"/>
          <w:b/>
          <w:spacing w:val="-109"/>
          <w:sz w:val="42"/>
        </w:rPr>
        <w:t xml:space="preserve"> </w:t>
      </w:r>
      <w:r>
        <w:rPr>
          <w:rFonts w:ascii="宋体" w:eastAsia="宋体" w:hint="eastAsia"/>
          <w:b/>
          <w:sz w:val="42"/>
        </w:rPr>
        <w:t>1</w:t>
        <w:tab/>
        <w:t>拟验分部工程的单元工程清单</w:t>
      </w:r>
    </w:p>
    <w:p>
      <w:pPr>
        <w:pStyle w:val="BodyText"/>
        <w:spacing w:before="8"/>
        <w:rPr>
          <w:rFonts w:ascii="宋体"/>
          <w:b/>
          <w:sz w:val="30"/>
        </w:rPr>
      </w:pPr>
    </w:p>
    <w:p>
      <w:pPr>
        <w:spacing w:before="0"/>
        <w:ind w:left="328" w:right="0" w:firstLine="0"/>
        <w:jc w:val="left"/>
        <w:rPr>
          <w:sz w:val="36"/>
        </w:rPr>
      </w:pPr>
      <w:r>
        <w:rPr>
          <w:sz w:val="36"/>
        </w:rPr>
        <w:t>施工单位：中国水利水电第十一工程局有限公司</w:t>
      </w:r>
    </w:p>
    <w:p>
      <w:pPr>
        <w:pStyle w:val="BodyText"/>
        <w:spacing w:before="9"/>
        <w:rPr>
          <w:sz w:val="47"/>
        </w:rPr>
      </w:pPr>
    </w:p>
    <w:p>
      <w:pPr>
        <w:tabs>
          <w:tab w:val="left" w:pos="4843"/>
          <w:tab w:val="left" w:pos="10550"/>
          <w:tab w:val="left" w:pos="12649"/>
        </w:tabs>
        <w:spacing w:before="0"/>
        <w:ind w:left="353" w:right="0" w:firstLine="0"/>
        <w:jc w:val="left"/>
        <w:rPr>
          <w:sz w:val="36"/>
        </w:rPr>
      </w:pPr>
      <w:r>
        <w:rPr>
          <w:sz w:val="36"/>
        </w:rPr>
        <w:t>单位工程名称</w:t>
        <w:tab/>
        <w:t>穿越河渠、道路工程</w:t>
        <w:tab/>
        <w:t>编号</w:t>
        <w:tab/>
        <w:t>SG03-3</w:t>
      </w:r>
    </w:p>
    <w:p>
      <w:pPr>
        <w:pStyle w:val="BodyText"/>
        <w:rPr>
          <w:sz w:val="36"/>
        </w:rPr>
      </w:pPr>
    </w:p>
    <w:p>
      <w:pPr>
        <w:pStyle w:val="BodyText"/>
        <w:spacing w:before="11"/>
        <w:rPr>
          <w:sz w:val="28"/>
        </w:rPr>
      </w:pPr>
    </w:p>
    <w:p>
      <w:pPr>
        <w:tabs>
          <w:tab w:val="left" w:pos="5203"/>
          <w:tab w:val="left" w:pos="10550"/>
          <w:tab w:val="left" w:pos="12469"/>
        </w:tabs>
        <w:spacing w:before="0"/>
        <w:ind w:left="353" w:right="0" w:firstLine="0"/>
        <w:jc w:val="left"/>
        <w:rPr>
          <w:sz w:val="36"/>
        </w:rPr>
      </w:pPr>
      <w:r>
        <w:rPr>
          <w:sz w:val="36"/>
        </w:rPr>
        <w:t>分部工程名称</w:t>
        <w:tab/>
        <w:t>穿越民有二干渠</w:t>
        <w:tab/>
        <w:t>编号</w:t>
        <w:tab/>
        <w:t>SG03-3-3</w:t>
      </w:r>
    </w:p>
    <w:p>
      <w:pPr>
        <w:pStyle w:val="BodyText"/>
        <w:rPr>
          <w:sz w:val="20"/>
        </w:rPr>
      </w:pPr>
    </w:p>
    <w:p>
      <w:pPr>
        <w:pStyle w:val="BodyText"/>
        <w:spacing w:before="11"/>
        <w:rPr>
          <w:sz w:val="23"/>
        </w:rPr>
      </w:pPr>
    </w:p>
    <w:p>
      <w:pPr>
        <w:tabs>
          <w:tab w:val="left" w:pos="13423"/>
        </w:tabs>
        <w:spacing w:before="50" w:line="441" w:lineRule="exact"/>
        <w:ind w:left="11832" w:right="0" w:firstLine="0"/>
        <w:jc w:val="left"/>
        <w:rPr>
          <w:sz w:val="36"/>
        </w:rPr>
      </w:pPr>
      <w:r>
        <w:rPr>
          <w:sz w:val="36"/>
        </w:rPr>
        <w:t>重要隐</w:t>
        <w:tab/>
        <w:t>关键部</w:t>
      </w:r>
    </w:p>
    <w:p>
      <w:pPr>
        <w:tabs>
          <w:tab w:val="left" w:pos="1375"/>
        </w:tabs>
        <w:spacing w:before="0" w:after="11" w:line="441" w:lineRule="exact"/>
        <w:ind w:left="468" w:right="0" w:firstLine="0"/>
        <w:jc w:val="left"/>
        <w:rPr>
          <w:sz w:val="36"/>
        </w:rPr>
      </w:pPr>
      <w:r>
        <w:rPr>
          <w:sz w:val="36"/>
        </w:rPr>
        <w:t>项</w:t>
        <w:tab/>
        <w:t>单元工</w:t>
      </w:r>
    </w:p>
    <w:tbl>
      <w:tblPr>
        <w:tblStyle w:val="TableNormal1"/>
        <w:tblW w:w="0" w:type="auto"/>
        <w:jc w:val="lef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4"/>
        <w:gridCol w:w="1788"/>
        <w:gridCol w:w="2685"/>
        <w:gridCol w:w="3232"/>
        <w:gridCol w:w="1453"/>
        <w:gridCol w:w="1293"/>
        <w:gridCol w:w="1617"/>
        <w:gridCol w:w="1386"/>
      </w:tblGrid>
      <w:tr>
        <w:tblPrEx>
          <w:tblW w:w="0" w:type="auto"/>
          <w:jc w:val="lef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0"/>
          <w:jc w:val="left"/>
        </w:trPr>
        <w:tc>
          <w:tcPr>
            <w:tcW w:w="8389" w:type="dxa"/>
            <w:gridSpan w:val="4"/>
          </w:tcPr>
          <w:p>
            <w:pPr>
              <w:pStyle w:val="TableParagraph"/>
              <w:spacing w:line="340" w:lineRule="exact"/>
              <w:ind w:left="4345"/>
              <w:rPr>
                <w:sz w:val="36"/>
              </w:rPr>
            </w:pPr>
            <w:r>
              <w:rPr>
                <w:sz w:val="36"/>
              </w:rPr>
              <w:t>单元工程名称</w:t>
            </w:r>
          </w:p>
        </w:tc>
        <w:tc>
          <w:tcPr>
            <w:tcW w:w="1453" w:type="dxa"/>
          </w:tcPr>
          <w:p>
            <w:pPr>
              <w:pStyle w:val="TableParagraph"/>
              <w:spacing w:line="340" w:lineRule="exact"/>
              <w:ind w:left="419" w:right="274"/>
              <w:jc w:val="center"/>
              <w:rPr>
                <w:sz w:val="36"/>
              </w:rPr>
            </w:pPr>
            <w:r>
              <w:rPr>
                <w:sz w:val="36"/>
              </w:rPr>
              <w:t>合格</w:t>
            </w:r>
          </w:p>
        </w:tc>
        <w:tc>
          <w:tcPr>
            <w:tcW w:w="1293" w:type="dxa"/>
          </w:tcPr>
          <w:p>
            <w:pPr>
              <w:pStyle w:val="TableParagraph"/>
              <w:spacing w:line="340" w:lineRule="exact"/>
              <w:ind w:left="269" w:right="264"/>
              <w:jc w:val="center"/>
              <w:rPr>
                <w:sz w:val="36"/>
              </w:rPr>
            </w:pPr>
            <w:r>
              <w:rPr>
                <w:sz w:val="36"/>
              </w:rPr>
              <w:t>优良</w:t>
            </w:r>
          </w:p>
        </w:tc>
        <w:tc>
          <w:tcPr>
            <w:tcW w:w="1617" w:type="dxa"/>
          </w:tcPr>
          <w:p>
            <w:pPr>
              <w:pStyle w:val="TableParagraph"/>
              <w:spacing w:line="340" w:lineRule="exact"/>
              <w:ind w:left="258" w:right="238"/>
              <w:jc w:val="center"/>
              <w:rPr>
                <w:sz w:val="36"/>
              </w:rPr>
            </w:pPr>
            <w:r>
              <w:rPr>
                <w:sz w:val="36"/>
              </w:rPr>
              <w:t>蔽单元</w:t>
            </w:r>
          </w:p>
        </w:tc>
        <w:tc>
          <w:tcPr>
            <w:tcW w:w="1386" w:type="dxa"/>
          </w:tcPr>
          <w:p>
            <w:pPr>
              <w:pStyle w:val="TableParagraph"/>
              <w:spacing w:line="340" w:lineRule="exact"/>
              <w:ind w:left="233" w:right="33"/>
              <w:jc w:val="center"/>
              <w:rPr>
                <w:sz w:val="36"/>
              </w:rPr>
            </w:pPr>
            <w:r>
              <w:rPr>
                <w:sz w:val="36"/>
              </w:rPr>
              <w:t>位单元</w:t>
            </w:r>
          </w:p>
        </w:tc>
      </w:tr>
      <w:tr>
        <w:tblPrEx>
          <w:tblW w:w="0" w:type="auto"/>
          <w:jc w:val="left"/>
          <w:tblInd w:w="426" w:type="dxa"/>
          <w:tblLayout w:type="fixed"/>
          <w:tblCellMar>
            <w:top w:w="0" w:type="dxa"/>
            <w:left w:w="0" w:type="dxa"/>
            <w:bottom w:w="0" w:type="dxa"/>
            <w:right w:w="0" w:type="dxa"/>
          </w:tblCellMar>
          <w:tblLook w:val="01E0"/>
        </w:tblPrEx>
        <w:trPr>
          <w:trHeight w:val="448"/>
          <w:jc w:val="left"/>
        </w:trPr>
        <w:tc>
          <w:tcPr>
            <w:tcW w:w="684" w:type="dxa"/>
          </w:tcPr>
          <w:p>
            <w:pPr>
              <w:pStyle w:val="TableParagraph"/>
              <w:spacing w:before="7" w:line="421" w:lineRule="exact"/>
              <w:ind w:right="223"/>
              <w:jc w:val="center"/>
              <w:rPr>
                <w:sz w:val="36"/>
              </w:rPr>
            </w:pPr>
            <w:r>
              <w:rPr>
                <w:sz w:val="36"/>
              </w:rPr>
              <w:t>次</w:t>
            </w:r>
          </w:p>
        </w:tc>
        <w:tc>
          <w:tcPr>
            <w:tcW w:w="1788" w:type="dxa"/>
          </w:tcPr>
          <w:p>
            <w:pPr>
              <w:pStyle w:val="TableParagraph"/>
              <w:spacing w:before="7" w:line="421" w:lineRule="exact"/>
              <w:ind w:left="273"/>
              <w:rPr>
                <w:sz w:val="36"/>
              </w:rPr>
            </w:pPr>
            <w:r>
              <w:rPr>
                <w:sz w:val="36"/>
              </w:rPr>
              <w:t>程种类</w:t>
            </w:r>
          </w:p>
        </w:tc>
        <w:tc>
          <w:tcPr>
            <w:tcW w:w="2685" w:type="dxa"/>
          </w:tcPr>
          <w:p>
            <w:pPr>
              <w:pStyle w:val="TableParagraph"/>
              <w:rPr>
                <w:rFonts w:ascii="Times New Roman"/>
                <w:sz w:val="34"/>
              </w:rPr>
            </w:pPr>
          </w:p>
        </w:tc>
        <w:tc>
          <w:tcPr>
            <w:tcW w:w="3232" w:type="dxa"/>
          </w:tcPr>
          <w:p>
            <w:pPr>
              <w:pStyle w:val="TableParagraph"/>
              <w:rPr>
                <w:rFonts w:ascii="Times New Roman"/>
                <w:sz w:val="34"/>
              </w:rPr>
            </w:pPr>
          </w:p>
        </w:tc>
        <w:tc>
          <w:tcPr>
            <w:tcW w:w="1453" w:type="dxa"/>
          </w:tcPr>
          <w:p>
            <w:pPr>
              <w:pStyle w:val="TableParagraph"/>
              <w:rPr>
                <w:rFonts w:ascii="Times New Roman"/>
                <w:sz w:val="34"/>
              </w:rPr>
            </w:pPr>
          </w:p>
        </w:tc>
        <w:tc>
          <w:tcPr>
            <w:tcW w:w="1293" w:type="dxa"/>
          </w:tcPr>
          <w:p>
            <w:pPr>
              <w:pStyle w:val="TableParagraph"/>
              <w:rPr>
                <w:rFonts w:ascii="Times New Roman"/>
                <w:sz w:val="34"/>
              </w:rPr>
            </w:pPr>
          </w:p>
        </w:tc>
        <w:tc>
          <w:tcPr>
            <w:tcW w:w="1617" w:type="dxa"/>
          </w:tcPr>
          <w:p>
            <w:pPr>
              <w:pStyle w:val="TableParagraph"/>
              <w:rPr>
                <w:rFonts w:ascii="Times New Roman"/>
                <w:sz w:val="34"/>
              </w:rPr>
            </w:pPr>
          </w:p>
        </w:tc>
        <w:tc>
          <w:tcPr>
            <w:tcW w:w="1386" w:type="dxa"/>
          </w:tcPr>
          <w:p>
            <w:pPr>
              <w:pStyle w:val="TableParagraph"/>
              <w:rPr>
                <w:rFonts w:ascii="Times New Roman"/>
                <w:sz w:val="34"/>
              </w:rPr>
            </w:pPr>
          </w:p>
        </w:tc>
      </w:tr>
      <w:tr>
        <w:tblPrEx>
          <w:tblW w:w="0" w:type="auto"/>
          <w:jc w:val="left"/>
          <w:tblInd w:w="426" w:type="dxa"/>
          <w:tblLayout w:type="fixed"/>
          <w:tblCellMar>
            <w:top w:w="0" w:type="dxa"/>
            <w:left w:w="0" w:type="dxa"/>
            <w:bottom w:w="0" w:type="dxa"/>
            <w:right w:w="0" w:type="dxa"/>
          </w:tblCellMar>
          <w:tblLook w:val="01E0"/>
        </w:tblPrEx>
        <w:trPr>
          <w:trHeight w:val="1929"/>
          <w:jc w:val="left"/>
        </w:trPr>
        <w:tc>
          <w:tcPr>
            <w:tcW w:w="684" w:type="dxa"/>
          </w:tcPr>
          <w:p>
            <w:pPr>
              <w:pStyle w:val="TableParagraph"/>
              <w:rPr>
                <w:sz w:val="36"/>
              </w:rPr>
            </w:pPr>
          </w:p>
          <w:p>
            <w:pPr>
              <w:pStyle w:val="TableParagraph"/>
              <w:spacing w:before="2"/>
              <w:rPr>
                <w:sz w:val="46"/>
              </w:rPr>
            </w:pPr>
          </w:p>
          <w:p>
            <w:pPr>
              <w:pStyle w:val="TableParagraph"/>
              <w:ind w:right="223"/>
              <w:jc w:val="center"/>
              <w:rPr>
                <w:sz w:val="36"/>
              </w:rPr>
            </w:pPr>
            <w:r>
              <w:rPr>
                <w:sz w:val="36"/>
              </w:rPr>
              <w:t>1</w:t>
            </w:r>
          </w:p>
        </w:tc>
        <w:tc>
          <w:tcPr>
            <w:tcW w:w="1788" w:type="dxa"/>
          </w:tcPr>
          <w:p>
            <w:pPr>
              <w:pStyle w:val="TableParagraph"/>
              <w:rPr>
                <w:rFonts w:ascii="Times New Roman"/>
                <w:sz w:val="36"/>
              </w:rPr>
            </w:pPr>
          </w:p>
        </w:tc>
        <w:tc>
          <w:tcPr>
            <w:tcW w:w="2685" w:type="dxa"/>
          </w:tcPr>
          <w:p>
            <w:pPr>
              <w:pStyle w:val="TableParagraph"/>
              <w:rPr>
                <w:sz w:val="36"/>
              </w:rPr>
            </w:pPr>
          </w:p>
          <w:p>
            <w:pPr>
              <w:pStyle w:val="TableParagraph"/>
              <w:spacing w:before="2"/>
              <w:rPr>
                <w:sz w:val="46"/>
              </w:rPr>
            </w:pPr>
          </w:p>
          <w:p>
            <w:pPr>
              <w:pStyle w:val="TableParagraph"/>
              <w:ind w:left="792"/>
              <w:rPr>
                <w:sz w:val="36"/>
              </w:rPr>
            </w:pPr>
            <w:r>
              <w:rPr>
                <w:sz w:val="36"/>
              </w:rPr>
              <w:t>沟槽开挖</w:t>
            </w:r>
          </w:p>
        </w:tc>
        <w:tc>
          <w:tcPr>
            <w:tcW w:w="3232" w:type="dxa"/>
          </w:tcPr>
          <w:p>
            <w:pPr>
              <w:pStyle w:val="TableParagraph"/>
              <w:rPr>
                <w:sz w:val="36"/>
              </w:rPr>
            </w:pPr>
          </w:p>
          <w:p>
            <w:pPr>
              <w:pStyle w:val="TableParagraph"/>
              <w:spacing w:before="2"/>
              <w:rPr>
                <w:sz w:val="46"/>
              </w:rPr>
            </w:pPr>
          </w:p>
          <w:p>
            <w:pPr>
              <w:pStyle w:val="TableParagraph"/>
              <w:ind w:left="268"/>
              <w:rPr>
                <w:sz w:val="36"/>
              </w:rPr>
            </w:pPr>
            <w:r>
              <w:rPr>
                <w:sz w:val="36"/>
              </w:rPr>
              <w:t>SG03-3-3-001</w:t>
            </w:r>
          </w:p>
        </w:tc>
        <w:tc>
          <w:tcPr>
            <w:tcW w:w="1453" w:type="dxa"/>
          </w:tcPr>
          <w:p>
            <w:pPr>
              <w:pStyle w:val="TableParagraph"/>
              <w:rPr>
                <w:sz w:val="36"/>
              </w:rPr>
            </w:pPr>
          </w:p>
          <w:p>
            <w:pPr>
              <w:pStyle w:val="TableParagraph"/>
              <w:spacing w:before="2"/>
              <w:rPr>
                <w:sz w:val="46"/>
              </w:rPr>
            </w:pPr>
          </w:p>
          <w:p>
            <w:pPr>
              <w:pStyle w:val="TableParagraph"/>
              <w:ind w:left="145"/>
              <w:jc w:val="center"/>
              <w:rPr>
                <w:sz w:val="36"/>
              </w:rPr>
            </w:pPr>
            <w:r>
              <w:rPr>
                <w:sz w:val="36"/>
              </w:rPr>
              <w:t>√</w:t>
            </w:r>
          </w:p>
        </w:tc>
        <w:tc>
          <w:tcPr>
            <w:tcW w:w="1293" w:type="dxa"/>
          </w:tcPr>
          <w:p>
            <w:pPr>
              <w:pStyle w:val="TableParagraph"/>
              <w:rPr>
                <w:sz w:val="36"/>
              </w:rPr>
            </w:pPr>
          </w:p>
          <w:p>
            <w:pPr>
              <w:pStyle w:val="TableParagraph"/>
              <w:spacing w:before="2"/>
              <w:rPr>
                <w:sz w:val="46"/>
              </w:rPr>
            </w:pPr>
          </w:p>
          <w:p>
            <w:pPr>
              <w:pStyle w:val="TableParagraph"/>
              <w:ind w:left="5"/>
              <w:jc w:val="center"/>
              <w:rPr>
                <w:sz w:val="36"/>
              </w:rPr>
            </w:pPr>
            <w:r>
              <w:rPr>
                <w:sz w:val="36"/>
              </w:rPr>
              <w:t>√</w:t>
            </w:r>
          </w:p>
        </w:tc>
        <w:tc>
          <w:tcPr>
            <w:tcW w:w="1617" w:type="dxa"/>
          </w:tcPr>
          <w:p>
            <w:pPr>
              <w:pStyle w:val="TableParagraph"/>
              <w:spacing w:line="441" w:lineRule="exact"/>
              <w:ind w:left="258" w:right="238"/>
              <w:jc w:val="center"/>
              <w:rPr>
                <w:sz w:val="36"/>
              </w:rPr>
            </w:pPr>
            <w:r>
              <w:rPr>
                <w:sz w:val="36"/>
              </w:rPr>
              <w:t>工程</w:t>
            </w:r>
          </w:p>
          <w:p>
            <w:pPr>
              <w:pStyle w:val="TableParagraph"/>
              <w:spacing w:before="9"/>
              <w:rPr>
                <w:sz w:val="47"/>
              </w:rPr>
            </w:pPr>
          </w:p>
          <w:p>
            <w:pPr>
              <w:pStyle w:val="TableParagraph"/>
              <w:ind w:left="20"/>
              <w:jc w:val="center"/>
              <w:rPr>
                <w:sz w:val="36"/>
              </w:rPr>
            </w:pPr>
            <w:r>
              <w:rPr>
                <w:sz w:val="36"/>
              </w:rPr>
              <w:t>√</w:t>
            </w:r>
          </w:p>
        </w:tc>
        <w:tc>
          <w:tcPr>
            <w:tcW w:w="1386" w:type="dxa"/>
          </w:tcPr>
          <w:p>
            <w:pPr>
              <w:pStyle w:val="TableParagraph"/>
              <w:spacing w:line="441" w:lineRule="exact"/>
              <w:ind w:left="233" w:right="33"/>
              <w:jc w:val="center"/>
              <w:rPr>
                <w:sz w:val="36"/>
              </w:rPr>
            </w:pPr>
            <w:r>
              <w:rPr>
                <w:sz w:val="36"/>
              </w:rPr>
              <w:t>工程</w:t>
            </w:r>
          </w:p>
        </w:tc>
      </w:tr>
      <w:tr>
        <w:tblPrEx>
          <w:tblW w:w="0" w:type="auto"/>
          <w:jc w:val="left"/>
          <w:tblInd w:w="426" w:type="dxa"/>
          <w:tblLayout w:type="fixed"/>
          <w:tblCellMar>
            <w:top w:w="0" w:type="dxa"/>
            <w:left w:w="0" w:type="dxa"/>
            <w:bottom w:w="0" w:type="dxa"/>
            <w:right w:w="0" w:type="dxa"/>
          </w:tblCellMar>
          <w:tblLook w:val="01E0"/>
        </w:tblPrEx>
        <w:trPr>
          <w:trHeight w:val="1290"/>
          <w:jc w:val="left"/>
        </w:trPr>
        <w:tc>
          <w:tcPr>
            <w:tcW w:w="684" w:type="dxa"/>
          </w:tcPr>
          <w:p>
            <w:pPr>
              <w:pStyle w:val="TableParagraph"/>
              <w:spacing w:before="5"/>
              <w:rPr>
                <w:sz w:val="32"/>
              </w:rPr>
            </w:pPr>
          </w:p>
          <w:p>
            <w:pPr>
              <w:pStyle w:val="TableParagraph"/>
              <w:ind w:right="223"/>
              <w:jc w:val="center"/>
              <w:rPr>
                <w:sz w:val="36"/>
              </w:rPr>
            </w:pPr>
            <w:r>
              <w:rPr>
                <w:sz w:val="36"/>
              </w:rPr>
              <w:t>2</w:t>
            </w:r>
          </w:p>
        </w:tc>
        <w:tc>
          <w:tcPr>
            <w:tcW w:w="1788" w:type="dxa"/>
          </w:tcPr>
          <w:p>
            <w:pPr>
              <w:pStyle w:val="TableParagraph"/>
              <w:rPr>
                <w:rFonts w:ascii="Times New Roman"/>
                <w:sz w:val="36"/>
              </w:rPr>
            </w:pPr>
          </w:p>
        </w:tc>
        <w:tc>
          <w:tcPr>
            <w:tcW w:w="2685" w:type="dxa"/>
          </w:tcPr>
          <w:p>
            <w:pPr>
              <w:pStyle w:val="TableParagraph"/>
              <w:spacing w:before="5"/>
              <w:rPr>
                <w:sz w:val="32"/>
              </w:rPr>
            </w:pPr>
          </w:p>
          <w:p>
            <w:pPr>
              <w:pStyle w:val="TableParagraph"/>
              <w:ind w:left="475"/>
              <w:rPr>
                <w:sz w:val="36"/>
              </w:rPr>
            </w:pPr>
            <w:r>
              <w:rPr>
                <w:sz w:val="36"/>
              </w:rPr>
              <w:t>DIP 管道安装</w:t>
            </w:r>
          </w:p>
        </w:tc>
        <w:tc>
          <w:tcPr>
            <w:tcW w:w="3232" w:type="dxa"/>
          </w:tcPr>
          <w:p>
            <w:pPr>
              <w:pStyle w:val="TableParagraph"/>
              <w:spacing w:before="5"/>
              <w:rPr>
                <w:sz w:val="32"/>
              </w:rPr>
            </w:pPr>
          </w:p>
          <w:p>
            <w:pPr>
              <w:pStyle w:val="TableParagraph"/>
              <w:ind w:left="581"/>
              <w:rPr>
                <w:sz w:val="36"/>
              </w:rPr>
            </w:pPr>
            <w:r>
              <w:rPr>
                <w:sz w:val="36"/>
              </w:rPr>
              <w:t>SG03-3-3-001</w:t>
            </w:r>
          </w:p>
        </w:tc>
        <w:tc>
          <w:tcPr>
            <w:tcW w:w="1453" w:type="dxa"/>
          </w:tcPr>
          <w:p>
            <w:pPr>
              <w:pStyle w:val="TableParagraph"/>
              <w:spacing w:before="5"/>
              <w:rPr>
                <w:sz w:val="32"/>
              </w:rPr>
            </w:pPr>
          </w:p>
          <w:p>
            <w:pPr>
              <w:pStyle w:val="TableParagraph"/>
              <w:ind w:left="145"/>
              <w:jc w:val="center"/>
              <w:rPr>
                <w:sz w:val="36"/>
              </w:rPr>
            </w:pPr>
            <w:r>
              <w:rPr>
                <w:sz w:val="36"/>
              </w:rPr>
              <w:t>√</w:t>
            </w:r>
          </w:p>
        </w:tc>
        <w:tc>
          <w:tcPr>
            <w:tcW w:w="1293" w:type="dxa"/>
          </w:tcPr>
          <w:p>
            <w:pPr>
              <w:pStyle w:val="TableParagraph"/>
              <w:spacing w:before="5"/>
              <w:rPr>
                <w:sz w:val="32"/>
              </w:rPr>
            </w:pPr>
          </w:p>
          <w:p>
            <w:pPr>
              <w:pStyle w:val="TableParagraph"/>
              <w:ind w:left="5"/>
              <w:jc w:val="center"/>
              <w:rPr>
                <w:sz w:val="36"/>
              </w:rPr>
            </w:pPr>
            <w:r>
              <w:rPr>
                <w:sz w:val="36"/>
              </w:rPr>
              <w:t>√</w:t>
            </w:r>
          </w:p>
        </w:tc>
        <w:tc>
          <w:tcPr>
            <w:tcW w:w="1617" w:type="dxa"/>
          </w:tcPr>
          <w:p>
            <w:pPr>
              <w:pStyle w:val="TableParagraph"/>
              <w:rPr>
                <w:rFonts w:ascii="Times New Roman"/>
                <w:sz w:val="36"/>
              </w:rPr>
            </w:pPr>
          </w:p>
        </w:tc>
        <w:tc>
          <w:tcPr>
            <w:tcW w:w="1386" w:type="dxa"/>
          </w:tcPr>
          <w:p>
            <w:pPr>
              <w:pStyle w:val="TableParagraph"/>
              <w:spacing w:before="5"/>
              <w:rPr>
                <w:sz w:val="32"/>
              </w:rPr>
            </w:pPr>
          </w:p>
          <w:p>
            <w:pPr>
              <w:pStyle w:val="TableParagraph"/>
              <w:ind w:left="200"/>
              <w:jc w:val="center"/>
              <w:rPr>
                <w:sz w:val="36"/>
              </w:rPr>
            </w:pPr>
            <w:r>
              <w:rPr>
                <w:sz w:val="36"/>
              </w:rPr>
              <w:t>√</w:t>
            </w:r>
          </w:p>
        </w:tc>
      </w:tr>
      <w:tr>
        <w:tblPrEx>
          <w:tblW w:w="0" w:type="auto"/>
          <w:jc w:val="left"/>
          <w:tblInd w:w="426" w:type="dxa"/>
          <w:tblLayout w:type="fixed"/>
          <w:tblCellMar>
            <w:top w:w="0" w:type="dxa"/>
            <w:left w:w="0" w:type="dxa"/>
            <w:bottom w:w="0" w:type="dxa"/>
            <w:right w:w="0" w:type="dxa"/>
          </w:tblCellMar>
          <w:tblLook w:val="01E0"/>
        </w:tblPrEx>
        <w:trPr>
          <w:trHeight w:val="1290"/>
          <w:jc w:val="left"/>
        </w:trPr>
        <w:tc>
          <w:tcPr>
            <w:tcW w:w="684" w:type="dxa"/>
          </w:tcPr>
          <w:p>
            <w:pPr>
              <w:pStyle w:val="TableParagraph"/>
              <w:spacing w:before="3"/>
              <w:rPr>
                <w:sz w:val="32"/>
              </w:rPr>
            </w:pPr>
          </w:p>
          <w:p>
            <w:pPr>
              <w:pStyle w:val="TableParagraph"/>
              <w:ind w:right="223"/>
              <w:jc w:val="center"/>
              <w:rPr>
                <w:sz w:val="36"/>
              </w:rPr>
            </w:pPr>
            <w:r>
              <w:rPr>
                <w:sz w:val="36"/>
              </w:rPr>
              <w:t>3</w:t>
            </w:r>
          </w:p>
        </w:tc>
        <w:tc>
          <w:tcPr>
            <w:tcW w:w="1788" w:type="dxa"/>
          </w:tcPr>
          <w:p>
            <w:pPr>
              <w:pStyle w:val="TableParagraph"/>
              <w:rPr>
                <w:rFonts w:ascii="Times New Roman"/>
                <w:sz w:val="36"/>
              </w:rPr>
            </w:pPr>
          </w:p>
        </w:tc>
        <w:tc>
          <w:tcPr>
            <w:tcW w:w="2685" w:type="dxa"/>
          </w:tcPr>
          <w:p>
            <w:pPr>
              <w:pStyle w:val="TableParagraph"/>
              <w:spacing w:before="3"/>
              <w:rPr>
                <w:sz w:val="32"/>
              </w:rPr>
            </w:pPr>
          </w:p>
          <w:p>
            <w:pPr>
              <w:pStyle w:val="TableParagraph"/>
              <w:ind w:left="972"/>
              <w:rPr>
                <w:sz w:val="36"/>
              </w:rPr>
            </w:pPr>
            <w:r>
              <w:rPr>
                <w:sz w:val="36"/>
              </w:rPr>
              <w:t>1#支墩</w:t>
            </w:r>
          </w:p>
        </w:tc>
        <w:tc>
          <w:tcPr>
            <w:tcW w:w="3232" w:type="dxa"/>
          </w:tcPr>
          <w:p>
            <w:pPr>
              <w:pStyle w:val="TableParagraph"/>
              <w:spacing w:before="3"/>
              <w:rPr>
                <w:sz w:val="32"/>
              </w:rPr>
            </w:pPr>
          </w:p>
          <w:p>
            <w:pPr>
              <w:pStyle w:val="TableParagraph"/>
              <w:ind w:left="88"/>
              <w:rPr>
                <w:sz w:val="36"/>
              </w:rPr>
            </w:pPr>
            <w:r>
              <w:rPr>
                <w:sz w:val="36"/>
              </w:rPr>
              <w:t>SG03-3-3-001</w:t>
            </w:r>
          </w:p>
        </w:tc>
        <w:tc>
          <w:tcPr>
            <w:tcW w:w="1453" w:type="dxa"/>
          </w:tcPr>
          <w:p>
            <w:pPr>
              <w:pStyle w:val="TableParagraph"/>
              <w:spacing w:before="3"/>
              <w:rPr>
                <w:sz w:val="32"/>
              </w:rPr>
            </w:pPr>
          </w:p>
          <w:p>
            <w:pPr>
              <w:pStyle w:val="TableParagraph"/>
              <w:ind w:left="145"/>
              <w:jc w:val="center"/>
              <w:rPr>
                <w:sz w:val="36"/>
              </w:rPr>
            </w:pPr>
            <w:r>
              <w:rPr>
                <w:sz w:val="36"/>
              </w:rPr>
              <w:t>√</w:t>
            </w:r>
          </w:p>
        </w:tc>
        <w:tc>
          <w:tcPr>
            <w:tcW w:w="1293" w:type="dxa"/>
          </w:tcPr>
          <w:p>
            <w:pPr>
              <w:pStyle w:val="TableParagraph"/>
              <w:spacing w:before="3"/>
              <w:rPr>
                <w:sz w:val="32"/>
              </w:rPr>
            </w:pPr>
          </w:p>
          <w:p>
            <w:pPr>
              <w:pStyle w:val="TableParagraph"/>
              <w:ind w:left="5"/>
              <w:jc w:val="center"/>
              <w:rPr>
                <w:sz w:val="36"/>
              </w:rPr>
            </w:pPr>
            <w:r>
              <w:rPr>
                <w:sz w:val="36"/>
              </w:rPr>
              <w:t>√</w:t>
            </w:r>
          </w:p>
        </w:tc>
        <w:tc>
          <w:tcPr>
            <w:tcW w:w="1617" w:type="dxa"/>
          </w:tcPr>
          <w:p>
            <w:pPr>
              <w:pStyle w:val="TableParagraph"/>
              <w:rPr>
                <w:rFonts w:ascii="Times New Roman"/>
                <w:sz w:val="36"/>
              </w:rPr>
            </w:pPr>
          </w:p>
        </w:tc>
        <w:tc>
          <w:tcPr>
            <w:tcW w:w="1386" w:type="dxa"/>
          </w:tcPr>
          <w:p>
            <w:pPr>
              <w:pStyle w:val="TableParagraph"/>
              <w:rPr>
                <w:rFonts w:ascii="Times New Roman"/>
                <w:sz w:val="36"/>
              </w:rPr>
            </w:pPr>
          </w:p>
        </w:tc>
      </w:tr>
      <w:tr>
        <w:tblPrEx>
          <w:tblW w:w="0" w:type="auto"/>
          <w:jc w:val="left"/>
          <w:tblInd w:w="426" w:type="dxa"/>
          <w:tblLayout w:type="fixed"/>
          <w:tblCellMar>
            <w:top w:w="0" w:type="dxa"/>
            <w:left w:w="0" w:type="dxa"/>
            <w:bottom w:w="0" w:type="dxa"/>
            <w:right w:w="0" w:type="dxa"/>
          </w:tblCellMar>
          <w:tblLook w:val="01E0"/>
        </w:tblPrEx>
        <w:trPr>
          <w:trHeight w:val="1292"/>
          <w:jc w:val="left"/>
        </w:trPr>
        <w:tc>
          <w:tcPr>
            <w:tcW w:w="684" w:type="dxa"/>
          </w:tcPr>
          <w:p>
            <w:pPr>
              <w:pStyle w:val="TableParagraph"/>
              <w:spacing w:before="5"/>
              <w:rPr>
                <w:sz w:val="32"/>
              </w:rPr>
            </w:pPr>
          </w:p>
          <w:p>
            <w:pPr>
              <w:pStyle w:val="TableParagraph"/>
              <w:spacing w:before="1"/>
              <w:ind w:right="223"/>
              <w:jc w:val="center"/>
              <w:rPr>
                <w:sz w:val="36"/>
              </w:rPr>
            </w:pPr>
            <w:r>
              <w:rPr>
                <w:sz w:val="36"/>
              </w:rPr>
              <w:t>4</w:t>
            </w:r>
          </w:p>
        </w:tc>
        <w:tc>
          <w:tcPr>
            <w:tcW w:w="1788" w:type="dxa"/>
          </w:tcPr>
          <w:p>
            <w:pPr>
              <w:pStyle w:val="TableParagraph"/>
              <w:rPr>
                <w:rFonts w:ascii="Times New Roman"/>
                <w:sz w:val="36"/>
              </w:rPr>
            </w:pPr>
          </w:p>
        </w:tc>
        <w:tc>
          <w:tcPr>
            <w:tcW w:w="2685" w:type="dxa"/>
          </w:tcPr>
          <w:p>
            <w:pPr>
              <w:pStyle w:val="TableParagraph"/>
              <w:spacing w:before="5"/>
              <w:rPr>
                <w:sz w:val="32"/>
              </w:rPr>
            </w:pPr>
          </w:p>
          <w:p>
            <w:pPr>
              <w:pStyle w:val="TableParagraph"/>
              <w:spacing w:before="1"/>
              <w:ind w:left="972"/>
              <w:rPr>
                <w:sz w:val="36"/>
              </w:rPr>
            </w:pPr>
            <w:r>
              <w:rPr>
                <w:sz w:val="36"/>
              </w:rPr>
              <w:t>2#支墩</w:t>
            </w:r>
          </w:p>
        </w:tc>
        <w:tc>
          <w:tcPr>
            <w:tcW w:w="3232" w:type="dxa"/>
          </w:tcPr>
          <w:p>
            <w:pPr>
              <w:pStyle w:val="TableParagraph"/>
              <w:spacing w:before="5"/>
              <w:rPr>
                <w:sz w:val="32"/>
              </w:rPr>
            </w:pPr>
          </w:p>
          <w:p>
            <w:pPr>
              <w:pStyle w:val="TableParagraph"/>
              <w:spacing w:before="1"/>
              <w:ind w:left="88"/>
              <w:rPr>
                <w:sz w:val="36"/>
              </w:rPr>
            </w:pPr>
            <w:r>
              <w:rPr>
                <w:sz w:val="36"/>
              </w:rPr>
              <w:t>SG03-3-3-001</w:t>
            </w:r>
          </w:p>
        </w:tc>
        <w:tc>
          <w:tcPr>
            <w:tcW w:w="1453" w:type="dxa"/>
          </w:tcPr>
          <w:p>
            <w:pPr>
              <w:pStyle w:val="TableParagraph"/>
              <w:spacing w:before="5"/>
              <w:rPr>
                <w:sz w:val="32"/>
              </w:rPr>
            </w:pPr>
          </w:p>
          <w:p>
            <w:pPr>
              <w:pStyle w:val="TableParagraph"/>
              <w:spacing w:before="1"/>
              <w:ind w:left="145"/>
              <w:jc w:val="center"/>
              <w:rPr>
                <w:sz w:val="36"/>
              </w:rPr>
            </w:pPr>
            <w:r>
              <w:rPr>
                <w:sz w:val="36"/>
              </w:rPr>
              <w:t>√</w:t>
            </w:r>
          </w:p>
        </w:tc>
        <w:tc>
          <w:tcPr>
            <w:tcW w:w="1293" w:type="dxa"/>
          </w:tcPr>
          <w:p>
            <w:pPr>
              <w:pStyle w:val="TableParagraph"/>
              <w:spacing w:before="5"/>
              <w:rPr>
                <w:sz w:val="32"/>
              </w:rPr>
            </w:pPr>
          </w:p>
          <w:p>
            <w:pPr>
              <w:pStyle w:val="TableParagraph"/>
              <w:spacing w:before="1"/>
              <w:ind w:left="5"/>
              <w:jc w:val="center"/>
              <w:rPr>
                <w:sz w:val="36"/>
              </w:rPr>
            </w:pPr>
            <w:r>
              <w:rPr>
                <w:sz w:val="36"/>
              </w:rPr>
              <w:t>√</w:t>
            </w:r>
          </w:p>
        </w:tc>
        <w:tc>
          <w:tcPr>
            <w:tcW w:w="1617" w:type="dxa"/>
          </w:tcPr>
          <w:p>
            <w:pPr>
              <w:pStyle w:val="TableParagraph"/>
              <w:rPr>
                <w:rFonts w:ascii="Times New Roman"/>
                <w:sz w:val="36"/>
              </w:rPr>
            </w:pPr>
          </w:p>
        </w:tc>
        <w:tc>
          <w:tcPr>
            <w:tcW w:w="1386" w:type="dxa"/>
          </w:tcPr>
          <w:p>
            <w:pPr>
              <w:pStyle w:val="TableParagraph"/>
              <w:rPr>
                <w:rFonts w:ascii="Times New Roman"/>
                <w:sz w:val="36"/>
              </w:rPr>
            </w:pPr>
          </w:p>
        </w:tc>
      </w:tr>
      <w:tr>
        <w:tblPrEx>
          <w:tblW w:w="0" w:type="auto"/>
          <w:jc w:val="left"/>
          <w:tblInd w:w="426" w:type="dxa"/>
          <w:tblLayout w:type="fixed"/>
          <w:tblCellMar>
            <w:top w:w="0" w:type="dxa"/>
            <w:left w:w="0" w:type="dxa"/>
            <w:bottom w:w="0" w:type="dxa"/>
            <w:right w:w="0" w:type="dxa"/>
          </w:tblCellMar>
          <w:tblLook w:val="01E0"/>
        </w:tblPrEx>
        <w:trPr>
          <w:trHeight w:val="1292"/>
          <w:jc w:val="left"/>
        </w:trPr>
        <w:tc>
          <w:tcPr>
            <w:tcW w:w="684" w:type="dxa"/>
          </w:tcPr>
          <w:p>
            <w:pPr>
              <w:pStyle w:val="TableParagraph"/>
              <w:spacing w:before="5"/>
              <w:rPr>
                <w:sz w:val="32"/>
              </w:rPr>
            </w:pPr>
          </w:p>
          <w:p>
            <w:pPr>
              <w:pStyle w:val="TableParagraph"/>
              <w:ind w:right="223"/>
              <w:jc w:val="center"/>
              <w:rPr>
                <w:sz w:val="36"/>
              </w:rPr>
            </w:pPr>
            <w:r>
              <w:rPr>
                <w:sz w:val="36"/>
              </w:rPr>
              <w:t>5</w:t>
            </w:r>
          </w:p>
        </w:tc>
        <w:tc>
          <w:tcPr>
            <w:tcW w:w="1788" w:type="dxa"/>
          </w:tcPr>
          <w:p>
            <w:pPr>
              <w:pStyle w:val="TableParagraph"/>
              <w:rPr>
                <w:rFonts w:ascii="Times New Roman"/>
                <w:sz w:val="36"/>
              </w:rPr>
            </w:pPr>
          </w:p>
        </w:tc>
        <w:tc>
          <w:tcPr>
            <w:tcW w:w="2685" w:type="dxa"/>
          </w:tcPr>
          <w:p>
            <w:pPr>
              <w:pStyle w:val="TableParagraph"/>
              <w:spacing w:before="5"/>
              <w:rPr>
                <w:sz w:val="32"/>
              </w:rPr>
            </w:pPr>
          </w:p>
          <w:p>
            <w:pPr>
              <w:pStyle w:val="TableParagraph"/>
              <w:ind w:left="972"/>
              <w:rPr>
                <w:sz w:val="36"/>
              </w:rPr>
            </w:pPr>
            <w:r>
              <w:rPr>
                <w:sz w:val="36"/>
              </w:rPr>
              <w:t>3#支墩</w:t>
            </w:r>
          </w:p>
        </w:tc>
        <w:tc>
          <w:tcPr>
            <w:tcW w:w="3232" w:type="dxa"/>
          </w:tcPr>
          <w:p>
            <w:pPr>
              <w:pStyle w:val="TableParagraph"/>
              <w:spacing w:before="5"/>
              <w:rPr>
                <w:sz w:val="32"/>
              </w:rPr>
            </w:pPr>
          </w:p>
          <w:p>
            <w:pPr>
              <w:pStyle w:val="TableParagraph"/>
              <w:ind w:left="88"/>
              <w:rPr>
                <w:sz w:val="36"/>
              </w:rPr>
            </w:pPr>
            <w:r>
              <w:rPr>
                <w:sz w:val="36"/>
              </w:rPr>
              <w:t>SG03-3-3-001</w:t>
            </w:r>
          </w:p>
        </w:tc>
        <w:tc>
          <w:tcPr>
            <w:tcW w:w="1453" w:type="dxa"/>
          </w:tcPr>
          <w:p>
            <w:pPr>
              <w:pStyle w:val="TableParagraph"/>
              <w:spacing w:before="5"/>
              <w:rPr>
                <w:sz w:val="32"/>
              </w:rPr>
            </w:pPr>
          </w:p>
          <w:p>
            <w:pPr>
              <w:pStyle w:val="TableParagraph"/>
              <w:ind w:left="145"/>
              <w:jc w:val="center"/>
              <w:rPr>
                <w:sz w:val="36"/>
              </w:rPr>
            </w:pPr>
            <w:r>
              <w:rPr>
                <w:sz w:val="36"/>
              </w:rPr>
              <w:t>√</w:t>
            </w:r>
          </w:p>
        </w:tc>
        <w:tc>
          <w:tcPr>
            <w:tcW w:w="1293" w:type="dxa"/>
          </w:tcPr>
          <w:p>
            <w:pPr>
              <w:pStyle w:val="TableParagraph"/>
              <w:rPr>
                <w:rFonts w:ascii="Times New Roman"/>
                <w:sz w:val="36"/>
              </w:rPr>
            </w:pPr>
          </w:p>
        </w:tc>
        <w:tc>
          <w:tcPr>
            <w:tcW w:w="1617" w:type="dxa"/>
          </w:tcPr>
          <w:p>
            <w:pPr>
              <w:pStyle w:val="TableParagraph"/>
              <w:rPr>
                <w:rFonts w:ascii="Times New Roman"/>
                <w:sz w:val="36"/>
              </w:rPr>
            </w:pPr>
          </w:p>
        </w:tc>
        <w:tc>
          <w:tcPr>
            <w:tcW w:w="1386" w:type="dxa"/>
          </w:tcPr>
          <w:p>
            <w:pPr>
              <w:pStyle w:val="TableParagraph"/>
              <w:rPr>
                <w:rFonts w:ascii="Times New Roman"/>
                <w:sz w:val="36"/>
              </w:rPr>
            </w:pPr>
          </w:p>
        </w:tc>
      </w:tr>
      <w:tr>
        <w:tblPrEx>
          <w:tblW w:w="0" w:type="auto"/>
          <w:jc w:val="left"/>
          <w:tblInd w:w="426" w:type="dxa"/>
          <w:tblLayout w:type="fixed"/>
          <w:tblCellMar>
            <w:top w:w="0" w:type="dxa"/>
            <w:left w:w="0" w:type="dxa"/>
            <w:bottom w:w="0" w:type="dxa"/>
            <w:right w:w="0" w:type="dxa"/>
          </w:tblCellMar>
          <w:tblLook w:val="01E0"/>
        </w:tblPrEx>
        <w:trPr>
          <w:trHeight w:val="1290"/>
          <w:jc w:val="left"/>
        </w:trPr>
        <w:tc>
          <w:tcPr>
            <w:tcW w:w="684" w:type="dxa"/>
          </w:tcPr>
          <w:p>
            <w:pPr>
              <w:pStyle w:val="TableParagraph"/>
              <w:spacing w:before="5"/>
              <w:rPr>
                <w:sz w:val="32"/>
              </w:rPr>
            </w:pPr>
          </w:p>
          <w:p>
            <w:pPr>
              <w:pStyle w:val="TableParagraph"/>
              <w:ind w:right="223"/>
              <w:jc w:val="center"/>
              <w:rPr>
                <w:sz w:val="36"/>
              </w:rPr>
            </w:pPr>
            <w:r>
              <w:rPr>
                <w:sz w:val="36"/>
              </w:rPr>
              <w:t>6</w:t>
            </w:r>
          </w:p>
        </w:tc>
        <w:tc>
          <w:tcPr>
            <w:tcW w:w="1788" w:type="dxa"/>
          </w:tcPr>
          <w:p>
            <w:pPr>
              <w:pStyle w:val="TableParagraph"/>
              <w:rPr>
                <w:rFonts w:ascii="Times New Roman"/>
                <w:sz w:val="36"/>
              </w:rPr>
            </w:pPr>
          </w:p>
        </w:tc>
        <w:tc>
          <w:tcPr>
            <w:tcW w:w="2685" w:type="dxa"/>
          </w:tcPr>
          <w:p>
            <w:pPr>
              <w:pStyle w:val="TableParagraph"/>
              <w:spacing w:before="5"/>
              <w:rPr>
                <w:sz w:val="32"/>
              </w:rPr>
            </w:pPr>
          </w:p>
          <w:p>
            <w:pPr>
              <w:pStyle w:val="TableParagraph"/>
              <w:ind w:left="792"/>
              <w:rPr>
                <w:sz w:val="36"/>
              </w:rPr>
            </w:pPr>
            <w:r>
              <w:rPr>
                <w:sz w:val="36"/>
              </w:rPr>
              <w:t>沟槽回填</w:t>
            </w:r>
          </w:p>
        </w:tc>
        <w:tc>
          <w:tcPr>
            <w:tcW w:w="3232" w:type="dxa"/>
          </w:tcPr>
          <w:p>
            <w:pPr>
              <w:pStyle w:val="TableParagraph"/>
              <w:spacing w:before="5"/>
              <w:rPr>
                <w:sz w:val="32"/>
              </w:rPr>
            </w:pPr>
          </w:p>
          <w:p>
            <w:pPr>
              <w:pStyle w:val="TableParagraph"/>
              <w:ind w:left="268"/>
              <w:rPr>
                <w:sz w:val="36"/>
              </w:rPr>
            </w:pPr>
            <w:r>
              <w:rPr>
                <w:sz w:val="36"/>
              </w:rPr>
              <w:t>SG03-3-3-001</w:t>
            </w:r>
          </w:p>
        </w:tc>
        <w:tc>
          <w:tcPr>
            <w:tcW w:w="1453" w:type="dxa"/>
          </w:tcPr>
          <w:p>
            <w:pPr>
              <w:pStyle w:val="TableParagraph"/>
              <w:spacing w:before="5"/>
              <w:rPr>
                <w:sz w:val="32"/>
              </w:rPr>
            </w:pPr>
          </w:p>
          <w:p>
            <w:pPr>
              <w:pStyle w:val="TableParagraph"/>
              <w:ind w:left="145"/>
              <w:jc w:val="center"/>
              <w:rPr>
                <w:sz w:val="36"/>
              </w:rPr>
            </w:pPr>
            <w:r>
              <w:rPr>
                <w:sz w:val="36"/>
              </w:rPr>
              <w:t>√</w:t>
            </w:r>
          </w:p>
        </w:tc>
        <w:tc>
          <w:tcPr>
            <w:tcW w:w="1293" w:type="dxa"/>
          </w:tcPr>
          <w:p>
            <w:pPr>
              <w:pStyle w:val="TableParagraph"/>
              <w:spacing w:before="5"/>
              <w:rPr>
                <w:sz w:val="32"/>
              </w:rPr>
            </w:pPr>
          </w:p>
          <w:p>
            <w:pPr>
              <w:pStyle w:val="TableParagraph"/>
              <w:ind w:left="5"/>
              <w:jc w:val="center"/>
              <w:rPr>
                <w:sz w:val="36"/>
              </w:rPr>
            </w:pPr>
            <w:r>
              <w:rPr>
                <w:sz w:val="36"/>
              </w:rPr>
              <w:t>√</w:t>
            </w:r>
          </w:p>
        </w:tc>
        <w:tc>
          <w:tcPr>
            <w:tcW w:w="1617" w:type="dxa"/>
          </w:tcPr>
          <w:p>
            <w:pPr>
              <w:pStyle w:val="TableParagraph"/>
              <w:rPr>
                <w:rFonts w:ascii="Times New Roman"/>
                <w:sz w:val="36"/>
              </w:rPr>
            </w:pPr>
          </w:p>
        </w:tc>
        <w:tc>
          <w:tcPr>
            <w:tcW w:w="1386" w:type="dxa"/>
          </w:tcPr>
          <w:p>
            <w:pPr>
              <w:pStyle w:val="TableParagraph"/>
              <w:rPr>
                <w:rFonts w:ascii="Times New Roman"/>
                <w:sz w:val="36"/>
              </w:rPr>
            </w:pPr>
          </w:p>
        </w:tc>
      </w:tr>
      <w:tr>
        <w:tblPrEx>
          <w:tblW w:w="0" w:type="auto"/>
          <w:jc w:val="left"/>
          <w:tblInd w:w="426" w:type="dxa"/>
          <w:tblLayout w:type="fixed"/>
          <w:tblCellMar>
            <w:top w:w="0" w:type="dxa"/>
            <w:left w:w="0" w:type="dxa"/>
            <w:bottom w:w="0" w:type="dxa"/>
            <w:right w:w="0" w:type="dxa"/>
          </w:tblCellMar>
          <w:tblLook w:val="01E0"/>
        </w:tblPrEx>
        <w:trPr>
          <w:trHeight w:val="824"/>
          <w:jc w:val="left"/>
        </w:trPr>
        <w:tc>
          <w:tcPr>
            <w:tcW w:w="684" w:type="dxa"/>
          </w:tcPr>
          <w:p>
            <w:pPr>
              <w:pStyle w:val="TableParagraph"/>
              <w:spacing w:before="3"/>
              <w:rPr>
                <w:sz w:val="32"/>
              </w:rPr>
            </w:pPr>
          </w:p>
          <w:p>
            <w:pPr>
              <w:pStyle w:val="TableParagraph"/>
              <w:spacing w:line="391" w:lineRule="exact"/>
              <w:ind w:right="223"/>
              <w:jc w:val="center"/>
              <w:rPr>
                <w:sz w:val="36"/>
              </w:rPr>
            </w:pPr>
            <w:r>
              <w:rPr>
                <w:sz w:val="36"/>
              </w:rPr>
              <w:t>7</w:t>
            </w:r>
          </w:p>
        </w:tc>
        <w:tc>
          <w:tcPr>
            <w:tcW w:w="1788" w:type="dxa"/>
          </w:tcPr>
          <w:p>
            <w:pPr>
              <w:pStyle w:val="TableParagraph"/>
              <w:rPr>
                <w:rFonts w:ascii="Times New Roman"/>
                <w:sz w:val="36"/>
              </w:rPr>
            </w:pPr>
          </w:p>
        </w:tc>
        <w:tc>
          <w:tcPr>
            <w:tcW w:w="2685" w:type="dxa"/>
          </w:tcPr>
          <w:p>
            <w:pPr>
              <w:pStyle w:val="TableParagraph"/>
              <w:spacing w:before="3"/>
              <w:rPr>
                <w:sz w:val="32"/>
              </w:rPr>
            </w:pPr>
          </w:p>
          <w:p>
            <w:pPr>
              <w:pStyle w:val="TableParagraph"/>
              <w:spacing w:line="391" w:lineRule="exact"/>
              <w:ind w:left="432"/>
              <w:rPr>
                <w:sz w:val="36"/>
              </w:rPr>
            </w:pPr>
            <w:r>
              <w:rPr>
                <w:sz w:val="36"/>
              </w:rPr>
              <w:t>渠道岸坡开挖</w:t>
            </w:r>
          </w:p>
        </w:tc>
        <w:tc>
          <w:tcPr>
            <w:tcW w:w="3232" w:type="dxa"/>
          </w:tcPr>
          <w:p>
            <w:pPr>
              <w:pStyle w:val="TableParagraph"/>
              <w:spacing w:before="3"/>
              <w:rPr>
                <w:sz w:val="32"/>
              </w:rPr>
            </w:pPr>
          </w:p>
          <w:p>
            <w:pPr>
              <w:pStyle w:val="TableParagraph"/>
              <w:spacing w:line="391" w:lineRule="exact"/>
              <w:ind w:left="628"/>
              <w:rPr>
                <w:sz w:val="36"/>
              </w:rPr>
            </w:pPr>
            <w:r>
              <w:rPr>
                <w:sz w:val="36"/>
              </w:rPr>
              <w:t>SG03-3-3-001</w:t>
            </w:r>
          </w:p>
        </w:tc>
        <w:tc>
          <w:tcPr>
            <w:tcW w:w="1453" w:type="dxa"/>
          </w:tcPr>
          <w:p>
            <w:pPr>
              <w:pStyle w:val="TableParagraph"/>
              <w:spacing w:before="3"/>
              <w:rPr>
                <w:sz w:val="32"/>
              </w:rPr>
            </w:pPr>
          </w:p>
          <w:p>
            <w:pPr>
              <w:pStyle w:val="TableParagraph"/>
              <w:spacing w:line="391" w:lineRule="exact"/>
              <w:ind w:left="145"/>
              <w:jc w:val="center"/>
              <w:rPr>
                <w:sz w:val="36"/>
              </w:rPr>
            </w:pPr>
            <w:r>
              <w:rPr>
                <w:sz w:val="36"/>
              </w:rPr>
              <w:t>√</w:t>
            </w:r>
          </w:p>
        </w:tc>
        <w:tc>
          <w:tcPr>
            <w:tcW w:w="1293" w:type="dxa"/>
          </w:tcPr>
          <w:p>
            <w:pPr>
              <w:pStyle w:val="TableParagraph"/>
              <w:rPr>
                <w:rFonts w:ascii="Times New Roman"/>
                <w:sz w:val="36"/>
              </w:rPr>
            </w:pPr>
          </w:p>
        </w:tc>
        <w:tc>
          <w:tcPr>
            <w:tcW w:w="1617" w:type="dxa"/>
          </w:tcPr>
          <w:p>
            <w:pPr>
              <w:pStyle w:val="TableParagraph"/>
              <w:spacing w:before="3"/>
              <w:rPr>
                <w:sz w:val="32"/>
              </w:rPr>
            </w:pPr>
          </w:p>
          <w:p>
            <w:pPr>
              <w:pStyle w:val="TableParagraph"/>
              <w:spacing w:line="391" w:lineRule="exact"/>
              <w:ind w:left="20"/>
              <w:jc w:val="center"/>
              <w:rPr>
                <w:sz w:val="36"/>
              </w:rPr>
            </w:pPr>
            <w:r>
              <w:rPr>
                <w:sz w:val="36"/>
              </w:rPr>
              <w:t>√</w:t>
            </w:r>
          </w:p>
        </w:tc>
        <w:tc>
          <w:tcPr>
            <w:tcW w:w="1386" w:type="dxa"/>
          </w:tcPr>
          <w:p>
            <w:pPr>
              <w:pStyle w:val="TableParagraph"/>
              <w:rPr>
                <w:rFonts w:ascii="Times New Roman"/>
                <w:sz w:val="36"/>
              </w:rPr>
            </w:pPr>
          </w:p>
        </w:tc>
      </w:tr>
    </w:tbl>
    <w:p>
      <w:pPr>
        <w:pStyle w:val="BodyText"/>
        <w:rPr>
          <w:sz w:val="20"/>
        </w:rPr>
      </w:pPr>
    </w:p>
    <w:p>
      <w:pPr>
        <w:pStyle w:val="BodyText"/>
        <w:spacing w:before="1"/>
        <w:rPr>
          <w:sz w:val="28"/>
        </w:rPr>
      </w:pPr>
    </w:p>
    <w:p>
      <w:pPr>
        <w:spacing w:before="49" w:line="440" w:lineRule="exact"/>
        <w:ind w:left="4224" w:right="0" w:firstLine="0"/>
        <w:jc w:val="left"/>
        <w:rPr>
          <w:sz w:val="36"/>
        </w:rPr>
      </w:pPr>
      <w:r>
        <w:rPr>
          <w:sz w:val="36"/>
        </w:rPr>
        <w:t>左侧渠坡混凝土衬砌</w:t>
      </w:r>
    </w:p>
    <w:p>
      <w:pPr>
        <w:tabs>
          <w:tab w:val="left" w:pos="9426"/>
        </w:tabs>
        <w:spacing w:before="0" w:line="420" w:lineRule="exact"/>
        <w:ind w:left="558" w:right="0" w:firstLine="0"/>
        <w:jc w:val="left"/>
        <w:rPr>
          <w:sz w:val="36"/>
        </w:rPr>
      </w:pPr>
      <w:r>
        <w:rPr>
          <w:sz w:val="36"/>
        </w:rPr>
        <w:t>8</w:t>
        <w:tab/>
        <w:t>√</w:t>
      </w:r>
    </w:p>
    <w:p>
      <w:pPr>
        <w:tabs>
          <w:tab w:val="left" w:pos="6113"/>
        </w:tabs>
        <w:spacing w:before="0" w:line="441" w:lineRule="exact"/>
        <w:ind w:left="3413" w:right="0" w:firstLine="0"/>
        <w:jc w:val="left"/>
        <w:rPr>
          <w:sz w:val="36"/>
        </w:rPr>
      </w:pPr>
      <w:r>
        <w:rPr>
          <w:sz w:val="36"/>
        </w:rPr>
        <w:t>SG03-3-3-001</w:t>
        <w:tab/>
        <w:t>SG03-3-3-001</w:t>
      </w:r>
    </w:p>
    <w:p>
      <w:pPr>
        <w:pStyle w:val="BodyText"/>
        <w:spacing w:before="8"/>
        <w:rPr>
          <w:sz w:val="30"/>
        </w:rPr>
      </w:pPr>
    </w:p>
    <w:p>
      <w:pPr>
        <w:spacing w:before="0" w:line="441" w:lineRule="exact"/>
        <w:ind w:left="4224" w:right="0" w:firstLine="0"/>
        <w:jc w:val="left"/>
        <w:rPr>
          <w:sz w:val="36"/>
        </w:rPr>
      </w:pPr>
      <w:r>
        <w:rPr>
          <w:sz w:val="36"/>
        </w:rPr>
        <w:t>右侧渠坡混凝土衬砌</w:t>
      </w:r>
    </w:p>
    <w:p>
      <w:pPr>
        <w:tabs>
          <w:tab w:val="left" w:pos="9426"/>
        </w:tabs>
        <w:spacing w:before="0" w:line="421" w:lineRule="exact"/>
        <w:ind w:left="558" w:right="0" w:firstLine="0"/>
        <w:jc w:val="left"/>
        <w:rPr>
          <w:sz w:val="36"/>
        </w:rPr>
      </w:pPr>
      <w:r>
        <w:rPr>
          <w:sz w:val="36"/>
        </w:rPr>
        <w:t>9</w:t>
        <w:tab/>
        <w:t>√</w:t>
      </w:r>
    </w:p>
    <w:p>
      <w:pPr>
        <w:spacing w:before="0" w:line="441" w:lineRule="exact"/>
        <w:ind w:left="4764" w:right="0" w:firstLine="0"/>
        <w:jc w:val="left"/>
        <w:rPr>
          <w:sz w:val="36"/>
        </w:rPr>
      </w:pPr>
      <w:r>
        <w:rPr>
          <w:sz w:val="36"/>
        </w:rPr>
        <w:t>SG03-3-3-001</w:t>
      </w:r>
    </w:p>
    <w:p>
      <w:pPr>
        <w:pStyle w:val="BodyText"/>
        <w:spacing w:before="9"/>
        <w:rPr>
          <w:sz w:val="26"/>
        </w:rPr>
      </w:pPr>
    </w:p>
    <w:p>
      <w:pPr>
        <w:spacing w:before="50" w:line="441" w:lineRule="exact"/>
        <w:ind w:left="468" w:right="0" w:firstLine="0"/>
        <w:jc w:val="left"/>
        <w:rPr>
          <w:sz w:val="36"/>
        </w:rPr>
      </w:pPr>
      <w:r>
        <w:rPr>
          <w:sz w:val="36"/>
        </w:rPr>
        <w:t>10</w:t>
      </w:r>
    </w:p>
    <w:p>
      <w:pPr>
        <w:tabs>
          <w:tab w:val="left" w:pos="6384"/>
          <w:tab w:val="left" w:pos="9426"/>
        </w:tabs>
        <w:spacing w:before="0" w:line="441" w:lineRule="exact"/>
        <w:ind w:left="3143" w:right="0" w:firstLine="0"/>
        <w:jc w:val="left"/>
        <w:rPr>
          <w:sz w:val="36"/>
        </w:rPr>
      </w:pPr>
      <w:r>
        <w:rPr>
          <w:sz w:val="36"/>
        </w:rPr>
        <w:t>渠底混凝土衬砌</w:t>
        <w:tab/>
        <w:t>SG03-3-3-001</w:t>
        <w:tab/>
        <w:t>√</w:t>
      </w:r>
    </w:p>
    <w:p>
      <w:pPr>
        <w:spacing w:after="0" w:line="441" w:lineRule="exact"/>
        <w:jc w:val="left"/>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7" w:history="1">
        <w:r>
          <w:rPr>
            <w:rFonts w:ascii="SimSun" w:eastAsia="SimSun" w:hAnsi="SimSun" w:cs="SimSun"/>
            <w:b/>
            <w:bCs/>
            <w:color w:val="0000EE"/>
            <w:sz w:val="30"/>
            <w:szCs w:val="30"/>
            <w:u w:val="single" w:color="0000EE"/>
          </w:rPr>
          <w:t>https://d.book118.com/578126120000006047</w:t>
        </w:r>
      </w:hyperlink>
    </w:p>
    <w:p>
      <w:pPr>
        <w:spacing w:after="0" w:line="441" w:lineRule="exact"/>
        <w:jc w:val="left"/>
        <w:rPr>
          <w:sz w:val="36"/>
        </w:rPr>
      </w:pPr>
    </w:p>
    <w:sectPr>
      <w:headerReference w:type="default" r:id="rId38"/>
      <w:footerReference w:type="default" r:id="rId39"/>
      <w:pgSz w:w="17860" w:h="25260"/>
      <w:pgMar w:top="1400" w:right="0" w:bottom="2040" w:left="1800" w:header="1088" w:footer="1798"/>
      <w:pgNumType w:start="1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8.75pt;height:15.5pt;margin-top:1161.96pt;margin-left:105.42pt;mso-position-horizontal-relative:page;mso-position-vertical-relative:page;position:absolute;z-index:-251658240"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8.75pt;height:15.5pt;margin-top:1161.96pt;margin-left:105.42pt;mso-position-horizontal-relative:page;mso-position-vertical-relative:page;position:absolute;z-index:-251649024"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8.75pt;height:15.5pt;margin-top:1161.96pt;margin-left:105.42pt;mso-position-horizontal-relative:page;mso-position-vertical-relative:page;position:absolute;z-index:-251648000"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8.75pt;height:15.5pt;margin-top:1161.96pt;margin-left:105.42pt;mso-position-horizontal-relative:page;mso-position-vertical-relative:page;position:absolute;z-index:-251646976"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8.75pt;height:15.5pt;margin-top:1161.96pt;margin-left:105.42pt;mso-position-horizontal-relative:page;mso-position-vertical-relative:page;position:absolute;z-index:-251645952"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8.75pt;height:15.5pt;margin-top:1161.96pt;margin-left:105.42pt;mso-position-horizontal-relative:page;mso-position-vertical-relative:page;position:absolute;z-index:-251657216"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8.75pt;height:15.5pt;margin-top:1161.96pt;margin-left:105.42pt;mso-position-horizontal-relative:page;mso-position-vertical-relative:page;position:absolute;z-index:-251656192"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8.75pt;height:15.5pt;margin-top:1161.96pt;margin-left:105.42pt;mso-position-horizontal-relative:page;mso-position-vertical-relative:page;position:absolute;z-index:-251655168"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8.75pt;height:15.5pt;margin-top:1161.96pt;margin-left:105.42pt;mso-position-horizontal-relative:page;mso-position-vertical-relative:page;position:absolute;z-index:-251654144"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8.75pt;height:15.5pt;margin-top:1161.96pt;margin-left:105.42pt;mso-position-horizontal-relative:page;mso-position-vertical-relative:page;position:absolute;z-index:-251653120"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8.75pt;height:15.5pt;margin-top:1161.96pt;margin-left:105.42pt;mso-position-horizontal-relative:page;mso-position-vertical-relative:page;position:absolute;z-index:-251652096"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8.75pt;height:15.5pt;margin-top:1161.96pt;margin-left:105.42pt;mso-position-horizontal-relative:page;mso-position-vertical-relative:page;position:absolute;z-index:-251651072"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8.75pt;height:15.5pt;margin-top:1161.96pt;margin-left:105.42pt;mso-position-horizontal-relative:page;mso-position-vertical-relative:page;position:absolute;z-index:-251650048" filled="f" stroked="f">
          <v:textbox inset="0,0,0,0">
            <w:txbxContent>
              <w:p>
                <w:pPr>
                  <w:spacing w:before="0" w:line="310" w:lineRule="exact"/>
                  <w:ind w:left="20" w:right="0" w:firstLine="0"/>
                  <w:jc w:val="left"/>
                  <w:rPr>
                    <w:rFonts w:ascii="幼圆"/>
                    <w:sz w:val="27"/>
                  </w:rPr>
                </w:pPr>
                <w:r>
                  <w:rPr>
                    <w:rFonts w:ascii="幼圆"/>
                    <w:sz w:val="27"/>
                  </w:rPr>
                  <w:t>.</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56pt;height:15.5pt;margin-top:53.38pt;margin-left:418.48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11980317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031775"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56pt;height:15.5pt;margin-top:53.38pt;margin-left:418.48pt;mso-position-horizontal-relative:page;mso-position-vertical-relative:page;position:absolute;z-index:-2516387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3408042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04230"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56pt;height:15.5pt;margin-top:53.38pt;margin-left:418.48pt;mso-position-horizontal-relative:page;mso-position-vertical-relative:page;position:absolute;z-index:-2516367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13447913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91308"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1" type="#_x0000_t202" style="width:56pt;height:15.5pt;margin-top:53.38pt;margin-left:418.48pt;mso-position-horizontal-relative:page;mso-position-vertical-relative:page;position:absolute;z-index:-2516346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18022979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9790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56pt;height:15.5pt;margin-top:53.38pt;margin-left:418.48pt;mso-position-horizontal-relative:page;mso-position-vertical-relative:page;position:absolute;z-index:-2516326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1923156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564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1" type="#_x0000_t202" style="width:56pt;height:15.5pt;margin-top:53.38pt;margin-left:418.48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7054517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51754"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3" type="#_x0000_t202" style="width:56pt;height:15.5pt;margin-top:53.38pt;margin-left:418.48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19276517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51710"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56pt;height:15.5pt;margin-top:53.38pt;margin-left:418.48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7870247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24736"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56pt;height:15.5pt;margin-top:53.38pt;margin-left:418.48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9056470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4708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9" type="#_x0000_t202" style="width:56pt;height:15.5pt;margin-top:53.38pt;margin-left:418.48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2489537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5370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56pt;height:15.5pt;margin-top:53.38pt;margin-left:418.48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7945596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59630"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3" type="#_x0000_t202" style="width:56pt;height:15.5pt;margin-top:53.38pt;margin-left:418.48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1320800</wp:posOffset>
          </wp:positionH>
          <wp:positionV relativeFrom="page">
            <wp:posOffset>850900</wp:posOffset>
          </wp:positionV>
          <wp:extent cx="8712200" cy="38100"/>
          <wp:effectExtent l="0" t="0" r="0" b="0"/>
          <wp:wrapNone/>
          <wp:docPr id="1721518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1807"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width:56pt;height:15.5pt;margin-top:53.38pt;margin-left:418.48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精品文档</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D85BE"/>
    <w:multiLevelType w:val="hybridMultilevel"/>
    <w:tmpl w:val="00000000"/>
    <w:lvl w:ilvl="0">
      <w:start w:val="1"/>
      <w:numFmt w:val="decimal"/>
      <w:lvlText w:val="%1."/>
      <w:lvlJc w:val="left"/>
      <w:pPr>
        <w:ind w:left="1779" w:hanging="486"/>
        <w:jc w:val="left"/>
      </w:pPr>
      <w:rPr>
        <w:rFonts w:ascii="宋体" w:eastAsia="宋体" w:hAnsi="宋体" w:cs="宋体" w:hint="default"/>
        <w:b/>
        <w:bCs/>
        <w:w w:val="98"/>
        <w:sz w:val="46"/>
        <w:szCs w:val="46"/>
      </w:rPr>
    </w:lvl>
    <w:lvl w:ilvl="1">
      <w:start w:val="0"/>
      <w:numFmt w:val="bullet"/>
      <w:lvlText w:val="•"/>
      <w:lvlJc w:val="left"/>
      <w:pPr>
        <w:ind w:left="3207" w:hanging="486"/>
      </w:pPr>
      <w:rPr>
        <w:rFonts w:hint="default"/>
      </w:rPr>
    </w:lvl>
    <w:lvl w:ilvl="2">
      <w:start w:val="0"/>
      <w:numFmt w:val="bullet"/>
      <w:lvlText w:val="•"/>
      <w:lvlJc w:val="left"/>
      <w:pPr>
        <w:ind w:left="4635" w:hanging="486"/>
      </w:pPr>
      <w:rPr>
        <w:rFonts w:hint="default"/>
      </w:rPr>
    </w:lvl>
    <w:lvl w:ilvl="3">
      <w:start w:val="0"/>
      <w:numFmt w:val="bullet"/>
      <w:lvlText w:val="•"/>
      <w:lvlJc w:val="left"/>
      <w:pPr>
        <w:ind w:left="6063" w:hanging="486"/>
      </w:pPr>
      <w:rPr>
        <w:rFonts w:hint="default"/>
      </w:rPr>
    </w:lvl>
    <w:lvl w:ilvl="4">
      <w:start w:val="0"/>
      <w:numFmt w:val="bullet"/>
      <w:lvlText w:val="•"/>
      <w:lvlJc w:val="left"/>
      <w:pPr>
        <w:ind w:left="7491" w:hanging="486"/>
      </w:pPr>
      <w:rPr>
        <w:rFonts w:hint="default"/>
      </w:rPr>
    </w:lvl>
    <w:lvl w:ilvl="5">
      <w:start w:val="0"/>
      <w:numFmt w:val="bullet"/>
      <w:lvlText w:val="•"/>
      <w:lvlJc w:val="left"/>
      <w:pPr>
        <w:ind w:left="8919" w:hanging="486"/>
      </w:pPr>
      <w:rPr>
        <w:rFonts w:hint="default"/>
      </w:rPr>
    </w:lvl>
    <w:lvl w:ilvl="6">
      <w:start w:val="0"/>
      <w:numFmt w:val="bullet"/>
      <w:lvlText w:val="•"/>
      <w:lvlJc w:val="left"/>
      <w:pPr>
        <w:ind w:left="10347" w:hanging="486"/>
      </w:pPr>
      <w:rPr>
        <w:rFonts w:hint="default"/>
      </w:rPr>
    </w:lvl>
    <w:lvl w:ilvl="7">
      <w:start w:val="0"/>
      <w:numFmt w:val="bullet"/>
      <w:lvlText w:val="•"/>
      <w:lvlJc w:val="left"/>
      <w:pPr>
        <w:ind w:left="11775" w:hanging="486"/>
      </w:pPr>
      <w:rPr>
        <w:rFonts w:hint="default"/>
      </w:rPr>
    </w:lvl>
    <w:lvl w:ilvl="8">
      <w:start w:val="0"/>
      <w:numFmt w:val="bullet"/>
      <w:lvlText w:val="•"/>
      <w:lvlJc w:val="left"/>
      <w:pPr>
        <w:ind w:left="13203" w:hanging="486"/>
      </w:pPr>
      <w:rPr>
        <w:rFonts w:hint="default"/>
      </w:rPr>
    </w:lvl>
  </w:abstractNum>
  <w:abstractNum w:abstractNumId="1">
    <w:nsid w:val="08F6DC7B"/>
    <w:multiLevelType w:val="hybridMultilevel"/>
    <w:tmpl w:val="00000000"/>
    <w:lvl w:ilvl="0">
      <w:start w:val="1"/>
      <w:numFmt w:val="decimal"/>
      <w:lvlText w:val="（%1）"/>
      <w:lvlJc w:val="left"/>
      <w:pPr>
        <w:ind w:left="2010" w:hanging="1052"/>
        <w:jc w:val="left"/>
      </w:pPr>
      <w:rPr>
        <w:rFonts w:ascii="仿宋" w:eastAsia="仿宋" w:hAnsi="仿宋" w:cs="仿宋" w:hint="default"/>
        <w:spacing w:val="-2"/>
        <w:w w:val="100"/>
        <w:sz w:val="40"/>
        <w:szCs w:val="40"/>
      </w:rPr>
    </w:lvl>
    <w:lvl w:ilvl="1">
      <w:start w:val="2"/>
      <w:numFmt w:val="decimal"/>
      <w:lvlText w:val="（%2）"/>
      <w:lvlJc w:val="left"/>
      <w:pPr>
        <w:ind w:left="2219" w:hanging="1052"/>
        <w:jc w:val="left"/>
      </w:pPr>
      <w:rPr>
        <w:rFonts w:ascii="仿宋" w:eastAsia="仿宋" w:hAnsi="仿宋" w:cs="仿宋" w:hint="default"/>
        <w:spacing w:val="-2"/>
        <w:w w:val="100"/>
        <w:sz w:val="40"/>
        <w:szCs w:val="40"/>
      </w:rPr>
    </w:lvl>
    <w:lvl w:ilvl="2">
      <w:start w:val="0"/>
      <w:numFmt w:val="bullet"/>
      <w:lvlText w:val="•"/>
      <w:lvlJc w:val="left"/>
      <w:pPr>
        <w:ind w:left="3757" w:hanging="1052"/>
      </w:pPr>
      <w:rPr>
        <w:rFonts w:hint="default"/>
      </w:rPr>
    </w:lvl>
    <w:lvl w:ilvl="3">
      <w:start w:val="0"/>
      <w:numFmt w:val="bullet"/>
      <w:lvlText w:val="•"/>
      <w:lvlJc w:val="left"/>
      <w:pPr>
        <w:ind w:left="5295" w:hanging="1052"/>
      </w:pPr>
      <w:rPr>
        <w:rFonts w:hint="default"/>
      </w:rPr>
    </w:lvl>
    <w:lvl w:ilvl="4">
      <w:start w:val="0"/>
      <w:numFmt w:val="bullet"/>
      <w:lvlText w:val="•"/>
      <w:lvlJc w:val="left"/>
      <w:pPr>
        <w:ind w:left="6833" w:hanging="1052"/>
      </w:pPr>
      <w:rPr>
        <w:rFonts w:hint="default"/>
      </w:rPr>
    </w:lvl>
    <w:lvl w:ilvl="5">
      <w:start w:val="0"/>
      <w:numFmt w:val="bullet"/>
      <w:lvlText w:val="•"/>
      <w:lvlJc w:val="left"/>
      <w:pPr>
        <w:ind w:left="8370" w:hanging="1052"/>
      </w:pPr>
      <w:rPr>
        <w:rFonts w:hint="default"/>
      </w:rPr>
    </w:lvl>
    <w:lvl w:ilvl="6">
      <w:start w:val="0"/>
      <w:numFmt w:val="bullet"/>
      <w:lvlText w:val="•"/>
      <w:lvlJc w:val="left"/>
      <w:pPr>
        <w:ind w:left="9908" w:hanging="1052"/>
      </w:pPr>
      <w:rPr>
        <w:rFonts w:hint="default"/>
      </w:rPr>
    </w:lvl>
    <w:lvl w:ilvl="7">
      <w:start w:val="0"/>
      <w:numFmt w:val="bullet"/>
      <w:lvlText w:val="•"/>
      <w:lvlJc w:val="left"/>
      <w:pPr>
        <w:ind w:left="11446" w:hanging="1052"/>
      </w:pPr>
      <w:rPr>
        <w:rFonts w:hint="default"/>
      </w:rPr>
    </w:lvl>
    <w:lvl w:ilvl="8">
      <w:start w:val="0"/>
      <w:numFmt w:val="bullet"/>
      <w:lvlText w:val="•"/>
      <w:lvlJc w:val="left"/>
      <w:pPr>
        <w:ind w:left="12984" w:hanging="1052"/>
      </w:pPr>
      <w:rPr>
        <w:rFonts w:hint="default"/>
      </w:rPr>
    </w:lvl>
  </w:abstractNum>
  <w:abstractNum w:abstractNumId="2">
    <w:nsid w:val="0D982E1E"/>
    <w:multiLevelType w:val="hybridMultilevel"/>
    <w:tmpl w:val="00000000"/>
    <w:lvl w:ilvl="0">
      <w:start w:val="1"/>
      <w:numFmt w:val="decimal"/>
      <w:lvlText w:val="（%1）"/>
      <w:lvlJc w:val="left"/>
      <w:pPr>
        <w:ind w:left="328" w:hanging="1052"/>
        <w:jc w:val="left"/>
      </w:pPr>
      <w:rPr>
        <w:rFonts w:ascii="仿宋" w:eastAsia="仿宋" w:hAnsi="仿宋" w:cs="仿宋" w:hint="default"/>
        <w:spacing w:val="-51"/>
        <w:w w:val="100"/>
        <w:sz w:val="40"/>
        <w:szCs w:val="40"/>
      </w:rPr>
    </w:lvl>
    <w:lvl w:ilvl="1">
      <w:start w:val="0"/>
      <w:numFmt w:val="bullet"/>
      <w:lvlText w:val="•"/>
      <w:lvlJc w:val="left"/>
      <w:pPr>
        <w:ind w:left="1893" w:hanging="1052"/>
      </w:pPr>
      <w:rPr>
        <w:rFonts w:hint="default"/>
      </w:rPr>
    </w:lvl>
    <w:lvl w:ilvl="2">
      <w:start w:val="0"/>
      <w:numFmt w:val="bullet"/>
      <w:lvlText w:val="•"/>
      <w:lvlJc w:val="left"/>
      <w:pPr>
        <w:ind w:left="3467" w:hanging="1052"/>
      </w:pPr>
      <w:rPr>
        <w:rFonts w:hint="default"/>
      </w:rPr>
    </w:lvl>
    <w:lvl w:ilvl="3">
      <w:start w:val="0"/>
      <w:numFmt w:val="bullet"/>
      <w:lvlText w:val="•"/>
      <w:lvlJc w:val="left"/>
      <w:pPr>
        <w:ind w:left="5041" w:hanging="1052"/>
      </w:pPr>
      <w:rPr>
        <w:rFonts w:hint="default"/>
      </w:rPr>
    </w:lvl>
    <w:lvl w:ilvl="4">
      <w:start w:val="0"/>
      <w:numFmt w:val="bullet"/>
      <w:lvlText w:val="•"/>
      <w:lvlJc w:val="left"/>
      <w:pPr>
        <w:ind w:left="6615" w:hanging="1052"/>
      </w:pPr>
      <w:rPr>
        <w:rFonts w:hint="default"/>
      </w:rPr>
    </w:lvl>
    <w:lvl w:ilvl="5">
      <w:start w:val="0"/>
      <w:numFmt w:val="bullet"/>
      <w:lvlText w:val="•"/>
      <w:lvlJc w:val="left"/>
      <w:pPr>
        <w:ind w:left="8189" w:hanging="1052"/>
      </w:pPr>
      <w:rPr>
        <w:rFonts w:hint="default"/>
      </w:rPr>
    </w:lvl>
    <w:lvl w:ilvl="6">
      <w:start w:val="0"/>
      <w:numFmt w:val="bullet"/>
      <w:lvlText w:val="•"/>
      <w:lvlJc w:val="left"/>
      <w:pPr>
        <w:ind w:left="9763" w:hanging="1052"/>
      </w:pPr>
      <w:rPr>
        <w:rFonts w:hint="default"/>
      </w:rPr>
    </w:lvl>
    <w:lvl w:ilvl="7">
      <w:start w:val="0"/>
      <w:numFmt w:val="bullet"/>
      <w:lvlText w:val="•"/>
      <w:lvlJc w:val="left"/>
      <w:pPr>
        <w:ind w:left="11337" w:hanging="1052"/>
      </w:pPr>
      <w:rPr>
        <w:rFonts w:hint="default"/>
      </w:rPr>
    </w:lvl>
    <w:lvl w:ilvl="8">
      <w:start w:val="0"/>
      <w:numFmt w:val="bullet"/>
      <w:lvlText w:val="•"/>
      <w:lvlJc w:val="left"/>
      <w:pPr>
        <w:ind w:left="12911" w:hanging="1052"/>
      </w:pPr>
      <w:rPr>
        <w:rFonts w:hint="default"/>
      </w:rPr>
    </w:lvl>
  </w:abstractNum>
  <w:abstractNum w:abstractNumId="3">
    <w:nsid w:val="0EDBC9D6"/>
    <w:multiLevelType w:val="hybridMultilevel"/>
    <w:tmpl w:val="00000000"/>
    <w:lvl w:ilvl="0">
      <w:start w:val="1"/>
      <w:numFmt w:val="decimal"/>
      <w:lvlText w:val="%1）"/>
      <w:lvlJc w:val="left"/>
      <w:pPr>
        <w:ind w:left="328" w:hanging="631"/>
        <w:jc w:val="left"/>
      </w:pPr>
      <w:rPr>
        <w:rFonts w:ascii="仿宋" w:eastAsia="仿宋" w:hAnsi="仿宋" w:cs="仿宋" w:hint="default"/>
        <w:spacing w:val="-2"/>
        <w:w w:val="100"/>
        <w:sz w:val="40"/>
        <w:szCs w:val="40"/>
      </w:rPr>
    </w:lvl>
    <w:lvl w:ilvl="1">
      <w:start w:val="0"/>
      <w:numFmt w:val="bullet"/>
      <w:lvlText w:val="•"/>
      <w:lvlJc w:val="left"/>
      <w:pPr>
        <w:ind w:left="1893" w:hanging="631"/>
      </w:pPr>
      <w:rPr>
        <w:rFonts w:hint="default"/>
      </w:rPr>
    </w:lvl>
    <w:lvl w:ilvl="2">
      <w:start w:val="0"/>
      <w:numFmt w:val="bullet"/>
      <w:lvlText w:val="•"/>
      <w:lvlJc w:val="left"/>
      <w:pPr>
        <w:ind w:left="3467" w:hanging="631"/>
      </w:pPr>
      <w:rPr>
        <w:rFonts w:hint="default"/>
      </w:rPr>
    </w:lvl>
    <w:lvl w:ilvl="3">
      <w:start w:val="0"/>
      <w:numFmt w:val="bullet"/>
      <w:lvlText w:val="•"/>
      <w:lvlJc w:val="left"/>
      <w:pPr>
        <w:ind w:left="5041" w:hanging="631"/>
      </w:pPr>
      <w:rPr>
        <w:rFonts w:hint="default"/>
      </w:rPr>
    </w:lvl>
    <w:lvl w:ilvl="4">
      <w:start w:val="0"/>
      <w:numFmt w:val="bullet"/>
      <w:lvlText w:val="•"/>
      <w:lvlJc w:val="left"/>
      <w:pPr>
        <w:ind w:left="6615" w:hanging="631"/>
      </w:pPr>
      <w:rPr>
        <w:rFonts w:hint="default"/>
      </w:rPr>
    </w:lvl>
    <w:lvl w:ilvl="5">
      <w:start w:val="0"/>
      <w:numFmt w:val="bullet"/>
      <w:lvlText w:val="•"/>
      <w:lvlJc w:val="left"/>
      <w:pPr>
        <w:ind w:left="8189" w:hanging="631"/>
      </w:pPr>
      <w:rPr>
        <w:rFonts w:hint="default"/>
      </w:rPr>
    </w:lvl>
    <w:lvl w:ilvl="6">
      <w:start w:val="0"/>
      <w:numFmt w:val="bullet"/>
      <w:lvlText w:val="•"/>
      <w:lvlJc w:val="left"/>
      <w:pPr>
        <w:ind w:left="9763" w:hanging="631"/>
      </w:pPr>
      <w:rPr>
        <w:rFonts w:hint="default"/>
      </w:rPr>
    </w:lvl>
    <w:lvl w:ilvl="7">
      <w:start w:val="0"/>
      <w:numFmt w:val="bullet"/>
      <w:lvlText w:val="•"/>
      <w:lvlJc w:val="left"/>
      <w:pPr>
        <w:ind w:left="11337" w:hanging="631"/>
      </w:pPr>
      <w:rPr>
        <w:rFonts w:hint="default"/>
      </w:rPr>
    </w:lvl>
    <w:lvl w:ilvl="8">
      <w:start w:val="0"/>
      <w:numFmt w:val="bullet"/>
      <w:lvlText w:val="•"/>
      <w:lvlJc w:val="left"/>
      <w:pPr>
        <w:ind w:left="12911" w:hanging="631"/>
      </w:pPr>
      <w:rPr>
        <w:rFonts w:hint="default"/>
      </w:rPr>
    </w:lvl>
  </w:abstractNum>
  <w:abstractNum w:abstractNumId="4">
    <w:nsid w:val="13716967"/>
    <w:multiLevelType w:val="hybridMultilevel"/>
    <w:tmpl w:val="00000000"/>
    <w:lvl w:ilvl="0">
      <w:start w:val="1"/>
      <w:numFmt w:val="decimal"/>
      <w:lvlText w:val="%1"/>
      <w:lvlJc w:val="left"/>
      <w:pPr>
        <w:ind w:left="1324" w:hanging="972"/>
        <w:jc w:val="left"/>
      </w:pPr>
      <w:rPr>
        <w:rFonts w:ascii="仿宋" w:eastAsia="仿宋" w:hAnsi="仿宋" w:cs="仿宋" w:hint="default"/>
        <w:w w:val="100"/>
        <w:sz w:val="36"/>
        <w:szCs w:val="36"/>
      </w:rPr>
    </w:lvl>
    <w:lvl w:ilvl="1">
      <w:start w:val="1"/>
      <w:numFmt w:val="decimal"/>
      <w:lvlText w:val="%2"/>
      <w:lvlJc w:val="left"/>
      <w:pPr>
        <w:ind w:left="3147" w:hanging="2473"/>
        <w:jc w:val="left"/>
      </w:pPr>
      <w:rPr>
        <w:rFonts w:ascii="仿宋" w:eastAsia="仿宋" w:hAnsi="仿宋" w:cs="仿宋" w:hint="default"/>
        <w:w w:val="100"/>
        <w:sz w:val="36"/>
        <w:szCs w:val="36"/>
      </w:rPr>
    </w:lvl>
    <w:lvl w:ilvl="2">
      <w:start w:val="0"/>
      <w:numFmt w:val="bullet"/>
      <w:lvlText w:val="•"/>
      <w:lvlJc w:val="left"/>
      <w:pPr>
        <w:ind w:left="13700" w:hanging="2473"/>
      </w:pPr>
      <w:rPr>
        <w:rFonts w:hint="default"/>
      </w:rPr>
    </w:lvl>
    <w:lvl w:ilvl="3">
      <w:start w:val="0"/>
      <w:numFmt w:val="bullet"/>
      <w:lvlText w:val="•"/>
      <w:lvlJc w:val="left"/>
      <w:pPr>
        <w:ind w:left="12655" w:hanging="2473"/>
      </w:pPr>
      <w:rPr>
        <w:rFonts w:hint="default"/>
      </w:rPr>
    </w:lvl>
    <w:lvl w:ilvl="4">
      <w:start w:val="0"/>
      <w:numFmt w:val="bullet"/>
      <w:lvlText w:val="•"/>
      <w:lvlJc w:val="left"/>
      <w:pPr>
        <w:ind w:left="11611" w:hanging="2473"/>
      </w:pPr>
      <w:rPr>
        <w:rFonts w:hint="default"/>
      </w:rPr>
    </w:lvl>
    <w:lvl w:ilvl="5">
      <w:start w:val="0"/>
      <w:numFmt w:val="bullet"/>
      <w:lvlText w:val="•"/>
      <w:lvlJc w:val="left"/>
      <w:pPr>
        <w:ind w:left="10567" w:hanging="2473"/>
      </w:pPr>
      <w:rPr>
        <w:rFonts w:hint="default"/>
      </w:rPr>
    </w:lvl>
    <w:lvl w:ilvl="6">
      <w:start w:val="0"/>
      <w:numFmt w:val="bullet"/>
      <w:lvlText w:val="•"/>
      <w:lvlJc w:val="left"/>
      <w:pPr>
        <w:ind w:left="9523" w:hanging="2473"/>
      </w:pPr>
      <w:rPr>
        <w:rFonts w:hint="default"/>
      </w:rPr>
    </w:lvl>
    <w:lvl w:ilvl="7">
      <w:start w:val="0"/>
      <w:numFmt w:val="bullet"/>
      <w:lvlText w:val="•"/>
      <w:lvlJc w:val="left"/>
      <w:pPr>
        <w:ind w:left="8479" w:hanging="2473"/>
      </w:pPr>
      <w:rPr>
        <w:rFonts w:hint="default"/>
      </w:rPr>
    </w:lvl>
    <w:lvl w:ilvl="8">
      <w:start w:val="0"/>
      <w:numFmt w:val="bullet"/>
      <w:lvlText w:val="•"/>
      <w:lvlJc w:val="left"/>
      <w:pPr>
        <w:ind w:left="7435" w:hanging="2473"/>
      </w:pPr>
      <w:rPr>
        <w:rFonts w:hint="default"/>
      </w:rPr>
    </w:lvl>
  </w:abstractNum>
  <w:abstractNum w:abstractNumId="5">
    <w:nsid w:val="2031A9E9"/>
    <w:multiLevelType w:val="hybridMultilevel"/>
    <w:tmpl w:val="00000000"/>
    <w:lvl w:ilvl="0">
      <w:start w:val="1"/>
      <w:numFmt w:val="decimal"/>
      <w:lvlText w:val="（%1）"/>
      <w:lvlJc w:val="left"/>
      <w:pPr>
        <w:ind w:left="2219" w:hanging="1052"/>
        <w:jc w:val="left"/>
      </w:pPr>
      <w:rPr>
        <w:rFonts w:ascii="仿宋" w:eastAsia="仿宋" w:hAnsi="仿宋" w:cs="仿宋" w:hint="default"/>
        <w:spacing w:val="-2"/>
        <w:w w:val="100"/>
        <w:sz w:val="40"/>
        <w:szCs w:val="40"/>
      </w:rPr>
    </w:lvl>
    <w:lvl w:ilvl="1">
      <w:start w:val="0"/>
      <w:numFmt w:val="bullet"/>
      <w:lvlText w:val="•"/>
      <w:lvlJc w:val="left"/>
      <w:pPr>
        <w:ind w:left="3603" w:hanging="1052"/>
      </w:pPr>
      <w:rPr>
        <w:rFonts w:hint="default"/>
      </w:rPr>
    </w:lvl>
    <w:lvl w:ilvl="2">
      <w:start w:val="0"/>
      <w:numFmt w:val="bullet"/>
      <w:lvlText w:val="•"/>
      <w:lvlJc w:val="left"/>
      <w:pPr>
        <w:ind w:left="4987" w:hanging="1052"/>
      </w:pPr>
      <w:rPr>
        <w:rFonts w:hint="default"/>
      </w:rPr>
    </w:lvl>
    <w:lvl w:ilvl="3">
      <w:start w:val="0"/>
      <w:numFmt w:val="bullet"/>
      <w:lvlText w:val="•"/>
      <w:lvlJc w:val="left"/>
      <w:pPr>
        <w:ind w:left="6371" w:hanging="1052"/>
      </w:pPr>
      <w:rPr>
        <w:rFonts w:hint="default"/>
      </w:rPr>
    </w:lvl>
    <w:lvl w:ilvl="4">
      <w:start w:val="0"/>
      <w:numFmt w:val="bullet"/>
      <w:lvlText w:val="•"/>
      <w:lvlJc w:val="left"/>
      <w:pPr>
        <w:ind w:left="7755" w:hanging="1052"/>
      </w:pPr>
      <w:rPr>
        <w:rFonts w:hint="default"/>
      </w:rPr>
    </w:lvl>
    <w:lvl w:ilvl="5">
      <w:start w:val="0"/>
      <w:numFmt w:val="bullet"/>
      <w:lvlText w:val="•"/>
      <w:lvlJc w:val="left"/>
      <w:pPr>
        <w:ind w:left="9139" w:hanging="1052"/>
      </w:pPr>
      <w:rPr>
        <w:rFonts w:hint="default"/>
      </w:rPr>
    </w:lvl>
    <w:lvl w:ilvl="6">
      <w:start w:val="0"/>
      <w:numFmt w:val="bullet"/>
      <w:lvlText w:val="•"/>
      <w:lvlJc w:val="left"/>
      <w:pPr>
        <w:ind w:left="10523" w:hanging="1052"/>
      </w:pPr>
      <w:rPr>
        <w:rFonts w:hint="default"/>
      </w:rPr>
    </w:lvl>
    <w:lvl w:ilvl="7">
      <w:start w:val="0"/>
      <w:numFmt w:val="bullet"/>
      <w:lvlText w:val="•"/>
      <w:lvlJc w:val="left"/>
      <w:pPr>
        <w:ind w:left="11907" w:hanging="1052"/>
      </w:pPr>
      <w:rPr>
        <w:rFonts w:hint="default"/>
      </w:rPr>
    </w:lvl>
    <w:lvl w:ilvl="8">
      <w:start w:val="0"/>
      <w:numFmt w:val="bullet"/>
      <w:lvlText w:val="•"/>
      <w:lvlJc w:val="left"/>
      <w:pPr>
        <w:ind w:left="13291" w:hanging="1052"/>
      </w:pPr>
      <w:rPr>
        <w:rFonts w:hint="default"/>
      </w:rPr>
    </w:lvl>
  </w:abstractNum>
  <w:abstractNum w:abstractNumId="6">
    <w:nsid w:val="22DACB5C"/>
    <w:multiLevelType w:val="hybridMultilevel"/>
    <w:tmpl w:val="00000000"/>
    <w:lvl w:ilvl="0">
      <w:start w:val="1"/>
      <w:numFmt w:val="decimal"/>
      <w:lvlText w:val="（%1）"/>
      <w:lvlJc w:val="left"/>
      <w:pPr>
        <w:ind w:left="2010" w:hanging="1052"/>
        <w:jc w:val="left"/>
      </w:pPr>
      <w:rPr>
        <w:rFonts w:ascii="仿宋" w:eastAsia="仿宋" w:hAnsi="仿宋" w:cs="仿宋" w:hint="default"/>
        <w:spacing w:val="-2"/>
        <w:w w:val="100"/>
        <w:sz w:val="40"/>
        <w:szCs w:val="40"/>
      </w:rPr>
    </w:lvl>
    <w:lvl w:ilvl="1">
      <w:start w:val="2"/>
      <w:numFmt w:val="decimal"/>
      <w:lvlText w:val="（%2）"/>
      <w:lvlJc w:val="left"/>
      <w:pPr>
        <w:ind w:left="2219" w:hanging="1052"/>
        <w:jc w:val="left"/>
      </w:pPr>
      <w:rPr>
        <w:rFonts w:ascii="仿宋" w:eastAsia="仿宋" w:hAnsi="仿宋" w:cs="仿宋" w:hint="default"/>
        <w:spacing w:val="-2"/>
        <w:w w:val="100"/>
        <w:sz w:val="40"/>
        <w:szCs w:val="40"/>
      </w:rPr>
    </w:lvl>
    <w:lvl w:ilvl="2">
      <w:start w:val="0"/>
      <w:numFmt w:val="bullet"/>
      <w:lvlText w:val="•"/>
      <w:lvlJc w:val="left"/>
      <w:pPr>
        <w:ind w:left="3757" w:hanging="1052"/>
      </w:pPr>
      <w:rPr>
        <w:rFonts w:hint="default"/>
      </w:rPr>
    </w:lvl>
    <w:lvl w:ilvl="3">
      <w:start w:val="0"/>
      <w:numFmt w:val="bullet"/>
      <w:lvlText w:val="•"/>
      <w:lvlJc w:val="left"/>
      <w:pPr>
        <w:ind w:left="5295" w:hanging="1052"/>
      </w:pPr>
      <w:rPr>
        <w:rFonts w:hint="default"/>
      </w:rPr>
    </w:lvl>
    <w:lvl w:ilvl="4">
      <w:start w:val="0"/>
      <w:numFmt w:val="bullet"/>
      <w:lvlText w:val="•"/>
      <w:lvlJc w:val="left"/>
      <w:pPr>
        <w:ind w:left="6833" w:hanging="1052"/>
      </w:pPr>
      <w:rPr>
        <w:rFonts w:hint="default"/>
      </w:rPr>
    </w:lvl>
    <w:lvl w:ilvl="5">
      <w:start w:val="0"/>
      <w:numFmt w:val="bullet"/>
      <w:lvlText w:val="•"/>
      <w:lvlJc w:val="left"/>
      <w:pPr>
        <w:ind w:left="8370" w:hanging="1052"/>
      </w:pPr>
      <w:rPr>
        <w:rFonts w:hint="default"/>
      </w:rPr>
    </w:lvl>
    <w:lvl w:ilvl="6">
      <w:start w:val="0"/>
      <w:numFmt w:val="bullet"/>
      <w:lvlText w:val="•"/>
      <w:lvlJc w:val="left"/>
      <w:pPr>
        <w:ind w:left="9908" w:hanging="1052"/>
      </w:pPr>
      <w:rPr>
        <w:rFonts w:hint="default"/>
      </w:rPr>
    </w:lvl>
    <w:lvl w:ilvl="7">
      <w:start w:val="0"/>
      <w:numFmt w:val="bullet"/>
      <w:lvlText w:val="•"/>
      <w:lvlJc w:val="left"/>
      <w:pPr>
        <w:ind w:left="11446" w:hanging="1052"/>
      </w:pPr>
      <w:rPr>
        <w:rFonts w:hint="default"/>
      </w:rPr>
    </w:lvl>
    <w:lvl w:ilvl="8">
      <w:start w:val="0"/>
      <w:numFmt w:val="bullet"/>
      <w:lvlText w:val="•"/>
      <w:lvlJc w:val="left"/>
      <w:pPr>
        <w:ind w:left="12984" w:hanging="1052"/>
      </w:pPr>
      <w:rPr>
        <w:rFonts w:hint="default"/>
      </w:rPr>
    </w:lvl>
  </w:abstractNum>
  <w:abstractNum w:abstractNumId="7">
    <w:nsid w:val="397328A7"/>
    <w:multiLevelType w:val="hybridMultilevel"/>
    <w:tmpl w:val="00000000"/>
    <w:lvl w:ilvl="0">
      <w:start w:val="1"/>
      <w:numFmt w:val="decimal"/>
      <w:lvlText w:val="（%1）"/>
      <w:lvlJc w:val="left"/>
      <w:pPr>
        <w:ind w:left="2219" w:hanging="1052"/>
        <w:jc w:val="left"/>
      </w:pPr>
      <w:rPr>
        <w:rFonts w:ascii="仿宋" w:eastAsia="仿宋" w:hAnsi="仿宋" w:cs="仿宋" w:hint="default"/>
        <w:spacing w:val="-2"/>
        <w:w w:val="100"/>
        <w:sz w:val="40"/>
        <w:szCs w:val="40"/>
      </w:rPr>
    </w:lvl>
    <w:lvl w:ilvl="1">
      <w:start w:val="0"/>
      <w:numFmt w:val="bullet"/>
      <w:lvlText w:val="•"/>
      <w:lvlJc w:val="left"/>
      <w:pPr>
        <w:ind w:left="3603" w:hanging="1052"/>
      </w:pPr>
      <w:rPr>
        <w:rFonts w:hint="default"/>
      </w:rPr>
    </w:lvl>
    <w:lvl w:ilvl="2">
      <w:start w:val="0"/>
      <w:numFmt w:val="bullet"/>
      <w:lvlText w:val="•"/>
      <w:lvlJc w:val="left"/>
      <w:pPr>
        <w:ind w:left="4987" w:hanging="1052"/>
      </w:pPr>
      <w:rPr>
        <w:rFonts w:hint="default"/>
      </w:rPr>
    </w:lvl>
    <w:lvl w:ilvl="3">
      <w:start w:val="0"/>
      <w:numFmt w:val="bullet"/>
      <w:lvlText w:val="•"/>
      <w:lvlJc w:val="left"/>
      <w:pPr>
        <w:ind w:left="6371" w:hanging="1052"/>
      </w:pPr>
      <w:rPr>
        <w:rFonts w:hint="default"/>
      </w:rPr>
    </w:lvl>
    <w:lvl w:ilvl="4">
      <w:start w:val="0"/>
      <w:numFmt w:val="bullet"/>
      <w:lvlText w:val="•"/>
      <w:lvlJc w:val="left"/>
      <w:pPr>
        <w:ind w:left="7755" w:hanging="1052"/>
      </w:pPr>
      <w:rPr>
        <w:rFonts w:hint="default"/>
      </w:rPr>
    </w:lvl>
    <w:lvl w:ilvl="5">
      <w:start w:val="0"/>
      <w:numFmt w:val="bullet"/>
      <w:lvlText w:val="•"/>
      <w:lvlJc w:val="left"/>
      <w:pPr>
        <w:ind w:left="9139" w:hanging="1052"/>
      </w:pPr>
      <w:rPr>
        <w:rFonts w:hint="default"/>
      </w:rPr>
    </w:lvl>
    <w:lvl w:ilvl="6">
      <w:start w:val="0"/>
      <w:numFmt w:val="bullet"/>
      <w:lvlText w:val="•"/>
      <w:lvlJc w:val="left"/>
      <w:pPr>
        <w:ind w:left="10523" w:hanging="1052"/>
      </w:pPr>
      <w:rPr>
        <w:rFonts w:hint="default"/>
      </w:rPr>
    </w:lvl>
    <w:lvl w:ilvl="7">
      <w:start w:val="0"/>
      <w:numFmt w:val="bullet"/>
      <w:lvlText w:val="•"/>
      <w:lvlJc w:val="left"/>
      <w:pPr>
        <w:ind w:left="11907" w:hanging="1052"/>
      </w:pPr>
      <w:rPr>
        <w:rFonts w:hint="default"/>
      </w:rPr>
    </w:lvl>
    <w:lvl w:ilvl="8">
      <w:start w:val="0"/>
      <w:numFmt w:val="bullet"/>
      <w:lvlText w:val="•"/>
      <w:lvlJc w:val="left"/>
      <w:pPr>
        <w:ind w:left="13291" w:hanging="1052"/>
      </w:pPr>
      <w:rPr>
        <w:rFonts w:hint="default"/>
      </w:rPr>
    </w:lvl>
  </w:abstractNum>
  <w:abstractNum w:abstractNumId="8">
    <w:nsid w:val="3B3FECFB"/>
    <w:multiLevelType w:val="hybridMultilevel"/>
    <w:tmpl w:val="00000000"/>
    <w:lvl w:ilvl="0">
      <w:start w:val="1"/>
      <w:numFmt w:val="decimal"/>
      <w:lvlText w:val="（%1）"/>
      <w:lvlJc w:val="left"/>
      <w:pPr>
        <w:ind w:left="2010" w:hanging="1052"/>
        <w:jc w:val="left"/>
      </w:pPr>
      <w:rPr>
        <w:rFonts w:ascii="仿宋" w:eastAsia="仿宋" w:hAnsi="仿宋" w:cs="仿宋" w:hint="default"/>
        <w:spacing w:val="-2"/>
        <w:w w:val="100"/>
        <w:sz w:val="40"/>
        <w:szCs w:val="40"/>
      </w:rPr>
    </w:lvl>
    <w:lvl w:ilvl="1">
      <w:start w:val="2"/>
      <w:numFmt w:val="decimal"/>
      <w:lvlText w:val="（%2）"/>
      <w:lvlJc w:val="left"/>
      <w:pPr>
        <w:ind w:left="2219" w:hanging="1052"/>
        <w:jc w:val="left"/>
      </w:pPr>
      <w:rPr>
        <w:rFonts w:ascii="仿宋" w:eastAsia="仿宋" w:hAnsi="仿宋" w:cs="仿宋" w:hint="default"/>
        <w:spacing w:val="-2"/>
        <w:w w:val="100"/>
        <w:sz w:val="40"/>
        <w:szCs w:val="40"/>
      </w:rPr>
    </w:lvl>
    <w:lvl w:ilvl="2">
      <w:start w:val="0"/>
      <w:numFmt w:val="bullet"/>
      <w:lvlText w:val="•"/>
      <w:lvlJc w:val="left"/>
      <w:pPr>
        <w:ind w:left="3757" w:hanging="1052"/>
      </w:pPr>
      <w:rPr>
        <w:rFonts w:hint="default"/>
      </w:rPr>
    </w:lvl>
    <w:lvl w:ilvl="3">
      <w:start w:val="0"/>
      <w:numFmt w:val="bullet"/>
      <w:lvlText w:val="•"/>
      <w:lvlJc w:val="left"/>
      <w:pPr>
        <w:ind w:left="5295" w:hanging="1052"/>
      </w:pPr>
      <w:rPr>
        <w:rFonts w:hint="default"/>
      </w:rPr>
    </w:lvl>
    <w:lvl w:ilvl="4">
      <w:start w:val="0"/>
      <w:numFmt w:val="bullet"/>
      <w:lvlText w:val="•"/>
      <w:lvlJc w:val="left"/>
      <w:pPr>
        <w:ind w:left="6833" w:hanging="1052"/>
      </w:pPr>
      <w:rPr>
        <w:rFonts w:hint="default"/>
      </w:rPr>
    </w:lvl>
    <w:lvl w:ilvl="5">
      <w:start w:val="0"/>
      <w:numFmt w:val="bullet"/>
      <w:lvlText w:val="•"/>
      <w:lvlJc w:val="left"/>
      <w:pPr>
        <w:ind w:left="8370" w:hanging="1052"/>
      </w:pPr>
      <w:rPr>
        <w:rFonts w:hint="default"/>
      </w:rPr>
    </w:lvl>
    <w:lvl w:ilvl="6">
      <w:start w:val="0"/>
      <w:numFmt w:val="bullet"/>
      <w:lvlText w:val="•"/>
      <w:lvlJc w:val="left"/>
      <w:pPr>
        <w:ind w:left="9908" w:hanging="1052"/>
      </w:pPr>
      <w:rPr>
        <w:rFonts w:hint="default"/>
      </w:rPr>
    </w:lvl>
    <w:lvl w:ilvl="7">
      <w:start w:val="0"/>
      <w:numFmt w:val="bullet"/>
      <w:lvlText w:val="•"/>
      <w:lvlJc w:val="left"/>
      <w:pPr>
        <w:ind w:left="11446" w:hanging="1052"/>
      </w:pPr>
      <w:rPr>
        <w:rFonts w:hint="default"/>
      </w:rPr>
    </w:lvl>
    <w:lvl w:ilvl="8">
      <w:start w:val="0"/>
      <w:numFmt w:val="bullet"/>
      <w:lvlText w:val="•"/>
      <w:lvlJc w:val="left"/>
      <w:pPr>
        <w:ind w:left="12984" w:hanging="1052"/>
      </w:pPr>
      <w:rPr>
        <w:rFonts w:hint="default"/>
      </w:rPr>
    </w:lvl>
  </w:abstractNum>
  <w:abstractNum w:abstractNumId="9">
    <w:nsid w:val="417C6B46"/>
    <w:multiLevelType w:val="hybridMultilevel"/>
    <w:tmpl w:val="00000000"/>
    <w:lvl w:ilvl="0">
      <w:start w:val="1"/>
      <w:numFmt w:val="decimal"/>
      <w:lvlText w:val="%1."/>
      <w:lvlJc w:val="left"/>
      <w:pPr>
        <w:ind w:left="1693" w:hanging="401"/>
        <w:jc w:val="left"/>
      </w:pPr>
      <w:rPr>
        <w:rFonts w:ascii="Arial" w:eastAsia="Arial" w:hAnsi="Arial" w:cs="Arial" w:hint="default"/>
        <w:b/>
        <w:bCs/>
        <w:w w:val="99"/>
        <w:sz w:val="46"/>
        <w:szCs w:val="46"/>
      </w:rPr>
    </w:lvl>
    <w:lvl w:ilvl="1">
      <w:start w:val="0"/>
      <w:numFmt w:val="bullet"/>
      <w:lvlText w:val="•"/>
      <w:lvlJc w:val="left"/>
      <w:pPr>
        <w:ind w:left="3135" w:hanging="401"/>
      </w:pPr>
      <w:rPr>
        <w:rFonts w:hint="default"/>
      </w:rPr>
    </w:lvl>
    <w:lvl w:ilvl="2">
      <w:start w:val="0"/>
      <w:numFmt w:val="bullet"/>
      <w:lvlText w:val="•"/>
      <w:lvlJc w:val="left"/>
      <w:pPr>
        <w:ind w:left="4571" w:hanging="401"/>
      </w:pPr>
      <w:rPr>
        <w:rFonts w:hint="default"/>
      </w:rPr>
    </w:lvl>
    <w:lvl w:ilvl="3">
      <w:start w:val="0"/>
      <w:numFmt w:val="bullet"/>
      <w:lvlText w:val="•"/>
      <w:lvlJc w:val="left"/>
      <w:pPr>
        <w:ind w:left="6007" w:hanging="401"/>
      </w:pPr>
      <w:rPr>
        <w:rFonts w:hint="default"/>
      </w:rPr>
    </w:lvl>
    <w:lvl w:ilvl="4">
      <w:start w:val="0"/>
      <w:numFmt w:val="bullet"/>
      <w:lvlText w:val="•"/>
      <w:lvlJc w:val="left"/>
      <w:pPr>
        <w:ind w:left="7443" w:hanging="401"/>
      </w:pPr>
      <w:rPr>
        <w:rFonts w:hint="default"/>
      </w:rPr>
    </w:lvl>
    <w:lvl w:ilvl="5">
      <w:start w:val="0"/>
      <w:numFmt w:val="bullet"/>
      <w:lvlText w:val="•"/>
      <w:lvlJc w:val="left"/>
      <w:pPr>
        <w:ind w:left="8879" w:hanging="401"/>
      </w:pPr>
      <w:rPr>
        <w:rFonts w:hint="default"/>
      </w:rPr>
    </w:lvl>
    <w:lvl w:ilvl="6">
      <w:start w:val="0"/>
      <w:numFmt w:val="bullet"/>
      <w:lvlText w:val="•"/>
      <w:lvlJc w:val="left"/>
      <w:pPr>
        <w:ind w:left="10315" w:hanging="401"/>
      </w:pPr>
      <w:rPr>
        <w:rFonts w:hint="default"/>
      </w:rPr>
    </w:lvl>
    <w:lvl w:ilvl="7">
      <w:start w:val="0"/>
      <w:numFmt w:val="bullet"/>
      <w:lvlText w:val="•"/>
      <w:lvlJc w:val="left"/>
      <w:pPr>
        <w:ind w:left="11751" w:hanging="401"/>
      </w:pPr>
      <w:rPr>
        <w:rFonts w:hint="default"/>
      </w:rPr>
    </w:lvl>
    <w:lvl w:ilvl="8">
      <w:start w:val="0"/>
      <w:numFmt w:val="bullet"/>
      <w:lvlText w:val="•"/>
      <w:lvlJc w:val="left"/>
      <w:pPr>
        <w:ind w:left="13187" w:hanging="401"/>
      </w:pPr>
      <w:rPr>
        <w:rFonts w:hint="default"/>
      </w:rPr>
    </w:lvl>
  </w:abstractNum>
  <w:abstractNum w:abstractNumId="10">
    <w:nsid w:val="465C9D3D"/>
    <w:multiLevelType w:val="hybridMultilevel"/>
    <w:tmpl w:val="00000000"/>
    <w:lvl w:ilvl="0">
      <w:start w:val="1"/>
      <w:numFmt w:val="decimal"/>
      <w:lvlText w:val="（%1）"/>
      <w:lvlJc w:val="left"/>
      <w:pPr>
        <w:ind w:left="2219" w:hanging="1052"/>
        <w:jc w:val="left"/>
      </w:pPr>
      <w:rPr>
        <w:rFonts w:ascii="仿宋" w:eastAsia="仿宋" w:hAnsi="仿宋" w:cs="仿宋" w:hint="default"/>
        <w:spacing w:val="-2"/>
        <w:w w:val="100"/>
        <w:sz w:val="40"/>
        <w:szCs w:val="40"/>
      </w:rPr>
    </w:lvl>
    <w:lvl w:ilvl="1">
      <w:start w:val="0"/>
      <w:numFmt w:val="bullet"/>
      <w:lvlText w:val="•"/>
      <w:lvlJc w:val="left"/>
      <w:pPr>
        <w:ind w:left="3603" w:hanging="1052"/>
      </w:pPr>
      <w:rPr>
        <w:rFonts w:hint="default"/>
      </w:rPr>
    </w:lvl>
    <w:lvl w:ilvl="2">
      <w:start w:val="0"/>
      <w:numFmt w:val="bullet"/>
      <w:lvlText w:val="•"/>
      <w:lvlJc w:val="left"/>
      <w:pPr>
        <w:ind w:left="4987" w:hanging="1052"/>
      </w:pPr>
      <w:rPr>
        <w:rFonts w:hint="default"/>
      </w:rPr>
    </w:lvl>
    <w:lvl w:ilvl="3">
      <w:start w:val="0"/>
      <w:numFmt w:val="bullet"/>
      <w:lvlText w:val="•"/>
      <w:lvlJc w:val="left"/>
      <w:pPr>
        <w:ind w:left="6371" w:hanging="1052"/>
      </w:pPr>
      <w:rPr>
        <w:rFonts w:hint="default"/>
      </w:rPr>
    </w:lvl>
    <w:lvl w:ilvl="4">
      <w:start w:val="0"/>
      <w:numFmt w:val="bullet"/>
      <w:lvlText w:val="•"/>
      <w:lvlJc w:val="left"/>
      <w:pPr>
        <w:ind w:left="7755" w:hanging="1052"/>
      </w:pPr>
      <w:rPr>
        <w:rFonts w:hint="default"/>
      </w:rPr>
    </w:lvl>
    <w:lvl w:ilvl="5">
      <w:start w:val="0"/>
      <w:numFmt w:val="bullet"/>
      <w:lvlText w:val="•"/>
      <w:lvlJc w:val="left"/>
      <w:pPr>
        <w:ind w:left="9139" w:hanging="1052"/>
      </w:pPr>
      <w:rPr>
        <w:rFonts w:hint="default"/>
      </w:rPr>
    </w:lvl>
    <w:lvl w:ilvl="6">
      <w:start w:val="0"/>
      <w:numFmt w:val="bullet"/>
      <w:lvlText w:val="•"/>
      <w:lvlJc w:val="left"/>
      <w:pPr>
        <w:ind w:left="10523" w:hanging="1052"/>
      </w:pPr>
      <w:rPr>
        <w:rFonts w:hint="default"/>
      </w:rPr>
    </w:lvl>
    <w:lvl w:ilvl="7">
      <w:start w:val="0"/>
      <w:numFmt w:val="bullet"/>
      <w:lvlText w:val="•"/>
      <w:lvlJc w:val="left"/>
      <w:pPr>
        <w:ind w:left="11907" w:hanging="1052"/>
      </w:pPr>
      <w:rPr>
        <w:rFonts w:hint="default"/>
      </w:rPr>
    </w:lvl>
    <w:lvl w:ilvl="8">
      <w:start w:val="0"/>
      <w:numFmt w:val="bullet"/>
      <w:lvlText w:val="•"/>
      <w:lvlJc w:val="left"/>
      <w:pPr>
        <w:ind w:left="13291" w:hanging="1052"/>
      </w:pPr>
      <w:rPr>
        <w:rFonts w:hint="default"/>
      </w:rPr>
    </w:lvl>
  </w:abstractNum>
  <w:abstractNum w:abstractNumId="11">
    <w:nsid w:val="4CCC5BC6"/>
    <w:multiLevelType w:val="hybridMultilevel"/>
    <w:tmpl w:val="00000000"/>
    <w:lvl w:ilvl="0">
      <w:start w:val="4"/>
      <w:numFmt w:val="decimal"/>
      <w:lvlText w:val="（%1）"/>
      <w:lvlJc w:val="left"/>
      <w:pPr>
        <w:ind w:left="328" w:hanging="1052"/>
        <w:jc w:val="left"/>
      </w:pPr>
      <w:rPr>
        <w:rFonts w:ascii="仿宋" w:eastAsia="仿宋" w:hAnsi="仿宋" w:cs="仿宋" w:hint="default"/>
        <w:spacing w:val="-2"/>
        <w:w w:val="100"/>
        <w:sz w:val="40"/>
        <w:szCs w:val="40"/>
      </w:rPr>
    </w:lvl>
    <w:lvl w:ilvl="1">
      <w:start w:val="0"/>
      <w:numFmt w:val="bullet"/>
      <w:lvlText w:val="•"/>
      <w:lvlJc w:val="left"/>
      <w:pPr>
        <w:ind w:left="1893" w:hanging="1052"/>
      </w:pPr>
      <w:rPr>
        <w:rFonts w:hint="default"/>
      </w:rPr>
    </w:lvl>
    <w:lvl w:ilvl="2">
      <w:start w:val="0"/>
      <w:numFmt w:val="bullet"/>
      <w:lvlText w:val="•"/>
      <w:lvlJc w:val="left"/>
      <w:pPr>
        <w:ind w:left="3467" w:hanging="1052"/>
      </w:pPr>
      <w:rPr>
        <w:rFonts w:hint="default"/>
      </w:rPr>
    </w:lvl>
    <w:lvl w:ilvl="3">
      <w:start w:val="0"/>
      <w:numFmt w:val="bullet"/>
      <w:lvlText w:val="•"/>
      <w:lvlJc w:val="left"/>
      <w:pPr>
        <w:ind w:left="5041" w:hanging="1052"/>
      </w:pPr>
      <w:rPr>
        <w:rFonts w:hint="default"/>
      </w:rPr>
    </w:lvl>
    <w:lvl w:ilvl="4">
      <w:start w:val="0"/>
      <w:numFmt w:val="bullet"/>
      <w:lvlText w:val="•"/>
      <w:lvlJc w:val="left"/>
      <w:pPr>
        <w:ind w:left="6615" w:hanging="1052"/>
      </w:pPr>
      <w:rPr>
        <w:rFonts w:hint="default"/>
      </w:rPr>
    </w:lvl>
    <w:lvl w:ilvl="5">
      <w:start w:val="0"/>
      <w:numFmt w:val="bullet"/>
      <w:lvlText w:val="•"/>
      <w:lvlJc w:val="left"/>
      <w:pPr>
        <w:ind w:left="8189" w:hanging="1052"/>
      </w:pPr>
      <w:rPr>
        <w:rFonts w:hint="default"/>
      </w:rPr>
    </w:lvl>
    <w:lvl w:ilvl="6">
      <w:start w:val="0"/>
      <w:numFmt w:val="bullet"/>
      <w:lvlText w:val="•"/>
      <w:lvlJc w:val="left"/>
      <w:pPr>
        <w:ind w:left="9763" w:hanging="1052"/>
      </w:pPr>
      <w:rPr>
        <w:rFonts w:hint="default"/>
      </w:rPr>
    </w:lvl>
    <w:lvl w:ilvl="7">
      <w:start w:val="0"/>
      <w:numFmt w:val="bullet"/>
      <w:lvlText w:val="•"/>
      <w:lvlJc w:val="left"/>
      <w:pPr>
        <w:ind w:left="11337" w:hanging="1052"/>
      </w:pPr>
      <w:rPr>
        <w:rFonts w:hint="default"/>
      </w:rPr>
    </w:lvl>
    <w:lvl w:ilvl="8">
      <w:start w:val="0"/>
      <w:numFmt w:val="bullet"/>
      <w:lvlText w:val="•"/>
      <w:lvlJc w:val="left"/>
      <w:pPr>
        <w:ind w:left="12911" w:hanging="1052"/>
      </w:pPr>
      <w:rPr>
        <w:rFonts w:hint="default"/>
      </w:rPr>
    </w:lvl>
  </w:abstractNum>
  <w:abstractNum w:abstractNumId="12">
    <w:nsid w:val="520D0DD0"/>
    <w:multiLevelType w:val="hybridMultilevel"/>
    <w:tmpl w:val="00000000"/>
    <w:lvl w:ilvl="0">
      <w:start w:val="4"/>
      <w:numFmt w:val="decimal"/>
      <w:lvlText w:val="（%1）"/>
      <w:lvlJc w:val="left"/>
      <w:pPr>
        <w:ind w:left="328" w:hanging="1052"/>
        <w:jc w:val="left"/>
      </w:pPr>
      <w:rPr>
        <w:rFonts w:ascii="仿宋" w:eastAsia="仿宋" w:hAnsi="仿宋" w:cs="仿宋" w:hint="default"/>
        <w:spacing w:val="-2"/>
        <w:w w:val="100"/>
        <w:sz w:val="40"/>
        <w:szCs w:val="40"/>
      </w:rPr>
    </w:lvl>
    <w:lvl w:ilvl="1">
      <w:start w:val="0"/>
      <w:numFmt w:val="bullet"/>
      <w:lvlText w:val="•"/>
      <w:lvlJc w:val="left"/>
      <w:pPr>
        <w:ind w:left="1893" w:hanging="1052"/>
      </w:pPr>
      <w:rPr>
        <w:rFonts w:hint="default"/>
      </w:rPr>
    </w:lvl>
    <w:lvl w:ilvl="2">
      <w:start w:val="0"/>
      <w:numFmt w:val="bullet"/>
      <w:lvlText w:val="•"/>
      <w:lvlJc w:val="left"/>
      <w:pPr>
        <w:ind w:left="3467" w:hanging="1052"/>
      </w:pPr>
      <w:rPr>
        <w:rFonts w:hint="default"/>
      </w:rPr>
    </w:lvl>
    <w:lvl w:ilvl="3">
      <w:start w:val="0"/>
      <w:numFmt w:val="bullet"/>
      <w:lvlText w:val="•"/>
      <w:lvlJc w:val="left"/>
      <w:pPr>
        <w:ind w:left="5041" w:hanging="1052"/>
      </w:pPr>
      <w:rPr>
        <w:rFonts w:hint="default"/>
      </w:rPr>
    </w:lvl>
    <w:lvl w:ilvl="4">
      <w:start w:val="0"/>
      <w:numFmt w:val="bullet"/>
      <w:lvlText w:val="•"/>
      <w:lvlJc w:val="left"/>
      <w:pPr>
        <w:ind w:left="6615" w:hanging="1052"/>
      </w:pPr>
      <w:rPr>
        <w:rFonts w:hint="default"/>
      </w:rPr>
    </w:lvl>
    <w:lvl w:ilvl="5">
      <w:start w:val="0"/>
      <w:numFmt w:val="bullet"/>
      <w:lvlText w:val="•"/>
      <w:lvlJc w:val="left"/>
      <w:pPr>
        <w:ind w:left="8189" w:hanging="1052"/>
      </w:pPr>
      <w:rPr>
        <w:rFonts w:hint="default"/>
      </w:rPr>
    </w:lvl>
    <w:lvl w:ilvl="6">
      <w:start w:val="0"/>
      <w:numFmt w:val="bullet"/>
      <w:lvlText w:val="•"/>
      <w:lvlJc w:val="left"/>
      <w:pPr>
        <w:ind w:left="9763" w:hanging="1052"/>
      </w:pPr>
      <w:rPr>
        <w:rFonts w:hint="default"/>
      </w:rPr>
    </w:lvl>
    <w:lvl w:ilvl="7">
      <w:start w:val="0"/>
      <w:numFmt w:val="bullet"/>
      <w:lvlText w:val="•"/>
      <w:lvlJc w:val="left"/>
      <w:pPr>
        <w:ind w:left="11337" w:hanging="1052"/>
      </w:pPr>
      <w:rPr>
        <w:rFonts w:hint="default"/>
      </w:rPr>
    </w:lvl>
    <w:lvl w:ilvl="8">
      <w:start w:val="0"/>
      <w:numFmt w:val="bullet"/>
      <w:lvlText w:val="•"/>
      <w:lvlJc w:val="left"/>
      <w:pPr>
        <w:ind w:left="12911" w:hanging="1052"/>
      </w:pPr>
      <w:rPr>
        <w:rFonts w:hint="default"/>
      </w:rPr>
    </w:lvl>
  </w:abstractNum>
  <w:num w:numId="1">
    <w:abstractNumId w:val="4"/>
  </w:num>
  <w:num w:numId="2">
    <w:abstractNumId w:val="5"/>
  </w:num>
  <w:num w:numId="3">
    <w:abstractNumId w:val="7"/>
  </w:num>
  <w:num w:numId="4">
    <w:abstractNumId w:val="12"/>
  </w:num>
  <w:num w:numId="5">
    <w:abstractNumId w:val="2"/>
  </w:num>
  <w:num w:numId="6">
    <w:abstractNumId w:val="0"/>
  </w:num>
  <w:num w:numId="7">
    <w:abstractNumId w:val="3"/>
  </w:num>
  <w:num w:numId="8">
    <w:abstractNumId w:val="1"/>
  </w:num>
  <w:num w:numId="9">
    <w:abstractNumId w:val="9"/>
  </w:num>
  <w:num w:numId="10">
    <w:abstractNumId w:val="6"/>
  </w:num>
  <w:num w:numId="11">
    <w:abstractNumId w:val="8"/>
  </w:num>
  <w:num w:numId="12">
    <w:abstractNumId w:val="1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仿宋" w:eastAsia="仿宋" w:hAnsi="仿宋" w:cs="仿宋"/>
    </w:rPr>
  </w:style>
  <w:style w:type="paragraph" w:styleId="Heading1">
    <w:name w:val="heading 1"/>
    <w:basedOn w:val="Normal"/>
    <w:uiPriority w:val="1"/>
    <w:qFormat/>
    <w:pPr>
      <w:spacing w:before="79"/>
      <w:ind w:left="1411"/>
      <w:outlineLvl w:val="0"/>
    </w:pPr>
    <w:rPr>
      <w:rFonts w:ascii="宋体" w:eastAsia="宋体" w:hAnsi="宋体" w:cs="宋体"/>
      <w:b/>
      <w:bCs/>
      <w:sz w:val="54"/>
      <w:szCs w:val="54"/>
    </w:rPr>
  </w:style>
  <w:style w:type="paragraph" w:styleId="Heading2">
    <w:name w:val="heading 2"/>
    <w:basedOn w:val="Normal"/>
    <w:uiPriority w:val="1"/>
    <w:qFormat/>
    <w:pPr>
      <w:ind w:left="1779" w:hanging="486"/>
      <w:outlineLvl w:val="1"/>
    </w:pPr>
    <w:rPr>
      <w:rFonts w:ascii="宋体" w:eastAsia="宋体" w:hAnsi="宋体" w:cs="宋体"/>
      <w:b/>
      <w:bCs/>
      <w:sz w:val="48"/>
      <w:szCs w:val="48"/>
    </w:rPr>
  </w:style>
  <w:style w:type="paragraph" w:styleId="Heading3">
    <w:name w:val="heading 3"/>
    <w:basedOn w:val="Normal"/>
    <w:uiPriority w:val="1"/>
    <w:qFormat/>
    <w:pPr>
      <w:spacing w:before="42"/>
      <w:ind w:left="328"/>
      <w:outlineLvl w:val="2"/>
    </w:pPr>
    <w:rPr>
      <w:rFonts w:ascii="宋体" w:eastAsia="宋体" w:hAnsi="宋体" w:cs="宋体"/>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仿宋" w:eastAsia="仿宋" w:hAnsi="仿宋" w:cs="仿宋"/>
      <w:sz w:val="42"/>
      <w:szCs w:val="42"/>
    </w:rPr>
  </w:style>
  <w:style w:type="paragraph" w:styleId="ListParagraph">
    <w:name w:val="List Paragraph"/>
    <w:basedOn w:val="Normal"/>
    <w:uiPriority w:val="1"/>
    <w:qFormat/>
    <w:pPr>
      <w:ind w:left="2219" w:hanging="1053"/>
    </w:pPr>
    <w:rPr>
      <w:rFonts w:ascii="仿宋" w:eastAsia="仿宋" w:hAnsi="仿宋" w:cs="仿宋"/>
    </w:rPr>
  </w:style>
  <w:style w:type="paragraph" w:customStyle="1" w:styleId="TableParagraph">
    <w:name w:val="Table Paragraph"/>
    <w:basedOn w:val="Normal"/>
    <w:uiPriority w:val="1"/>
    <w:qFormat/>
    <w:rPr>
      <w:rFonts w:ascii="仿宋" w:eastAsia="仿宋" w:hAnsi="仿宋" w:cs="仿宋"/>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image" Target="media/image4.png"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image" Target="media/image5.png"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image" Target="media/image6.png" /><Relationship Id="rId21" Type="http://schemas.openxmlformats.org/officeDocument/2006/relationships/header" Target="header7.xml" /><Relationship Id="rId22" Type="http://schemas.openxmlformats.org/officeDocument/2006/relationships/footer" Target="footer7.xml" /><Relationship Id="rId23" Type="http://schemas.openxmlformats.org/officeDocument/2006/relationships/header" Target="header8.xml" /><Relationship Id="rId24" Type="http://schemas.openxmlformats.org/officeDocument/2006/relationships/footer" Target="footer8.xml"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image" Target="media/image7.png" /><Relationship Id="rId28" Type="http://schemas.openxmlformats.org/officeDocument/2006/relationships/header" Target="header10.xml" /><Relationship Id="rId29" Type="http://schemas.openxmlformats.org/officeDocument/2006/relationships/footer" Target="footer10.xml" /><Relationship Id="rId3" Type="http://schemas.openxmlformats.org/officeDocument/2006/relationships/fontTable" Target="fontTable.xml" /><Relationship Id="rId30" Type="http://schemas.openxmlformats.org/officeDocument/2006/relationships/image" Target="media/image8.png" /><Relationship Id="rId31" Type="http://schemas.openxmlformats.org/officeDocument/2006/relationships/header" Target="header11.xml" /><Relationship Id="rId32" Type="http://schemas.openxmlformats.org/officeDocument/2006/relationships/footer" Target="footer11.xml" /><Relationship Id="rId33" Type="http://schemas.openxmlformats.org/officeDocument/2006/relationships/image" Target="media/image9.png" /><Relationship Id="rId34" Type="http://schemas.openxmlformats.org/officeDocument/2006/relationships/header" Target="header12.xml" /><Relationship Id="rId35" Type="http://schemas.openxmlformats.org/officeDocument/2006/relationships/footer" Target="footer12.xml" /><Relationship Id="rId36" Type="http://schemas.openxmlformats.org/officeDocument/2006/relationships/image" Target="media/image10.png" /><Relationship Id="rId37" Type="http://schemas.openxmlformats.org/officeDocument/2006/relationships/hyperlink" Target="https://d.book118.com/578126120000006047" TargetMode="External" /><Relationship Id="rId38" Type="http://schemas.openxmlformats.org/officeDocument/2006/relationships/header" Target="header13.xml" /><Relationship Id="rId39" Type="http://schemas.openxmlformats.org/officeDocument/2006/relationships/footer" Target="footer13.xml" /><Relationship Id="rId4" Type="http://schemas.openxmlformats.org/officeDocument/2006/relationships/image" Target="media/image1.png"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3.png" /><Relationship Id="rId8" Type="http://schemas.openxmlformats.org/officeDocument/2006/relationships/header" Target="header2.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header10.xml.rels><?xml version="1.0" encoding="utf-8" standalone="yes"?><Relationships xmlns="http://schemas.openxmlformats.org/package/2006/relationships"><Relationship Id="rId1" Type="http://schemas.openxmlformats.org/officeDocument/2006/relationships/image" Target="media/image2.png" /></Relationships>
</file>

<file path=word/_rels/header11.xml.rels><?xml version="1.0" encoding="utf-8" standalone="yes"?><Relationships xmlns="http://schemas.openxmlformats.org/package/2006/relationships"><Relationship Id="rId1" Type="http://schemas.openxmlformats.org/officeDocument/2006/relationships/image" Target="media/image2.png" /></Relationships>
</file>

<file path=word/_rels/header12.xml.rels><?xml version="1.0" encoding="utf-8" standalone="yes"?><Relationships xmlns="http://schemas.openxmlformats.org/package/2006/relationships"><Relationship Id="rId1" Type="http://schemas.openxmlformats.org/officeDocument/2006/relationships/image" Target="media/image2.png" /></Relationships>
</file>

<file path=word/_rels/header13.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2024-02-25T18:35:46Z</dcterms:created>
  <dcterms:modified xsi:type="dcterms:W3CDTF">2024-02-25T18:35:46Z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2022-12-05T00:00:00Z</vt:filetime>
  </property>
  <property fmtid="{D5CDD505-2E9C-101B-9397-08002B2CF9AE}" pid="3" name="LastSaved">
    <vt:filetime>2024-02-25T00:00:00Z</vt:filetime>
  </property>
</Properties>
</file>