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工业级珠光材料行业企业战略发展规划及建议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_Toc18075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1" w:history="1">
        <w:r>
          <w:rPr>
            <w:rFonts w:ascii="仿宋" w:eastAsia="仿宋" w:hAnsi="仿宋" w:cs="仿宋" w:hint="eastAsia"/>
            <w:lang w:eastAsia="zh-CN"/>
          </w:rPr>
          <w:t>一、建设规划分析</w:t>
        </w:r>
        <w:r>
          <w:tab/>
        </w:r>
        <w:r>
          <w:fldChar w:fldCharType="begin"/>
        </w:r>
        <w:r>
          <w:instrText xml:space="preserve"> PAGEREF _Toc8501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_Toc19640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_Toc25009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_Toc29688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_Toc14935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4" w:history="1">
        <w:r>
          <w:rPr>
            <w:rFonts w:ascii="仿宋" w:eastAsia="仿宋" w:hAnsi="仿宋" w:cs="仿宋" w:hint="eastAsia"/>
            <w:lang w:eastAsia="zh-CN"/>
          </w:rPr>
          <w:t>三、建筑工程可行性分析</w:t>
        </w:r>
        <w:r>
          <w:tab/>
        </w:r>
        <w:r>
          <w:fldChar w:fldCharType="begin"/>
        </w:r>
        <w:r>
          <w:instrText xml:space="preserve"> PAGEREF _Toc29884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(一)、工业级珠光材料项目工程设计总体要求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_Toc6952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_Toc26022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4" w:history="1">
        <w:r>
          <w:rPr>
            <w:rFonts w:ascii="仿宋" w:eastAsia="仿宋" w:hAnsi="仿宋" w:cs="仿宋" w:hint="eastAsia"/>
            <w:lang w:eastAsia="zh-CN"/>
          </w:rPr>
          <w:t>四、工业级珠光材料人力资源管理策略</w:t>
        </w:r>
        <w:r>
          <w:tab/>
        </w:r>
        <w:r>
          <w:fldChar w:fldCharType="begin"/>
        </w:r>
        <w:r>
          <w:instrText xml:space="preserve"> PAGEREF _Toc31194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" w:history="1">
        <w:r>
          <w:rPr>
            <w:rFonts w:ascii="仿宋" w:eastAsia="仿宋" w:hAnsi="仿宋" w:cs="仿宋" w:hint="eastAsia"/>
            <w:lang w:eastAsia="zh-CN"/>
          </w:rPr>
          <w:t>(一)、工业级珠光材料劳动关系管理</w:t>
        </w:r>
        <w:r>
          <w:tab/>
        </w:r>
        <w:r>
          <w:fldChar w:fldCharType="begin"/>
        </w:r>
        <w:r>
          <w:instrText xml:space="preserve"> PAGEREF _Toc2021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(二)、工业级珠光材料人力资源管理原则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(三)、工业级珠光材料人员配置方案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8" w:history="1">
        <w:r>
          <w:rPr>
            <w:rFonts w:ascii="仿宋" w:eastAsia="仿宋" w:hAnsi="仿宋" w:cs="仿宋" w:hint="eastAsia"/>
            <w:lang w:eastAsia="zh-CN"/>
          </w:rPr>
          <w:t>(四)、工业级珠光材料员工招聘方案</w:t>
        </w:r>
        <w:r>
          <w:tab/>
        </w:r>
        <w:r>
          <w:fldChar w:fldCharType="begin"/>
        </w:r>
        <w:r>
          <w:instrText xml:space="preserve"> PAGEREF _Toc4378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7" w:history="1">
        <w:r>
          <w:rPr>
            <w:rFonts w:ascii="仿宋" w:eastAsia="仿宋" w:hAnsi="仿宋" w:cs="仿宋" w:hint="eastAsia"/>
            <w:lang w:eastAsia="zh-CN"/>
          </w:rPr>
          <w:t>(五)、工业级珠光材料绩效和薪酬管理方案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5" w:history="1">
        <w:r>
          <w:rPr>
            <w:rFonts w:ascii="仿宋" w:eastAsia="仿宋" w:hAnsi="仿宋" w:cs="仿宋" w:hint="eastAsia"/>
            <w:lang w:eastAsia="zh-CN"/>
          </w:rPr>
          <w:t>(六)、工业级珠光材料员工福利管理方案</w:t>
        </w:r>
        <w:r>
          <w:tab/>
        </w:r>
        <w:r>
          <w:fldChar w:fldCharType="begin"/>
        </w:r>
        <w:r>
          <w:instrText xml:space="preserve"> PAGEREF _Toc16175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1" w:history="1">
        <w:r>
          <w:rPr>
            <w:rFonts w:ascii="仿宋" w:eastAsia="仿宋" w:hAnsi="仿宋" w:cs="仿宋" w:hint="eastAsia"/>
            <w:lang w:eastAsia="zh-CN"/>
          </w:rPr>
          <w:t>五、工业级珠光材料项目选址方案</w:t>
        </w:r>
        <w:r>
          <w:tab/>
        </w:r>
        <w:r>
          <w:fldChar w:fldCharType="begin"/>
        </w:r>
        <w:r>
          <w:instrText xml:space="preserve"> PAGEREF _Toc31291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9" w:history="1">
        <w:r>
          <w:rPr>
            <w:rFonts w:ascii="仿宋" w:eastAsia="仿宋" w:hAnsi="仿宋" w:cs="仿宋" w:hint="eastAsia"/>
            <w:lang w:eastAsia="zh-CN"/>
          </w:rPr>
          <w:t>(一)、工业级珠光材料项目选址原则</w:t>
        </w:r>
        <w:r>
          <w:tab/>
        </w:r>
        <w:r>
          <w:fldChar w:fldCharType="begin"/>
        </w:r>
        <w:r>
          <w:instrText xml:space="preserve"> PAGEREF _Toc19099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3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_Toc26153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(四)、工业级珠光材料项目选址综合评价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1" w:history="1">
        <w:r>
          <w:rPr>
            <w:rFonts w:ascii="仿宋" w:eastAsia="仿宋" w:hAnsi="仿宋" w:cs="仿宋" w:hint="eastAsia"/>
            <w:lang w:eastAsia="zh-CN"/>
          </w:rPr>
          <w:t>六、职业安全与劳动卫生</w:t>
        </w:r>
        <w:r>
          <w:tab/>
        </w:r>
        <w:r>
          <w:fldChar w:fldCharType="begin"/>
        </w:r>
        <w:r>
          <w:instrText xml:space="preserve"> PAGEREF _Toc12111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_Toc18126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5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3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_Toc15743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6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2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_Toc16272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4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_Toc21864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eastAsia="zh-CN"/>
          </w:rPr>
          <w:t>七、工业级珠光材料生产控制的概念</w:t>
        </w:r>
        <w:r>
          <w:tab/>
        </w:r>
        <w:r>
          <w:fldChar w:fldCharType="begin"/>
        </w:r>
        <w:r>
          <w:instrText xml:space="preserve"> PAGEREF _Toc6532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2" w:history="1">
        <w:r>
          <w:rPr>
            <w:rFonts w:ascii="仿宋" w:eastAsia="仿宋" w:hAnsi="仿宋" w:cs="仿宋" w:hint="eastAsia"/>
            <w:lang w:eastAsia="zh-CN"/>
          </w:rPr>
          <w:t>(一)、工业级珠光材料生产控制的概念</w:t>
        </w:r>
        <w:r>
          <w:tab/>
        </w:r>
        <w:r>
          <w:fldChar w:fldCharType="begin"/>
        </w:r>
        <w:r>
          <w:instrText xml:space="preserve"> PAGEREF _Toc30612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0" w:history="1">
        <w:r>
          <w:rPr>
            <w:rFonts w:ascii="仿宋" w:eastAsia="仿宋" w:hAnsi="仿宋" w:cs="仿宋" w:hint="eastAsia"/>
            <w:lang w:eastAsia="zh-CN"/>
          </w:rPr>
          <w:t>八、工业级珠光材料项目管理与实施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196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_Toc32196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1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_Toc10631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0" w:history="1">
        <w:r>
          <w:rPr>
            <w:rFonts w:ascii="仿宋" w:eastAsia="仿宋" w:hAnsi="仿宋" w:cs="仿宋" w:hint="eastAsia"/>
            <w:lang w:eastAsia="zh-CN"/>
          </w:rPr>
          <w:t>九、劳动安全生产分析</w:t>
        </w:r>
        <w:r>
          <w:tab/>
        </w:r>
        <w:r>
          <w:fldChar w:fldCharType="begin"/>
        </w:r>
        <w:r>
          <w:instrText xml:space="preserve"> PAGEREF _Toc17790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5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_Toc20485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8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_Toc8348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8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_Toc31748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十、工业级珠光材料项目风险分析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eastAsia="zh-CN"/>
          </w:rPr>
          <w:t>(一)、工业级珠光材料项目风险分析</w:t>
        </w:r>
        <w:r>
          <w:tab/>
        </w:r>
        <w:r>
          <w:fldChar w:fldCharType="begin"/>
        </w:r>
        <w:r>
          <w:instrText xml:space="preserve"> PAGEREF _Toc11925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(二)、工业级珠光材料项目风险对策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2" w:history="1">
        <w:r>
          <w:rPr>
            <w:rFonts w:ascii="仿宋" w:eastAsia="仿宋" w:hAnsi="仿宋" w:cs="仿宋" w:hint="eastAsia"/>
            <w:lang w:eastAsia="zh-CN"/>
          </w:rPr>
          <w:t>十一、安全督查与监测</w:t>
        </w:r>
        <w:r>
          <w:tab/>
        </w:r>
        <w:r>
          <w:fldChar w:fldCharType="begin"/>
        </w:r>
        <w:r>
          <w:instrText xml:space="preserve"> PAGEREF _Toc23982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5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_Toc24245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9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_Toc15149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2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_Toc11932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6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_Toc7946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5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_Toc9915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2" w:history="1">
        <w:r>
          <w:rPr>
            <w:rFonts w:ascii="仿宋" w:eastAsia="仿宋" w:hAnsi="仿宋" w:cs="仿宋" w:hint="eastAsia"/>
            <w:lang w:eastAsia="zh-CN"/>
          </w:rPr>
          <w:t>十二、公司治理结构</w:t>
        </w:r>
        <w:r>
          <w:tab/>
        </w:r>
        <w:r>
          <w:fldChar w:fldCharType="begin"/>
        </w:r>
        <w:r>
          <w:instrText xml:space="preserve"> PAGEREF _Toc6442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1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十三、原辅材料供应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7" w:history="1">
        <w:r>
          <w:rPr>
            <w:rFonts w:ascii="仿宋" w:eastAsia="仿宋" w:hAnsi="仿宋" w:cs="仿宋" w:hint="eastAsia"/>
            <w:lang w:eastAsia="zh-CN"/>
          </w:rPr>
          <w:t>(一)、建设期原材料供应情况</w:t>
        </w:r>
        <w:r>
          <w:tab/>
        </w:r>
        <w:r>
          <w:fldChar w:fldCharType="begin"/>
        </w:r>
        <w:r>
          <w:instrText xml:space="preserve"> PAGEREF _Toc27727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(二)、运营期原材料供应与质量控制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8" w:history="1">
        <w:r>
          <w:rPr>
            <w:rFonts w:ascii="仿宋" w:eastAsia="仿宋" w:hAnsi="仿宋" w:cs="仿宋" w:hint="eastAsia"/>
            <w:lang w:eastAsia="zh-CN"/>
          </w:rPr>
          <w:t>十四、社会责任与可持续发展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_Toc304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4" w:history="1">
        <w:r>
          <w:rPr>
            <w:rFonts w:ascii="仿宋" w:eastAsia="仿宋" w:hAnsi="仿宋" w:cs="仿宋" w:hint="eastAsia"/>
            <w:lang w:eastAsia="zh-CN"/>
          </w:rPr>
          <w:t>(二)、社会责任工业级珠光材料项目与计划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4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_Toc25334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_Toc2279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十五、工业级珠光材料项目变更管理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_Toc466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7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_Toc15177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" w:history="1">
        <w:r>
          <w:rPr>
            <w:rFonts w:ascii="仿宋" w:eastAsia="仿宋" w:hAnsi="仿宋" w:cs="仿宋" w:hint="eastAsia"/>
            <w:lang w:eastAsia="zh-CN"/>
          </w:rPr>
          <w:t>十六、战略风险的识别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(一)、工业级珠光材料行业企业在确定愿景及使命时的风险识别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" w:history="1">
        <w:r>
          <w:rPr>
            <w:rFonts w:ascii="仿宋" w:eastAsia="仿宋" w:hAnsi="仿宋" w:cs="仿宋" w:hint="eastAsia"/>
            <w:lang w:eastAsia="zh-CN"/>
          </w:rPr>
          <w:t>(二)、制定工业级珠光材料行业企业战略目标的风险识别</w:t>
        </w:r>
        <w:r>
          <w:tab/>
        </w:r>
        <w:r>
          <w:fldChar w:fldCharType="begin"/>
        </w:r>
        <w:r>
          <w:instrText xml:space="preserve"> PAGEREF _Toc1951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3" w:history="1">
        <w:r>
          <w:rPr>
            <w:rFonts w:ascii="仿宋" w:eastAsia="仿宋" w:hAnsi="仿宋" w:cs="仿宋" w:hint="eastAsia"/>
            <w:lang w:eastAsia="zh-CN"/>
          </w:rPr>
          <w:t>(三)、工业级珠光材料行业企业战略分析的风险识别</w:t>
        </w:r>
        <w:r>
          <w:tab/>
        </w:r>
        <w:r>
          <w:fldChar w:fldCharType="begin"/>
        </w:r>
        <w:r>
          <w:instrText xml:space="preserve"> PAGEREF _Toc16963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5" w:history="1">
        <w:r>
          <w:rPr>
            <w:rFonts w:ascii="仿宋" w:eastAsia="仿宋" w:hAnsi="仿宋" w:cs="仿宋" w:hint="eastAsia"/>
            <w:lang w:eastAsia="zh-CN"/>
          </w:rPr>
          <w:t>(四)、工业级珠光材料行业企业战略选择的风险识别</w:t>
        </w:r>
        <w:r>
          <w:tab/>
        </w:r>
        <w:r>
          <w:fldChar w:fldCharType="begin"/>
        </w:r>
        <w:r>
          <w:instrText xml:space="preserve"> PAGEREF _Toc16895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5" w:history="1">
        <w:r>
          <w:rPr>
            <w:rFonts w:ascii="仿宋" w:eastAsia="仿宋" w:hAnsi="仿宋" w:cs="仿宋" w:hint="eastAsia"/>
            <w:lang w:eastAsia="zh-CN"/>
          </w:rPr>
          <w:t>(五)、工业级珠光材料行业企业战略实施的风险识别</w:t>
        </w:r>
        <w:r>
          <w:tab/>
        </w:r>
        <w:r>
          <w:fldChar w:fldCharType="begin"/>
        </w:r>
        <w:r>
          <w:instrText xml:space="preserve"> PAGEREF _Toc18815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38" w:history="1">
        <w:r>
          <w:rPr>
            <w:rFonts w:ascii="仿宋" w:eastAsia="仿宋" w:hAnsi="仿宋" w:cs="仿宋" w:hint="eastAsia"/>
            <w:lang w:eastAsia="zh-CN"/>
          </w:rPr>
          <w:t>十七、工业级珠光材料可持续发展战略</w:t>
        </w:r>
        <w:r>
          <w:tab/>
        </w:r>
        <w:r>
          <w:fldChar w:fldCharType="begin"/>
        </w:r>
        <w:r>
          <w:instrText xml:space="preserve"> PAGEREF _Toc7638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eastAsia="zh-CN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" w:history="1">
        <w:r>
          <w:rPr>
            <w:rFonts w:ascii="仿宋" w:eastAsia="仿宋" w:hAnsi="仿宋" w:cs="仿宋" w:hint="eastAsia"/>
            <w:lang w:eastAsia="zh-CN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eastAsia="zh-CN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_Toc31190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3" w:history="1">
        <w:r>
          <w:rPr>
            <w:rFonts w:ascii="仿宋" w:eastAsia="仿宋" w:hAnsi="仿宋" w:cs="仿宋" w:hint="eastAsia"/>
            <w:lang w:eastAsia="zh-CN"/>
          </w:rPr>
          <w:t>十八、第四十三章员工参与决策与公司治理</w:t>
        </w:r>
        <w:r>
          <w:tab/>
        </w:r>
        <w:r>
          <w:fldChar w:fldCharType="begin"/>
        </w:r>
        <w:r>
          <w:instrText xml:space="preserve"> PAGEREF _Toc17443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065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_Toc24065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9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_Toc24339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8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0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_Toc9040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9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_Toc22259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2" w:history="1">
        <w:r>
          <w:rPr>
            <w:rFonts w:ascii="仿宋" w:eastAsia="仿宋" w:hAnsi="仿宋" w:cs="仿宋" w:hint="eastAsia"/>
            <w:lang w:eastAsia="zh-CN"/>
          </w:rPr>
          <w:t>十九、供应链管理与物流优化</w:t>
        </w:r>
        <w:r>
          <w:tab/>
        </w:r>
        <w:r>
          <w:fldChar w:fldCharType="begin"/>
        </w:r>
        <w:r>
          <w:instrText xml:space="preserve"> PAGEREF _Toc7682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5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_Toc29475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7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_Toc12527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8" w:history="1">
        <w:r>
          <w:rPr>
            <w:rFonts w:ascii="仿宋" w:eastAsia="仿宋" w:hAnsi="仿宋" w:cs="仿宋" w:hint="eastAsia"/>
            <w:lang w:eastAsia="zh-CN"/>
          </w:rPr>
          <w:t>二十、团队介绍</w:t>
        </w:r>
        <w:r>
          <w:tab/>
        </w:r>
        <w:r>
          <w:fldChar w:fldCharType="begin"/>
        </w:r>
        <w:r>
          <w:instrText xml:space="preserve"> PAGEREF _Toc18088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6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_Toc10706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01"/>
      <w:r>
        <w:rPr>
          <w:rFonts w:ascii="仿宋" w:eastAsia="仿宋" w:hAnsi="仿宋" w:cs="仿宋" w:hint="eastAsia"/>
          <w:sz w:val="28"/>
          <w:lang w:eastAsia="zh-CN"/>
        </w:rPr>
        <w:t>一、建设规划分析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0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综合考虑，我们制定了工业级珠光材料项目的产品方案。我们充分考虑了国家及地方的产业政策、市场需求、资源供应、企业资金筹集、技术水平等因素。我们的主要产品定位于XX，为了适应市场需求的变化，我们将根据市场情况调整品种。我们根据人员和装备生产能力以及市场需求预测，制定了年生产计划，确保产量和销量匹配。根据初步的产品方案、建设规模和预测的XX产品价格，我们预计年产量为XXX，年产值为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二、营销策略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https://d.book118.com/585324243044011113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工业级珠光材料行业企业战略发展规划及建议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工业级珠光材料行业企业战略发展规划及建议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工业级珠光材料行业企业战略发展规划及建议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工业级珠光材料行业企业战略发展规划及建议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工业级珠光材料行业企业战略发展规划及建议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4D7BF0"/>
    <w:rsid w:val="3D4D7BF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5324243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2024-02-23T00:00:00Z</dcterms:created>
  <dcterms:modified xsi:type="dcterms:W3CDTF">2024-02-23T00:00:59Z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1F89068F1CBA41FFB99DDFA90847B82B_11</vt:lpwstr>
  </property>
  <property fmtid="{D5CDD505-2E9C-101B-9397-08002B2CF9AE}" pid="3" name="KSOProductBuildVer">
    <vt:lpwstr>2052-12.1.0.16250</vt:lpwstr>
  </property>
</Properties>
</file>