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sz w:val="21"/>
        </w:rPr>
      </w:pPr>
    </w:p>
    <w:p>
      <w:pPr>
        <w:pStyle w:val="Title"/>
        <w:spacing w:line="156" w:lineRule="auto"/>
        <w:ind w:firstLine="0"/>
      </w:pPr>
      <w:r>
        <w:rPr>
          <w:spacing w:val="36"/>
        </w:rPr>
        <w:t>福建中医药大学附属</w:t>
      </w:r>
      <w:r>
        <w:rPr>
          <w:spacing w:val="32"/>
        </w:rPr>
        <w:t>第三人民医院</w:t>
      </w:r>
    </w:p>
    <w:p>
      <w:pPr>
        <w:pStyle w:val="Title"/>
        <w:spacing w:before="599" w:line="285" w:lineRule="auto"/>
        <w:ind w:left="2536" w:right="3318"/>
      </w:pPr>
      <w:r>
        <w:rPr>
          <w:spacing w:val="29"/>
        </w:rPr>
        <w:t>服务项目</w:t>
      </w:r>
      <w:r>
        <w:rPr>
          <w:spacing w:val="80"/>
          <w:w w:val="150"/>
        </w:rPr>
        <w:t xml:space="preserve"> </w:t>
      </w:r>
      <w:r>
        <w:t>招</w:t>
      </w:r>
      <w:r>
        <w:rPr>
          <w:spacing w:val="36"/>
          <w:w w:val="150"/>
        </w:rPr>
        <w:t xml:space="preserve"> </w:t>
      </w:r>
      <w:r>
        <w:t>标</w:t>
      </w:r>
      <w:r>
        <w:rPr>
          <w:spacing w:val="36"/>
          <w:w w:val="150"/>
        </w:rPr>
        <w:t xml:space="preserve"> </w:t>
      </w:r>
      <w:r>
        <w:t>文</w:t>
      </w:r>
      <w:r>
        <w:rPr>
          <w:spacing w:val="36"/>
          <w:w w:val="150"/>
        </w:rPr>
        <w:t xml:space="preserve"> </w:t>
      </w:r>
      <w:r>
        <w:t>件</w:t>
      </w:r>
    </w:p>
    <w:p>
      <w:pPr>
        <w:spacing w:before="349"/>
        <w:ind w:left="877" w:right="1657" w:firstLine="0"/>
        <w:jc w:val="center"/>
        <w:rPr>
          <w:rFonts w:ascii="微软雅黑" w:eastAsia="微软雅黑"/>
          <w:b/>
          <w:sz w:val="36"/>
        </w:rPr>
      </w:pPr>
      <w:r>
        <w:rPr>
          <w:rFonts w:ascii="微软雅黑" w:eastAsia="微软雅黑"/>
          <w:b/>
          <w:sz w:val="36"/>
        </w:rPr>
        <w:t>招标编号</w:t>
      </w:r>
      <w:r>
        <w:rPr>
          <w:rFonts w:ascii="微软雅黑" w:eastAsia="微软雅黑"/>
          <w:b/>
          <w:spacing w:val="-2"/>
          <w:w w:val="182"/>
          <w:sz w:val="36"/>
        </w:rPr>
        <w:t>:</w:t>
      </w:r>
      <w:r>
        <w:rPr>
          <w:rFonts w:ascii="微软雅黑" w:eastAsia="微软雅黑"/>
          <w:b/>
          <w:spacing w:val="-2"/>
          <w:w w:val="96"/>
          <w:sz w:val="36"/>
        </w:rPr>
        <w:t>F</w:t>
      </w:r>
      <w:r>
        <w:rPr>
          <w:rFonts w:ascii="微软雅黑" w:eastAsia="微软雅黑"/>
          <w:b/>
          <w:spacing w:val="-2"/>
          <w:w w:val="113"/>
          <w:sz w:val="36"/>
        </w:rPr>
        <w:t>J</w:t>
      </w:r>
      <w:r>
        <w:rPr>
          <w:rFonts w:ascii="微软雅黑" w:eastAsia="微软雅黑"/>
          <w:b/>
          <w:spacing w:val="-2"/>
          <w:w w:val="78"/>
          <w:sz w:val="36"/>
        </w:rPr>
        <w:t>X</w:t>
      </w:r>
      <w:r>
        <w:rPr>
          <w:rFonts w:ascii="微软雅黑" w:eastAsia="微软雅黑"/>
          <w:b/>
          <w:spacing w:val="-2"/>
          <w:w w:val="53"/>
          <w:sz w:val="36"/>
        </w:rPr>
        <w:t>W</w:t>
      </w:r>
      <w:r>
        <w:rPr>
          <w:rFonts w:ascii="微软雅黑" w:eastAsia="微软雅黑"/>
          <w:b/>
          <w:spacing w:val="-2"/>
          <w:w w:val="88"/>
          <w:sz w:val="36"/>
        </w:rPr>
        <w:t>201403</w:t>
      </w:r>
      <w:r>
        <w:rPr>
          <w:rFonts w:ascii="微软雅黑" w:eastAsia="微软雅黑"/>
          <w:b/>
          <w:spacing w:val="-3"/>
          <w:w w:val="88"/>
          <w:sz w:val="36"/>
        </w:rPr>
        <w:t>0</w:t>
      </w:r>
    </w:p>
    <w:p>
      <w:pPr>
        <w:pStyle w:val="BodyText"/>
        <w:spacing w:before="4"/>
        <w:rPr>
          <w:rFonts w:ascii="微软雅黑"/>
          <w:b/>
          <w:sz w:val="18"/>
        </w:rPr>
      </w:pPr>
    </w:p>
    <w:p>
      <w:pPr>
        <w:spacing w:before="0"/>
        <w:ind w:left="877" w:right="1657" w:firstLine="0"/>
        <w:jc w:val="center"/>
        <w:rPr>
          <w:rFonts w:ascii="微软雅黑" w:eastAsia="微软雅黑"/>
          <w:b/>
          <w:sz w:val="36"/>
        </w:rPr>
      </w:pPr>
      <w:r>
        <w:rPr>
          <w:rFonts w:ascii="微软雅黑" w:eastAsia="微软雅黑"/>
          <w:b/>
          <w:sz w:val="36"/>
        </w:rPr>
        <w:t>项目名称:</w:t>
      </w:r>
      <w:r>
        <w:rPr>
          <w:rFonts w:ascii="微软雅黑" w:eastAsia="微软雅黑"/>
          <w:b/>
          <w:spacing w:val="-1"/>
          <w:sz w:val="36"/>
        </w:rPr>
        <w:t>医院后勤服务管理项目</w:t>
      </w:r>
    </w:p>
    <w:p>
      <w:pPr>
        <w:pStyle w:val="BodyText"/>
        <w:spacing w:before="17"/>
        <w:rPr>
          <w:rFonts w:ascii="微软雅黑"/>
          <w:b/>
          <w:sz w:val="38"/>
        </w:rPr>
      </w:pPr>
    </w:p>
    <w:p>
      <w:pPr>
        <w:spacing w:before="0" w:line="196" w:lineRule="auto"/>
        <w:ind w:left="1538" w:right="1718" w:firstLine="60"/>
        <w:jc w:val="left"/>
        <w:rPr>
          <w:rFonts w:ascii="微软雅黑" w:eastAsia="微软雅黑"/>
          <w:b/>
          <w:sz w:val="36"/>
        </w:rPr>
      </w:pPr>
      <w:r>
        <w:rPr>
          <w:rFonts w:ascii="微软雅黑" w:eastAsia="微软雅黑"/>
          <w:b/>
          <w:sz w:val="36"/>
        </w:rPr>
        <w:t>采购人：福建中医药大学附属第三人民医院招标代理机构：福建省新卫招标代理有限公司</w:t>
      </w:r>
    </w:p>
    <w:p>
      <w:pPr>
        <w:spacing w:before="0" w:line="659" w:lineRule="exact"/>
        <w:ind w:left="3677" w:right="0" w:firstLine="0"/>
        <w:jc w:val="left"/>
        <w:rPr>
          <w:rFonts w:ascii="微软雅黑" w:eastAsia="微软雅黑"/>
          <w:b/>
          <w:sz w:val="36"/>
        </w:rPr>
      </w:pPr>
      <w:r>
        <w:rPr>
          <w:rFonts w:ascii="微软雅黑" w:eastAsia="微软雅黑"/>
          <w:b/>
          <w:spacing w:val="-8"/>
          <w:sz w:val="36"/>
        </w:rPr>
        <w:t>二0</w:t>
      </w:r>
      <w:r>
        <w:rPr>
          <w:rFonts w:ascii="微软雅黑" w:eastAsia="微软雅黑"/>
          <w:b/>
          <w:spacing w:val="-9"/>
          <w:sz w:val="36"/>
        </w:rPr>
        <w:t>一四年七月</w:t>
      </w:r>
    </w:p>
    <w:p>
      <w:pPr>
        <w:pStyle w:val="BodyText"/>
        <w:spacing w:before="3"/>
        <w:rPr>
          <w:rFonts w:ascii="微软雅黑"/>
          <w:b/>
        </w:rPr>
      </w:pPr>
      <w:r>
        <w:pict>
          <v:shape id="_x0000_s1025" style="width:415.3pt;height:0.1pt;margin-top:23.5pt;margin-left:90pt;mso-position-horizontal-relative:page;mso-wrap-distance-left:0;mso-wrap-distance-right:0;position:absolute;z-index:-251658240" coordorigin="1800,470" coordsize="8306,0" path="m1800,470l10106,470e" filled="f" stroked="t" strokecolor="black" strokeweight="2.4pt">
            <v:stroke dashstyle="solid"/>
            <v:path arrowok="t"/>
            <w10:wrap type="topAndBottom"/>
          </v:shape>
        </w:pict>
      </w:r>
    </w:p>
    <w:p>
      <w:pPr>
        <w:tabs>
          <w:tab w:val="left" w:pos="5882"/>
          <w:tab w:val="left" w:pos="6442"/>
          <w:tab w:val="left" w:pos="6862"/>
          <w:tab w:val="left" w:pos="7422"/>
        </w:tabs>
        <w:spacing w:before="118" w:line="333" w:lineRule="auto"/>
        <w:ind w:left="282" w:right="1663" w:firstLine="0"/>
        <w:jc w:val="left"/>
        <w:rPr>
          <w:sz w:val="28"/>
        </w:rPr>
      </w:pPr>
      <w:r>
        <w:rPr>
          <w:sz w:val="28"/>
        </w:rPr>
        <w:t>地址：福州市西二环中路</w:t>
      </w:r>
      <w:r>
        <w:rPr>
          <w:spacing w:val="-11"/>
          <w:sz w:val="28"/>
        </w:rPr>
        <w:t xml:space="preserve"> </w:t>
      </w:r>
      <w:r>
        <w:rPr>
          <w:sz w:val="28"/>
        </w:rPr>
        <w:t>301</w:t>
      </w:r>
      <w:r>
        <w:rPr>
          <w:spacing w:val="-11"/>
          <w:sz w:val="28"/>
        </w:rPr>
        <w:t xml:space="preserve"> </w:t>
      </w:r>
      <w:r>
        <w:rPr>
          <w:sz w:val="28"/>
        </w:rPr>
        <w:t>号东南医药大楼</w:t>
      </w:r>
      <w:r>
        <w:rPr>
          <w:spacing w:val="-11"/>
          <w:sz w:val="28"/>
        </w:rPr>
        <w:t xml:space="preserve"> </w:t>
      </w:r>
      <w:r>
        <w:rPr>
          <w:sz w:val="28"/>
        </w:rPr>
        <w:t>6</w:t>
      </w:r>
      <w:r>
        <w:rPr>
          <w:spacing w:val="-11"/>
          <w:sz w:val="28"/>
        </w:rPr>
        <w:t xml:space="preserve"> </w:t>
      </w:r>
      <w:r>
        <w:rPr>
          <w:sz w:val="28"/>
        </w:rPr>
        <w:t>层</w:t>
        <w:tab/>
      </w:r>
      <w:r>
        <w:rPr>
          <w:spacing w:val="-10"/>
          <w:sz w:val="28"/>
        </w:rPr>
        <w:t>邮</w:t>
      </w:r>
      <w:r>
        <w:rPr>
          <w:sz w:val="28"/>
        </w:rPr>
        <w:tab/>
      </w:r>
      <w:r>
        <w:rPr>
          <w:spacing w:val="-2"/>
          <w:sz w:val="28"/>
        </w:rPr>
        <w:t>编</w:t>
      </w:r>
      <w:r>
        <w:rPr>
          <w:spacing w:val="-2"/>
          <w:sz w:val="28"/>
        </w:rPr>
        <w:t>：350025</w:t>
      </w:r>
      <w:r>
        <w:rPr>
          <w:sz w:val="28"/>
        </w:rPr>
        <w:t>电话：0591-</w:t>
      </w:r>
      <w:r>
        <w:rPr>
          <w:spacing w:val="-2"/>
          <w:sz w:val="28"/>
        </w:rPr>
        <w:t>87807330</w:t>
      </w:r>
      <w:r>
        <w:rPr>
          <w:sz w:val="28"/>
        </w:rPr>
        <w:tab/>
      </w:r>
      <w:r>
        <w:rPr>
          <w:spacing w:val="-10"/>
          <w:sz w:val="28"/>
        </w:rPr>
        <w:t>传</w:t>
      </w:r>
      <w:r>
        <w:rPr>
          <w:sz w:val="28"/>
        </w:rPr>
        <w:tab/>
      </w:r>
      <w:r>
        <w:rPr>
          <w:spacing w:val="-2"/>
          <w:sz w:val="28"/>
        </w:rPr>
        <w:t>真：0591-87807330</w:t>
      </w:r>
    </w:p>
    <w:p>
      <w:pPr>
        <w:tabs>
          <w:tab w:val="left" w:pos="5917"/>
        </w:tabs>
        <w:spacing w:before="0" w:line="313" w:lineRule="exact"/>
        <w:ind w:left="282" w:right="0" w:firstLine="0"/>
        <w:jc w:val="left"/>
        <w:rPr>
          <w:sz w:val="28"/>
        </w:rPr>
      </w:pPr>
      <w:r>
        <w:rPr>
          <w:sz w:val="28"/>
        </w:rPr>
        <w:t>公司网站</w:t>
      </w:r>
      <w:r>
        <w:rPr>
          <w:spacing w:val="-2"/>
          <w:sz w:val="28"/>
        </w:rPr>
        <w:t>：</w:t>
      </w:r>
      <w:hyperlink r:id="rId4">
        <w:r>
          <w:rPr>
            <w:spacing w:val="-2"/>
            <w:sz w:val="21"/>
          </w:rPr>
          <w:t>Http://www.</w:t>
        </w:r>
        <w:r>
          <w:rPr>
            <w:spacing w:val="-2"/>
            <w:sz w:val="28"/>
          </w:rPr>
          <w:t>xinweizb.com</w:t>
        </w:r>
      </w:hyperlink>
      <w:r>
        <w:rPr>
          <w:sz w:val="28"/>
        </w:rPr>
        <w:tab/>
      </w:r>
      <w:hyperlink r:id="rId5">
        <w:r>
          <w:rPr>
            <w:sz w:val="28"/>
          </w:rPr>
          <w:t>E-</w:t>
        </w:r>
        <w:r>
          <w:rPr>
            <w:spacing w:val="-2"/>
            <w:sz w:val="28"/>
          </w:rPr>
          <w:t>mail:zdc770@163.com</w:t>
        </w:r>
      </w:hyperlink>
    </w:p>
    <w:p>
      <w:pPr>
        <w:spacing w:after="0" w:line="313" w:lineRule="exact"/>
        <w:jc w:val="left"/>
        <w:rPr>
          <w:sz w:val="28"/>
        </w:rPr>
        <w:sectPr>
          <w:headerReference w:type="default" r:id="rId6"/>
          <w:type w:val="continuous"/>
          <w:pgSz w:w="11910" w:h="16840"/>
          <w:pgMar w:top="1240" w:right="319" w:bottom="280" w:left="1100" w:header="884" w:footer="0"/>
          <w:pgNumType w:start="1"/>
          <w:cols w:space="708"/>
        </w:sectPr>
      </w:pPr>
    </w:p>
    <w:p>
      <w:pPr>
        <w:pStyle w:val="BodyText"/>
        <w:rPr>
          <w:sz w:val="20"/>
        </w:rPr>
      </w:pPr>
    </w:p>
    <w:p>
      <w:pPr>
        <w:pStyle w:val="BodyText"/>
        <w:spacing w:before="7"/>
        <w:rPr>
          <w:sz w:val="27"/>
        </w:rPr>
      </w:pPr>
    </w:p>
    <w:p>
      <w:pPr>
        <w:pStyle w:val="Heading3"/>
        <w:tabs>
          <w:tab w:val="left" w:pos="801"/>
        </w:tabs>
        <w:ind w:right="780"/>
        <w:rPr>
          <w:rFonts w:ascii="微软雅黑" w:eastAsia="微软雅黑"/>
        </w:rPr>
      </w:pPr>
      <w:r>
        <w:rPr>
          <w:rFonts w:ascii="微软雅黑" w:eastAsia="微软雅黑"/>
          <w:spacing w:val="-10"/>
        </w:rPr>
        <w:t>目</w:t>
      </w:r>
      <w:r>
        <w:rPr>
          <w:rFonts w:ascii="微软雅黑" w:eastAsia="微软雅黑"/>
        </w:rPr>
        <w:tab/>
      </w:r>
      <w:r>
        <w:rPr>
          <w:rFonts w:ascii="微软雅黑" w:eastAsia="微软雅黑"/>
          <w:spacing w:val="-10"/>
        </w:rPr>
        <w:t>录</w:t>
      </w:r>
    </w:p>
    <w:p>
      <w:pPr>
        <w:pStyle w:val="BodyText"/>
        <w:spacing w:before="11"/>
        <w:rPr>
          <w:rFonts w:ascii="微软雅黑"/>
          <w:b/>
          <w:sz w:val="25"/>
        </w:rPr>
      </w:pPr>
    </w:p>
    <w:p>
      <w:pPr>
        <w:pStyle w:val="BodyText"/>
        <w:tabs>
          <w:tab w:val="left" w:pos="1899"/>
          <w:tab w:val="left" w:leader="dot" w:pos="8499"/>
        </w:tabs>
        <w:ind w:left="700"/>
      </w:pPr>
      <w:r>
        <w:t>第一</w:t>
      </w:r>
      <w:r>
        <w:rPr>
          <w:spacing w:val="-10"/>
        </w:rPr>
        <w:t>章</w:t>
      </w:r>
      <w:r>
        <w:tab/>
        <w:t>投标邀</w:t>
      </w:r>
      <w:r>
        <w:rPr>
          <w:spacing w:val="-10"/>
        </w:rPr>
        <w:t>请</w:t>
      </w:r>
      <w:r>
        <w:rPr>
          <w:rFonts w:ascii="Times New Roman" w:eastAsia="Times New Roman"/>
        </w:rPr>
        <w:tab/>
      </w:r>
      <w:r>
        <w:rPr>
          <w:spacing w:val="-5"/>
        </w:rPr>
        <w:t>(1)</w:t>
      </w:r>
    </w:p>
    <w:p>
      <w:pPr>
        <w:pStyle w:val="BodyText"/>
        <w:tabs>
          <w:tab w:val="left" w:leader="dot" w:pos="8499"/>
        </w:tabs>
        <w:spacing w:before="133"/>
        <w:ind w:left="940"/>
      </w:pPr>
      <w:r>
        <w:t>一、投标邀请</w:t>
      </w:r>
      <w:r>
        <w:rPr>
          <w:spacing w:val="-10"/>
        </w:rPr>
        <w:t>函</w:t>
      </w:r>
      <w:r>
        <w:rPr>
          <w:rFonts w:ascii="Times New Roman" w:eastAsia="Times New Roman"/>
        </w:rPr>
        <w:tab/>
      </w:r>
      <w:r>
        <w:rPr>
          <w:spacing w:val="-5"/>
        </w:rPr>
        <w:t>(1)</w:t>
      </w:r>
    </w:p>
    <w:p>
      <w:pPr>
        <w:pStyle w:val="BodyText"/>
        <w:tabs>
          <w:tab w:val="left" w:leader="dot" w:pos="8499"/>
        </w:tabs>
        <w:spacing w:before="132"/>
        <w:ind w:left="940"/>
      </w:pPr>
      <w:r>
        <w:t>二、招标内容一览</w:t>
      </w:r>
      <w:r>
        <w:rPr>
          <w:spacing w:val="-10"/>
        </w:rPr>
        <w:t>表</w:t>
      </w:r>
      <w:r>
        <w:rPr>
          <w:rFonts w:ascii="Times New Roman" w:eastAsia="Times New Roman"/>
        </w:rPr>
        <w:tab/>
      </w:r>
      <w:r>
        <w:rPr>
          <w:spacing w:val="-5"/>
        </w:rPr>
        <w:t>(2)</w:t>
      </w:r>
    </w:p>
    <w:p>
      <w:pPr>
        <w:pStyle w:val="BodyText"/>
        <w:tabs>
          <w:tab w:val="left" w:pos="1779"/>
          <w:tab w:val="left" w:leader="dot" w:pos="8499"/>
        </w:tabs>
        <w:spacing w:before="133"/>
        <w:ind w:left="700"/>
      </w:pPr>
      <w:r>
        <w:t>第二</w:t>
      </w:r>
      <w:r>
        <w:rPr>
          <w:spacing w:val="-10"/>
        </w:rPr>
        <w:t>章</w:t>
      </w:r>
      <w:r>
        <w:tab/>
        <w:t>投标人须</w:t>
      </w:r>
      <w:r>
        <w:rPr>
          <w:spacing w:val="-10"/>
        </w:rPr>
        <w:t>知</w:t>
      </w:r>
      <w:r>
        <w:rPr>
          <w:rFonts w:ascii="Times New Roman" w:eastAsia="Times New Roman"/>
        </w:rPr>
        <w:tab/>
      </w:r>
      <w:r>
        <w:rPr>
          <w:spacing w:val="-5"/>
        </w:rPr>
        <w:t>(3)</w:t>
      </w:r>
    </w:p>
    <w:p>
      <w:pPr>
        <w:pStyle w:val="BodyText"/>
        <w:tabs>
          <w:tab w:val="left" w:leader="dot" w:pos="8499"/>
        </w:tabs>
        <w:spacing w:before="132"/>
        <w:ind w:left="940"/>
      </w:pPr>
      <w:r>
        <w:t>投标人须知前附</w:t>
      </w:r>
      <w:r>
        <w:rPr>
          <w:spacing w:val="-10"/>
        </w:rPr>
        <w:t>表</w:t>
      </w:r>
      <w:r>
        <w:rPr>
          <w:rFonts w:ascii="Times New Roman" w:eastAsia="Times New Roman"/>
        </w:rPr>
        <w:tab/>
      </w:r>
      <w:r>
        <w:rPr>
          <w:spacing w:val="-5"/>
        </w:rPr>
        <w:t>(3)</w:t>
      </w:r>
    </w:p>
    <w:p>
      <w:pPr>
        <w:pStyle w:val="BodyText"/>
        <w:tabs>
          <w:tab w:val="left" w:leader="dot" w:pos="8499"/>
        </w:tabs>
        <w:spacing w:before="133"/>
        <w:ind w:left="940"/>
      </w:pPr>
      <w:r>
        <w:t>一、说</w:t>
      </w:r>
      <w:r>
        <w:rPr>
          <w:spacing w:val="-10"/>
        </w:rPr>
        <w:t>明</w:t>
      </w:r>
      <w:r>
        <w:rPr>
          <w:rFonts w:ascii="Times New Roman" w:eastAsia="Times New Roman"/>
        </w:rPr>
        <w:tab/>
      </w:r>
      <w:r>
        <w:rPr>
          <w:spacing w:val="-4"/>
        </w:rPr>
        <w:t>(12)</w:t>
      </w:r>
    </w:p>
    <w:p>
      <w:pPr>
        <w:pStyle w:val="BodyText"/>
        <w:tabs>
          <w:tab w:val="left" w:leader="dot" w:pos="8499"/>
        </w:tabs>
        <w:spacing w:before="132"/>
        <w:ind w:left="940"/>
      </w:pPr>
      <w:r>
        <w:t>二、招标文</w:t>
      </w:r>
      <w:r>
        <w:rPr>
          <w:spacing w:val="-10"/>
        </w:rPr>
        <w:t>件</w:t>
      </w:r>
      <w:r>
        <w:rPr>
          <w:rFonts w:ascii="Times New Roman" w:eastAsia="Times New Roman"/>
        </w:rPr>
        <w:tab/>
      </w:r>
      <w:r>
        <w:rPr>
          <w:spacing w:val="-4"/>
        </w:rPr>
        <w:t>(13)</w:t>
      </w:r>
    </w:p>
    <w:p>
      <w:pPr>
        <w:pStyle w:val="BodyText"/>
        <w:tabs>
          <w:tab w:val="left" w:leader="dot" w:pos="8499"/>
        </w:tabs>
        <w:spacing w:before="133"/>
        <w:ind w:left="940"/>
      </w:pPr>
      <w:r>
        <w:t>三、投标文件的编</w:t>
      </w:r>
      <w:r>
        <w:rPr>
          <w:spacing w:val="-10"/>
        </w:rPr>
        <w:t>写</w:t>
      </w:r>
      <w:r>
        <w:rPr>
          <w:rFonts w:ascii="Times New Roman" w:eastAsia="Times New Roman"/>
        </w:rPr>
        <w:tab/>
      </w:r>
      <w:r>
        <w:rPr>
          <w:spacing w:val="-4"/>
        </w:rPr>
        <w:t>(14)</w:t>
      </w:r>
    </w:p>
    <w:p>
      <w:pPr>
        <w:pStyle w:val="BodyText"/>
        <w:tabs>
          <w:tab w:val="left" w:leader="dot" w:pos="8499"/>
        </w:tabs>
        <w:spacing w:before="132"/>
        <w:ind w:left="940"/>
      </w:pPr>
      <w:r>
        <w:t>四、投标文件的提</w:t>
      </w:r>
      <w:r>
        <w:rPr>
          <w:spacing w:val="-10"/>
        </w:rPr>
        <w:t>交</w:t>
      </w:r>
      <w:r>
        <w:rPr>
          <w:rFonts w:ascii="Times New Roman" w:eastAsia="Times New Roman"/>
        </w:rPr>
        <w:tab/>
      </w:r>
      <w:r>
        <w:rPr>
          <w:spacing w:val="-4"/>
        </w:rPr>
        <w:t>(17)</w:t>
      </w:r>
    </w:p>
    <w:p>
      <w:pPr>
        <w:pStyle w:val="BodyText"/>
        <w:tabs>
          <w:tab w:val="left" w:leader="dot" w:pos="8499"/>
        </w:tabs>
        <w:spacing w:before="133"/>
        <w:ind w:left="940"/>
      </w:pPr>
      <w:r>
        <w:t>五、投标文件的评估和比</w:t>
      </w:r>
      <w:r>
        <w:rPr>
          <w:spacing w:val="-10"/>
        </w:rPr>
        <w:t>较</w:t>
      </w:r>
      <w:r>
        <w:rPr>
          <w:rFonts w:ascii="Times New Roman" w:eastAsia="Times New Roman"/>
        </w:rPr>
        <w:tab/>
      </w:r>
      <w:r>
        <w:rPr>
          <w:spacing w:val="-4"/>
        </w:rPr>
        <w:t>(18)</w:t>
      </w:r>
    </w:p>
    <w:p>
      <w:pPr>
        <w:pStyle w:val="BodyText"/>
        <w:tabs>
          <w:tab w:val="left" w:leader="dot" w:pos="8499"/>
        </w:tabs>
        <w:spacing w:before="132"/>
        <w:ind w:left="940"/>
      </w:pPr>
      <w:r>
        <w:t>六、定标和签订合</w:t>
      </w:r>
      <w:r>
        <w:rPr>
          <w:spacing w:val="-10"/>
        </w:rPr>
        <w:t>同</w:t>
      </w:r>
      <w:r>
        <w:rPr>
          <w:rFonts w:ascii="Times New Roman" w:eastAsia="Times New Roman"/>
        </w:rPr>
        <w:tab/>
      </w:r>
      <w:r>
        <w:rPr>
          <w:spacing w:val="-4"/>
        </w:rPr>
        <w:t>(20)</w:t>
      </w:r>
    </w:p>
    <w:p>
      <w:pPr>
        <w:pStyle w:val="BodyText"/>
        <w:tabs>
          <w:tab w:val="left" w:pos="1899"/>
          <w:tab w:val="left" w:leader="dot" w:pos="8499"/>
        </w:tabs>
        <w:spacing w:before="133"/>
        <w:ind w:left="700"/>
      </w:pPr>
      <w:r>
        <w:t>第三</w:t>
      </w:r>
      <w:r>
        <w:rPr>
          <w:spacing w:val="-10"/>
        </w:rPr>
        <w:t>章</w:t>
      </w:r>
      <w:r>
        <w:tab/>
        <w:t>招标内容及要</w:t>
      </w:r>
      <w:r>
        <w:rPr>
          <w:spacing w:val="-10"/>
        </w:rPr>
        <w:t>求</w:t>
      </w:r>
      <w:r>
        <w:rPr>
          <w:rFonts w:ascii="Times New Roman" w:eastAsia="Times New Roman"/>
        </w:rPr>
        <w:tab/>
      </w:r>
      <w:r>
        <w:rPr>
          <w:spacing w:val="-4"/>
        </w:rPr>
        <w:t>(22)</w:t>
      </w:r>
    </w:p>
    <w:p>
      <w:pPr>
        <w:pStyle w:val="BodyText"/>
        <w:tabs>
          <w:tab w:val="left" w:pos="1899"/>
          <w:tab w:val="left" w:leader="dot" w:pos="8499"/>
        </w:tabs>
        <w:spacing w:before="132"/>
        <w:ind w:left="700"/>
      </w:pPr>
      <w:r>
        <w:t>第四</w:t>
      </w:r>
      <w:r>
        <w:rPr>
          <w:spacing w:val="-10"/>
        </w:rPr>
        <w:t>章</w:t>
      </w:r>
      <w:r>
        <w:tab/>
        <w:t>合同主要条</w:t>
      </w:r>
      <w:r>
        <w:rPr>
          <w:spacing w:val="-10"/>
        </w:rPr>
        <w:t>款</w:t>
      </w:r>
      <w:r>
        <w:rPr>
          <w:rFonts w:ascii="Times New Roman" w:eastAsia="Times New Roman"/>
        </w:rPr>
        <w:tab/>
      </w:r>
      <w:r>
        <w:rPr>
          <w:spacing w:val="-4"/>
        </w:rPr>
        <w:t>(49)</w:t>
      </w:r>
    </w:p>
    <w:p>
      <w:pPr>
        <w:pStyle w:val="BodyText"/>
        <w:tabs>
          <w:tab w:val="left" w:pos="1899"/>
          <w:tab w:val="left" w:leader="dot" w:pos="8499"/>
        </w:tabs>
        <w:spacing w:before="133"/>
        <w:ind w:left="700"/>
      </w:pPr>
      <w:r>
        <w:t>第五</w:t>
      </w:r>
      <w:r>
        <w:rPr>
          <w:spacing w:val="-10"/>
        </w:rPr>
        <w:t>章</w:t>
      </w:r>
      <w:r>
        <w:tab/>
        <w:t>投标文件相关格</w:t>
      </w:r>
      <w:r>
        <w:rPr>
          <w:spacing w:val="-10"/>
        </w:rPr>
        <w:t>式</w:t>
      </w:r>
      <w:r>
        <w:rPr>
          <w:rFonts w:ascii="Times New Roman" w:eastAsia="Times New Roman"/>
        </w:rPr>
        <w:tab/>
      </w:r>
      <w:r>
        <w:rPr>
          <w:spacing w:val="-4"/>
        </w:rPr>
        <w:t>(50)</w:t>
      </w:r>
    </w:p>
    <w:p>
      <w:pPr>
        <w:pStyle w:val="BodyText"/>
        <w:rPr>
          <w:sz w:val="26"/>
        </w:rPr>
      </w:pPr>
    </w:p>
    <w:p>
      <w:pPr>
        <w:pStyle w:val="BodyText"/>
        <w:rPr>
          <w:sz w:val="26"/>
        </w:rPr>
      </w:pPr>
    </w:p>
    <w:p>
      <w:pPr>
        <w:pStyle w:val="BodyText"/>
        <w:rPr>
          <w:sz w:val="26"/>
        </w:rPr>
      </w:pPr>
    </w:p>
    <w:p>
      <w:pPr>
        <w:pStyle w:val="BodyText"/>
        <w:spacing w:before="195" w:line="364" w:lineRule="auto"/>
        <w:ind w:left="700" w:right="1440" w:firstLine="480"/>
        <w:jc w:val="both"/>
      </w:pPr>
      <w:r>
        <w:rPr>
          <w:spacing w:val="-2"/>
        </w:rPr>
        <w:t>注：本招标文件共</w:t>
      </w:r>
      <w:r>
        <w:rPr>
          <w:spacing w:val="-2"/>
          <w:u w:val="single"/>
        </w:rPr>
        <w:t>71</w:t>
      </w:r>
      <w:r>
        <w:rPr>
          <w:spacing w:val="-2"/>
        </w:rPr>
        <w:t>页（含封面</w:t>
      </w:r>
      <w:r>
        <w:rPr>
          <w:spacing w:val="-118"/>
        </w:rPr>
        <w:t>）</w:t>
      </w:r>
      <w:r>
        <w:rPr>
          <w:spacing w:val="-2"/>
        </w:rPr>
        <w:t>，请投标人领取招标文件时自行核对，如</w:t>
      </w:r>
      <w:r>
        <w:rPr>
          <w:spacing w:val="-2"/>
        </w:rPr>
        <w:t>发现缺、损等情况，自购买招标文件之日起二日内向福建省新卫招标代理有限公</w:t>
      </w:r>
      <w:r>
        <w:rPr>
          <w:spacing w:val="-2"/>
        </w:rPr>
        <w:t>司提出，否则，由此造成的一切后果由投标人自负。</w:t>
      </w:r>
    </w:p>
    <w:p>
      <w:pPr>
        <w:spacing w:after="0" w:line="364" w:lineRule="auto"/>
        <w:jc w:val="both"/>
        <w:sectPr>
          <w:headerReference w:type="default" r:id="rId7"/>
          <w:pgSz w:w="11910" w:h="16840"/>
          <w:pgMar w:top="1240" w:right="319" w:bottom="280" w:left="1100" w:header="884" w:footer="0"/>
          <w:pgNumType w:start="2"/>
          <w:cols w:space="708"/>
        </w:sectPr>
      </w:pPr>
    </w:p>
    <w:p>
      <w:pPr>
        <w:pStyle w:val="BodyText"/>
        <w:spacing w:before="9"/>
        <w:rPr>
          <w:sz w:val="17"/>
        </w:rPr>
      </w:pPr>
    </w:p>
    <w:p>
      <w:pPr>
        <w:pStyle w:val="Heading2"/>
        <w:tabs>
          <w:tab w:val="left" w:pos="4852"/>
        </w:tabs>
        <w:spacing w:line="598" w:lineRule="exact"/>
        <w:ind w:left="3407"/>
        <w:jc w:val="left"/>
        <w:rPr>
          <w:rFonts w:ascii="微软雅黑" w:eastAsia="微软雅黑"/>
        </w:rPr>
      </w:pPr>
      <w:r>
        <w:rPr>
          <w:rFonts w:ascii="微软雅黑" w:eastAsia="微软雅黑"/>
        </w:rPr>
        <w:t>第</w:t>
      </w:r>
      <w:r>
        <w:rPr>
          <w:rFonts w:ascii="微软雅黑" w:eastAsia="微软雅黑"/>
        </w:rPr>
        <w:t>一</w:t>
      </w:r>
      <w:r>
        <w:rPr>
          <w:rFonts w:ascii="微软雅黑" w:eastAsia="微软雅黑"/>
          <w:spacing w:val="-10"/>
        </w:rPr>
        <w:t>章</w:t>
      </w:r>
      <w:r>
        <w:rPr>
          <w:rFonts w:ascii="微软雅黑" w:eastAsia="微软雅黑"/>
        </w:rPr>
        <w:tab/>
        <w:t>投</w:t>
      </w:r>
      <w:r>
        <w:rPr>
          <w:rFonts w:ascii="微软雅黑" w:eastAsia="微软雅黑"/>
        </w:rPr>
        <w:t>标</w:t>
      </w:r>
      <w:r>
        <w:rPr>
          <w:rFonts w:ascii="微软雅黑" w:eastAsia="微软雅黑"/>
        </w:rPr>
        <w:t>邀</w:t>
      </w:r>
      <w:r>
        <w:rPr>
          <w:rFonts w:ascii="微软雅黑" w:eastAsia="微软雅黑"/>
          <w:spacing w:val="-10"/>
        </w:rPr>
        <w:t>请</w:t>
      </w:r>
    </w:p>
    <w:p>
      <w:pPr>
        <w:pStyle w:val="BodyText"/>
        <w:spacing w:before="55" w:line="297" w:lineRule="auto"/>
        <w:ind w:left="700" w:right="1470" w:firstLine="480"/>
      </w:pPr>
      <w:r>
        <w:rPr>
          <w:spacing w:val="-8"/>
        </w:rPr>
        <w:t>受</w:t>
      </w:r>
      <w:r>
        <w:rPr>
          <w:spacing w:val="-8"/>
          <w:u w:val="single"/>
        </w:rPr>
        <w:t>福建中医药大学附属第三人民医院</w:t>
      </w:r>
      <w:r>
        <w:rPr>
          <w:spacing w:val="-24"/>
        </w:rPr>
        <w:t>委托，对</w:t>
      </w:r>
      <w:r>
        <w:rPr>
          <w:spacing w:val="-8"/>
          <w:u w:val="single"/>
        </w:rPr>
        <w:t>医院后勤服务管理项目</w:t>
      </w:r>
      <w:r>
        <w:rPr>
          <w:spacing w:val="-8"/>
        </w:rPr>
        <w:t>的下述内</w:t>
      </w:r>
      <w:r>
        <w:rPr>
          <w:spacing w:val="-2"/>
        </w:rPr>
        <w:t>容进行国内</w:t>
      </w:r>
      <w:r>
        <w:rPr>
          <w:spacing w:val="-2"/>
          <w:u w:val="single"/>
        </w:rPr>
        <w:t>公开招标</w:t>
      </w:r>
      <w:r>
        <w:rPr>
          <w:spacing w:val="-2"/>
        </w:rPr>
        <w:t>，现欢迎国内合格的投标人前来提交密封的投标。</w:t>
      </w:r>
    </w:p>
    <w:p>
      <w:pPr>
        <w:pStyle w:val="BodyText"/>
        <w:spacing w:line="305" w:lineRule="exact"/>
        <w:ind w:left="1199"/>
      </w:pPr>
      <w:r>
        <w:rPr>
          <w:spacing w:val="-8"/>
        </w:rPr>
        <w:t>1、招标编号：FJXW2014030</w:t>
      </w:r>
    </w:p>
    <w:p>
      <w:pPr>
        <w:pStyle w:val="BodyText"/>
        <w:spacing w:before="73"/>
        <w:ind w:left="1199"/>
      </w:pPr>
      <w:r>
        <w:rPr>
          <w:spacing w:val="-10"/>
        </w:rPr>
        <w:t>2</w:t>
      </w:r>
      <w:r>
        <w:rPr>
          <w:spacing w:val="-15"/>
        </w:rPr>
        <w:t>、招标项目名称、数量及主要技术规格：详见“招标项目一览表”。</w:t>
      </w:r>
    </w:p>
    <w:p>
      <w:pPr>
        <w:pStyle w:val="BodyText"/>
        <w:spacing w:before="72"/>
        <w:ind w:left="1199"/>
      </w:pPr>
      <w:r>
        <w:rPr>
          <w:spacing w:val="-6"/>
        </w:rPr>
        <w:t>3、招标文件购买时间：</w:t>
      </w:r>
      <w:r>
        <w:rPr>
          <w:spacing w:val="-6"/>
          <w:u w:val="single"/>
        </w:rPr>
        <w:t>2014</w:t>
      </w:r>
      <w:r>
        <w:rPr>
          <w:spacing w:val="-6"/>
        </w:rPr>
        <w:t>年</w:t>
      </w:r>
      <w:r>
        <w:rPr>
          <w:spacing w:val="-6"/>
          <w:u w:val="single"/>
        </w:rPr>
        <w:t>7</w:t>
      </w:r>
      <w:r>
        <w:rPr>
          <w:spacing w:val="-6"/>
        </w:rPr>
        <w:t>月</w:t>
      </w:r>
      <w:r>
        <w:rPr>
          <w:spacing w:val="-6"/>
          <w:u w:val="single"/>
        </w:rPr>
        <w:t>23</w:t>
      </w:r>
      <w:r>
        <w:rPr>
          <w:spacing w:val="-6"/>
        </w:rPr>
        <w:t>日至</w:t>
      </w:r>
      <w:r>
        <w:rPr>
          <w:spacing w:val="-6"/>
          <w:u w:val="single"/>
        </w:rPr>
        <w:t>2014</w:t>
      </w:r>
      <w:r>
        <w:rPr>
          <w:spacing w:val="-6"/>
        </w:rPr>
        <w:t>年</w:t>
      </w:r>
      <w:r>
        <w:rPr>
          <w:spacing w:val="-6"/>
          <w:u w:val="single"/>
        </w:rPr>
        <w:t>8</w:t>
      </w:r>
      <w:r>
        <w:rPr>
          <w:spacing w:val="-6"/>
        </w:rPr>
        <w:t>月</w:t>
      </w:r>
      <w:r>
        <w:rPr>
          <w:spacing w:val="2"/>
          <w:u w:val="single"/>
        </w:rPr>
        <w:t xml:space="preserve"> </w:t>
      </w:r>
      <w:r>
        <w:rPr>
          <w:spacing w:val="-6"/>
          <w:u w:val="single"/>
        </w:rPr>
        <w:t>8</w:t>
      </w:r>
      <w:r>
        <w:rPr>
          <w:spacing w:val="-6"/>
        </w:rPr>
        <w:t>日（节假日除外）</w:t>
      </w:r>
      <w:r>
        <w:rPr>
          <w:spacing w:val="-8"/>
        </w:rPr>
        <w:t>上午</w:t>
      </w:r>
    </w:p>
    <w:p>
      <w:pPr>
        <w:pStyle w:val="BodyText"/>
        <w:spacing w:before="73"/>
        <w:ind w:left="700"/>
      </w:pPr>
      <w:r>
        <w:rPr>
          <w:spacing w:val="-6"/>
        </w:rPr>
        <w:t>8:30至12:00，下午14:30至17:30</w:t>
      </w:r>
      <w:r>
        <w:rPr>
          <w:spacing w:val="-10"/>
        </w:rPr>
        <w:t>。</w:t>
      </w:r>
    </w:p>
    <w:p>
      <w:pPr>
        <w:pStyle w:val="BodyText"/>
        <w:spacing w:before="72" w:line="297" w:lineRule="auto"/>
        <w:ind w:left="700" w:right="1470" w:firstLine="499"/>
        <w:jc w:val="both"/>
      </w:pPr>
      <w:r>
        <w:rPr>
          <w:spacing w:val="-10"/>
        </w:rPr>
        <w:t>4、招标文件售价100</w:t>
      </w:r>
      <w:r>
        <w:rPr>
          <w:spacing w:val="-11"/>
        </w:rPr>
        <w:t>元人民币 (电子版或纸质版) ，售后不退，如需邮寄，另</w:t>
      </w:r>
      <w:r>
        <w:rPr>
          <w:spacing w:val="-10"/>
        </w:rPr>
        <w:t>加50元人民币特快专递费，本招标代理公司不对邮寄过程中的遗失负责。异地购买招标文件者，电汇相应的金额到本投标邀请提供的账户上，同时将电汇底单复印件及所需购买的招标编号、公司名称、联系人、联系电话、手机、传真、电子邮箱和</w:t>
      </w:r>
      <w:r>
        <w:rPr>
          <w:spacing w:val="-2"/>
        </w:rPr>
        <w:t>公司地址一并标注后传真至福建省新卫招标代理有限公司。</w:t>
      </w:r>
    </w:p>
    <w:p>
      <w:pPr>
        <w:pStyle w:val="BodyText"/>
        <w:spacing w:line="297" w:lineRule="auto"/>
        <w:ind w:left="700" w:right="1470" w:firstLine="499"/>
        <w:jc w:val="both"/>
      </w:pPr>
      <w:r>
        <w:rPr>
          <w:spacing w:val="-8"/>
        </w:rPr>
        <w:t>5、投标截止时间：投标文件应于</w:t>
      </w:r>
      <w:r>
        <w:rPr>
          <w:spacing w:val="-8"/>
          <w:u w:val="single"/>
        </w:rPr>
        <w:t>2014</w:t>
      </w:r>
      <w:r>
        <w:rPr>
          <w:spacing w:val="-8"/>
        </w:rPr>
        <w:t>年</w:t>
      </w:r>
      <w:r>
        <w:rPr>
          <w:spacing w:val="-8"/>
          <w:u w:val="single"/>
        </w:rPr>
        <w:t>8</w:t>
      </w:r>
      <w:r>
        <w:rPr>
          <w:spacing w:val="-8"/>
        </w:rPr>
        <w:t>月</w:t>
      </w:r>
      <w:r>
        <w:rPr>
          <w:spacing w:val="-22"/>
          <w:u w:val="single"/>
        </w:rPr>
        <w:t xml:space="preserve"> </w:t>
      </w:r>
      <w:r>
        <w:rPr>
          <w:spacing w:val="-8"/>
          <w:u w:val="single"/>
        </w:rPr>
        <w:t>13</w:t>
      </w:r>
      <w:r>
        <w:rPr>
          <w:spacing w:val="-15"/>
        </w:rPr>
        <w:t xml:space="preserve"> 日</w:t>
      </w:r>
      <w:r>
        <w:rPr>
          <w:spacing w:val="-8"/>
          <w:u w:val="single"/>
        </w:rPr>
        <w:t>15∶00∶00</w:t>
      </w:r>
      <w:r>
        <w:rPr>
          <w:spacing w:val="-8"/>
        </w:rPr>
        <w:t>（北京时间）之</w:t>
      </w:r>
      <w:r>
        <w:rPr>
          <w:spacing w:val="-11"/>
        </w:rPr>
        <w:t>前递交到福建省新卫招标代理有限公司开标厅，逾期收到的或不符合规定的投标文</w:t>
      </w:r>
      <w:r>
        <w:rPr>
          <w:spacing w:val="-2"/>
        </w:rPr>
        <w:t>件将被拒绝。</w:t>
      </w:r>
    </w:p>
    <w:p>
      <w:pPr>
        <w:pStyle w:val="BodyText"/>
        <w:spacing w:line="304" w:lineRule="exact"/>
        <w:ind w:left="1199"/>
      </w:pPr>
      <w:r>
        <w:rPr>
          <w:spacing w:val="-8"/>
        </w:rPr>
        <w:t>6</w:t>
      </w:r>
      <w:r>
        <w:rPr>
          <w:spacing w:val="-9"/>
        </w:rPr>
        <w:t>、开标时间、地点：</w:t>
      </w:r>
    </w:p>
    <w:p>
      <w:pPr>
        <w:pStyle w:val="BodyText"/>
        <w:spacing w:before="66" w:line="297" w:lineRule="auto"/>
        <w:ind w:left="1484" w:right="3441"/>
      </w:pPr>
      <w:r>
        <w:rPr>
          <w:spacing w:val="-2"/>
        </w:rPr>
        <w:t>开标时间：</w:t>
      </w:r>
      <w:r>
        <w:rPr>
          <w:spacing w:val="-2"/>
          <w:u w:val="single"/>
        </w:rPr>
        <w:t>2014</w:t>
      </w:r>
      <w:r>
        <w:rPr>
          <w:spacing w:val="-2"/>
        </w:rPr>
        <w:t>年</w:t>
      </w:r>
      <w:r>
        <w:rPr>
          <w:spacing w:val="-2"/>
          <w:u w:val="single"/>
        </w:rPr>
        <w:t>8</w:t>
      </w:r>
      <w:r>
        <w:rPr>
          <w:spacing w:val="-2"/>
        </w:rPr>
        <w:t>月</w:t>
      </w:r>
      <w:r>
        <w:rPr>
          <w:spacing w:val="-28"/>
          <w:u w:val="single"/>
        </w:rPr>
        <w:t xml:space="preserve"> </w:t>
      </w:r>
      <w:r>
        <w:rPr>
          <w:spacing w:val="-2"/>
          <w:u w:val="single"/>
        </w:rPr>
        <w:t>13</w:t>
      </w:r>
      <w:r>
        <w:rPr>
          <w:spacing w:val="-28"/>
          <w:u w:val="single"/>
        </w:rPr>
        <w:t xml:space="preserve"> </w:t>
      </w:r>
      <w:r>
        <w:rPr>
          <w:spacing w:val="-2"/>
        </w:rPr>
        <w:t>日</w:t>
      </w:r>
      <w:r>
        <w:rPr>
          <w:spacing w:val="-2"/>
          <w:u w:val="single"/>
        </w:rPr>
        <w:t>15∶00∶00</w:t>
      </w:r>
      <w:r>
        <w:rPr>
          <w:spacing w:val="-2"/>
        </w:rPr>
        <w:t>（北京时间</w:t>
      </w:r>
      <w:r>
        <w:rPr>
          <w:spacing w:val="-2"/>
        </w:rPr>
        <w:t>）开标地点：福建省新卫招标代理有限公司开标厅</w:t>
      </w:r>
    </w:p>
    <w:p>
      <w:pPr>
        <w:pStyle w:val="BodyText"/>
        <w:tabs>
          <w:tab w:val="left" w:pos="2215"/>
        </w:tabs>
        <w:spacing w:line="305" w:lineRule="exact"/>
        <w:ind w:left="1535"/>
      </w:pPr>
      <w:r>
        <w:rPr>
          <w:spacing w:val="-10"/>
        </w:rPr>
        <w:t>地</w:t>
      </w:r>
      <w:r>
        <w:tab/>
      </w:r>
      <w:r>
        <w:rPr>
          <w:spacing w:val="-8"/>
        </w:rPr>
        <w:t>址：福</w:t>
      </w:r>
      <w:r>
        <w:rPr>
          <w:spacing w:val="-8"/>
        </w:rPr>
        <w:t>建省福</w:t>
      </w:r>
      <w:r>
        <w:rPr>
          <w:spacing w:val="-8"/>
        </w:rPr>
        <w:t>州市西</w:t>
      </w:r>
      <w:r>
        <w:rPr>
          <w:spacing w:val="-8"/>
        </w:rPr>
        <w:t>二环中路301号东</w:t>
      </w:r>
      <w:r>
        <w:rPr>
          <w:spacing w:val="-8"/>
        </w:rPr>
        <w:t>南医药</w:t>
      </w:r>
      <w:r>
        <w:rPr>
          <w:spacing w:val="-8"/>
        </w:rPr>
        <w:t>大楼6</w:t>
      </w:r>
      <w:r>
        <w:rPr>
          <w:spacing w:val="-10"/>
        </w:rPr>
        <w:t>层</w:t>
      </w:r>
    </w:p>
    <w:p>
      <w:pPr>
        <w:pStyle w:val="BodyText"/>
        <w:spacing w:before="73" w:line="297" w:lineRule="auto"/>
        <w:ind w:left="700" w:right="1470" w:firstLine="499"/>
        <w:jc w:val="both"/>
      </w:pPr>
      <w:r>
        <w:rPr>
          <w:spacing w:val="-8"/>
        </w:rPr>
        <w:t>投标人对本次招标活动事项提出疑问的，请在投标截止时间5天前，将质疑问</w:t>
      </w:r>
      <w:r>
        <w:rPr>
          <w:spacing w:val="-10"/>
        </w:rPr>
        <w:t>题以书面形式（有效签署的原件并加盖公章）与本招标代理公司联系，口头质疑不</w:t>
      </w:r>
      <w:r>
        <w:rPr>
          <w:spacing w:val="-2"/>
        </w:rPr>
        <w:t>予接受。若在投标截止时间前5天内才提出质疑，其质疑将不予接收。</w:t>
      </w:r>
    </w:p>
    <w:p>
      <w:pPr>
        <w:pStyle w:val="BodyText"/>
        <w:spacing w:line="297" w:lineRule="auto"/>
        <w:ind w:left="700" w:right="1470" w:firstLine="499"/>
        <w:jc w:val="both"/>
      </w:pPr>
      <w:r>
        <w:rPr>
          <w:spacing w:val="-12"/>
        </w:rPr>
        <w:t>有关本项目招标的相关信息（包括招标文件若有修改）福建省新卫招标代理有</w:t>
      </w:r>
      <w:r>
        <w:rPr>
          <w:spacing w:val="-8"/>
        </w:rPr>
        <w:t>限公司都将在政府采购相关网站中国政府采购网（</w:t>
      </w:r>
      <w:hyperlink r:id="rId8">
        <w:r>
          <w:rPr>
            <w:spacing w:val="-8"/>
          </w:rPr>
          <w:t>http://www.ccgp.gov.cn</w:t>
        </w:r>
      </w:hyperlink>
      <w:r>
        <w:rPr>
          <w:spacing w:val="-8"/>
        </w:rPr>
        <w:t>）等媒</w:t>
      </w:r>
      <w:r>
        <w:rPr>
          <w:spacing w:val="-2"/>
        </w:rPr>
        <w:t>体上公布，请潜在投标人随时关注相关网站，以免错漏重要信息。</w:t>
      </w:r>
    </w:p>
    <w:p>
      <w:pPr>
        <w:pStyle w:val="BodyText"/>
        <w:spacing w:line="297" w:lineRule="auto"/>
        <w:ind w:left="700" w:right="1470" w:firstLine="499"/>
        <w:jc w:val="both"/>
      </w:pPr>
      <w:r>
        <w:rPr>
          <w:spacing w:val="-8"/>
        </w:rPr>
        <w:t>9</w:t>
      </w:r>
      <w:r>
        <w:rPr>
          <w:spacing w:val="-18"/>
        </w:rPr>
        <w:t>、参加本项目投标的供应商须在本投标公开第</w:t>
      </w:r>
      <w:r>
        <w:rPr>
          <w:spacing w:val="-8"/>
        </w:rPr>
        <w:t>3条规定的时间内到本招标代理</w:t>
      </w:r>
      <w:r>
        <w:rPr>
          <w:spacing w:val="-10"/>
        </w:rPr>
        <w:t>机构购买招标文件，本招标公司不接受未购买招标文件供应商的投标，且不予以书</w:t>
      </w:r>
      <w:r>
        <w:rPr>
          <w:spacing w:val="-2"/>
        </w:rPr>
        <w:t>面通知招标文件补充内容等（如果有的话</w:t>
      </w:r>
      <w:r>
        <w:rPr>
          <w:spacing w:val="-128"/>
        </w:rPr>
        <w:t>）</w:t>
      </w:r>
      <w:r>
        <w:rPr>
          <w:spacing w:val="-2"/>
        </w:rPr>
        <w:t>。</w:t>
      </w:r>
    </w:p>
    <w:p>
      <w:pPr>
        <w:pStyle w:val="BodyText"/>
        <w:spacing w:before="3"/>
        <w:rPr>
          <w:sz w:val="26"/>
        </w:rPr>
      </w:pPr>
    </w:p>
    <w:p>
      <w:pPr>
        <w:pStyle w:val="BodyText"/>
        <w:ind w:left="1196"/>
      </w:pPr>
      <w:r>
        <w:rPr>
          <w:spacing w:val="-10"/>
        </w:rPr>
        <w:t>招标代理机构：福建省新卫招标代理有限公司</w:t>
      </w:r>
    </w:p>
    <w:p>
      <w:pPr>
        <w:pStyle w:val="BodyText"/>
        <w:spacing w:before="32"/>
        <w:ind w:left="1196"/>
      </w:pPr>
      <w:r>
        <w:rPr>
          <w:spacing w:val="-8"/>
        </w:rPr>
        <w:t>地址：福建省福州市西二环中路301号东南医药大楼6</w:t>
      </w:r>
      <w:r>
        <w:rPr>
          <w:spacing w:val="-10"/>
        </w:rPr>
        <w:t>层</w:t>
      </w:r>
    </w:p>
    <w:p>
      <w:pPr>
        <w:pStyle w:val="BodyText"/>
        <w:tabs>
          <w:tab w:val="left" w:pos="1764"/>
          <w:tab w:val="left" w:pos="3932"/>
        </w:tabs>
        <w:spacing w:before="33"/>
        <w:ind w:left="1196"/>
      </w:pPr>
      <w:r>
        <w:rPr>
          <w:spacing w:val="-10"/>
        </w:rPr>
        <w:t>邮</w:t>
      </w:r>
      <w:r>
        <w:tab/>
      </w:r>
      <w:r>
        <w:rPr>
          <w:spacing w:val="-9"/>
        </w:rPr>
        <w:t>编</w:t>
      </w:r>
      <w:r>
        <w:rPr>
          <w:spacing w:val="-2"/>
        </w:rPr>
        <w:t>：350025</w:t>
      </w:r>
      <w:r>
        <w:tab/>
      </w:r>
      <w:r>
        <w:rPr>
          <w:spacing w:val="-8"/>
        </w:rPr>
        <w:t>联系</w:t>
      </w:r>
      <w:r>
        <w:rPr>
          <w:spacing w:val="-8"/>
        </w:rPr>
        <w:t>电话：0591-87807510\87807383</w:t>
      </w:r>
    </w:p>
    <w:p>
      <w:pPr>
        <w:pStyle w:val="BodyText"/>
        <w:tabs>
          <w:tab w:val="left" w:pos="3960"/>
        </w:tabs>
        <w:spacing w:before="32"/>
        <w:ind w:left="1196"/>
      </w:pPr>
      <w:r>
        <w:rPr>
          <w:spacing w:val="-6"/>
        </w:rPr>
        <w:t>传真：0591-87807330</w:t>
      </w:r>
      <w:r>
        <w:tab/>
      </w:r>
      <w:r>
        <w:rPr>
          <w:spacing w:val="-10"/>
        </w:rPr>
        <w:t>联</w:t>
      </w:r>
      <w:r>
        <w:rPr>
          <w:spacing w:val="-10"/>
        </w:rPr>
        <w:t>系</w:t>
      </w:r>
      <w:r>
        <w:rPr>
          <w:spacing w:val="-10"/>
        </w:rPr>
        <w:t>人</w:t>
      </w:r>
      <w:r>
        <w:rPr>
          <w:spacing w:val="-10"/>
        </w:rPr>
        <w:t>：</w:t>
      </w:r>
      <w:r>
        <w:rPr>
          <w:spacing w:val="-10"/>
        </w:rPr>
        <w:t>郑</w:t>
      </w:r>
      <w:r>
        <w:rPr>
          <w:spacing w:val="-10"/>
        </w:rPr>
        <w:t>先</w:t>
      </w:r>
      <w:r>
        <w:rPr>
          <w:spacing w:val="-10"/>
        </w:rPr>
        <w:t>生</w:t>
      </w:r>
    </w:p>
    <w:p>
      <w:pPr>
        <w:pStyle w:val="BodyText"/>
        <w:tabs>
          <w:tab w:val="left" w:pos="5124"/>
        </w:tabs>
        <w:spacing w:before="33" w:line="266" w:lineRule="auto"/>
        <w:ind w:left="1196" w:right="2572"/>
      </w:pPr>
      <w:r>
        <w:t xml:space="preserve">网址：Http:// </w:t>
      </w:r>
      <w:hyperlink r:id="rId4">
        <w:r>
          <w:t>www.xinweizb.com</w:t>
        </w:r>
      </w:hyperlink>
      <w:r>
        <w:tab/>
      </w:r>
      <w:r>
        <w:rPr>
          <w:spacing w:val="-6"/>
        </w:rPr>
        <w:t>电子</w:t>
      </w:r>
      <w:r>
        <w:rPr>
          <w:spacing w:val="-6"/>
        </w:rPr>
        <w:t>信</w:t>
      </w:r>
      <w:r>
        <w:rPr>
          <w:spacing w:val="-6"/>
        </w:rPr>
        <w:t>箱</w:t>
      </w:r>
      <w:r>
        <w:rPr>
          <w:spacing w:val="-6"/>
        </w:rPr>
        <w:t>：</w:t>
      </w:r>
      <w:hyperlink r:id="rId5">
        <w:r>
          <w:rPr>
            <w:spacing w:val="-6"/>
          </w:rPr>
          <w:t>zdc770@163.com</w:t>
        </w:r>
      </w:hyperlink>
      <w:r>
        <w:rPr>
          <w:spacing w:val="-2"/>
        </w:rPr>
        <w:t>开户</w:t>
      </w:r>
      <w:r>
        <w:rPr>
          <w:spacing w:val="-2"/>
        </w:rPr>
        <w:t>名</w:t>
      </w:r>
      <w:r>
        <w:rPr>
          <w:spacing w:val="-2"/>
        </w:rPr>
        <w:t>称</w:t>
      </w:r>
      <w:r>
        <w:rPr>
          <w:spacing w:val="-2"/>
        </w:rPr>
        <w:t>：</w:t>
      </w:r>
      <w:r>
        <w:rPr>
          <w:spacing w:val="-2"/>
        </w:rPr>
        <w:t>福</w:t>
      </w:r>
      <w:r>
        <w:rPr>
          <w:spacing w:val="-2"/>
        </w:rPr>
        <w:t>建</w:t>
      </w:r>
      <w:r>
        <w:rPr>
          <w:spacing w:val="-2"/>
        </w:rPr>
        <w:t>省</w:t>
      </w:r>
      <w:r>
        <w:rPr>
          <w:spacing w:val="-2"/>
        </w:rPr>
        <w:t>新</w:t>
      </w:r>
      <w:r>
        <w:rPr>
          <w:spacing w:val="-2"/>
        </w:rPr>
        <w:t>卫</w:t>
      </w:r>
      <w:r>
        <w:rPr>
          <w:spacing w:val="-2"/>
        </w:rPr>
        <w:t>招</w:t>
      </w:r>
      <w:r>
        <w:rPr>
          <w:spacing w:val="-2"/>
        </w:rPr>
        <w:t>标</w:t>
      </w:r>
      <w:r>
        <w:rPr>
          <w:spacing w:val="-2"/>
        </w:rPr>
        <w:t>代</w:t>
      </w:r>
      <w:r>
        <w:rPr>
          <w:spacing w:val="-2"/>
        </w:rPr>
        <w:t>理</w:t>
      </w:r>
      <w:r>
        <w:rPr>
          <w:spacing w:val="-2"/>
        </w:rPr>
        <w:t>有</w:t>
      </w:r>
      <w:r>
        <w:rPr>
          <w:spacing w:val="-2"/>
        </w:rPr>
        <w:t>限</w:t>
      </w:r>
      <w:r>
        <w:rPr>
          <w:spacing w:val="-2"/>
        </w:rPr>
        <w:t>公司</w:t>
      </w:r>
    </w:p>
    <w:p>
      <w:pPr>
        <w:pStyle w:val="BodyText"/>
        <w:spacing w:line="266" w:lineRule="auto"/>
        <w:ind w:left="1196" w:right="5568"/>
      </w:pPr>
      <w:r>
        <w:rPr>
          <w:spacing w:val="-8"/>
        </w:rPr>
        <w:t>开户行：中国光大银行福州南门支行</w:t>
      </w:r>
      <w:r>
        <w:rPr>
          <w:spacing w:val="9"/>
        </w:rPr>
        <w:t>帐 号：</w:t>
      </w:r>
      <w:r>
        <w:t>7736-01-88-0000288-73</w:t>
      </w:r>
    </w:p>
    <w:p>
      <w:pPr>
        <w:spacing w:after="0" w:line="266" w:lineRule="auto"/>
        <w:sectPr>
          <w:headerReference w:type="default" r:id="rId9"/>
          <w:footerReference w:type="default" r:id="rId10"/>
          <w:pgSz w:w="11910" w:h="16840"/>
          <w:pgMar w:top="1240" w:right="319" w:bottom="1180" w:left="1100" w:header="884" w:footer="991"/>
          <w:pgNumType w:start="3"/>
          <w:cols w:space="708"/>
        </w:sectPr>
      </w:pPr>
    </w:p>
    <w:p>
      <w:pPr>
        <w:pStyle w:val="BodyText"/>
        <w:rPr>
          <w:sz w:val="13"/>
        </w:rPr>
      </w:pPr>
    </w:p>
    <w:p>
      <w:pPr>
        <w:pStyle w:val="Heading2"/>
        <w:ind w:left="877" w:right="1657"/>
      </w:pPr>
      <w:r>
        <w:rPr>
          <w:spacing w:val="-2"/>
        </w:rPr>
        <w:t>招标项目一览表</w:t>
      </w:r>
    </w:p>
    <w:p>
      <w:pPr>
        <w:pStyle w:val="BodyText"/>
        <w:spacing w:before="3"/>
        <w:rPr>
          <w:rFonts w:ascii="Microsoft JhengHei"/>
          <w:b/>
          <w:sz w:val="29"/>
        </w:rPr>
      </w:pPr>
    </w:p>
    <w:tbl>
      <w:tblPr>
        <w:tblStyle w:val="TableNormal0"/>
        <w:tblW w:w="0" w:type="auto"/>
        <w:jc w:val="left"/>
        <w:tblInd w:w="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70"/>
        <w:gridCol w:w="1667"/>
        <w:gridCol w:w="841"/>
        <w:gridCol w:w="1334"/>
        <w:gridCol w:w="1239"/>
        <w:gridCol w:w="1508"/>
        <w:gridCol w:w="1704"/>
      </w:tblGrid>
      <w:tr>
        <w:tblPrEx>
          <w:tblW w:w="0" w:type="auto"/>
          <w:jc w:val="left"/>
          <w:tblInd w:w="3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880"/>
          <w:jc w:val="left"/>
        </w:trPr>
        <w:tc>
          <w:tcPr>
            <w:tcW w:w="670" w:type="dxa"/>
          </w:tcPr>
          <w:p>
            <w:pPr>
              <w:pStyle w:val="TableParagraph"/>
              <w:spacing w:line="440" w:lineRule="exact"/>
              <w:ind w:left="268" w:right="29" w:hanging="120"/>
              <w:rPr>
                <w:sz w:val="24"/>
              </w:rPr>
            </w:pPr>
            <w:r>
              <w:rPr>
                <w:spacing w:val="-6"/>
                <w:sz w:val="24"/>
              </w:rPr>
              <w:t>合同</w:t>
            </w:r>
            <w:r>
              <w:rPr>
                <w:spacing w:val="-10"/>
                <w:sz w:val="24"/>
              </w:rPr>
              <w:t>包</w:t>
            </w:r>
          </w:p>
        </w:tc>
        <w:tc>
          <w:tcPr>
            <w:tcW w:w="1667" w:type="dxa"/>
          </w:tcPr>
          <w:p>
            <w:pPr>
              <w:pStyle w:val="TableParagraph"/>
              <w:spacing w:before="1"/>
              <w:rPr>
                <w:rFonts w:ascii="Microsoft JhengHei"/>
                <w:b/>
                <w:sz w:val="18"/>
              </w:rPr>
            </w:pPr>
          </w:p>
          <w:p>
            <w:pPr>
              <w:pStyle w:val="TableParagraph"/>
              <w:ind w:left="353"/>
              <w:rPr>
                <w:sz w:val="24"/>
              </w:rPr>
            </w:pPr>
            <w:r>
              <w:rPr>
                <w:spacing w:val="-3"/>
                <w:sz w:val="24"/>
              </w:rPr>
              <w:t>项目名称</w:t>
            </w:r>
          </w:p>
        </w:tc>
        <w:tc>
          <w:tcPr>
            <w:tcW w:w="841" w:type="dxa"/>
          </w:tcPr>
          <w:p>
            <w:pPr>
              <w:pStyle w:val="TableParagraph"/>
              <w:spacing w:before="1"/>
              <w:rPr>
                <w:rFonts w:ascii="Microsoft JhengHei"/>
                <w:b/>
                <w:sz w:val="18"/>
              </w:rPr>
            </w:pPr>
          </w:p>
          <w:p>
            <w:pPr>
              <w:pStyle w:val="TableParagraph"/>
              <w:ind w:left="180"/>
              <w:rPr>
                <w:sz w:val="24"/>
              </w:rPr>
            </w:pPr>
            <w:r>
              <w:rPr>
                <w:spacing w:val="-5"/>
                <w:sz w:val="24"/>
              </w:rPr>
              <w:t>数量</w:t>
            </w:r>
          </w:p>
        </w:tc>
        <w:tc>
          <w:tcPr>
            <w:tcW w:w="1334" w:type="dxa"/>
          </w:tcPr>
          <w:p>
            <w:pPr>
              <w:pStyle w:val="TableParagraph"/>
              <w:spacing w:before="132" w:line="242" w:lineRule="auto"/>
              <w:ind w:left="642" w:right="15" w:hanging="537"/>
              <w:rPr>
                <w:sz w:val="24"/>
              </w:rPr>
            </w:pPr>
            <w:r>
              <w:rPr>
                <w:spacing w:val="-2"/>
                <w:sz w:val="24"/>
              </w:rPr>
              <w:t>主要服务要</w:t>
            </w:r>
            <w:r>
              <w:rPr>
                <w:spacing w:val="-10"/>
                <w:sz w:val="24"/>
              </w:rPr>
              <w:t>求</w:t>
            </w:r>
          </w:p>
        </w:tc>
        <w:tc>
          <w:tcPr>
            <w:tcW w:w="1239" w:type="dxa"/>
          </w:tcPr>
          <w:p>
            <w:pPr>
              <w:pStyle w:val="TableParagraph"/>
              <w:spacing w:before="1"/>
              <w:rPr>
                <w:rFonts w:ascii="Microsoft JhengHei"/>
                <w:b/>
                <w:sz w:val="18"/>
              </w:rPr>
            </w:pPr>
          </w:p>
          <w:p>
            <w:pPr>
              <w:pStyle w:val="TableParagraph"/>
              <w:ind w:left="139"/>
              <w:rPr>
                <w:sz w:val="24"/>
              </w:rPr>
            </w:pPr>
            <w:r>
              <w:rPr>
                <w:spacing w:val="-3"/>
                <w:sz w:val="24"/>
              </w:rPr>
              <w:t>服务地点</w:t>
            </w:r>
          </w:p>
        </w:tc>
        <w:tc>
          <w:tcPr>
            <w:tcW w:w="1508" w:type="dxa"/>
          </w:tcPr>
          <w:p>
            <w:pPr>
              <w:pStyle w:val="TableParagraph"/>
              <w:spacing w:before="12"/>
              <w:rPr>
                <w:rFonts w:ascii="Microsoft JhengHei"/>
                <w:b/>
                <w:sz w:val="15"/>
              </w:rPr>
            </w:pPr>
          </w:p>
          <w:p>
            <w:pPr>
              <w:pStyle w:val="TableParagraph"/>
              <w:ind w:left="273"/>
              <w:rPr>
                <w:sz w:val="24"/>
              </w:rPr>
            </w:pPr>
            <w:r>
              <w:rPr>
                <w:spacing w:val="-3"/>
                <w:sz w:val="24"/>
              </w:rPr>
              <w:t>最高限价</w:t>
            </w:r>
          </w:p>
        </w:tc>
        <w:tc>
          <w:tcPr>
            <w:tcW w:w="1704" w:type="dxa"/>
          </w:tcPr>
          <w:p>
            <w:pPr>
              <w:pStyle w:val="TableParagraph"/>
              <w:spacing w:before="1"/>
              <w:rPr>
                <w:rFonts w:ascii="Microsoft JhengHei"/>
                <w:b/>
                <w:sz w:val="18"/>
              </w:rPr>
            </w:pPr>
          </w:p>
          <w:p>
            <w:pPr>
              <w:pStyle w:val="TableParagraph"/>
              <w:ind w:left="492"/>
              <w:rPr>
                <w:sz w:val="24"/>
              </w:rPr>
            </w:pPr>
            <w:r>
              <w:rPr>
                <w:spacing w:val="-4"/>
                <w:sz w:val="24"/>
              </w:rPr>
              <w:t>服务期</w:t>
            </w:r>
          </w:p>
        </w:tc>
      </w:tr>
      <w:tr>
        <w:tblPrEx>
          <w:tblW w:w="0" w:type="auto"/>
          <w:jc w:val="left"/>
          <w:tblInd w:w="376" w:type="dxa"/>
          <w:tblLayout w:type="fixed"/>
          <w:tblCellMar>
            <w:top w:w="0" w:type="dxa"/>
            <w:left w:w="0" w:type="dxa"/>
            <w:bottom w:w="0" w:type="dxa"/>
            <w:right w:w="0" w:type="dxa"/>
          </w:tblCellMar>
          <w:tblLook w:val="01E0"/>
        </w:tblPrEx>
        <w:trPr>
          <w:trHeight w:val="3520"/>
          <w:jc w:val="left"/>
        </w:trPr>
        <w:tc>
          <w:tcPr>
            <w:tcW w:w="670" w:type="dxa"/>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spacing w:before="15"/>
              <w:rPr>
                <w:rFonts w:ascii="Microsoft JhengHei"/>
                <w:b/>
                <w:sz w:val="17"/>
              </w:rPr>
            </w:pPr>
          </w:p>
          <w:p>
            <w:pPr>
              <w:pStyle w:val="TableParagraph"/>
              <w:ind w:left="328"/>
              <w:rPr>
                <w:sz w:val="24"/>
              </w:rPr>
            </w:pPr>
            <w:r>
              <w:rPr>
                <w:sz w:val="24"/>
              </w:rPr>
              <w:t>1</w:t>
            </w:r>
          </w:p>
        </w:tc>
        <w:tc>
          <w:tcPr>
            <w:tcW w:w="1667" w:type="dxa"/>
          </w:tcPr>
          <w:p>
            <w:pPr>
              <w:pStyle w:val="TableParagraph"/>
              <w:rPr>
                <w:rFonts w:ascii="Microsoft JhengHei"/>
                <w:b/>
                <w:sz w:val="24"/>
              </w:rPr>
            </w:pPr>
          </w:p>
          <w:p>
            <w:pPr>
              <w:pStyle w:val="TableParagraph"/>
              <w:rPr>
                <w:rFonts w:ascii="Microsoft JhengHei"/>
                <w:b/>
                <w:sz w:val="24"/>
              </w:rPr>
            </w:pPr>
          </w:p>
          <w:p>
            <w:pPr>
              <w:pStyle w:val="TableParagraph"/>
              <w:spacing w:before="16"/>
              <w:rPr>
                <w:rFonts w:ascii="Microsoft JhengHei"/>
                <w:b/>
                <w:sz w:val="29"/>
              </w:rPr>
            </w:pPr>
          </w:p>
          <w:p>
            <w:pPr>
              <w:pStyle w:val="TableParagraph"/>
              <w:spacing w:line="343" w:lineRule="auto"/>
              <w:ind w:left="593" w:right="101" w:hanging="480"/>
              <w:rPr>
                <w:sz w:val="24"/>
              </w:rPr>
            </w:pPr>
            <w:r>
              <w:rPr>
                <w:spacing w:val="-2"/>
                <w:sz w:val="24"/>
              </w:rPr>
              <w:t>医院后勤服务</w:t>
            </w:r>
            <w:r>
              <w:rPr>
                <w:spacing w:val="-6"/>
                <w:sz w:val="24"/>
              </w:rPr>
              <w:t>管理</w:t>
            </w:r>
          </w:p>
        </w:tc>
        <w:tc>
          <w:tcPr>
            <w:tcW w:w="841" w:type="dxa"/>
          </w:tcPr>
          <w:p>
            <w:pPr>
              <w:pStyle w:val="TableParagraph"/>
              <w:rPr>
                <w:rFonts w:ascii="Microsoft JhengHei"/>
                <w:b/>
                <w:sz w:val="24"/>
              </w:rPr>
            </w:pPr>
          </w:p>
          <w:p>
            <w:pPr>
              <w:pStyle w:val="TableParagraph"/>
              <w:rPr>
                <w:rFonts w:ascii="Microsoft JhengHei"/>
                <w:b/>
                <w:sz w:val="24"/>
              </w:rPr>
            </w:pPr>
          </w:p>
          <w:p>
            <w:pPr>
              <w:pStyle w:val="TableParagraph"/>
              <w:rPr>
                <w:rFonts w:ascii="Microsoft JhengHei"/>
                <w:b/>
                <w:sz w:val="24"/>
              </w:rPr>
            </w:pPr>
          </w:p>
          <w:p>
            <w:pPr>
              <w:pStyle w:val="TableParagraph"/>
              <w:spacing w:before="15"/>
              <w:rPr>
                <w:rFonts w:ascii="Microsoft JhengHei"/>
                <w:b/>
                <w:sz w:val="17"/>
              </w:rPr>
            </w:pPr>
          </w:p>
          <w:p>
            <w:pPr>
              <w:pStyle w:val="TableParagraph"/>
              <w:ind w:left="210"/>
              <w:rPr>
                <w:sz w:val="24"/>
              </w:rPr>
            </w:pPr>
            <w:r>
              <w:rPr>
                <w:sz w:val="24"/>
              </w:rPr>
              <w:t>1</w:t>
            </w:r>
            <w:r>
              <w:rPr>
                <w:spacing w:val="-35"/>
                <w:sz w:val="24"/>
              </w:rPr>
              <w:t xml:space="preserve"> 项</w:t>
            </w:r>
          </w:p>
        </w:tc>
        <w:tc>
          <w:tcPr>
            <w:tcW w:w="1334" w:type="dxa"/>
          </w:tcPr>
          <w:p>
            <w:pPr>
              <w:pStyle w:val="TableParagraph"/>
              <w:rPr>
                <w:rFonts w:ascii="Microsoft JhengHei"/>
                <w:b/>
                <w:sz w:val="24"/>
              </w:rPr>
            </w:pPr>
          </w:p>
          <w:p>
            <w:pPr>
              <w:pStyle w:val="TableParagraph"/>
              <w:rPr>
                <w:rFonts w:ascii="Microsoft JhengHei"/>
                <w:b/>
                <w:sz w:val="24"/>
              </w:rPr>
            </w:pPr>
          </w:p>
          <w:p>
            <w:pPr>
              <w:pStyle w:val="TableParagraph"/>
              <w:spacing w:before="8"/>
              <w:rPr>
                <w:rFonts w:ascii="Microsoft JhengHei"/>
                <w:b/>
                <w:sz w:val="22"/>
              </w:rPr>
            </w:pPr>
          </w:p>
          <w:p>
            <w:pPr>
              <w:pStyle w:val="TableParagraph"/>
              <w:spacing w:before="1" w:line="242" w:lineRule="auto"/>
              <w:ind w:left="186" w:right="175"/>
              <w:jc w:val="center"/>
              <w:rPr>
                <w:sz w:val="24"/>
              </w:rPr>
            </w:pPr>
            <w:r>
              <w:rPr>
                <w:spacing w:val="-4"/>
                <w:sz w:val="24"/>
              </w:rPr>
              <w:t>详见招标</w:t>
            </w:r>
            <w:r>
              <w:rPr>
                <w:spacing w:val="-4"/>
                <w:sz w:val="24"/>
              </w:rPr>
              <w:t>文件第三</w:t>
            </w:r>
            <w:r>
              <w:rPr>
                <w:spacing w:val="-10"/>
                <w:sz w:val="24"/>
              </w:rPr>
              <w:t>章</w:t>
            </w:r>
          </w:p>
        </w:tc>
        <w:tc>
          <w:tcPr>
            <w:tcW w:w="1239" w:type="dxa"/>
          </w:tcPr>
          <w:p>
            <w:pPr>
              <w:pStyle w:val="TableParagraph"/>
              <w:rPr>
                <w:rFonts w:ascii="Microsoft JhengHei"/>
                <w:b/>
                <w:sz w:val="24"/>
              </w:rPr>
            </w:pPr>
          </w:p>
          <w:p>
            <w:pPr>
              <w:pStyle w:val="TableParagraph"/>
              <w:spacing w:before="17"/>
              <w:rPr>
                <w:rFonts w:ascii="Microsoft JhengHei"/>
                <w:b/>
                <w:sz w:val="29"/>
              </w:rPr>
            </w:pPr>
          </w:p>
          <w:p>
            <w:pPr>
              <w:pStyle w:val="TableParagraph"/>
              <w:spacing w:line="343" w:lineRule="auto"/>
              <w:ind w:left="139" w:right="127"/>
              <w:jc w:val="both"/>
              <w:rPr>
                <w:sz w:val="24"/>
              </w:rPr>
            </w:pPr>
            <w:r>
              <w:rPr>
                <w:spacing w:val="-4"/>
                <w:sz w:val="24"/>
              </w:rPr>
              <w:t>福建中医</w:t>
            </w:r>
            <w:r>
              <w:rPr>
                <w:spacing w:val="-4"/>
                <w:sz w:val="24"/>
              </w:rPr>
              <w:t>药大学附</w:t>
            </w:r>
            <w:r>
              <w:rPr>
                <w:spacing w:val="-4"/>
                <w:sz w:val="24"/>
              </w:rPr>
              <w:t>属第三人</w:t>
            </w:r>
            <w:r>
              <w:rPr>
                <w:spacing w:val="-4"/>
                <w:sz w:val="24"/>
              </w:rPr>
              <w:t>民医院</w:t>
            </w:r>
          </w:p>
        </w:tc>
        <w:tc>
          <w:tcPr>
            <w:tcW w:w="1508" w:type="dxa"/>
          </w:tcPr>
          <w:p>
            <w:pPr>
              <w:pStyle w:val="TableParagraph"/>
              <w:rPr>
                <w:rFonts w:ascii="Microsoft JhengHei"/>
                <w:b/>
                <w:sz w:val="24"/>
              </w:rPr>
            </w:pPr>
          </w:p>
          <w:p>
            <w:pPr>
              <w:pStyle w:val="TableParagraph"/>
              <w:spacing w:before="17"/>
              <w:rPr>
                <w:rFonts w:ascii="Microsoft JhengHei"/>
                <w:b/>
                <w:sz w:val="29"/>
              </w:rPr>
            </w:pPr>
          </w:p>
          <w:p>
            <w:pPr>
              <w:pStyle w:val="TableParagraph"/>
              <w:spacing w:line="343" w:lineRule="auto"/>
              <w:ind w:left="107" w:right="96"/>
              <w:jc w:val="center"/>
              <w:rPr>
                <w:sz w:val="24"/>
              </w:rPr>
            </w:pPr>
            <w:r>
              <w:rPr>
                <w:spacing w:val="-2"/>
                <w:sz w:val="24"/>
              </w:rPr>
              <w:t>人民币壹佰</w:t>
            </w:r>
            <w:r>
              <w:rPr>
                <w:spacing w:val="-6"/>
                <w:sz w:val="24"/>
              </w:rPr>
              <w:t>贰拾万元整/</w:t>
            </w:r>
            <w:r>
              <w:rPr>
                <w:spacing w:val="-89"/>
                <w:sz w:val="24"/>
              </w:rPr>
              <w:t>年</w:t>
            </w:r>
            <w:r>
              <w:rPr>
                <w:spacing w:val="-2"/>
                <w:sz w:val="24"/>
              </w:rPr>
              <w:t>（￥120</w:t>
            </w:r>
            <w:r>
              <w:rPr>
                <w:spacing w:val="-31"/>
                <w:sz w:val="24"/>
              </w:rPr>
              <w:t xml:space="preserve"> 万</w:t>
            </w:r>
            <w:r>
              <w:rPr>
                <w:spacing w:val="-4"/>
                <w:sz w:val="24"/>
              </w:rPr>
              <w:t>元/年）</w:t>
            </w:r>
          </w:p>
        </w:tc>
        <w:tc>
          <w:tcPr>
            <w:tcW w:w="1704" w:type="dxa"/>
          </w:tcPr>
          <w:p>
            <w:pPr>
              <w:pStyle w:val="TableParagraph"/>
              <w:rPr>
                <w:rFonts w:ascii="Microsoft JhengHei"/>
                <w:b/>
                <w:sz w:val="24"/>
              </w:rPr>
            </w:pPr>
          </w:p>
          <w:p>
            <w:pPr>
              <w:pStyle w:val="TableParagraph"/>
              <w:rPr>
                <w:rFonts w:ascii="Microsoft JhengHei"/>
                <w:b/>
                <w:sz w:val="24"/>
              </w:rPr>
            </w:pPr>
          </w:p>
          <w:p>
            <w:pPr>
              <w:pStyle w:val="TableParagraph"/>
              <w:spacing w:before="16"/>
              <w:rPr>
                <w:rFonts w:ascii="Microsoft JhengHei"/>
                <w:b/>
                <w:sz w:val="29"/>
              </w:rPr>
            </w:pPr>
          </w:p>
          <w:p>
            <w:pPr>
              <w:pStyle w:val="TableParagraph"/>
              <w:spacing w:line="343" w:lineRule="auto"/>
              <w:ind w:left="612" w:right="121" w:hanging="480"/>
              <w:rPr>
                <w:sz w:val="24"/>
              </w:rPr>
            </w:pPr>
            <w:r>
              <w:rPr>
                <w:spacing w:val="-2"/>
                <w:sz w:val="24"/>
              </w:rPr>
              <w:t>合同生效后三</w:t>
            </w:r>
            <w:r>
              <w:rPr>
                <w:spacing w:val="-6"/>
                <w:sz w:val="24"/>
              </w:rPr>
              <w:t>年内</w:t>
            </w:r>
          </w:p>
        </w:tc>
      </w:tr>
    </w:tbl>
    <w:p>
      <w:pPr>
        <w:pStyle w:val="BodyText"/>
        <w:spacing w:before="10"/>
        <w:rPr>
          <w:rFonts w:ascii="Microsoft JhengHei"/>
          <w:b/>
          <w:sz w:val="20"/>
        </w:rPr>
      </w:pPr>
    </w:p>
    <w:p>
      <w:pPr>
        <w:pStyle w:val="BodyText"/>
        <w:spacing w:before="66"/>
        <w:ind w:left="700"/>
      </w:pPr>
      <w:r>
        <w:rPr>
          <w:spacing w:val="-5"/>
        </w:rPr>
        <w:t>注：</w:t>
      </w:r>
    </w:p>
    <w:p>
      <w:pPr>
        <w:pStyle w:val="BodyText"/>
        <w:spacing w:before="112" w:line="343" w:lineRule="auto"/>
        <w:ind w:left="700" w:right="1479" w:firstLine="360"/>
      </w:pPr>
      <w:r>
        <w:rPr>
          <w:spacing w:val="-4"/>
        </w:rPr>
        <w:t>1、投标人对同一合同包内所有内容投标时必须完整，评标与授标以合同包为</w:t>
      </w:r>
      <w:r>
        <w:rPr>
          <w:spacing w:val="-4"/>
        </w:rPr>
        <w:t>单位。</w:t>
      </w:r>
    </w:p>
    <w:p>
      <w:pPr>
        <w:pStyle w:val="BodyText"/>
        <w:spacing w:before="1"/>
        <w:ind w:left="1060"/>
      </w:pPr>
      <w:r>
        <w:rPr>
          <w:rFonts w:ascii="Times New Roman" w:eastAsia="Times New Roman"/>
        </w:rPr>
        <w:t>2</w:t>
      </w:r>
      <w:r>
        <w:rPr>
          <w:spacing w:val="-1"/>
        </w:rPr>
        <w:t>、本项目的服务期为合同生效后三年内。</w:t>
      </w:r>
    </w:p>
    <w:p>
      <w:pPr>
        <w:pStyle w:val="BodyText"/>
        <w:spacing w:before="132" w:line="343" w:lineRule="auto"/>
        <w:ind w:left="700" w:right="1479" w:firstLine="360"/>
      </w:pPr>
      <w:r>
        <w:rPr>
          <w:spacing w:val="-4"/>
        </w:rPr>
        <w:t>3、投标人的投标报价须包含完成本项目有关的一切费用，招标人不再承担任</w:t>
      </w:r>
      <w:r>
        <w:rPr>
          <w:spacing w:val="-2"/>
        </w:rPr>
        <w:t>何开支，具体涵盖范围详见本招标文件的第三章。</w:t>
      </w:r>
    </w:p>
    <w:p>
      <w:pPr>
        <w:pStyle w:val="BodyText"/>
        <w:spacing w:before="1" w:line="343" w:lineRule="auto"/>
        <w:ind w:left="700" w:right="1266" w:firstLine="360"/>
      </w:pPr>
      <w:r>
        <w:rPr>
          <w:spacing w:val="-2"/>
        </w:rPr>
        <w:t>4、中标人不得转包他人，若发现转包，招标人有权单方面解除合同，并追究</w:t>
      </w:r>
      <w:r>
        <w:rPr>
          <w:spacing w:val="-13"/>
        </w:rPr>
        <w:t>相应法律责任。中标人在合同期内未经招标人同意不得擅自中止履行或解除合同，</w:t>
      </w:r>
      <w:r>
        <w:rPr>
          <w:spacing w:val="-2"/>
        </w:rPr>
        <w:t>违反合同的将没收履约保证金并承担由此给医院造成的损失。</w:t>
      </w:r>
    </w:p>
    <w:p>
      <w:pPr>
        <w:spacing w:after="0" w:line="343" w:lineRule="auto"/>
        <w:sectPr>
          <w:headerReference w:type="default" r:id="rId11"/>
          <w:footerReference w:type="default" r:id="rId12"/>
          <w:pgSz w:w="11910" w:h="16840"/>
          <w:pgMar w:top="1240" w:right="319" w:bottom="1180" w:left="1100" w:header="884" w:footer="991"/>
          <w:pgNumType w:start="1"/>
          <w:cols w:space="708"/>
        </w:sectPr>
      </w:pPr>
    </w:p>
    <w:p>
      <w:pPr>
        <w:pStyle w:val="Heading2"/>
        <w:tabs>
          <w:tab w:val="left" w:pos="1444"/>
        </w:tabs>
        <w:spacing w:line="582" w:lineRule="exact"/>
        <w:ind w:right="401"/>
      </w:pPr>
      <w:r>
        <w:t>第</w:t>
      </w:r>
      <w:r>
        <w:t>二</w:t>
      </w:r>
      <w:r>
        <w:rPr>
          <w:spacing w:val="-10"/>
        </w:rPr>
        <w:t>章</w:t>
      </w:r>
      <w:r>
        <w:tab/>
        <w:t>投</w:t>
      </w:r>
      <w:r>
        <w:t>标</w:t>
      </w:r>
      <w:r>
        <w:t>人</w:t>
      </w:r>
      <w:r>
        <w:t>须</w:t>
      </w:r>
      <w:r>
        <w:rPr>
          <w:spacing w:val="-10"/>
        </w:rPr>
        <w:t>知</w:t>
      </w:r>
    </w:p>
    <w:p>
      <w:pPr>
        <w:pStyle w:val="Heading3"/>
        <w:spacing w:line="511" w:lineRule="exact"/>
      </w:pPr>
      <w:r>
        <w:rPr>
          <w:spacing w:val="-2"/>
        </w:rPr>
        <w:t>投标人须知前附表</w:t>
      </w:r>
    </w:p>
    <w:p>
      <w:pPr>
        <w:pStyle w:val="BodyText"/>
        <w:spacing w:before="37" w:line="343" w:lineRule="auto"/>
        <w:ind w:left="475" w:right="876" w:firstLine="525"/>
      </w:pPr>
      <w:r>
        <w:pict>
          <v:shapetype id="_x0000_t202" coordsize="21600,21600" o:spt="202" path="m,l,21600r21600,l21600,xe">
            <v:stroke joinstyle="miter"/>
            <v:path gradientshapeok="t" o:connecttype="rect"/>
          </v:shapetype>
          <v:shape id="_x0000_s1026" type="#_x0000_t202" style="width:477.5pt;height:611pt;margin-top:40.25pt;margin-left:60.5pt;mso-position-horizontal-relative:page;position:absolute;z-index:251659264" filled="f" stroked="f">
            <v:textbox inset="0,0,0,0">
              <w:txbxContent>
                <w:tbl>
                  <w:tblPr>
                    <w:tblStyle w:val="TableNormal1"/>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1080"/>
                    <w:gridCol w:w="7560"/>
                  </w:tblGrid>
                  <w:tr>
                    <w:tblPrEx>
                      <w:tblW w:w="0" w:type="auto"/>
                      <w:jc w:val="left"/>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20"/>
                      <w:jc w:val="left"/>
                    </w:trPr>
                    <w:tc>
                      <w:tcPr>
                        <w:tcW w:w="900" w:type="dxa"/>
                      </w:tcPr>
                      <w:p>
                        <w:pPr>
                          <w:pStyle w:val="TableParagraph"/>
                          <w:spacing w:before="96" w:line="304" w:lineRule="exact"/>
                          <w:ind w:left="108"/>
                          <w:rPr>
                            <w:sz w:val="24"/>
                          </w:rPr>
                        </w:pPr>
                        <w:r>
                          <w:rPr>
                            <w:spacing w:val="-5"/>
                            <w:sz w:val="24"/>
                          </w:rPr>
                          <w:t>项号</w:t>
                        </w:r>
                      </w:p>
                    </w:tc>
                    <w:tc>
                      <w:tcPr>
                        <w:tcW w:w="1080" w:type="dxa"/>
                      </w:tcPr>
                      <w:p>
                        <w:pPr>
                          <w:pStyle w:val="TableParagraph"/>
                          <w:spacing w:before="96" w:line="304" w:lineRule="exact"/>
                          <w:ind w:left="108"/>
                          <w:rPr>
                            <w:sz w:val="24"/>
                          </w:rPr>
                        </w:pPr>
                        <w:r>
                          <w:rPr>
                            <w:spacing w:val="-4"/>
                            <w:sz w:val="24"/>
                          </w:rPr>
                          <w:t>条款号</w:t>
                        </w:r>
                      </w:p>
                    </w:tc>
                    <w:tc>
                      <w:tcPr>
                        <w:tcW w:w="7560" w:type="dxa"/>
                      </w:tcPr>
                      <w:p>
                        <w:pPr>
                          <w:pStyle w:val="TableParagraph"/>
                          <w:tabs>
                            <w:tab w:val="left" w:pos="707"/>
                            <w:tab w:val="left" w:pos="1307"/>
                            <w:tab w:val="left" w:pos="2027"/>
                          </w:tabs>
                          <w:spacing w:before="96" w:line="304" w:lineRule="exact"/>
                          <w:ind w:left="108"/>
                          <w:rPr>
                            <w:sz w:val="24"/>
                          </w:rPr>
                        </w:pPr>
                        <w:r>
                          <w:rPr>
                            <w:spacing w:val="-10"/>
                            <w:sz w:val="24"/>
                          </w:rPr>
                          <w:t>编</w:t>
                        </w:r>
                        <w:r>
                          <w:rPr>
                            <w:sz w:val="24"/>
                          </w:rPr>
                          <w:tab/>
                        </w:r>
                        <w:r>
                          <w:rPr>
                            <w:spacing w:val="-10"/>
                            <w:sz w:val="24"/>
                          </w:rPr>
                          <w:t>列</w:t>
                        </w:r>
                        <w:r>
                          <w:rPr>
                            <w:sz w:val="24"/>
                          </w:rPr>
                          <w:tab/>
                        </w:r>
                        <w:r>
                          <w:rPr>
                            <w:spacing w:val="-10"/>
                            <w:sz w:val="24"/>
                          </w:rPr>
                          <w:t>内</w:t>
                        </w:r>
                        <w:r>
                          <w:rPr>
                            <w:sz w:val="24"/>
                          </w:rPr>
                          <w:tab/>
                        </w:r>
                        <w:r>
                          <w:rPr>
                            <w:spacing w:val="-10"/>
                            <w:sz w:val="24"/>
                          </w:rPr>
                          <w:t>容</w:t>
                        </w:r>
                      </w:p>
                    </w:tc>
                  </w:tr>
                  <w:tr>
                    <w:tblPrEx>
                      <w:tblW w:w="0" w:type="auto"/>
                      <w:jc w:val="left"/>
                      <w:tblInd w:w="5" w:type="dxa"/>
                      <w:tblLayout w:type="fixed"/>
                      <w:tblCellMar>
                        <w:top w:w="0" w:type="dxa"/>
                        <w:left w:w="0" w:type="dxa"/>
                        <w:bottom w:w="0" w:type="dxa"/>
                        <w:right w:w="0" w:type="dxa"/>
                      </w:tblCellMar>
                      <w:tblLook w:val="01E0"/>
                    </w:tblPrEx>
                    <w:trPr>
                      <w:trHeight w:val="1680"/>
                      <w:jc w:val="left"/>
                    </w:trPr>
                    <w:tc>
                      <w:tcPr>
                        <w:tcW w:w="900" w:type="dxa"/>
                      </w:tcPr>
                      <w:p>
                        <w:pPr>
                          <w:pStyle w:val="TableParagraph"/>
                          <w:rPr>
                            <w:sz w:val="24"/>
                          </w:rPr>
                        </w:pPr>
                      </w:p>
                      <w:p>
                        <w:pPr>
                          <w:pStyle w:val="TableParagraph"/>
                          <w:spacing w:before="8"/>
                          <w:rPr>
                            <w:sz w:val="32"/>
                          </w:rPr>
                        </w:pPr>
                      </w:p>
                      <w:p>
                        <w:pPr>
                          <w:pStyle w:val="TableParagraph"/>
                          <w:ind w:left="10"/>
                          <w:jc w:val="center"/>
                          <w:rPr>
                            <w:sz w:val="24"/>
                          </w:rPr>
                        </w:pPr>
                        <w:r>
                          <w:rPr>
                            <w:sz w:val="24"/>
                          </w:rPr>
                          <w:t>1</w:t>
                        </w:r>
                      </w:p>
                    </w:tc>
                    <w:tc>
                      <w:tcPr>
                        <w:tcW w:w="1080" w:type="dxa"/>
                      </w:tcPr>
                      <w:p>
                        <w:pPr>
                          <w:pStyle w:val="TableParagraph"/>
                          <w:rPr>
                            <w:sz w:val="24"/>
                          </w:rPr>
                        </w:pPr>
                      </w:p>
                      <w:p>
                        <w:pPr>
                          <w:pStyle w:val="TableParagraph"/>
                          <w:spacing w:before="8"/>
                          <w:rPr>
                            <w:sz w:val="32"/>
                          </w:rPr>
                        </w:pPr>
                      </w:p>
                      <w:p>
                        <w:pPr>
                          <w:pStyle w:val="TableParagraph"/>
                          <w:ind w:left="360"/>
                          <w:rPr>
                            <w:sz w:val="24"/>
                          </w:rPr>
                        </w:pPr>
                        <w:r>
                          <w:rPr>
                            <w:spacing w:val="-5"/>
                            <w:sz w:val="24"/>
                          </w:rPr>
                          <w:t>1.1</w:t>
                        </w:r>
                      </w:p>
                    </w:tc>
                    <w:tc>
                      <w:tcPr>
                        <w:tcW w:w="7560" w:type="dxa"/>
                      </w:tcPr>
                      <w:p>
                        <w:pPr>
                          <w:pStyle w:val="TableParagraph"/>
                          <w:spacing w:before="96"/>
                          <w:ind w:left="108"/>
                          <w:rPr>
                            <w:sz w:val="24"/>
                          </w:rPr>
                        </w:pPr>
                        <w:r>
                          <w:rPr>
                            <w:spacing w:val="-1"/>
                            <w:sz w:val="24"/>
                          </w:rPr>
                          <w:t>项目名称：医院后勤服务管理项目</w:t>
                        </w:r>
                      </w:p>
                      <w:p>
                        <w:pPr>
                          <w:pStyle w:val="TableParagraph"/>
                          <w:spacing w:line="420" w:lineRule="atLeast"/>
                          <w:ind w:left="108" w:right="2401"/>
                          <w:rPr>
                            <w:sz w:val="24"/>
                          </w:rPr>
                        </w:pPr>
                        <w:r>
                          <w:rPr>
                            <w:spacing w:val="-2"/>
                            <w:sz w:val="24"/>
                          </w:rPr>
                          <w:t>采购人名称：福建中医药大学附属第三人民医院</w:t>
                        </w:r>
                        <w:r>
                          <w:rPr>
                            <w:spacing w:val="-2"/>
                            <w:sz w:val="24"/>
                          </w:rPr>
                          <w:t>项目内容：后勤物业管理，具体详见招标文件</w:t>
                        </w:r>
                        <w:r>
                          <w:rPr>
                            <w:spacing w:val="-2"/>
                            <w:sz w:val="24"/>
                          </w:rPr>
                          <w:t xml:space="preserve"> </w:t>
                        </w:r>
                        <w:r>
                          <w:rPr>
                            <w:spacing w:val="-2"/>
                            <w:sz w:val="24"/>
                          </w:rPr>
                          <w:t>项目编号：FJXW2014030</w:t>
                        </w:r>
                      </w:p>
                    </w:tc>
                  </w:tr>
                  <w:tr>
                    <w:tblPrEx>
                      <w:tblW w:w="0" w:type="auto"/>
                      <w:jc w:val="left"/>
                      <w:tblInd w:w="5" w:type="dxa"/>
                      <w:tblLayout w:type="fixed"/>
                      <w:tblCellMar>
                        <w:top w:w="0" w:type="dxa"/>
                        <w:left w:w="0" w:type="dxa"/>
                        <w:bottom w:w="0" w:type="dxa"/>
                        <w:right w:w="0" w:type="dxa"/>
                      </w:tblCellMar>
                      <w:tblLook w:val="01E0"/>
                    </w:tblPrEx>
                    <w:trPr>
                      <w:trHeight w:val="1008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24"/>
                          </w:rPr>
                        </w:pPr>
                      </w:p>
                      <w:p>
                        <w:pPr>
                          <w:pStyle w:val="TableParagraph"/>
                          <w:ind w:left="10"/>
                          <w:jc w:val="center"/>
                          <w:rPr>
                            <w:sz w:val="24"/>
                          </w:rPr>
                        </w:pPr>
                        <w:r>
                          <w:rPr>
                            <w:sz w:val="24"/>
                          </w:rPr>
                          <w:t>2</w:t>
                        </w:r>
                      </w:p>
                    </w:tc>
                    <w:tc>
                      <w:tcPr>
                        <w:tcW w:w="108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24"/>
                          </w:rPr>
                        </w:pPr>
                      </w:p>
                      <w:p>
                        <w:pPr>
                          <w:pStyle w:val="TableParagraph"/>
                          <w:ind w:left="360"/>
                          <w:rPr>
                            <w:sz w:val="24"/>
                          </w:rPr>
                        </w:pPr>
                        <w:r>
                          <w:rPr>
                            <w:spacing w:val="-5"/>
                            <w:sz w:val="24"/>
                          </w:rPr>
                          <w:t>3.1</w:t>
                        </w:r>
                      </w:p>
                    </w:tc>
                    <w:tc>
                      <w:tcPr>
                        <w:tcW w:w="7560" w:type="dxa"/>
                      </w:tcPr>
                      <w:p>
                        <w:pPr>
                          <w:pStyle w:val="TableParagraph"/>
                          <w:spacing w:before="48"/>
                          <w:ind w:left="108"/>
                          <w:rPr>
                            <w:sz w:val="24"/>
                          </w:rPr>
                        </w:pPr>
                        <w:r>
                          <w:rPr>
                            <w:spacing w:val="-2"/>
                            <w:sz w:val="24"/>
                          </w:rPr>
                          <w:t>资格标准：</w:t>
                        </w:r>
                      </w:p>
                      <w:p>
                        <w:pPr>
                          <w:pStyle w:val="TableParagraph"/>
                          <w:spacing w:before="52" w:line="280" w:lineRule="auto"/>
                          <w:ind w:left="107" w:right="96" w:firstLine="480"/>
                          <w:jc w:val="both"/>
                          <w:rPr>
                            <w:sz w:val="24"/>
                          </w:rPr>
                        </w:pPr>
                        <w:r>
                          <w:rPr>
                            <w:spacing w:val="-2"/>
                            <w:sz w:val="24"/>
                          </w:rPr>
                          <w:t>1、凡有能力提供本招标文件所述服务，具备相关法律法规、行政</w:t>
                        </w:r>
                        <w:r>
                          <w:rPr>
                            <w:spacing w:val="-2"/>
                            <w:sz w:val="24"/>
                          </w:rPr>
                          <w:t>规章条例和本招标文件中规定的参加采购活动应当具备的条件的境内</w:t>
                        </w:r>
                        <w:r>
                          <w:rPr>
                            <w:spacing w:val="-2"/>
                            <w:sz w:val="24"/>
                          </w:rPr>
                          <w:t>法人均可能成为合格的投标人。</w:t>
                        </w:r>
                      </w:p>
                      <w:p>
                        <w:pPr>
                          <w:pStyle w:val="TableParagraph"/>
                          <w:spacing w:before="1" w:line="280" w:lineRule="auto"/>
                          <w:ind w:left="107" w:right="95" w:firstLine="464"/>
                          <w:jc w:val="both"/>
                          <w:rPr>
                            <w:sz w:val="24"/>
                          </w:rPr>
                        </w:pPr>
                        <w:r>
                          <w:rPr>
                            <w:spacing w:val="-2"/>
                            <w:sz w:val="24"/>
                          </w:rPr>
                          <w:t>2、投标人应符合《中华人民共和国政府采购法》第二十二条规定</w:t>
                        </w:r>
                        <w:r>
                          <w:rPr>
                            <w:spacing w:val="-4"/>
                            <w:sz w:val="24"/>
                          </w:rPr>
                          <w:t>条件及投标人须知第3条“合格的投标人”规定条件,并提交以下资质证</w:t>
                        </w:r>
                        <w:r>
                          <w:rPr>
                            <w:spacing w:val="-4"/>
                            <w:sz w:val="24"/>
                          </w:rPr>
                          <w:t>明文件：</w:t>
                        </w:r>
                      </w:p>
                      <w:p>
                        <w:pPr>
                          <w:pStyle w:val="TableParagraph"/>
                          <w:numPr>
                            <w:ilvl w:val="0"/>
                            <w:numId w:val="48"/>
                          </w:numPr>
                          <w:tabs>
                            <w:tab w:val="left" w:pos="1191"/>
                          </w:tabs>
                          <w:spacing w:before="1" w:after="0" w:line="240" w:lineRule="auto"/>
                          <w:ind w:left="1191" w:right="0" w:hanging="601"/>
                          <w:jc w:val="left"/>
                          <w:rPr>
                            <w:sz w:val="24"/>
                          </w:rPr>
                        </w:pPr>
                        <w:r>
                          <w:rPr>
                            <w:spacing w:val="-1"/>
                            <w:sz w:val="24"/>
                          </w:rPr>
                          <w:t>企业法人营业执照副本复印件；</w:t>
                        </w:r>
                      </w:p>
                      <w:p>
                        <w:pPr>
                          <w:pStyle w:val="TableParagraph"/>
                          <w:numPr>
                            <w:ilvl w:val="0"/>
                            <w:numId w:val="48"/>
                          </w:numPr>
                          <w:tabs>
                            <w:tab w:val="left" w:pos="1191"/>
                          </w:tabs>
                          <w:spacing w:before="52" w:after="0" w:line="240" w:lineRule="auto"/>
                          <w:ind w:left="1191" w:right="0" w:hanging="601"/>
                          <w:jc w:val="left"/>
                          <w:rPr>
                            <w:sz w:val="24"/>
                          </w:rPr>
                        </w:pPr>
                        <w:r>
                          <w:rPr>
                            <w:spacing w:val="-1"/>
                            <w:sz w:val="24"/>
                          </w:rPr>
                          <w:t>税务登记证副本复印件；</w:t>
                        </w:r>
                      </w:p>
                      <w:p>
                        <w:pPr>
                          <w:pStyle w:val="TableParagraph"/>
                          <w:numPr>
                            <w:ilvl w:val="0"/>
                            <w:numId w:val="48"/>
                          </w:numPr>
                          <w:tabs>
                            <w:tab w:val="left" w:pos="1191"/>
                          </w:tabs>
                          <w:spacing w:before="53" w:after="0" w:line="240" w:lineRule="auto"/>
                          <w:ind w:left="1191" w:right="0" w:hanging="601"/>
                          <w:jc w:val="left"/>
                          <w:rPr>
                            <w:sz w:val="24"/>
                          </w:rPr>
                        </w:pPr>
                        <w:r>
                          <w:rPr>
                            <w:spacing w:val="-1"/>
                            <w:sz w:val="24"/>
                          </w:rPr>
                          <w:t>组织机构代码证复印件；</w:t>
                        </w:r>
                      </w:p>
                      <w:p>
                        <w:pPr>
                          <w:pStyle w:val="TableParagraph"/>
                          <w:numPr>
                            <w:ilvl w:val="0"/>
                            <w:numId w:val="48"/>
                          </w:numPr>
                          <w:tabs>
                            <w:tab w:val="left" w:pos="1191"/>
                          </w:tabs>
                          <w:spacing w:before="52" w:after="0" w:line="240" w:lineRule="auto"/>
                          <w:ind w:left="1191" w:right="0" w:hanging="601"/>
                          <w:jc w:val="left"/>
                          <w:rPr>
                            <w:sz w:val="24"/>
                          </w:rPr>
                        </w:pPr>
                        <w:r>
                          <w:rPr>
                            <w:spacing w:val="-1"/>
                            <w:sz w:val="24"/>
                          </w:rPr>
                          <w:t>法定代表人及投标人代表的有效身份证明复印件；</w:t>
                        </w:r>
                      </w:p>
                      <w:p>
                        <w:pPr>
                          <w:pStyle w:val="TableParagraph"/>
                          <w:numPr>
                            <w:ilvl w:val="0"/>
                            <w:numId w:val="48"/>
                          </w:numPr>
                          <w:tabs>
                            <w:tab w:val="left" w:pos="1190"/>
                          </w:tabs>
                          <w:spacing w:before="53" w:after="0" w:line="280" w:lineRule="auto"/>
                          <w:ind w:left="107" w:right="96" w:firstLine="480"/>
                          <w:jc w:val="left"/>
                          <w:rPr>
                            <w:sz w:val="24"/>
                          </w:rPr>
                        </w:pPr>
                        <w:r>
                          <w:rPr>
                            <w:spacing w:val="-7"/>
                            <w:sz w:val="24"/>
                          </w:rPr>
                          <w:t>法定代表人授权书原件(格式详见第五章“投标文件格式”，</w:t>
                        </w:r>
                        <w:r>
                          <w:rPr>
                            <w:spacing w:val="-2"/>
                            <w:sz w:val="24"/>
                          </w:rPr>
                          <w:t>投标代表是法定代表人无需)；</w:t>
                        </w:r>
                      </w:p>
                      <w:p>
                        <w:pPr>
                          <w:pStyle w:val="TableParagraph"/>
                          <w:spacing w:line="280" w:lineRule="auto"/>
                          <w:ind w:left="107" w:right="96" w:firstLine="480"/>
                          <w:rPr>
                            <w:sz w:val="24"/>
                          </w:rPr>
                        </w:pPr>
                        <w:r>
                          <w:rPr>
                            <w:spacing w:val="-2"/>
                            <w:sz w:val="24"/>
                          </w:rPr>
                          <w:t>3、一个投标人只能提交一个投标文件。但如果投标人之间存在下</w:t>
                        </w:r>
                        <w:r>
                          <w:rPr>
                            <w:spacing w:val="-2"/>
                            <w:sz w:val="24"/>
                          </w:rPr>
                          <w:t>列互为关联关系的情形之一的，不得同时参加本项目投标：</w:t>
                        </w:r>
                      </w:p>
                      <w:p>
                        <w:pPr>
                          <w:pStyle w:val="TableParagraph"/>
                          <w:numPr>
                            <w:ilvl w:val="0"/>
                            <w:numId w:val="46"/>
                          </w:numPr>
                          <w:tabs>
                            <w:tab w:val="left" w:pos="1189"/>
                          </w:tabs>
                          <w:spacing w:before="0" w:after="0" w:line="240" w:lineRule="auto"/>
                          <w:ind w:left="1189" w:right="0" w:hanging="602"/>
                          <w:jc w:val="left"/>
                          <w:rPr>
                            <w:sz w:val="24"/>
                          </w:rPr>
                        </w:pPr>
                        <w:r>
                          <w:rPr>
                            <w:spacing w:val="-1"/>
                            <w:sz w:val="24"/>
                          </w:rPr>
                          <w:t>法定代表人为同一人的两个及两个以上法人；</w:t>
                        </w:r>
                      </w:p>
                      <w:p>
                        <w:pPr>
                          <w:pStyle w:val="TableParagraph"/>
                          <w:numPr>
                            <w:ilvl w:val="0"/>
                            <w:numId w:val="46"/>
                          </w:numPr>
                          <w:tabs>
                            <w:tab w:val="left" w:pos="1189"/>
                          </w:tabs>
                          <w:spacing w:before="53" w:after="0" w:line="240" w:lineRule="auto"/>
                          <w:ind w:left="1189" w:right="0" w:hanging="602"/>
                          <w:jc w:val="left"/>
                          <w:rPr>
                            <w:sz w:val="24"/>
                          </w:rPr>
                        </w:pPr>
                        <w:r>
                          <w:rPr>
                            <w:spacing w:val="-1"/>
                            <w:sz w:val="24"/>
                          </w:rPr>
                          <w:t>母公司与绝对控股子公司；</w:t>
                        </w:r>
                      </w:p>
                      <w:p>
                        <w:pPr>
                          <w:pStyle w:val="TableParagraph"/>
                          <w:numPr>
                            <w:ilvl w:val="0"/>
                            <w:numId w:val="46"/>
                          </w:numPr>
                          <w:tabs>
                            <w:tab w:val="left" w:pos="1189"/>
                          </w:tabs>
                          <w:spacing w:before="52" w:after="0" w:line="280" w:lineRule="auto"/>
                          <w:ind w:left="107" w:right="97" w:firstLine="480"/>
                          <w:jc w:val="left"/>
                          <w:rPr>
                            <w:sz w:val="24"/>
                          </w:rPr>
                        </w:pPr>
                        <w:r>
                          <w:rPr>
                            <w:spacing w:val="-2"/>
                            <w:sz w:val="24"/>
                          </w:rPr>
                          <w:t>均为同一法人或自然人直接或间接持股50%及以上的被投资</w:t>
                        </w:r>
                        <w:r>
                          <w:rPr>
                            <w:spacing w:val="-4"/>
                            <w:sz w:val="24"/>
                          </w:rPr>
                          <w:t>公司。</w:t>
                        </w:r>
                      </w:p>
                      <w:p>
                        <w:pPr>
                          <w:pStyle w:val="TableParagraph"/>
                          <w:spacing w:before="1" w:line="280" w:lineRule="auto"/>
                          <w:ind w:left="107" w:right="96" w:firstLine="480"/>
                          <w:rPr>
                            <w:sz w:val="24"/>
                          </w:rPr>
                        </w:pPr>
                        <w:r>
                          <w:rPr>
                            <w:spacing w:val="-2"/>
                            <w:sz w:val="24"/>
                          </w:rPr>
                          <w:t>4、投标人不得与本次招标项目设计、编制技术规格和其它文件的</w:t>
                        </w:r>
                        <w:r>
                          <w:rPr>
                            <w:spacing w:val="-2"/>
                            <w:sz w:val="24"/>
                          </w:rPr>
                          <w:t>公司或提供咨询服务的公司包括其附属机构有任何关联。</w:t>
                        </w:r>
                      </w:p>
                      <w:p>
                        <w:pPr>
                          <w:pStyle w:val="TableParagraph"/>
                          <w:ind w:left="587"/>
                          <w:rPr>
                            <w:sz w:val="24"/>
                          </w:rPr>
                        </w:pPr>
                        <w:r>
                          <w:rPr>
                            <w:sz w:val="24"/>
                          </w:rPr>
                          <w:t>5</w:t>
                        </w:r>
                        <w:r>
                          <w:rPr>
                            <w:spacing w:val="-1"/>
                            <w:sz w:val="24"/>
                          </w:rPr>
                          <w:t>、本项目不接受联合体投标。</w:t>
                        </w:r>
                      </w:p>
                      <w:p>
                        <w:pPr>
                          <w:pStyle w:val="TableParagraph"/>
                          <w:spacing w:before="53" w:line="280" w:lineRule="auto"/>
                          <w:ind w:left="107" w:right="96" w:firstLine="480"/>
                          <w:rPr>
                            <w:sz w:val="24"/>
                          </w:rPr>
                        </w:pPr>
                        <w:r>
                          <w:rPr>
                            <w:spacing w:val="-2"/>
                            <w:sz w:val="24"/>
                          </w:rPr>
                          <w:t>6、投标代理人在同一个项目中只能接受一个投标人的委托参加投</w:t>
                        </w:r>
                        <w:r>
                          <w:rPr>
                            <w:spacing w:val="-6"/>
                            <w:sz w:val="24"/>
                          </w:rPr>
                          <w:t>标。</w:t>
                        </w:r>
                      </w:p>
                      <w:p>
                        <w:pPr>
                          <w:pStyle w:val="TableParagraph"/>
                          <w:spacing w:line="280" w:lineRule="auto"/>
                          <w:ind w:left="107" w:right="97" w:firstLine="480"/>
                          <w:jc w:val="both"/>
                          <w:rPr>
                            <w:sz w:val="24"/>
                          </w:rPr>
                        </w:pPr>
                        <w:r>
                          <w:rPr>
                            <w:spacing w:val="-2"/>
                            <w:sz w:val="24"/>
                          </w:rPr>
                          <w:t>7、投标人自2009年元月以来在国内至少承担过一项二级甲等及以</w:t>
                        </w:r>
                        <w:r>
                          <w:rPr>
                            <w:spacing w:val="-2"/>
                            <w:sz w:val="24"/>
                          </w:rPr>
                          <w:t>上医院的医院物业管理（或保洁项目管理</w:t>
                        </w:r>
                        <w:r>
                          <w:rPr>
                            <w:spacing w:val="-120"/>
                            <w:sz w:val="24"/>
                          </w:rPr>
                          <w:t>）</w:t>
                        </w:r>
                        <w:r>
                          <w:rPr>
                            <w:spacing w:val="-2"/>
                            <w:sz w:val="24"/>
                          </w:rPr>
                          <w:t>；投标人拟派驻本项目的项</w:t>
                        </w:r>
                        <w:r>
                          <w:rPr>
                            <w:spacing w:val="-4"/>
                            <w:sz w:val="24"/>
                          </w:rPr>
                          <w:t>目经理至少担任过一项医院物业管理（或保洁项目管理）</w:t>
                        </w:r>
                        <w:r>
                          <w:rPr>
                            <w:spacing w:val="-5"/>
                            <w:sz w:val="24"/>
                          </w:rPr>
                          <w:t>的项目经理或</w:t>
                        </w:r>
                      </w:p>
                      <w:p>
                        <w:pPr>
                          <w:pStyle w:val="TableParagraph"/>
                          <w:spacing w:before="1" w:line="292" w:lineRule="exact"/>
                          <w:ind w:left="107"/>
                          <w:rPr>
                            <w:sz w:val="24"/>
                          </w:rPr>
                        </w:pPr>
                        <w:r>
                          <w:rPr>
                            <w:spacing w:val="-20"/>
                            <w:sz w:val="24"/>
                          </w:rPr>
                          <w:t>项目负责人</w:t>
                        </w:r>
                        <w:r>
                          <w:rPr>
                            <w:sz w:val="24"/>
                          </w:rPr>
                          <w:t>（</w:t>
                        </w:r>
                        <w:r>
                          <w:rPr>
                            <w:spacing w:val="-1"/>
                            <w:sz w:val="24"/>
                          </w:rPr>
                          <w:t>投标人应在投标文件中提供该项目的合同书或用户单位出</w:t>
                        </w:r>
                      </w:p>
                    </w:tc>
                  </w:tr>
                </w:tbl>
                <w:p>
                  <w:pPr>
                    <w:pStyle w:val="BodyText"/>
                  </w:pPr>
                </w:p>
              </w:txbxContent>
            </v:textbox>
          </v:shape>
        </w:pict>
      </w:r>
      <w:r>
        <w:rPr>
          <w:spacing w:val="-2"/>
        </w:rPr>
        <w:t>本须知前附表的条款号是与《投标人须知》中条款的项号相对应的。如果有矛盾的</w:t>
      </w:r>
      <w:r>
        <w:rPr>
          <w:spacing w:val="-2"/>
        </w:rPr>
        <w:t>话，应以本须知前附表为准。</w:t>
      </w:r>
    </w:p>
    <w:p>
      <w:pPr>
        <w:spacing w:after="0" w:line="343" w:lineRule="auto"/>
        <w:sectPr>
          <w:headerReference w:type="default" r:id="rId13"/>
          <w:footerReference w:type="default" r:id="rId14"/>
          <w:pgSz w:w="11910" w:h="16840"/>
          <w:pgMar w:top="1240" w:right="320" w:bottom="1180" w:left="1100" w:header="884" w:footer="991"/>
          <w:pgNumType w:start="2"/>
          <w:cols w:space="708"/>
        </w:sectPr>
      </w:pPr>
    </w:p>
    <w:p>
      <w:pPr>
        <w:pStyle w:val="BodyText"/>
        <w:spacing w:before="8" w:after="1"/>
        <w:rPr>
          <w:sz w:val="8"/>
        </w:rPr>
      </w:pPr>
    </w:p>
    <w:tbl>
      <w:tblPr>
        <w:tblStyle w:val="TableNormal2"/>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1080"/>
        <w:gridCol w:w="7560"/>
      </w:tblGrid>
      <w:tr>
        <w:tblPrEx>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060"/>
          <w:jc w:val="left"/>
        </w:trPr>
        <w:tc>
          <w:tcPr>
            <w:tcW w:w="900" w:type="dxa"/>
          </w:tcPr>
          <w:p>
            <w:pPr>
              <w:pStyle w:val="TableParagraph"/>
              <w:rPr>
                <w:rFonts w:ascii="Times New Roman"/>
                <w:sz w:val="22"/>
              </w:rPr>
            </w:pPr>
          </w:p>
        </w:tc>
        <w:tc>
          <w:tcPr>
            <w:tcW w:w="1080" w:type="dxa"/>
          </w:tcPr>
          <w:p>
            <w:pPr>
              <w:pStyle w:val="TableParagraph"/>
              <w:rPr>
                <w:rFonts w:ascii="Times New Roman"/>
                <w:sz w:val="22"/>
              </w:rPr>
            </w:pPr>
          </w:p>
        </w:tc>
        <w:tc>
          <w:tcPr>
            <w:tcW w:w="7560" w:type="dxa"/>
          </w:tcPr>
          <w:p>
            <w:pPr>
              <w:pStyle w:val="TableParagraph"/>
              <w:spacing w:before="48"/>
              <w:ind w:left="108"/>
              <w:rPr>
                <w:sz w:val="24"/>
              </w:rPr>
            </w:pPr>
            <w:r>
              <w:rPr>
                <w:spacing w:val="-8"/>
                <w:sz w:val="24"/>
              </w:rPr>
              <w:t>具的证明材料的复印件并加盖公章。</w:t>
            </w:r>
            <w:r>
              <w:rPr>
                <w:spacing w:val="-10"/>
                <w:sz w:val="24"/>
              </w:rPr>
              <w:t>）</w:t>
            </w:r>
          </w:p>
          <w:p>
            <w:pPr>
              <w:pStyle w:val="TableParagraph"/>
              <w:spacing w:before="32" w:line="223" w:lineRule="auto"/>
              <w:ind w:left="107" w:right="96" w:firstLine="420"/>
              <w:rPr>
                <w:rFonts w:ascii="Microsoft JhengHei" w:eastAsia="Microsoft JhengHei"/>
                <w:b/>
                <w:sz w:val="21"/>
              </w:rPr>
            </w:pPr>
            <w:r>
              <w:rPr>
                <w:rFonts w:ascii="Microsoft JhengHei" w:eastAsia="Microsoft JhengHei"/>
                <w:b/>
                <w:spacing w:val="-2"/>
                <w:sz w:val="21"/>
              </w:rPr>
              <w:t>8</w:t>
            </w:r>
            <w:r>
              <w:rPr>
                <w:rFonts w:ascii="Microsoft JhengHei" w:eastAsia="Microsoft JhengHei"/>
                <w:b/>
                <w:spacing w:val="-6"/>
                <w:sz w:val="21"/>
              </w:rPr>
              <w:t>、根据《关于在政府采购活动中开展行贿犯罪档案查询工作的通知》</w:t>
            </w:r>
            <w:r>
              <w:rPr>
                <w:rFonts w:ascii="Microsoft JhengHei" w:eastAsia="Microsoft JhengHei"/>
                <w:b/>
                <w:spacing w:val="-2"/>
                <w:sz w:val="21"/>
              </w:rPr>
              <w:t>（闽检</w:t>
            </w:r>
            <w:r>
              <w:rPr>
                <w:rFonts w:ascii="Microsoft JhengHei" w:eastAsia="Microsoft JhengHei"/>
                <w:b/>
                <w:spacing w:val="-2"/>
                <w:sz w:val="21"/>
              </w:rPr>
              <w:t>发[2014]7</w:t>
            </w:r>
            <w:r>
              <w:rPr>
                <w:rFonts w:ascii="Microsoft JhengHei" w:eastAsia="Microsoft JhengHei"/>
                <w:b/>
                <w:spacing w:val="28"/>
                <w:sz w:val="21"/>
              </w:rPr>
              <w:t xml:space="preserve"> 号</w:t>
            </w:r>
            <w:r>
              <w:rPr>
                <w:rFonts w:ascii="Microsoft JhengHei" w:eastAsia="Microsoft JhengHei"/>
                <w:b/>
                <w:spacing w:val="-2"/>
                <w:sz w:val="21"/>
              </w:rPr>
              <w:t>）</w:t>
            </w:r>
            <w:r>
              <w:rPr>
                <w:rFonts w:ascii="Microsoft JhengHei" w:eastAsia="Microsoft JhengHei"/>
                <w:b/>
                <w:spacing w:val="-3"/>
                <w:sz w:val="21"/>
              </w:rPr>
              <w:t>文件规定，投标人须提供检察机关行贿犯罪档案查询结果告知函</w:t>
            </w:r>
          </w:p>
          <w:p>
            <w:pPr>
              <w:pStyle w:val="TableParagraph"/>
              <w:spacing w:before="2" w:line="223" w:lineRule="auto"/>
              <w:ind w:left="107" w:right="96"/>
              <w:rPr>
                <w:rFonts w:ascii="Microsoft JhengHei" w:eastAsia="Microsoft JhengHei" w:hAnsi="Microsoft JhengHei"/>
                <w:b/>
                <w:sz w:val="21"/>
              </w:rPr>
            </w:pPr>
            <w:r>
              <w:rPr>
                <w:rFonts w:ascii="Microsoft JhengHei" w:eastAsia="Microsoft JhengHei" w:hAnsi="Microsoft JhengHei"/>
                <w:b/>
                <w:spacing w:val="-2"/>
                <w:sz w:val="21"/>
              </w:rPr>
              <w:t>（由投标供应商向住所地或业务发生地检察院申请查询，复印件须注明“与原件</w:t>
            </w:r>
            <w:r>
              <w:rPr>
                <w:rFonts w:ascii="Microsoft JhengHei" w:eastAsia="Microsoft JhengHei" w:hAnsi="Microsoft JhengHei"/>
                <w:b/>
                <w:spacing w:val="-2"/>
                <w:sz w:val="21"/>
              </w:rPr>
              <w:t>一致”并加盖投标人公章</w:t>
            </w:r>
            <w:r>
              <w:rPr>
                <w:rFonts w:ascii="Microsoft JhengHei" w:eastAsia="Microsoft JhengHei" w:hAnsi="Microsoft JhengHei"/>
                <w:b/>
                <w:spacing w:val="-105"/>
                <w:sz w:val="21"/>
              </w:rPr>
              <w:t>）</w:t>
            </w:r>
            <w:r>
              <w:rPr>
                <w:rFonts w:ascii="Microsoft JhengHei" w:eastAsia="Microsoft JhengHei" w:hAnsi="Microsoft JhengHei"/>
                <w:b/>
                <w:spacing w:val="-2"/>
                <w:sz w:val="21"/>
              </w:rPr>
              <w:t>。</w:t>
            </w:r>
          </w:p>
          <w:p>
            <w:pPr>
              <w:pStyle w:val="TableParagraph"/>
              <w:spacing w:before="70" w:line="328" w:lineRule="auto"/>
              <w:ind w:left="107" w:right="97" w:firstLine="480"/>
              <w:rPr>
                <w:sz w:val="24"/>
              </w:rPr>
            </w:pPr>
            <w:r>
              <w:rPr>
                <w:spacing w:val="-4"/>
                <w:sz w:val="24"/>
              </w:rPr>
              <w:t>注：投标人必须提交以上文件或证明的复印件，所有复印件应是最</w:t>
            </w:r>
            <w:r>
              <w:rPr>
                <w:sz w:val="24"/>
              </w:rPr>
              <w:t>新（有效</w:t>
            </w:r>
            <w:r>
              <w:rPr>
                <w:spacing w:val="-120"/>
                <w:sz w:val="24"/>
              </w:rPr>
              <w:t>）</w:t>
            </w:r>
            <w:r>
              <w:rPr>
                <w:spacing w:val="-1"/>
                <w:sz w:val="24"/>
              </w:rPr>
              <w:t>、清晰，注明“与原件一致”并加盖投标人公章，并有原件</w:t>
            </w:r>
          </w:p>
          <w:p>
            <w:pPr>
              <w:pStyle w:val="TableParagraph"/>
              <w:spacing w:line="301" w:lineRule="exact"/>
              <w:ind w:left="107"/>
              <w:rPr>
                <w:sz w:val="24"/>
              </w:rPr>
            </w:pPr>
            <w:r>
              <w:rPr>
                <w:spacing w:val="-1"/>
                <w:sz w:val="24"/>
              </w:rPr>
              <w:t>备查。否则按无效标处理。</w:t>
            </w:r>
          </w:p>
        </w:tc>
      </w:tr>
      <w:tr>
        <w:tblPrEx>
          <w:tblW w:w="0" w:type="auto"/>
          <w:jc w:val="left"/>
          <w:tblInd w:w="120" w:type="dxa"/>
          <w:tblLayout w:type="fixed"/>
          <w:tblCellMar>
            <w:top w:w="0" w:type="dxa"/>
            <w:left w:w="0" w:type="dxa"/>
            <w:bottom w:w="0" w:type="dxa"/>
            <w:right w:w="0" w:type="dxa"/>
          </w:tblCellMar>
          <w:tblLook w:val="01E0"/>
        </w:tblPrEx>
        <w:trPr>
          <w:trHeight w:val="840"/>
          <w:jc w:val="left"/>
        </w:trPr>
        <w:tc>
          <w:tcPr>
            <w:tcW w:w="900" w:type="dxa"/>
          </w:tcPr>
          <w:p>
            <w:pPr>
              <w:pStyle w:val="TableParagraph"/>
              <w:spacing w:before="11"/>
              <w:rPr>
                <w:sz w:val="23"/>
              </w:rPr>
            </w:pPr>
          </w:p>
          <w:p>
            <w:pPr>
              <w:pStyle w:val="TableParagraph"/>
              <w:ind w:right="379"/>
              <w:jc w:val="right"/>
              <w:rPr>
                <w:sz w:val="24"/>
              </w:rPr>
            </w:pPr>
            <w:r>
              <w:rPr>
                <w:sz w:val="24"/>
              </w:rPr>
              <w:t>3</w:t>
            </w:r>
          </w:p>
        </w:tc>
        <w:tc>
          <w:tcPr>
            <w:tcW w:w="1080" w:type="dxa"/>
          </w:tcPr>
          <w:p>
            <w:pPr>
              <w:pStyle w:val="TableParagraph"/>
              <w:spacing w:before="11"/>
              <w:rPr>
                <w:sz w:val="23"/>
              </w:rPr>
            </w:pPr>
          </w:p>
          <w:p>
            <w:pPr>
              <w:pStyle w:val="TableParagraph"/>
              <w:ind w:left="288" w:right="278"/>
              <w:jc w:val="center"/>
              <w:rPr>
                <w:sz w:val="24"/>
              </w:rPr>
            </w:pPr>
            <w:r>
              <w:rPr>
                <w:spacing w:val="-4"/>
                <w:sz w:val="24"/>
              </w:rPr>
              <w:t>11.1</w:t>
            </w:r>
          </w:p>
        </w:tc>
        <w:tc>
          <w:tcPr>
            <w:tcW w:w="7560" w:type="dxa"/>
          </w:tcPr>
          <w:p>
            <w:pPr>
              <w:pStyle w:val="TableParagraph"/>
              <w:spacing w:line="420" w:lineRule="exact"/>
              <w:ind w:left="108" w:right="2641"/>
              <w:rPr>
                <w:sz w:val="24"/>
              </w:rPr>
            </w:pPr>
            <w:r>
              <w:rPr>
                <w:sz w:val="24"/>
              </w:rPr>
              <w:t>投标有效期：投标截止期结束后</w:t>
            </w:r>
            <w:r>
              <w:rPr>
                <w:spacing w:val="-20"/>
                <w:sz w:val="24"/>
                <w:u w:val="single"/>
              </w:rPr>
              <w:t xml:space="preserve"> </w:t>
            </w:r>
            <w:r>
              <w:rPr>
                <w:sz w:val="24"/>
                <w:u w:val="single"/>
              </w:rPr>
              <w:t>90</w:t>
            </w:r>
            <w:r>
              <w:rPr>
                <w:spacing w:val="-20"/>
                <w:sz w:val="24"/>
                <w:u w:val="single"/>
              </w:rPr>
              <w:t xml:space="preserve"> </w:t>
            </w:r>
            <w:r>
              <w:rPr>
                <w:sz w:val="24"/>
              </w:rPr>
              <w:t>日历日。</w:t>
            </w:r>
            <w:r>
              <w:rPr>
                <w:spacing w:val="-2"/>
                <w:sz w:val="24"/>
              </w:rPr>
              <w:t>有效期不足将导致其投标文件被拒绝。</w:t>
            </w:r>
          </w:p>
        </w:tc>
      </w:tr>
      <w:tr>
        <w:tblPrEx>
          <w:tblW w:w="0" w:type="auto"/>
          <w:jc w:val="left"/>
          <w:tblInd w:w="120" w:type="dxa"/>
          <w:tblLayout w:type="fixed"/>
          <w:tblCellMar>
            <w:top w:w="0" w:type="dxa"/>
            <w:left w:w="0" w:type="dxa"/>
            <w:bottom w:w="0" w:type="dxa"/>
            <w:right w:w="0" w:type="dxa"/>
          </w:tblCellMar>
          <w:tblLook w:val="01E0"/>
        </w:tblPrEx>
        <w:trPr>
          <w:trHeight w:val="1140"/>
          <w:jc w:val="left"/>
        </w:trPr>
        <w:tc>
          <w:tcPr>
            <w:tcW w:w="900" w:type="dxa"/>
          </w:tcPr>
          <w:p>
            <w:pPr>
              <w:pStyle w:val="TableParagraph"/>
              <w:spacing w:before="7"/>
              <w:rPr>
                <w:sz w:val="35"/>
              </w:rPr>
            </w:pPr>
          </w:p>
          <w:p>
            <w:pPr>
              <w:pStyle w:val="TableParagraph"/>
              <w:ind w:right="379"/>
              <w:jc w:val="right"/>
              <w:rPr>
                <w:sz w:val="24"/>
              </w:rPr>
            </w:pPr>
            <w:r>
              <w:rPr>
                <w:sz w:val="24"/>
              </w:rPr>
              <w:t>4</w:t>
            </w:r>
          </w:p>
        </w:tc>
        <w:tc>
          <w:tcPr>
            <w:tcW w:w="1080" w:type="dxa"/>
          </w:tcPr>
          <w:p>
            <w:pPr>
              <w:pStyle w:val="TableParagraph"/>
              <w:rPr>
                <w:rFonts w:ascii="Times New Roman"/>
                <w:sz w:val="22"/>
              </w:rPr>
            </w:pPr>
          </w:p>
        </w:tc>
        <w:tc>
          <w:tcPr>
            <w:tcW w:w="7560" w:type="dxa"/>
          </w:tcPr>
          <w:p>
            <w:pPr>
              <w:pStyle w:val="TableParagraph"/>
              <w:spacing w:before="48"/>
              <w:ind w:left="108"/>
              <w:rPr>
                <w:sz w:val="24"/>
              </w:rPr>
            </w:pPr>
            <w:r>
              <w:rPr>
                <w:spacing w:val="-1"/>
                <w:sz w:val="24"/>
              </w:rPr>
              <w:t>投标文件递交地址：福建省新卫招标代理有限公司开标大厅</w:t>
            </w:r>
          </w:p>
          <w:p>
            <w:pPr>
              <w:pStyle w:val="TableParagraph"/>
              <w:spacing w:before="52"/>
              <w:ind w:left="108"/>
              <w:rPr>
                <w:sz w:val="24"/>
              </w:rPr>
            </w:pPr>
            <w:r>
              <w:rPr>
                <w:sz w:val="24"/>
              </w:rPr>
              <w:t>（接收时间：投标截止时间前</w:t>
            </w:r>
            <w:r>
              <w:rPr>
                <w:spacing w:val="-10"/>
                <w:sz w:val="24"/>
              </w:rPr>
              <w:t>）</w:t>
            </w:r>
          </w:p>
          <w:p>
            <w:pPr>
              <w:pStyle w:val="TableParagraph"/>
              <w:spacing w:before="101" w:line="304" w:lineRule="exact"/>
              <w:ind w:left="108"/>
              <w:rPr>
                <w:sz w:val="24"/>
              </w:rPr>
            </w:pPr>
            <w:r>
              <w:rPr>
                <w:sz w:val="24"/>
              </w:rPr>
              <w:t>投标截止时间：</w:t>
            </w:r>
            <w:r>
              <w:rPr>
                <w:sz w:val="24"/>
                <w:u w:val="single"/>
              </w:rPr>
              <w:t>2014</w:t>
            </w:r>
            <w:r>
              <w:rPr>
                <w:spacing w:val="-40"/>
                <w:sz w:val="24"/>
              </w:rPr>
              <w:t xml:space="preserve"> 年 </w:t>
            </w:r>
            <w:r>
              <w:rPr>
                <w:sz w:val="24"/>
                <w:u w:val="single"/>
              </w:rPr>
              <w:t>8</w:t>
            </w:r>
            <w:r>
              <w:rPr>
                <w:spacing w:val="-30"/>
                <w:sz w:val="24"/>
              </w:rPr>
              <w:t xml:space="preserve"> 月</w:t>
            </w:r>
            <w:r>
              <w:rPr>
                <w:sz w:val="24"/>
                <w:u w:val="single"/>
              </w:rPr>
              <w:t xml:space="preserve"> 13 </w:t>
            </w:r>
            <w:r>
              <w:rPr>
                <w:spacing w:val="-30"/>
                <w:sz w:val="24"/>
              </w:rPr>
              <w:t xml:space="preserve">日 </w:t>
            </w:r>
            <w:r>
              <w:rPr>
                <w:sz w:val="24"/>
                <w:u w:val="single"/>
              </w:rPr>
              <w:t>15∶00∶00</w:t>
            </w:r>
            <w:r>
              <w:rPr>
                <w:sz w:val="24"/>
              </w:rPr>
              <w:t>（北京时间</w:t>
            </w:r>
            <w:r>
              <w:rPr>
                <w:spacing w:val="-120"/>
                <w:sz w:val="24"/>
              </w:rPr>
              <w:t>）</w:t>
            </w:r>
            <w:r>
              <w:rPr>
                <w:spacing w:val="-10"/>
                <w:sz w:val="24"/>
              </w:rPr>
              <w:t>。</w:t>
            </w:r>
          </w:p>
        </w:tc>
      </w:tr>
      <w:tr>
        <w:tblPrEx>
          <w:tblW w:w="0" w:type="auto"/>
          <w:jc w:val="left"/>
          <w:tblInd w:w="120" w:type="dxa"/>
          <w:tblLayout w:type="fixed"/>
          <w:tblCellMar>
            <w:top w:w="0" w:type="dxa"/>
            <w:left w:w="0" w:type="dxa"/>
            <w:bottom w:w="0" w:type="dxa"/>
            <w:right w:w="0" w:type="dxa"/>
          </w:tblCellMar>
          <w:tblLook w:val="01E0"/>
        </w:tblPrEx>
        <w:trPr>
          <w:trHeight w:val="408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4"/>
              <w:rPr>
                <w:sz w:val="30"/>
              </w:rPr>
            </w:pPr>
          </w:p>
          <w:p>
            <w:pPr>
              <w:pStyle w:val="TableParagraph"/>
              <w:ind w:right="379"/>
              <w:jc w:val="right"/>
              <w:rPr>
                <w:sz w:val="24"/>
              </w:rPr>
            </w:pPr>
            <w:r>
              <w:rPr>
                <w:sz w:val="24"/>
              </w:rPr>
              <w:t>5</w:t>
            </w:r>
          </w:p>
        </w:tc>
        <w:tc>
          <w:tcPr>
            <w:tcW w:w="108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4"/>
              <w:rPr>
                <w:sz w:val="30"/>
              </w:rPr>
            </w:pPr>
          </w:p>
          <w:p>
            <w:pPr>
              <w:pStyle w:val="TableParagraph"/>
              <w:ind w:left="288" w:right="278"/>
              <w:jc w:val="center"/>
              <w:rPr>
                <w:sz w:val="24"/>
              </w:rPr>
            </w:pPr>
            <w:r>
              <w:rPr>
                <w:spacing w:val="-5"/>
                <w:sz w:val="24"/>
              </w:rPr>
              <w:t>12</w:t>
            </w:r>
          </w:p>
        </w:tc>
        <w:tc>
          <w:tcPr>
            <w:tcW w:w="7560" w:type="dxa"/>
          </w:tcPr>
          <w:p>
            <w:pPr>
              <w:pStyle w:val="TableParagraph"/>
              <w:spacing w:before="96"/>
              <w:ind w:left="108"/>
              <w:rPr>
                <w:sz w:val="24"/>
              </w:rPr>
            </w:pPr>
            <w:r>
              <w:rPr>
                <w:sz w:val="24"/>
              </w:rPr>
              <w:t>预算金额（最高限制价）:</w:t>
            </w:r>
            <w:r>
              <w:rPr>
                <w:spacing w:val="-15"/>
                <w:sz w:val="24"/>
              </w:rPr>
              <w:t xml:space="preserve">人民币 </w:t>
            </w:r>
            <w:r>
              <w:rPr>
                <w:sz w:val="24"/>
              </w:rPr>
              <w:t>120</w:t>
            </w:r>
            <w:r>
              <w:rPr>
                <w:spacing w:val="-10"/>
                <w:sz w:val="24"/>
              </w:rPr>
              <w:t xml:space="preserve"> 万元/每年。</w:t>
            </w:r>
          </w:p>
          <w:p>
            <w:pPr>
              <w:pStyle w:val="TableParagraph"/>
              <w:spacing w:before="64" w:line="280" w:lineRule="auto"/>
              <w:ind w:left="108" w:right="96"/>
              <w:rPr>
                <w:sz w:val="24"/>
              </w:rPr>
            </w:pPr>
            <w:r>
              <w:rPr>
                <w:spacing w:val="-2"/>
                <w:sz w:val="24"/>
              </w:rPr>
              <w:t>投标保证金（投标人应以投标人名称用转帐或电汇形式提交投标保证</w:t>
            </w:r>
            <w:r>
              <w:rPr>
                <w:spacing w:val="-2"/>
                <w:sz w:val="24"/>
              </w:rPr>
              <w:t>金）：人民币36000元。</w:t>
            </w:r>
          </w:p>
          <w:p>
            <w:pPr>
              <w:pStyle w:val="TableParagraph"/>
              <w:spacing w:before="49" w:line="328" w:lineRule="auto"/>
              <w:ind w:left="107" w:right="97" w:firstLine="480"/>
              <w:jc w:val="both"/>
              <w:rPr>
                <w:sz w:val="24"/>
              </w:rPr>
            </w:pPr>
            <w:r>
              <w:rPr>
                <w:spacing w:val="-2"/>
                <w:sz w:val="24"/>
              </w:rPr>
              <w:t>投标保证金（不接受现金、现金存款、支票或汇票</w:t>
            </w:r>
            <w:r>
              <w:rPr>
                <w:spacing w:val="-120"/>
                <w:sz w:val="24"/>
              </w:rPr>
              <w:t>）</w:t>
            </w:r>
            <w:r>
              <w:rPr>
                <w:spacing w:val="-2"/>
                <w:sz w:val="24"/>
              </w:rPr>
              <w:t>，并于投标截</w:t>
            </w:r>
            <w:r>
              <w:rPr>
                <w:spacing w:val="-8"/>
                <w:sz w:val="24"/>
              </w:rPr>
              <w:t xml:space="preserve">止时间前 </w:t>
            </w:r>
            <w:r>
              <w:rPr>
                <w:spacing w:val="-2"/>
                <w:sz w:val="24"/>
              </w:rPr>
              <w:t>24</w:t>
            </w:r>
            <w:r>
              <w:rPr>
                <w:spacing w:val="-7"/>
                <w:sz w:val="24"/>
              </w:rPr>
              <w:t xml:space="preserve"> 小时到达规定的投标保证金专用的账户上，投标保证金转</w:t>
            </w:r>
            <w:r>
              <w:rPr>
                <w:spacing w:val="-7"/>
                <w:sz w:val="24"/>
              </w:rPr>
              <w:t>账单或电汇单上必须注明所投标的招标编号，并在投标文件中附上复印</w:t>
            </w:r>
            <w:r>
              <w:rPr>
                <w:spacing w:val="-7"/>
                <w:sz w:val="24"/>
              </w:rPr>
              <w:t>清晰的投标保证金转账单或电汇底单复印件。本招标公司将以福建省新</w:t>
            </w:r>
            <w:r>
              <w:rPr>
                <w:spacing w:val="-6"/>
                <w:sz w:val="24"/>
              </w:rPr>
              <w:t>卫招标代理有限公司开户银行提供的投标保证金到账凭证为据。</w:t>
            </w:r>
            <w:r>
              <w:rPr>
                <w:color w:val="000000"/>
                <w:spacing w:val="-2"/>
                <w:sz w:val="24"/>
                <w:shd w:val="clear" w:color="auto" w:fill="E5E5E5"/>
              </w:rPr>
              <w:t>若评标</w:t>
            </w:r>
            <w:r>
              <w:rPr>
                <w:color w:val="000000"/>
                <w:spacing w:val="40"/>
                <w:sz w:val="24"/>
                <w:shd w:val="clear" w:color="auto" w:fill="E5E5E5"/>
              </w:rPr>
              <w:t xml:space="preserve"> </w:t>
            </w:r>
            <w:r>
              <w:rPr>
                <w:color w:val="000000"/>
                <w:spacing w:val="-5"/>
                <w:sz w:val="24"/>
                <w:shd w:val="clear" w:color="auto" w:fill="E5E5E5"/>
              </w:rPr>
              <w:t>时本招标代理公司经核实后发现投标保证金未在规定时间内到帐者，视</w:t>
            </w:r>
          </w:p>
          <w:p>
            <w:pPr>
              <w:pStyle w:val="TableParagraph"/>
              <w:spacing w:line="296" w:lineRule="exact"/>
              <w:ind w:left="107"/>
              <w:rPr>
                <w:sz w:val="24"/>
              </w:rPr>
            </w:pPr>
            <w:r>
              <w:rPr>
                <w:color w:val="000000"/>
                <w:spacing w:val="-1"/>
                <w:sz w:val="24"/>
                <w:shd w:val="clear" w:color="auto" w:fill="E5E5E5"/>
              </w:rPr>
              <w:t>为未提供投标保证金，其投标无效。</w:t>
            </w:r>
          </w:p>
        </w:tc>
      </w:tr>
      <w:tr>
        <w:tblPrEx>
          <w:tblW w:w="0" w:type="auto"/>
          <w:jc w:val="left"/>
          <w:tblInd w:w="120" w:type="dxa"/>
          <w:tblLayout w:type="fixed"/>
          <w:tblCellMar>
            <w:top w:w="0" w:type="dxa"/>
            <w:left w:w="0" w:type="dxa"/>
            <w:bottom w:w="0" w:type="dxa"/>
            <w:right w:w="0" w:type="dxa"/>
          </w:tblCellMar>
          <w:tblLook w:val="01E0"/>
        </w:tblPrEx>
        <w:trPr>
          <w:trHeight w:val="4769"/>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2"/>
              <w:rPr>
                <w:sz w:val="33"/>
              </w:rPr>
            </w:pPr>
          </w:p>
          <w:p>
            <w:pPr>
              <w:pStyle w:val="TableParagraph"/>
              <w:ind w:right="379"/>
              <w:jc w:val="right"/>
              <w:rPr>
                <w:sz w:val="24"/>
              </w:rPr>
            </w:pPr>
            <w:r>
              <w:rPr>
                <w:sz w:val="24"/>
              </w:rPr>
              <w:t>6</w:t>
            </w:r>
          </w:p>
        </w:tc>
        <w:tc>
          <w:tcPr>
            <w:tcW w:w="1080" w:type="dxa"/>
          </w:tcPr>
          <w:p>
            <w:pPr>
              <w:pStyle w:val="TableParagraph"/>
              <w:rPr>
                <w:rFonts w:ascii="Times New Roman"/>
                <w:sz w:val="22"/>
              </w:rPr>
            </w:pPr>
          </w:p>
        </w:tc>
        <w:tc>
          <w:tcPr>
            <w:tcW w:w="7560" w:type="dxa"/>
          </w:tcPr>
          <w:p>
            <w:pPr>
              <w:pStyle w:val="TableParagraph"/>
              <w:spacing w:before="80"/>
              <w:ind w:left="108"/>
              <w:rPr>
                <w:rFonts w:ascii="Microsoft JhengHei" w:eastAsia="Microsoft JhengHei"/>
                <w:b/>
                <w:sz w:val="24"/>
              </w:rPr>
            </w:pPr>
            <w:r>
              <w:rPr>
                <w:rFonts w:ascii="Microsoft JhengHei" w:eastAsia="Microsoft JhengHei"/>
                <w:b/>
                <w:spacing w:val="-2"/>
                <w:sz w:val="24"/>
              </w:rPr>
              <w:t>现场勘察：</w:t>
            </w:r>
          </w:p>
          <w:p>
            <w:pPr>
              <w:pStyle w:val="TableParagraph"/>
              <w:spacing w:before="90"/>
              <w:ind w:left="108"/>
              <w:rPr>
                <w:sz w:val="24"/>
              </w:rPr>
            </w:pPr>
            <w:r>
              <w:rPr>
                <w:spacing w:val="-1"/>
                <w:sz w:val="24"/>
              </w:rPr>
              <w:t>本次招标，采购人不统一组织勘察现场。</w:t>
            </w:r>
          </w:p>
          <w:p>
            <w:pPr>
              <w:pStyle w:val="TableParagraph"/>
              <w:spacing w:before="133" w:line="343" w:lineRule="auto"/>
              <w:ind w:left="107" w:right="97" w:firstLine="480"/>
              <w:rPr>
                <w:sz w:val="24"/>
              </w:rPr>
            </w:pPr>
            <w:r>
              <w:rPr>
                <w:spacing w:val="-12"/>
                <w:sz w:val="24"/>
              </w:rPr>
              <w:t>在投标截止时间前，各潜在投标人可事先与采购人联系现场勘察事</w:t>
            </w:r>
            <w:r>
              <w:rPr>
                <w:spacing w:val="-6"/>
                <w:sz w:val="24"/>
              </w:rPr>
              <w:t>宜。</w:t>
            </w:r>
          </w:p>
          <w:p>
            <w:pPr>
              <w:pStyle w:val="TableParagraph"/>
              <w:ind w:left="587"/>
              <w:rPr>
                <w:sz w:val="24"/>
              </w:rPr>
            </w:pPr>
            <w:r>
              <w:rPr>
                <w:spacing w:val="-5"/>
                <w:sz w:val="24"/>
              </w:rPr>
              <w:t>潜在投标人进行现场勘察时应随带的资料：购买招标文件发票、单</w:t>
            </w:r>
          </w:p>
          <w:p>
            <w:pPr>
              <w:pStyle w:val="TableParagraph"/>
              <w:spacing w:before="133" w:line="259" w:lineRule="auto"/>
              <w:ind w:left="108" w:right="5641"/>
              <w:rPr>
                <w:sz w:val="24"/>
              </w:rPr>
            </w:pPr>
            <w:r>
              <w:rPr>
                <w:spacing w:val="-2"/>
                <w:sz w:val="24"/>
              </w:rPr>
              <w:t>位介绍信原件。</w:t>
            </w:r>
            <w:r>
              <w:rPr>
                <w:spacing w:val="-2"/>
                <w:sz w:val="24"/>
              </w:rPr>
              <w:t>联系人： 王女士</w:t>
            </w:r>
          </w:p>
          <w:p>
            <w:pPr>
              <w:pStyle w:val="TableParagraph"/>
              <w:spacing w:before="72"/>
              <w:ind w:left="108"/>
              <w:rPr>
                <w:sz w:val="24"/>
              </w:rPr>
            </w:pPr>
            <w:r>
              <w:rPr>
                <w:spacing w:val="-2"/>
                <w:sz w:val="24"/>
              </w:rPr>
              <w:t>联系电话：</w:t>
            </w:r>
          </w:p>
          <w:p>
            <w:pPr>
              <w:pStyle w:val="TableParagraph"/>
              <w:spacing w:before="73" w:line="420" w:lineRule="atLeast"/>
              <w:ind w:left="107" w:right="97" w:firstLine="480"/>
              <w:jc w:val="both"/>
              <w:rPr>
                <w:sz w:val="24"/>
              </w:rPr>
            </w:pPr>
            <w:r>
              <w:rPr>
                <w:spacing w:val="-4"/>
                <w:sz w:val="24"/>
              </w:rPr>
              <w:t>说明：已经勘察过现场的潜在投标人，对招标文件有疑问、需要招</w:t>
            </w:r>
            <w:r>
              <w:rPr>
                <w:spacing w:val="-7"/>
                <w:sz w:val="24"/>
              </w:rPr>
              <w:t xml:space="preserve">标代理公司或采购人进行答疑的，均应在投标截止时间 </w:t>
            </w:r>
            <w:r>
              <w:rPr>
                <w:spacing w:val="-6"/>
                <w:sz w:val="24"/>
              </w:rPr>
              <w:t>5</w:t>
            </w:r>
            <w:r>
              <w:rPr>
                <w:spacing w:val="-10"/>
                <w:sz w:val="24"/>
              </w:rPr>
              <w:t xml:space="preserve"> 天前提出，招</w:t>
            </w:r>
            <w:r>
              <w:rPr>
                <w:spacing w:val="-2"/>
                <w:sz w:val="24"/>
              </w:rPr>
              <w:t>标代理公司将进行统一的答疑。</w:t>
            </w:r>
          </w:p>
        </w:tc>
      </w:tr>
    </w:tbl>
    <w:p>
      <w:pPr>
        <w:spacing w:after="0" w:line="420" w:lineRule="atLeast"/>
        <w:jc w:val="both"/>
        <w:rPr>
          <w:sz w:val="24"/>
        </w:rPr>
        <w:sectPr>
          <w:headerReference w:type="default" r:id="rId15"/>
          <w:footerReference w:type="default" r:id="rId16"/>
          <w:pgSz w:w="11910" w:h="16840"/>
          <w:pgMar w:top="1240" w:right="320" w:bottom="1180" w:left="1100" w:header="884" w:footer="991"/>
          <w:pgNumType w:start="3"/>
          <w:cols w:space="708"/>
        </w:sectPr>
      </w:pPr>
    </w:p>
    <w:p>
      <w:pPr>
        <w:pStyle w:val="BodyText"/>
        <w:spacing w:before="8" w:after="1"/>
        <w:rPr>
          <w:sz w:val="8"/>
        </w:rPr>
      </w:pPr>
    </w:p>
    <w:tbl>
      <w:tblPr>
        <w:tblStyle w:val="TableNormal3"/>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1080"/>
        <w:gridCol w:w="7560"/>
      </w:tblGrid>
      <w:tr>
        <w:tblPrEx>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42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spacing w:before="173"/>
              <w:ind w:right="379"/>
              <w:jc w:val="right"/>
              <w:rPr>
                <w:sz w:val="24"/>
              </w:rPr>
            </w:pPr>
            <w:r>
              <w:rPr>
                <w:sz w:val="24"/>
              </w:rPr>
              <w:t>7</w:t>
            </w:r>
          </w:p>
        </w:tc>
        <w:tc>
          <w:tcPr>
            <w:tcW w:w="1080" w:type="dxa"/>
          </w:tcPr>
          <w:p>
            <w:pPr>
              <w:pStyle w:val="TableParagraph"/>
              <w:rPr>
                <w:rFonts w:ascii="Times New Roman"/>
                <w:sz w:val="22"/>
              </w:rPr>
            </w:pPr>
          </w:p>
        </w:tc>
        <w:tc>
          <w:tcPr>
            <w:tcW w:w="7560" w:type="dxa"/>
          </w:tcPr>
          <w:p>
            <w:pPr>
              <w:pStyle w:val="TableParagraph"/>
              <w:spacing w:before="80"/>
              <w:ind w:left="108"/>
              <w:rPr>
                <w:rFonts w:ascii="Microsoft JhengHei" w:eastAsia="Microsoft JhengHei"/>
                <w:b/>
                <w:sz w:val="24"/>
              </w:rPr>
            </w:pPr>
            <w:r>
              <w:rPr>
                <w:rFonts w:ascii="Microsoft JhengHei" w:eastAsia="Microsoft JhengHei"/>
                <w:b/>
                <w:spacing w:val="-2"/>
                <w:sz w:val="24"/>
              </w:rPr>
              <w:t>付款方式：</w:t>
            </w:r>
          </w:p>
          <w:p>
            <w:pPr>
              <w:pStyle w:val="TableParagraph"/>
              <w:spacing w:before="138" w:line="391" w:lineRule="auto"/>
              <w:ind w:left="107" w:right="97" w:firstLine="480"/>
              <w:rPr>
                <w:sz w:val="24"/>
              </w:rPr>
            </w:pPr>
            <w:r>
              <w:rPr>
                <w:spacing w:val="-4"/>
                <w:sz w:val="24"/>
              </w:rPr>
              <w:t xml:space="preserve">在合同期内，招标人将在每月的 </w:t>
            </w:r>
            <w:r>
              <w:rPr>
                <w:sz w:val="24"/>
              </w:rPr>
              <w:t>10</w:t>
            </w:r>
            <w:r>
              <w:rPr>
                <w:spacing w:val="-8"/>
                <w:sz w:val="24"/>
              </w:rPr>
              <w:t xml:space="preserve"> 日前，经考核，将上个月应转</w:t>
            </w:r>
            <w:r>
              <w:rPr>
                <w:spacing w:val="-2"/>
                <w:sz w:val="24"/>
              </w:rPr>
              <w:t>与中标人的应付款项汇到中标人法定的银行账户。</w:t>
            </w:r>
          </w:p>
          <w:p>
            <w:pPr>
              <w:pStyle w:val="TableParagraph"/>
              <w:spacing w:line="273" w:lineRule="exact"/>
              <w:ind w:left="587"/>
              <w:rPr>
                <w:sz w:val="24"/>
              </w:rPr>
            </w:pPr>
            <w:r>
              <w:rPr>
                <w:spacing w:val="-5"/>
                <w:sz w:val="24"/>
              </w:rPr>
              <w:t>招标人将在合同执行期内制定详细的服务质量考核标准，每个月将</w:t>
            </w:r>
          </w:p>
          <w:p>
            <w:pPr>
              <w:pStyle w:val="TableParagraph"/>
              <w:spacing w:before="153"/>
              <w:ind w:left="107"/>
              <w:rPr>
                <w:sz w:val="24"/>
              </w:rPr>
            </w:pPr>
            <w:r>
              <w:rPr>
                <w:spacing w:val="-1"/>
                <w:sz w:val="24"/>
              </w:rPr>
              <w:t>根据考核得分情况，进行相应的奖励和处罚。</w:t>
            </w:r>
          </w:p>
        </w:tc>
      </w:tr>
      <w:tr>
        <w:tblPrEx>
          <w:tblW w:w="0" w:type="auto"/>
          <w:jc w:val="left"/>
          <w:tblInd w:w="120" w:type="dxa"/>
          <w:tblLayout w:type="fixed"/>
          <w:tblCellMar>
            <w:top w:w="0" w:type="dxa"/>
            <w:left w:w="0" w:type="dxa"/>
            <w:bottom w:w="0" w:type="dxa"/>
            <w:right w:w="0" w:type="dxa"/>
          </w:tblCellMar>
          <w:tblLook w:val="01E0"/>
        </w:tblPrEx>
        <w:trPr>
          <w:trHeight w:val="2000"/>
          <w:jc w:val="left"/>
        </w:trPr>
        <w:tc>
          <w:tcPr>
            <w:tcW w:w="900" w:type="dxa"/>
          </w:tcPr>
          <w:p>
            <w:pPr>
              <w:pStyle w:val="TableParagraph"/>
              <w:rPr>
                <w:sz w:val="24"/>
              </w:rPr>
            </w:pPr>
          </w:p>
          <w:p>
            <w:pPr>
              <w:pStyle w:val="TableParagraph"/>
              <w:rPr>
                <w:sz w:val="24"/>
              </w:rPr>
            </w:pPr>
          </w:p>
          <w:p>
            <w:pPr>
              <w:pStyle w:val="TableParagraph"/>
              <w:spacing w:before="1"/>
              <w:rPr>
                <w:sz w:val="21"/>
              </w:rPr>
            </w:pPr>
          </w:p>
          <w:p>
            <w:pPr>
              <w:pStyle w:val="TableParagraph"/>
              <w:spacing w:before="1"/>
              <w:ind w:right="379"/>
              <w:jc w:val="right"/>
              <w:rPr>
                <w:sz w:val="24"/>
              </w:rPr>
            </w:pPr>
            <w:r>
              <w:rPr>
                <w:sz w:val="24"/>
              </w:rPr>
              <w:t>8</w:t>
            </w:r>
          </w:p>
        </w:tc>
        <w:tc>
          <w:tcPr>
            <w:tcW w:w="1080" w:type="dxa"/>
          </w:tcPr>
          <w:p>
            <w:pPr>
              <w:pStyle w:val="TableParagraph"/>
              <w:rPr>
                <w:rFonts w:ascii="Times New Roman"/>
                <w:sz w:val="22"/>
              </w:rPr>
            </w:pPr>
          </w:p>
        </w:tc>
        <w:tc>
          <w:tcPr>
            <w:tcW w:w="7560" w:type="dxa"/>
          </w:tcPr>
          <w:p>
            <w:pPr>
              <w:pStyle w:val="TableParagraph"/>
              <w:spacing w:before="2" w:line="500" w:lineRule="atLeast"/>
              <w:ind w:left="107" w:right="96" w:firstLine="240"/>
              <w:jc w:val="both"/>
              <w:rPr>
                <w:rFonts w:ascii="Microsoft JhengHei" w:eastAsia="Microsoft JhengHei"/>
                <w:b/>
                <w:sz w:val="24"/>
              </w:rPr>
            </w:pPr>
            <w:r>
              <w:rPr>
                <w:rFonts w:ascii="Microsoft JhengHei" w:eastAsia="Microsoft JhengHei"/>
                <w:b/>
                <w:color w:val="000000"/>
                <w:spacing w:val="-2"/>
                <w:sz w:val="24"/>
                <w:shd w:val="clear" w:color="auto" w:fill="E5E5E5"/>
              </w:rPr>
              <w:t>本项目分两阶段评标，先评商务与服务部分，再评报价部分。投标</w:t>
            </w:r>
            <w:r>
              <w:rPr>
                <w:rFonts w:ascii="Microsoft JhengHei" w:eastAsia="Microsoft JhengHei"/>
                <w:b/>
                <w:color w:val="000000"/>
                <w:spacing w:val="40"/>
                <w:sz w:val="24"/>
                <w:shd w:val="clear" w:color="auto" w:fill="E5E5E5"/>
              </w:rPr>
              <w:t xml:space="preserve"> </w:t>
            </w:r>
            <w:r>
              <w:rPr>
                <w:rFonts w:ascii="Microsoft JhengHei" w:eastAsia="Microsoft JhengHei"/>
                <w:b/>
                <w:color w:val="000000"/>
                <w:sz w:val="24"/>
                <w:shd w:val="clear" w:color="auto" w:fill="E5E5E5"/>
              </w:rPr>
              <w:t>文件分为商务与服务部分、报价部分（具体内容见本章</w:t>
            </w:r>
            <w:r>
              <w:rPr>
                <w:rFonts w:ascii="Microsoft JhengHei" w:eastAsia="Microsoft JhengHei"/>
                <w:b/>
                <w:color w:val="000000"/>
                <w:spacing w:val="-15"/>
                <w:sz w:val="24"/>
              </w:rPr>
              <w:t xml:space="preserve"> </w:t>
            </w:r>
            <w:r>
              <w:rPr>
                <w:rFonts w:ascii="Microsoft JhengHei" w:eastAsia="Microsoft JhengHei"/>
                <w:b/>
                <w:color w:val="000000"/>
                <w:sz w:val="24"/>
                <w:shd w:val="clear" w:color="auto" w:fill="E5E5E5"/>
              </w:rPr>
              <w:t>10</w:t>
            </w:r>
            <w:r>
              <w:rPr>
                <w:rFonts w:ascii="Microsoft JhengHei" w:eastAsia="Microsoft JhengHei"/>
                <w:b/>
                <w:color w:val="000000"/>
                <w:spacing w:val="-15"/>
                <w:sz w:val="24"/>
              </w:rPr>
              <w:t xml:space="preserve"> </w:t>
            </w:r>
            <w:r>
              <w:rPr>
                <w:rFonts w:ascii="Microsoft JhengHei" w:eastAsia="Microsoft JhengHei"/>
                <w:b/>
                <w:color w:val="000000"/>
                <w:sz w:val="24"/>
                <w:shd w:val="clear" w:color="auto" w:fill="E5E5E5"/>
              </w:rPr>
              <w:t>投标文件的</w:t>
            </w:r>
            <w:r>
              <w:rPr>
                <w:rFonts w:ascii="Microsoft JhengHei" w:eastAsia="Microsoft JhengHei"/>
                <w:b/>
                <w:color w:val="000000"/>
                <w:spacing w:val="-2"/>
                <w:sz w:val="24"/>
                <w:shd w:val="clear" w:color="auto" w:fill="E5E5E5"/>
              </w:rPr>
              <w:t>组成</w:t>
            </w:r>
            <w:r>
              <w:rPr>
                <w:rFonts w:ascii="Microsoft JhengHei" w:eastAsia="Microsoft JhengHei"/>
                <w:b/>
                <w:color w:val="000000"/>
                <w:spacing w:val="-120"/>
                <w:sz w:val="24"/>
                <w:shd w:val="clear" w:color="auto" w:fill="E5E5E5"/>
              </w:rPr>
              <w:t>）</w:t>
            </w:r>
            <w:r>
              <w:rPr>
                <w:rFonts w:ascii="Microsoft JhengHei" w:eastAsia="Microsoft JhengHei"/>
                <w:b/>
                <w:color w:val="000000"/>
                <w:spacing w:val="-2"/>
                <w:sz w:val="24"/>
                <w:shd w:val="clear" w:color="auto" w:fill="E5E5E5"/>
              </w:rPr>
              <w:t>，均为正本一份、副本叁份；并分别胶装（为永久性、无破坏不</w:t>
            </w:r>
            <w:r>
              <w:rPr>
                <w:rFonts w:ascii="Microsoft JhengHei" w:eastAsia="Microsoft JhengHei"/>
                <w:b/>
                <w:color w:val="000000"/>
                <w:spacing w:val="-2"/>
                <w:sz w:val="24"/>
                <w:shd w:val="clear" w:color="auto" w:fill="E5E5E5"/>
              </w:rPr>
              <w:t>可拆分）成册、分册密封提交，否则，其投标将被视为无效投标。</w:t>
            </w:r>
          </w:p>
        </w:tc>
      </w:tr>
      <w:tr>
        <w:tblPrEx>
          <w:tblW w:w="0" w:type="auto"/>
          <w:jc w:val="left"/>
          <w:tblInd w:w="120" w:type="dxa"/>
          <w:tblLayout w:type="fixed"/>
          <w:tblCellMar>
            <w:top w:w="0" w:type="dxa"/>
            <w:left w:w="0" w:type="dxa"/>
            <w:bottom w:w="0" w:type="dxa"/>
            <w:right w:w="0" w:type="dxa"/>
          </w:tblCellMar>
          <w:tblLook w:val="01E0"/>
        </w:tblPrEx>
        <w:trPr>
          <w:trHeight w:val="9368"/>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7"/>
              <w:rPr>
                <w:sz w:val="20"/>
              </w:rPr>
            </w:pPr>
          </w:p>
          <w:p>
            <w:pPr>
              <w:pStyle w:val="TableParagraph"/>
              <w:spacing w:before="1"/>
              <w:ind w:right="379"/>
              <w:jc w:val="right"/>
              <w:rPr>
                <w:sz w:val="24"/>
              </w:rPr>
            </w:pPr>
            <w:r>
              <w:rPr>
                <w:sz w:val="24"/>
              </w:rPr>
              <w:t>9</w:t>
            </w:r>
          </w:p>
        </w:tc>
        <w:tc>
          <w:tcPr>
            <w:tcW w:w="1080" w:type="dxa"/>
          </w:tcPr>
          <w:p>
            <w:pPr>
              <w:pStyle w:val="TableParagraph"/>
              <w:rPr>
                <w:rFonts w:ascii="Times New Roman"/>
                <w:sz w:val="22"/>
              </w:rPr>
            </w:pPr>
          </w:p>
        </w:tc>
        <w:tc>
          <w:tcPr>
            <w:tcW w:w="7560" w:type="dxa"/>
          </w:tcPr>
          <w:p>
            <w:pPr>
              <w:pStyle w:val="TableParagraph"/>
              <w:spacing w:before="78" w:line="432" w:lineRule="exact"/>
              <w:ind w:left="108" w:right="-29"/>
              <w:rPr>
                <w:rFonts w:ascii="Microsoft JhengHei" w:eastAsia="Microsoft JhengHei"/>
                <w:b/>
                <w:sz w:val="24"/>
              </w:rPr>
            </w:pPr>
            <w:r>
              <w:rPr>
                <w:rFonts w:ascii="Microsoft JhengHei" w:eastAsia="Microsoft JhengHei"/>
                <w:b/>
                <w:spacing w:val="-3"/>
                <w:sz w:val="24"/>
              </w:rPr>
              <w:t>凡有下列情况之一者，投标文件将被视为未实质性响应招标文件要求：</w:t>
            </w:r>
          </w:p>
          <w:p>
            <w:pPr>
              <w:pStyle w:val="TableParagraph"/>
              <w:numPr>
                <w:ilvl w:val="0"/>
                <w:numId w:val="45"/>
              </w:numPr>
              <w:tabs>
                <w:tab w:val="left" w:pos="710"/>
              </w:tabs>
              <w:spacing w:before="0" w:after="0" w:line="364" w:lineRule="auto"/>
              <w:ind w:left="708" w:right="96" w:hanging="600"/>
              <w:jc w:val="both"/>
              <w:rPr>
                <w:sz w:val="24"/>
              </w:rPr>
            </w:pPr>
            <w:r>
              <w:rPr>
                <w:spacing w:val="-2"/>
                <w:sz w:val="24"/>
              </w:rPr>
              <w:t>投标文件未按照本章规定分为报价部分和技术商务部分的；未按</w:t>
            </w:r>
            <w:r>
              <w:rPr>
                <w:spacing w:val="-2"/>
                <w:sz w:val="24"/>
              </w:rPr>
              <w:t>本章规定进行胶装、密封、标记的；技术商务部分出现报价内容</w:t>
            </w:r>
            <w:r>
              <w:rPr>
                <w:spacing w:val="-6"/>
                <w:sz w:val="24"/>
              </w:rPr>
              <w:t>的；</w:t>
            </w:r>
          </w:p>
          <w:p>
            <w:pPr>
              <w:pStyle w:val="TableParagraph"/>
              <w:numPr>
                <w:ilvl w:val="0"/>
                <w:numId w:val="45"/>
              </w:numPr>
              <w:tabs>
                <w:tab w:val="left" w:pos="710"/>
              </w:tabs>
              <w:spacing w:before="0" w:after="0" w:line="364" w:lineRule="auto"/>
              <w:ind w:left="708" w:right="96" w:hanging="600"/>
              <w:jc w:val="both"/>
              <w:rPr>
                <w:sz w:val="24"/>
              </w:rPr>
            </w:pPr>
            <w:r>
              <w:rPr>
                <w:spacing w:val="-2"/>
                <w:sz w:val="24"/>
              </w:rPr>
              <w:t>投标文件未按规定由投标人的法定代表人或其授权代表在规定的</w:t>
            </w:r>
            <w:r>
              <w:rPr>
                <w:spacing w:val="-2"/>
                <w:sz w:val="24"/>
              </w:rPr>
              <w:t>地方签字；未在规定的地方加盖投标人公章的；签字人未经法定</w:t>
            </w:r>
            <w:r>
              <w:rPr>
                <w:spacing w:val="-2"/>
                <w:sz w:val="24"/>
              </w:rPr>
              <w:t>代表人有效授权委托的；未在要求提供的资格证明文件（证件原</w:t>
            </w:r>
            <w:r>
              <w:rPr>
                <w:spacing w:val="-2"/>
                <w:sz w:val="24"/>
              </w:rPr>
              <w:t>件的复印件）上注明“与原件一致”的；</w:t>
            </w:r>
          </w:p>
          <w:p>
            <w:pPr>
              <w:pStyle w:val="TableParagraph"/>
              <w:numPr>
                <w:ilvl w:val="0"/>
                <w:numId w:val="45"/>
              </w:numPr>
              <w:tabs>
                <w:tab w:val="left" w:pos="709"/>
              </w:tabs>
              <w:spacing w:before="0" w:after="0" w:line="305" w:lineRule="exact"/>
              <w:ind w:left="709" w:right="0" w:hanging="601"/>
              <w:jc w:val="left"/>
              <w:rPr>
                <w:sz w:val="24"/>
              </w:rPr>
            </w:pPr>
            <w:r>
              <w:rPr>
                <w:spacing w:val="-1"/>
                <w:sz w:val="24"/>
              </w:rPr>
              <w:t>未按规定提交投标保证金的；未进行现场勘察的；</w:t>
            </w:r>
          </w:p>
          <w:p>
            <w:pPr>
              <w:pStyle w:val="TableParagraph"/>
              <w:numPr>
                <w:ilvl w:val="0"/>
                <w:numId w:val="45"/>
              </w:numPr>
              <w:tabs>
                <w:tab w:val="left" w:pos="709"/>
              </w:tabs>
              <w:spacing w:before="149" w:after="0" w:line="240" w:lineRule="auto"/>
              <w:ind w:left="709" w:right="0" w:hanging="601"/>
              <w:jc w:val="left"/>
              <w:rPr>
                <w:sz w:val="24"/>
              </w:rPr>
            </w:pPr>
            <w:r>
              <w:rPr>
                <w:spacing w:val="-1"/>
                <w:sz w:val="24"/>
              </w:rPr>
              <w:t>交货期、交货地点、付款方式等不满足招标文件要求的；</w:t>
            </w:r>
          </w:p>
          <w:p>
            <w:pPr>
              <w:pStyle w:val="TableParagraph"/>
              <w:numPr>
                <w:ilvl w:val="0"/>
                <w:numId w:val="45"/>
              </w:numPr>
              <w:tabs>
                <w:tab w:val="left" w:pos="710"/>
              </w:tabs>
              <w:spacing w:before="159" w:after="0" w:line="364" w:lineRule="auto"/>
              <w:ind w:left="708" w:right="96" w:hanging="600"/>
              <w:jc w:val="left"/>
              <w:rPr>
                <w:sz w:val="24"/>
              </w:rPr>
            </w:pPr>
            <w:r>
              <w:rPr>
                <w:spacing w:val="-2"/>
                <w:sz w:val="24"/>
              </w:rPr>
              <w:t>投标文件载明的货物包装方式、检验标准和方法等不符合招标文</w:t>
            </w:r>
            <w:r>
              <w:rPr>
                <w:spacing w:val="-2"/>
                <w:sz w:val="24"/>
              </w:rPr>
              <w:t>件的要求；</w:t>
            </w:r>
          </w:p>
          <w:p>
            <w:pPr>
              <w:pStyle w:val="TableParagraph"/>
              <w:numPr>
                <w:ilvl w:val="0"/>
                <w:numId w:val="45"/>
              </w:numPr>
              <w:tabs>
                <w:tab w:val="left" w:pos="710"/>
              </w:tabs>
              <w:spacing w:before="0" w:after="0" w:line="364" w:lineRule="auto"/>
              <w:ind w:left="708" w:right="96" w:hanging="600"/>
              <w:jc w:val="left"/>
              <w:rPr>
                <w:sz w:val="24"/>
              </w:rPr>
            </w:pPr>
            <w:r>
              <w:rPr>
                <w:spacing w:val="-2"/>
                <w:sz w:val="24"/>
              </w:rPr>
              <w:t>投标有效期不满足招标文件要求的；技术部分的实际得分低于技</w:t>
            </w:r>
            <w:r>
              <w:rPr>
                <w:spacing w:val="-7"/>
                <w:sz w:val="24"/>
              </w:rPr>
              <w:t xml:space="preserve">术部分总分 </w:t>
            </w:r>
            <w:r>
              <w:rPr>
                <w:rFonts w:ascii="Times New Roman" w:eastAsia="Times New Roman"/>
                <w:sz w:val="24"/>
              </w:rPr>
              <w:t>50%</w:t>
            </w:r>
            <w:r>
              <w:rPr>
                <w:sz w:val="24"/>
              </w:rPr>
              <w:t>的；</w:t>
            </w:r>
          </w:p>
          <w:p>
            <w:pPr>
              <w:pStyle w:val="TableParagraph"/>
              <w:numPr>
                <w:ilvl w:val="0"/>
                <w:numId w:val="45"/>
              </w:numPr>
              <w:tabs>
                <w:tab w:val="left" w:pos="710"/>
              </w:tabs>
              <w:spacing w:before="0" w:after="0" w:line="364" w:lineRule="auto"/>
              <w:ind w:left="708" w:right="96" w:hanging="600"/>
              <w:jc w:val="left"/>
              <w:rPr>
                <w:sz w:val="24"/>
              </w:rPr>
            </w:pPr>
            <w:r>
              <w:rPr>
                <w:spacing w:val="-2"/>
                <w:sz w:val="24"/>
              </w:rPr>
              <w:t>投标内容与招标内容及要求有重大偏离或保留的；明显不符合技</w:t>
            </w:r>
            <w:r>
              <w:rPr>
                <w:spacing w:val="-2"/>
                <w:sz w:val="24"/>
              </w:rPr>
              <w:t>术规格、技术标准的要求的；</w:t>
            </w:r>
          </w:p>
          <w:p>
            <w:pPr>
              <w:pStyle w:val="TableParagraph"/>
              <w:numPr>
                <w:ilvl w:val="0"/>
                <w:numId w:val="45"/>
              </w:numPr>
              <w:tabs>
                <w:tab w:val="left" w:pos="709"/>
              </w:tabs>
              <w:spacing w:before="0" w:after="0" w:line="306" w:lineRule="exact"/>
              <w:ind w:left="709" w:right="0" w:hanging="601"/>
              <w:jc w:val="left"/>
              <w:rPr>
                <w:sz w:val="24"/>
              </w:rPr>
            </w:pPr>
            <w:r>
              <w:rPr>
                <w:spacing w:val="-1"/>
                <w:sz w:val="24"/>
              </w:rPr>
              <w:t>投标人提交的是可选择的报价；</w:t>
            </w:r>
          </w:p>
          <w:p>
            <w:pPr>
              <w:pStyle w:val="TableParagraph"/>
              <w:numPr>
                <w:ilvl w:val="0"/>
                <w:numId w:val="45"/>
              </w:numPr>
              <w:tabs>
                <w:tab w:val="left" w:pos="710"/>
              </w:tabs>
              <w:spacing w:before="158" w:after="0" w:line="364" w:lineRule="auto"/>
              <w:ind w:left="708" w:right="96" w:hanging="600"/>
              <w:jc w:val="left"/>
              <w:rPr>
                <w:sz w:val="24"/>
              </w:rPr>
            </w:pPr>
            <w:r>
              <w:rPr>
                <w:spacing w:val="-2"/>
                <w:sz w:val="24"/>
              </w:rPr>
              <w:t>投标人未按文件规定进行报价、未对投标进行详细分项报价、报</w:t>
            </w:r>
            <w:r>
              <w:rPr>
                <w:spacing w:val="-2"/>
                <w:sz w:val="24"/>
              </w:rPr>
              <w:t>价的各组成部分不符合实际需求的；</w:t>
            </w:r>
          </w:p>
          <w:p>
            <w:pPr>
              <w:pStyle w:val="TableParagraph"/>
              <w:numPr>
                <w:ilvl w:val="0"/>
                <w:numId w:val="45"/>
              </w:numPr>
              <w:tabs>
                <w:tab w:val="left" w:pos="829"/>
              </w:tabs>
              <w:spacing w:before="0" w:after="0" w:line="306" w:lineRule="exact"/>
              <w:ind w:left="829" w:right="0" w:hanging="721"/>
              <w:jc w:val="left"/>
              <w:rPr>
                <w:sz w:val="24"/>
              </w:rPr>
            </w:pPr>
            <w:r>
              <w:rPr>
                <w:spacing w:val="-1"/>
                <w:sz w:val="24"/>
              </w:rPr>
              <w:t>一个投标人不止投一个标；</w:t>
            </w:r>
          </w:p>
        </w:tc>
      </w:tr>
    </w:tbl>
    <w:p>
      <w:pPr>
        <w:spacing w:after="0" w:line="306" w:lineRule="exact"/>
        <w:jc w:val="left"/>
        <w:rPr>
          <w:sz w:val="24"/>
        </w:rPr>
        <w:sectPr>
          <w:headerReference w:type="default" r:id="rId17"/>
          <w:footerReference w:type="default" r:id="rId18"/>
          <w:pgSz w:w="11910" w:h="16840"/>
          <w:pgMar w:top="1240" w:right="320" w:bottom="1180" w:left="1100" w:header="884" w:footer="991"/>
          <w:pgNumType w:start="4"/>
          <w:cols w:space="708"/>
        </w:sectPr>
      </w:pPr>
    </w:p>
    <w:p>
      <w:pPr>
        <w:pStyle w:val="BodyText"/>
        <w:spacing w:before="8" w:after="1"/>
        <w:rPr>
          <w:sz w:val="8"/>
        </w:rPr>
      </w:pPr>
    </w:p>
    <w:tbl>
      <w:tblPr>
        <w:tblStyle w:val="TableNormal4"/>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1080"/>
        <w:gridCol w:w="7560"/>
      </w:tblGrid>
      <w:tr>
        <w:tblPrEx>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67"/>
          <w:jc w:val="left"/>
        </w:trPr>
        <w:tc>
          <w:tcPr>
            <w:tcW w:w="900" w:type="dxa"/>
          </w:tcPr>
          <w:p>
            <w:pPr>
              <w:pStyle w:val="TableParagraph"/>
              <w:rPr>
                <w:rFonts w:ascii="Times New Roman"/>
                <w:sz w:val="22"/>
              </w:rPr>
            </w:pPr>
          </w:p>
        </w:tc>
        <w:tc>
          <w:tcPr>
            <w:tcW w:w="1080" w:type="dxa"/>
          </w:tcPr>
          <w:p>
            <w:pPr>
              <w:pStyle w:val="TableParagraph"/>
              <w:rPr>
                <w:rFonts w:ascii="Times New Roman"/>
                <w:sz w:val="22"/>
              </w:rPr>
            </w:pPr>
          </w:p>
        </w:tc>
        <w:tc>
          <w:tcPr>
            <w:tcW w:w="7560" w:type="dxa"/>
          </w:tcPr>
          <w:p>
            <w:pPr>
              <w:pStyle w:val="TableParagraph"/>
              <w:numPr>
                <w:ilvl w:val="0"/>
                <w:numId w:val="44"/>
              </w:numPr>
              <w:tabs>
                <w:tab w:val="left" w:pos="829"/>
              </w:tabs>
              <w:spacing w:before="3" w:after="0" w:line="240" w:lineRule="auto"/>
              <w:ind w:left="829" w:right="0" w:hanging="721"/>
              <w:jc w:val="left"/>
              <w:rPr>
                <w:sz w:val="24"/>
              </w:rPr>
            </w:pPr>
            <w:r>
              <w:rPr>
                <w:spacing w:val="-1"/>
                <w:sz w:val="24"/>
              </w:rPr>
              <w:t>投标文件组成不符合招标文件要求的；</w:t>
            </w:r>
          </w:p>
          <w:p>
            <w:pPr>
              <w:pStyle w:val="TableParagraph"/>
              <w:numPr>
                <w:ilvl w:val="0"/>
                <w:numId w:val="44"/>
              </w:numPr>
              <w:tabs>
                <w:tab w:val="left" w:pos="829"/>
              </w:tabs>
              <w:spacing w:before="160" w:after="0" w:line="240" w:lineRule="auto"/>
              <w:ind w:left="829" w:right="0" w:hanging="721"/>
              <w:jc w:val="left"/>
              <w:rPr>
                <w:sz w:val="24"/>
              </w:rPr>
            </w:pPr>
            <w:r>
              <w:rPr>
                <w:spacing w:val="-1"/>
                <w:sz w:val="24"/>
              </w:rPr>
              <w:t>投标文件中提供虚假或失实资料的；</w:t>
            </w:r>
          </w:p>
          <w:p>
            <w:pPr>
              <w:pStyle w:val="TableParagraph"/>
              <w:numPr>
                <w:ilvl w:val="0"/>
                <w:numId w:val="44"/>
              </w:numPr>
              <w:tabs>
                <w:tab w:val="left" w:pos="829"/>
              </w:tabs>
              <w:spacing w:before="159" w:after="0" w:line="240" w:lineRule="auto"/>
              <w:ind w:left="829" w:right="0" w:hanging="721"/>
              <w:jc w:val="left"/>
              <w:rPr>
                <w:sz w:val="24"/>
              </w:rPr>
            </w:pPr>
            <w:r>
              <w:rPr>
                <w:spacing w:val="-1"/>
                <w:sz w:val="24"/>
              </w:rPr>
              <w:t>投标文件附有招标人不能接受的条件；</w:t>
            </w:r>
          </w:p>
          <w:p>
            <w:pPr>
              <w:pStyle w:val="TableParagraph"/>
              <w:numPr>
                <w:ilvl w:val="0"/>
                <w:numId w:val="44"/>
              </w:numPr>
              <w:tabs>
                <w:tab w:val="left" w:pos="829"/>
              </w:tabs>
              <w:spacing w:before="160" w:after="0" w:line="240" w:lineRule="auto"/>
              <w:ind w:left="829" w:right="0" w:hanging="721"/>
              <w:jc w:val="left"/>
              <w:rPr>
                <w:sz w:val="24"/>
              </w:rPr>
            </w:pPr>
            <w:r>
              <w:rPr>
                <w:spacing w:val="-1"/>
                <w:sz w:val="24"/>
              </w:rPr>
              <w:t>投标联合体未提交联合体协议的；</w:t>
            </w:r>
          </w:p>
          <w:p>
            <w:pPr>
              <w:pStyle w:val="TableParagraph"/>
              <w:numPr>
                <w:ilvl w:val="0"/>
                <w:numId w:val="44"/>
              </w:numPr>
              <w:tabs>
                <w:tab w:val="left" w:pos="829"/>
              </w:tabs>
              <w:spacing w:before="123" w:after="0" w:line="500" w:lineRule="atLeast"/>
              <w:ind w:left="108" w:right="97" w:firstLine="0"/>
              <w:jc w:val="left"/>
              <w:rPr>
                <w:sz w:val="24"/>
              </w:rPr>
            </w:pPr>
            <w:r>
              <w:rPr>
                <w:spacing w:val="-2"/>
                <w:sz w:val="24"/>
              </w:rPr>
              <w:t>不符合招标文件中规定的其它实质性条款，以及被评标委员会</w:t>
            </w:r>
            <w:r>
              <w:rPr>
                <w:spacing w:val="-2"/>
                <w:sz w:val="24"/>
              </w:rPr>
              <w:t>评定为实质性偏离招标文件要求的。</w:t>
            </w:r>
          </w:p>
        </w:tc>
      </w:tr>
      <w:tr>
        <w:tblPrEx>
          <w:tblW w:w="0" w:type="auto"/>
          <w:jc w:val="left"/>
          <w:tblInd w:w="120" w:type="dxa"/>
          <w:tblLayout w:type="fixed"/>
          <w:tblCellMar>
            <w:top w:w="0" w:type="dxa"/>
            <w:left w:w="0" w:type="dxa"/>
            <w:bottom w:w="0" w:type="dxa"/>
            <w:right w:w="0" w:type="dxa"/>
          </w:tblCellMar>
          <w:tblLook w:val="01E0"/>
        </w:tblPrEx>
        <w:trPr>
          <w:trHeight w:val="700"/>
          <w:jc w:val="left"/>
        </w:trPr>
        <w:tc>
          <w:tcPr>
            <w:tcW w:w="900" w:type="dxa"/>
          </w:tcPr>
          <w:p>
            <w:pPr>
              <w:pStyle w:val="TableParagraph"/>
              <w:spacing w:before="5"/>
              <w:rPr>
                <w:sz w:val="18"/>
              </w:rPr>
            </w:pPr>
          </w:p>
          <w:p>
            <w:pPr>
              <w:pStyle w:val="TableParagraph"/>
              <w:ind w:left="224" w:right="214"/>
              <w:jc w:val="center"/>
              <w:rPr>
                <w:sz w:val="24"/>
              </w:rPr>
            </w:pPr>
            <w:r>
              <w:rPr>
                <w:spacing w:val="-5"/>
                <w:sz w:val="24"/>
              </w:rPr>
              <w:t>10</w:t>
            </w:r>
          </w:p>
        </w:tc>
        <w:tc>
          <w:tcPr>
            <w:tcW w:w="1080" w:type="dxa"/>
          </w:tcPr>
          <w:p>
            <w:pPr>
              <w:pStyle w:val="TableParagraph"/>
              <w:rPr>
                <w:rFonts w:ascii="Times New Roman"/>
                <w:sz w:val="22"/>
              </w:rPr>
            </w:pPr>
          </w:p>
        </w:tc>
        <w:tc>
          <w:tcPr>
            <w:tcW w:w="7560" w:type="dxa"/>
          </w:tcPr>
          <w:p>
            <w:pPr>
              <w:pStyle w:val="TableParagraph"/>
              <w:spacing w:before="180"/>
              <w:ind w:left="108"/>
              <w:rPr>
                <w:rFonts w:ascii="Microsoft JhengHei" w:eastAsia="Microsoft JhengHei"/>
                <w:b/>
                <w:sz w:val="24"/>
              </w:rPr>
            </w:pPr>
            <w:r>
              <w:rPr>
                <w:rFonts w:ascii="Microsoft JhengHei" w:eastAsia="Microsoft JhengHei"/>
                <w:b/>
                <w:spacing w:val="-1"/>
                <w:sz w:val="24"/>
              </w:rPr>
              <w:t>本项目采用综合评分法，具体详见附件</w:t>
            </w:r>
          </w:p>
        </w:tc>
      </w:tr>
      <w:tr>
        <w:tblPrEx>
          <w:tblW w:w="0" w:type="auto"/>
          <w:jc w:val="left"/>
          <w:tblInd w:w="120" w:type="dxa"/>
          <w:tblLayout w:type="fixed"/>
          <w:tblCellMar>
            <w:top w:w="0" w:type="dxa"/>
            <w:left w:w="0" w:type="dxa"/>
            <w:bottom w:w="0" w:type="dxa"/>
            <w:right w:w="0" w:type="dxa"/>
          </w:tblCellMar>
          <w:tblLook w:val="01E0"/>
        </w:tblPrEx>
        <w:trPr>
          <w:trHeight w:val="350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8"/>
              <w:rPr>
                <w:sz w:val="31"/>
              </w:rPr>
            </w:pPr>
          </w:p>
          <w:p>
            <w:pPr>
              <w:pStyle w:val="TableParagraph"/>
              <w:spacing w:before="1"/>
              <w:ind w:left="224" w:right="214"/>
              <w:jc w:val="center"/>
              <w:rPr>
                <w:sz w:val="24"/>
              </w:rPr>
            </w:pPr>
            <w:r>
              <w:rPr>
                <w:spacing w:val="-5"/>
                <w:sz w:val="24"/>
              </w:rPr>
              <w:t>11</w:t>
            </w:r>
          </w:p>
        </w:tc>
        <w:tc>
          <w:tcPr>
            <w:tcW w:w="1080" w:type="dxa"/>
          </w:tcPr>
          <w:p>
            <w:pPr>
              <w:pStyle w:val="TableParagraph"/>
              <w:rPr>
                <w:rFonts w:ascii="Times New Roman"/>
                <w:sz w:val="22"/>
              </w:rPr>
            </w:pPr>
          </w:p>
        </w:tc>
        <w:tc>
          <w:tcPr>
            <w:tcW w:w="7560" w:type="dxa"/>
          </w:tcPr>
          <w:p>
            <w:pPr>
              <w:pStyle w:val="TableParagraph"/>
              <w:spacing w:before="2" w:line="500" w:lineRule="atLeast"/>
              <w:ind w:left="107" w:right="96" w:firstLine="470"/>
              <w:jc w:val="both"/>
              <w:rPr>
                <w:rFonts w:ascii="Microsoft JhengHei" w:eastAsia="Microsoft JhengHei"/>
                <w:b/>
                <w:sz w:val="24"/>
              </w:rPr>
            </w:pPr>
            <w:r>
              <w:rPr>
                <w:rFonts w:ascii="Microsoft JhengHei" w:eastAsia="Microsoft JhengHei"/>
                <w:b/>
                <w:spacing w:val="-7"/>
                <w:sz w:val="24"/>
              </w:rPr>
              <w:t>投标人必须对其投标文件中提供各种资料、说明的真实性负责。在</w:t>
            </w:r>
            <w:r>
              <w:rPr>
                <w:rFonts w:ascii="Microsoft JhengHei" w:eastAsia="Microsoft JhengHei"/>
                <w:b/>
                <w:spacing w:val="-2"/>
                <w:sz w:val="24"/>
              </w:rPr>
              <w:t>评标过程中，如有发现投标人有为谋取中标而提供虚假资料或承诺欺骗招标人和评委的行为，将取消其中标资格，其投标保证金将不予退还。若在中标后或签约时或执行合同过程中发现中标人是提供虚假材料或承诺谋取中标等违法违规行为，招标人将取消其中标人资格，其履约保证金、投标保证金将不予退还，给招标人造成损失的，还必须</w:t>
            </w:r>
            <w:r>
              <w:rPr>
                <w:rFonts w:ascii="Microsoft JhengHei" w:eastAsia="Microsoft JhengHei"/>
                <w:b/>
                <w:spacing w:val="-2"/>
                <w:sz w:val="24"/>
              </w:rPr>
              <w:t>进行赔偿并负相关责任。</w:t>
            </w:r>
          </w:p>
        </w:tc>
      </w:tr>
      <w:tr>
        <w:tblPrEx>
          <w:tblW w:w="0" w:type="auto"/>
          <w:jc w:val="left"/>
          <w:tblInd w:w="120" w:type="dxa"/>
          <w:tblLayout w:type="fixed"/>
          <w:tblCellMar>
            <w:top w:w="0" w:type="dxa"/>
            <w:left w:w="0" w:type="dxa"/>
            <w:bottom w:w="0" w:type="dxa"/>
            <w:right w:w="0" w:type="dxa"/>
          </w:tblCellMar>
          <w:tblLook w:val="01E0"/>
        </w:tblPrEx>
        <w:trPr>
          <w:trHeight w:val="6598"/>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6"/>
              <w:rPr>
                <w:sz w:val="32"/>
              </w:rPr>
            </w:pPr>
          </w:p>
          <w:p>
            <w:pPr>
              <w:pStyle w:val="TableParagraph"/>
              <w:ind w:left="224" w:right="214"/>
              <w:jc w:val="center"/>
              <w:rPr>
                <w:sz w:val="24"/>
              </w:rPr>
            </w:pPr>
            <w:r>
              <w:rPr>
                <w:spacing w:val="-5"/>
                <w:sz w:val="24"/>
              </w:rPr>
              <w:t>12</w:t>
            </w:r>
          </w:p>
        </w:tc>
        <w:tc>
          <w:tcPr>
            <w:tcW w:w="1080" w:type="dxa"/>
          </w:tcPr>
          <w:p>
            <w:pPr>
              <w:pStyle w:val="TableParagraph"/>
              <w:rPr>
                <w:rFonts w:ascii="Times New Roman"/>
                <w:sz w:val="22"/>
              </w:rPr>
            </w:pPr>
          </w:p>
        </w:tc>
        <w:tc>
          <w:tcPr>
            <w:tcW w:w="7560" w:type="dxa"/>
          </w:tcPr>
          <w:p>
            <w:pPr>
              <w:pStyle w:val="TableParagraph"/>
              <w:spacing w:before="110"/>
              <w:ind w:left="108"/>
              <w:rPr>
                <w:sz w:val="24"/>
              </w:rPr>
            </w:pPr>
            <w:r>
              <w:rPr>
                <w:spacing w:val="-2"/>
                <w:sz w:val="24"/>
              </w:rPr>
              <w:t>其他要求：</w:t>
            </w:r>
          </w:p>
          <w:p>
            <w:pPr>
              <w:pStyle w:val="TableParagraph"/>
              <w:spacing w:before="132" w:line="343" w:lineRule="auto"/>
              <w:ind w:left="107" w:right="1" w:firstLine="360"/>
              <w:rPr>
                <w:sz w:val="24"/>
              </w:rPr>
            </w:pPr>
            <w:r>
              <w:rPr>
                <w:spacing w:val="-2"/>
                <w:sz w:val="24"/>
              </w:rPr>
              <w:t>1、合同生效后第一个周期年度的后勤服务管理费按中标金额执行，</w:t>
            </w:r>
            <w:r>
              <w:rPr>
                <w:spacing w:val="-7"/>
                <w:sz w:val="24"/>
              </w:rPr>
              <w:t>未因考核不合格等原因中止或解除相关合同时，第二个周期年度的后勤</w:t>
            </w:r>
            <w:r>
              <w:rPr>
                <w:spacing w:val="-2"/>
                <w:sz w:val="24"/>
              </w:rPr>
              <w:t xml:space="preserve">服务管理费在第一个周期年度的后勤服务管理费基础上递增 </w:t>
            </w:r>
            <w:r>
              <w:rPr>
                <w:sz w:val="24"/>
              </w:rPr>
              <w:t>3%。</w:t>
            </w:r>
          </w:p>
          <w:p>
            <w:pPr>
              <w:pStyle w:val="TableParagraph"/>
              <w:spacing w:before="1" w:line="343" w:lineRule="auto"/>
              <w:ind w:left="107" w:right="97" w:firstLine="360"/>
              <w:jc w:val="both"/>
              <w:rPr>
                <w:sz w:val="24"/>
              </w:rPr>
            </w:pPr>
            <w:r>
              <w:rPr>
                <w:spacing w:val="-4"/>
                <w:sz w:val="24"/>
              </w:rPr>
              <w:t>2、如果国家或地方政府公布增长当地职工最低工资标准、社会保险</w:t>
            </w:r>
            <w:r>
              <w:rPr>
                <w:spacing w:val="-4"/>
                <w:sz w:val="24"/>
              </w:rPr>
              <w:t>费或其它福利、津贴，招标人同意按照公布之增长率相应增加本合同项</w:t>
            </w:r>
            <w:r>
              <w:rPr>
                <w:spacing w:val="-4"/>
                <w:sz w:val="24"/>
              </w:rPr>
              <w:t>下全部员工工资、社会保险费或其它福利、津贴、加班费，并按实际增</w:t>
            </w:r>
            <w:r>
              <w:rPr>
                <w:spacing w:val="-9"/>
                <w:sz w:val="24"/>
              </w:rPr>
              <w:t>加的总费用来调整本合同金额，中标人承诺必须将上述合同金额的增加</w:t>
            </w:r>
            <w:r>
              <w:rPr>
                <w:spacing w:val="-2"/>
                <w:sz w:val="24"/>
              </w:rPr>
              <w:t>部分在扣除相应的税费后支付给服务人员。</w:t>
            </w:r>
          </w:p>
          <w:p>
            <w:pPr>
              <w:pStyle w:val="TableParagraph"/>
              <w:spacing w:before="1" w:line="343" w:lineRule="auto"/>
              <w:ind w:left="107" w:right="97" w:firstLine="360"/>
              <w:jc w:val="both"/>
              <w:rPr>
                <w:sz w:val="24"/>
              </w:rPr>
            </w:pPr>
            <w:r>
              <w:rPr>
                <w:spacing w:val="-4"/>
                <w:sz w:val="24"/>
              </w:rPr>
              <w:t>3、在合同有效期内和管理服务开始后，如遇国家或地方政府征收新</w:t>
            </w:r>
            <w:r>
              <w:rPr>
                <w:spacing w:val="-6"/>
                <w:sz w:val="24"/>
              </w:rPr>
              <w:t>的或额外的税收和费用等在相关公文中明确应由招标人支付时，招标人</w:t>
            </w:r>
            <w:r>
              <w:rPr>
                <w:spacing w:val="-4"/>
                <w:sz w:val="24"/>
              </w:rPr>
              <w:t xml:space="preserve">同意在中标人提供相关公文之日起 </w:t>
            </w:r>
            <w:r>
              <w:rPr>
                <w:spacing w:val="-2"/>
                <w:sz w:val="24"/>
              </w:rPr>
              <w:t>20</w:t>
            </w:r>
            <w:r>
              <w:rPr>
                <w:spacing w:val="-7"/>
                <w:sz w:val="24"/>
              </w:rPr>
              <w:t xml:space="preserve"> 个工作日内支付给中标人此部分</w:t>
            </w:r>
            <w:r>
              <w:rPr>
                <w:spacing w:val="-4"/>
                <w:sz w:val="24"/>
              </w:rPr>
              <w:t>费用。</w:t>
            </w:r>
          </w:p>
          <w:p>
            <w:pPr>
              <w:pStyle w:val="TableParagraph"/>
              <w:spacing w:before="2"/>
              <w:ind w:right="97"/>
              <w:jc w:val="right"/>
              <w:rPr>
                <w:sz w:val="24"/>
              </w:rPr>
            </w:pPr>
            <w:r>
              <w:rPr>
                <w:spacing w:val="-4"/>
                <w:sz w:val="24"/>
              </w:rPr>
              <w:t>4</w:t>
            </w:r>
            <w:r>
              <w:rPr>
                <w:spacing w:val="-5"/>
                <w:sz w:val="24"/>
              </w:rPr>
              <w:t>、本项目报价采用固定包干总价方式，该报价在当年合同执行期内</w:t>
            </w:r>
          </w:p>
          <w:p>
            <w:pPr>
              <w:pStyle w:val="TableParagraph"/>
              <w:spacing w:before="132"/>
              <w:ind w:right="97"/>
              <w:jc w:val="right"/>
              <w:rPr>
                <w:sz w:val="24"/>
              </w:rPr>
            </w:pPr>
            <w:r>
              <w:rPr>
                <w:spacing w:val="-4"/>
                <w:sz w:val="24"/>
              </w:rPr>
              <w:t>不因市场、政策变动或其他因素变化而调整（</w:t>
            </w:r>
            <w:r>
              <w:rPr>
                <w:spacing w:val="-13"/>
                <w:sz w:val="24"/>
              </w:rPr>
              <w:t xml:space="preserve">但以上第 </w:t>
            </w:r>
            <w:r>
              <w:rPr>
                <w:spacing w:val="-4"/>
                <w:sz w:val="24"/>
              </w:rPr>
              <w:t>1、2、3</w:t>
            </w:r>
            <w:r>
              <w:rPr>
                <w:spacing w:val="-16"/>
                <w:sz w:val="24"/>
              </w:rPr>
              <w:t xml:space="preserve"> 点的规</w:t>
            </w:r>
          </w:p>
        </w:tc>
      </w:tr>
    </w:tbl>
    <w:p>
      <w:pPr>
        <w:spacing w:after="0"/>
        <w:jc w:val="right"/>
        <w:rPr>
          <w:sz w:val="24"/>
        </w:rPr>
        <w:sectPr>
          <w:headerReference w:type="default" r:id="rId19"/>
          <w:footerReference w:type="default" r:id="rId20"/>
          <w:pgSz w:w="11910" w:h="16840"/>
          <w:pgMar w:top="1240" w:right="320" w:bottom="1180" w:left="1100" w:header="884" w:footer="991"/>
          <w:pgNumType w:start="5"/>
          <w:cols w:space="708"/>
        </w:sectPr>
      </w:pPr>
    </w:p>
    <w:p>
      <w:pPr>
        <w:pStyle w:val="BodyText"/>
        <w:spacing w:before="8" w:after="1"/>
        <w:rPr>
          <w:sz w:val="8"/>
        </w:rPr>
      </w:pPr>
    </w:p>
    <w:tbl>
      <w:tblPr>
        <w:tblStyle w:val="TableNormal5"/>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00"/>
        <w:gridCol w:w="1080"/>
        <w:gridCol w:w="7560"/>
      </w:tblGrid>
      <w:tr>
        <w:tblPrEx>
          <w:tblW w:w="0" w:type="auto"/>
          <w:jc w:val="left"/>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700"/>
          <w:jc w:val="left"/>
        </w:trPr>
        <w:tc>
          <w:tcPr>
            <w:tcW w:w="900" w:type="dxa"/>
          </w:tcPr>
          <w:p>
            <w:pPr>
              <w:pStyle w:val="TableParagraph"/>
              <w:rPr>
                <w:rFonts w:ascii="Times New Roman"/>
                <w:sz w:val="22"/>
              </w:rPr>
            </w:pPr>
          </w:p>
        </w:tc>
        <w:tc>
          <w:tcPr>
            <w:tcW w:w="1080" w:type="dxa"/>
          </w:tcPr>
          <w:p>
            <w:pPr>
              <w:pStyle w:val="TableParagraph"/>
              <w:rPr>
                <w:rFonts w:ascii="Times New Roman"/>
                <w:sz w:val="22"/>
              </w:rPr>
            </w:pPr>
          </w:p>
        </w:tc>
        <w:tc>
          <w:tcPr>
            <w:tcW w:w="7560" w:type="dxa"/>
          </w:tcPr>
          <w:p>
            <w:pPr>
              <w:pStyle w:val="TableParagraph"/>
              <w:spacing w:before="112"/>
              <w:ind w:left="108"/>
              <w:rPr>
                <w:sz w:val="24"/>
              </w:rPr>
            </w:pPr>
            <w:r>
              <w:rPr>
                <w:sz w:val="24"/>
              </w:rPr>
              <w:t>定除外</w:t>
            </w:r>
            <w:r>
              <w:rPr>
                <w:spacing w:val="-120"/>
                <w:sz w:val="24"/>
              </w:rPr>
              <w:t>）</w:t>
            </w:r>
            <w:r>
              <w:rPr>
                <w:spacing w:val="-10"/>
                <w:sz w:val="24"/>
              </w:rPr>
              <w:t>。</w:t>
            </w:r>
          </w:p>
        </w:tc>
      </w:tr>
      <w:tr>
        <w:tblPrEx>
          <w:tblW w:w="0" w:type="auto"/>
          <w:jc w:val="left"/>
          <w:tblInd w:w="120" w:type="dxa"/>
          <w:tblLayout w:type="fixed"/>
          <w:tblCellMar>
            <w:top w:w="0" w:type="dxa"/>
            <w:left w:w="0" w:type="dxa"/>
            <w:bottom w:w="0" w:type="dxa"/>
            <w:right w:w="0" w:type="dxa"/>
          </w:tblCellMar>
          <w:tblLook w:val="01E0"/>
        </w:tblPrEx>
        <w:trPr>
          <w:trHeight w:val="490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83"/>
              <w:ind w:left="224" w:right="214"/>
              <w:jc w:val="center"/>
              <w:rPr>
                <w:sz w:val="24"/>
              </w:rPr>
            </w:pPr>
            <w:r>
              <w:rPr>
                <w:spacing w:val="-5"/>
                <w:sz w:val="24"/>
              </w:rPr>
              <w:t>13</w:t>
            </w:r>
          </w:p>
        </w:tc>
        <w:tc>
          <w:tcPr>
            <w:tcW w:w="1080" w:type="dxa"/>
          </w:tcPr>
          <w:p>
            <w:pPr>
              <w:pStyle w:val="TableParagraph"/>
              <w:rPr>
                <w:rFonts w:ascii="Times New Roman"/>
                <w:sz w:val="22"/>
              </w:rPr>
            </w:pPr>
          </w:p>
        </w:tc>
        <w:tc>
          <w:tcPr>
            <w:tcW w:w="7560" w:type="dxa"/>
          </w:tcPr>
          <w:p>
            <w:pPr>
              <w:pStyle w:val="TableParagraph"/>
              <w:spacing w:before="32"/>
              <w:ind w:left="108"/>
              <w:rPr>
                <w:rFonts w:ascii="Microsoft JhengHei" w:eastAsia="Microsoft JhengHei"/>
                <w:b/>
                <w:sz w:val="24"/>
              </w:rPr>
            </w:pPr>
            <w:r>
              <w:rPr>
                <w:rFonts w:ascii="Microsoft JhengHei" w:eastAsia="Microsoft JhengHei"/>
                <w:b/>
                <w:spacing w:val="-2"/>
                <w:sz w:val="24"/>
              </w:rPr>
              <w:t>关于串通投标问题：</w:t>
            </w:r>
          </w:p>
          <w:p>
            <w:pPr>
              <w:pStyle w:val="TableParagraph"/>
              <w:spacing w:before="78" w:line="343" w:lineRule="auto"/>
              <w:ind w:left="107" w:right="96" w:firstLine="360"/>
              <w:rPr>
                <w:sz w:val="24"/>
              </w:rPr>
            </w:pPr>
            <w:r>
              <w:rPr>
                <w:spacing w:val="-2"/>
                <w:sz w:val="24"/>
              </w:rPr>
              <w:t>评标委员会在评标过程中发现投标人存在下列情形之一的，认定其</w:t>
            </w:r>
            <w:r>
              <w:rPr>
                <w:spacing w:val="-2"/>
                <w:sz w:val="24"/>
              </w:rPr>
              <w:t>有串通投标行为，按投标无效的处理，其投标保证金将不予退还：</w:t>
            </w:r>
          </w:p>
          <w:p>
            <w:pPr>
              <w:pStyle w:val="TableParagraph"/>
              <w:spacing w:before="1" w:line="343" w:lineRule="auto"/>
              <w:ind w:left="107" w:right="97" w:firstLine="240"/>
              <w:rPr>
                <w:sz w:val="24"/>
              </w:rPr>
            </w:pPr>
            <w:r>
              <w:rPr>
                <w:spacing w:val="-4"/>
                <w:sz w:val="24"/>
              </w:rPr>
              <w:t>（一）不同投标人的投标文件错、漏之处一致或雷同，且不能合理解</w:t>
            </w:r>
            <w:r>
              <w:rPr>
                <w:spacing w:val="-4"/>
                <w:sz w:val="24"/>
              </w:rPr>
              <w:t>释的；</w:t>
            </w:r>
          </w:p>
          <w:p>
            <w:pPr>
              <w:pStyle w:val="TableParagraph"/>
              <w:spacing w:line="343" w:lineRule="auto"/>
              <w:ind w:left="107" w:right="97" w:firstLine="240"/>
              <w:rPr>
                <w:sz w:val="24"/>
              </w:rPr>
            </w:pPr>
            <w:r>
              <w:rPr>
                <w:spacing w:val="-4"/>
                <w:sz w:val="24"/>
              </w:rPr>
              <w:t>（二）不同的投标人的法定代表人、委托代理人等由同一个单位缴纳</w:t>
            </w:r>
            <w:r>
              <w:rPr>
                <w:spacing w:val="-2"/>
                <w:sz w:val="24"/>
              </w:rPr>
              <w:t>社会保险的；</w:t>
            </w:r>
          </w:p>
          <w:p>
            <w:pPr>
              <w:pStyle w:val="TableParagraph"/>
              <w:spacing w:before="1" w:line="343" w:lineRule="auto"/>
              <w:ind w:left="107" w:right="1" w:firstLine="240"/>
              <w:rPr>
                <w:sz w:val="24"/>
              </w:rPr>
            </w:pPr>
            <w:r>
              <w:rPr>
                <w:spacing w:val="-2"/>
                <w:sz w:val="24"/>
              </w:rPr>
              <w:t>（三）由同一人或分别由几个有利害关系人携带两个以上（含两个</w:t>
            </w:r>
            <w:r>
              <w:rPr>
                <w:spacing w:val="-2"/>
                <w:sz w:val="24"/>
              </w:rPr>
              <w:t>）</w:t>
            </w:r>
            <w:r>
              <w:rPr>
                <w:spacing w:val="-2"/>
                <w:sz w:val="24"/>
              </w:rPr>
              <w:t>投标人的企业资料参与资格审查、领取招标资料，或代表两个以上（含</w:t>
            </w:r>
            <w:r>
              <w:rPr>
                <w:spacing w:val="-2"/>
                <w:sz w:val="24"/>
              </w:rPr>
              <w:t>两个）投标人参加招标答疑会、交纳或退还投标保证金、开标的；</w:t>
            </w:r>
          </w:p>
          <w:p>
            <w:pPr>
              <w:pStyle w:val="TableParagraph"/>
              <w:spacing w:before="49"/>
              <w:ind w:left="467"/>
              <w:rPr>
                <w:sz w:val="24"/>
              </w:rPr>
            </w:pPr>
            <w:r>
              <w:rPr>
                <w:spacing w:val="-1"/>
                <w:sz w:val="24"/>
              </w:rPr>
              <w:t>(四)有关法律、法规或规章规定的其他串通投标行为。</w:t>
            </w:r>
          </w:p>
        </w:tc>
      </w:tr>
      <w:tr>
        <w:tblPrEx>
          <w:tblW w:w="0" w:type="auto"/>
          <w:jc w:val="left"/>
          <w:tblInd w:w="120" w:type="dxa"/>
          <w:tblLayout w:type="fixed"/>
          <w:tblCellMar>
            <w:top w:w="0" w:type="dxa"/>
            <w:left w:w="0" w:type="dxa"/>
            <w:bottom w:w="0" w:type="dxa"/>
            <w:right w:w="0" w:type="dxa"/>
          </w:tblCellMar>
          <w:tblLook w:val="01E0"/>
        </w:tblPrEx>
        <w:trPr>
          <w:trHeight w:val="3000"/>
          <w:jc w:val="left"/>
        </w:trPr>
        <w:tc>
          <w:tcPr>
            <w:tcW w:w="90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156"/>
              <w:ind w:left="224" w:right="214"/>
              <w:jc w:val="center"/>
              <w:rPr>
                <w:sz w:val="24"/>
              </w:rPr>
            </w:pPr>
            <w:r>
              <w:rPr>
                <w:spacing w:val="-5"/>
                <w:sz w:val="24"/>
              </w:rPr>
              <w:t>14</w:t>
            </w:r>
          </w:p>
        </w:tc>
        <w:tc>
          <w:tcPr>
            <w:tcW w:w="1080" w:type="dxa"/>
          </w:tcPr>
          <w:p>
            <w:pPr>
              <w:pStyle w:val="TableParagraph"/>
              <w:rPr>
                <w:rFonts w:ascii="Times New Roman"/>
                <w:sz w:val="22"/>
              </w:rPr>
            </w:pPr>
          </w:p>
        </w:tc>
        <w:tc>
          <w:tcPr>
            <w:tcW w:w="7560" w:type="dxa"/>
          </w:tcPr>
          <w:p>
            <w:pPr>
              <w:pStyle w:val="TableParagraph"/>
              <w:spacing w:before="160"/>
              <w:ind w:left="108"/>
              <w:rPr>
                <w:sz w:val="24"/>
              </w:rPr>
            </w:pPr>
            <w:r>
              <w:rPr>
                <w:spacing w:val="-2"/>
                <w:sz w:val="24"/>
              </w:rPr>
              <w:t>招标代理服务费：</w:t>
            </w:r>
          </w:p>
          <w:p>
            <w:pPr>
              <w:pStyle w:val="TableParagraph"/>
              <w:spacing w:before="192" w:line="391" w:lineRule="auto"/>
              <w:ind w:left="107" w:right="97" w:firstLine="480"/>
              <w:jc w:val="both"/>
              <w:rPr>
                <w:sz w:val="24"/>
              </w:rPr>
            </w:pPr>
            <w:r>
              <w:rPr>
                <w:sz w:val="24"/>
              </w:rPr>
              <w:t>招标代理服务费：按国家发展计划委员会计价格[2002]1980</w:t>
            </w:r>
            <w:r>
              <w:rPr>
                <w:spacing w:val="-6"/>
                <w:sz w:val="24"/>
              </w:rPr>
              <w:t xml:space="preserve"> 号文</w:t>
            </w:r>
            <w:r>
              <w:rPr>
                <w:spacing w:val="-5"/>
                <w:sz w:val="24"/>
              </w:rPr>
              <w:t xml:space="preserve">件规定的服务类标准下浮 </w:t>
            </w:r>
            <w:r>
              <w:rPr>
                <w:spacing w:val="-4"/>
                <w:sz w:val="24"/>
              </w:rPr>
              <w:t>20%，按后勤服务管理总费用计算，向中标人</w:t>
            </w:r>
            <w:r>
              <w:rPr>
                <w:spacing w:val="-4"/>
                <w:sz w:val="24"/>
              </w:rPr>
              <w:t>收取。</w:t>
            </w:r>
          </w:p>
          <w:p>
            <w:pPr>
              <w:pStyle w:val="TableParagraph"/>
              <w:spacing w:line="304" w:lineRule="exact"/>
              <w:ind w:left="587"/>
              <w:rPr>
                <w:sz w:val="24"/>
              </w:rPr>
            </w:pPr>
            <w:r>
              <w:rPr>
                <w:spacing w:val="-1"/>
                <w:sz w:val="24"/>
              </w:rPr>
              <w:t>中标人应在领取中标通知书前以转帐或电汇付款方式一次性向招</w:t>
            </w:r>
          </w:p>
          <w:p>
            <w:pPr>
              <w:pStyle w:val="TableParagraph"/>
              <w:spacing w:before="193"/>
              <w:ind w:left="107"/>
              <w:rPr>
                <w:sz w:val="24"/>
              </w:rPr>
            </w:pPr>
            <w:r>
              <w:rPr>
                <w:spacing w:val="-1"/>
                <w:sz w:val="24"/>
              </w:rPr>
              <w:t>标代理机构缴纳招标代理服务费。</w:t>
            </w:r>
          </w:p>
        </w:tc>
      </w:tr>
      <w:tr>
        <w:tblPrEx>
          <w:tblW w:w="0" w:type="auto"/>
          <w:jc w:val="left"/>
          <w:tblInd w:w="120" w:type="dxa"/>
          <w:tblLayout w:type="fixed"/>
          <w:tblCellMar>
            <w:top w:w="0" w:type="dxa"/>
            <w:left w:w="0" w:type="dxa"/>
            <w:bottom w:w="0" w:type="dxa"/>
            <w:right w:w="0" w:type="dxa"/>
          </w:tblCellMar>
          <w:tblLook w:val="01E0"/>
        </w:tblPrEx>
        <w:trPr>
          <w:trHeight w:val="700"/>
          <w:jc w:val="left"/>
        </w:trPr>
        <w:tc>
          <w:tcPr>
            <w:tcW w:w="900" w:type="dxa"/>
          </w:tcPr>
          <w:p>
            <w:pPr>
              <w:pStyle w:val="TableParagraph"/>
              <w:spacing w:before="5"/>
              <w:rPr>
                <w:sz w:val="18"/>
              </w:rPr>
            </w:pPr>
          </w:p>
          <w:p>
            <w:pPr>
              <w:pStyle w:val="TableParagraph"/>
              <w:ind w:left="224" w:right="214"/>
              <w:jc w:val="center"/>
              <w:rPr>
                <w:sz w:val="24"/>
              </w:rPr>
            </w:pPr>
            <w:r>
              <w:rPr>
                <w:spacing w:val="-5"/>
                <w:sz w:val="24"/>
              </w:rPr>
              <w:t>15</w:t>
            </w:r>
          </w:p>
        </w:tc>
        <w:tc>
          <w:tcPr>
            <w:tcW w:w="1080" w:type="dxa"/>
          </w:tcPr>
          <w:p>
            <w:pPr>
              <w:pStyle w:val="TableParagraph"/>
              <w:rPr>
                <w:rFonts w:ascii="Times New Roman"/>
                <w:sz w:val="22"/>
              </w:rPr>
            </w:pPr>
          </w:p>
        </w:tc>
        <w:tc>
          <w:tcPr>
            <w:tcW w:w="7560" w:type="dxa"/>
          </w:tcPr>
          <w:p>
            <w:pPr>
              <w:pStyle w:val="TableParagraph"/>
              <w:spacing w:before="3"/>
              <w:rPr>
                <w:sz w:val="20"/>
              </w:rPr>
            </w:pPr>
          </w:p>
          <w:p>
            <w:pPr>
              <w:pStyle w:val="TableParagraph"/>
              <w:ind w:left="108"/>
              <w:rPr>
                <w:sz w:val="24"/>
              </w:rPr>
            </w:pPr>
            <w:r>
              <w:rPr>
                <w:spacing w:val="-1"/>
                <w:sz w:val="24"/>
              </w:rPr>
              <w:t>招标项目行政监督部门： 福建中医药大学附属第三人民医院监审部门</w:t>
            </w:r>
          </w:p>
        </w:tc>
      </w:tr>
    </w:tbl>
    <w:p>
      <w:pPr>
        <w:pStyle w:val="BodyText"/>
        <w:rPr>
          <w:sz w:val="20"/>
        </w:rPr>
      </w:pPr>
    </w:p>
    <w:p>
      <w:pPr>
        <w:pStyle w:val="BodyText"/>
        <w:rPr>
          <w:sz w:val="20"/>
        </w:rPr>
      </w:pPr>
    </w:p>
    <w:p>
      <w:pPr>
        <w:pStyle w:val="BodyText"/>
        <w:spacing w:before="1"/>
        <w:rPr>
          <w:sz w:val="15"/>
        </w:rPr>
      </w:pPr>
    </w:p>
    <w:p>
      <w:pPr>
        <w:spacing w:before="0" w:line="428" w:lineRule="exact"/>
        <w:ind w:left="475" w:right="0" w:firstLine="0"/>
        <w:jc w:val="left"/>
        <w:rPr>
          <w:rFonts w:ascii="Microsoft JhengHei" w:eastAsia="Microsoft JhengHei"/>
          <w:b/>
          <w:sz w:val="24"/>
        </w:rPr>
      </w:pPr>
      <w:r>
        <w:rPr>
          <w:rFonts w:ascii="Microsoft JhengHei" w:eastAsia="Microsoft JhengHei"/>
          <w:b/>
          <w:spacing w:val="7"/>
          <w:sz w:val="24"/>
        </w:rPr>
        <w:t>附件 评分方法</w:t>
      </w:r>
    </w:p>
    <w:p>
      <w:pPr>
        <w:pStyle w:val="BodyText"/>
        <w:spacing w:before="6"/>
        <w:rPr>
          <w:rFonts w:ascii="Microsoft JhengHei"/>
          <w:b/>
          <w:sz w:val="18"/>
        </w:rPr>
      </w:pPr>
    </w:p>
    <w:p>
      <w:pPr>
        <w:pStyle w:val="BodyText"/>
        <w:spacing w:before="1" w:line="343" w:lineRule="auto"/>
        <w:ind w:left="475" w:right="755" w:firstLine="480"/>
      </w:pPr>
      <w:r>
        <w:rPr>
          <w:spacing w:val="-2"/>
        </w:rPr>
        <w:t>本项目评标采用综合评分法，评标委员会将对通过资格性检查及符合性检查均合格</w:t>
      </w:r>
      <w:r>
        <w:rPr>
          <w:spacing w:val="-2"/>
        </w:rPr>
        <w:t>的投标人根据以下标准和方法进行评估。评分将按商务部分、服务部分及报价部分分别</w:t>
      </w:r>
      <w:r>
        <w:rPr>
          <w:spacing w:val="-13"/>
        </w:rPr>
        <w:t>进行，计算出各合格投标人的综合得分。评委会按最终评标得分由高到低顺序推荐第一、</w:t>
      </w:r>
      <w:r>
        <w:rPr>
          <w:spacing w:val="-2"/>
        </w:rPr>
        <w:t>第二、第三中标候选人。</w:t>
      </w:r>
    </w:p>
    <w:p>
      <w:pPr>
        <w:pStyle w:val="BodyText"/>
        <w:spacing w:before="1"/>
        <w:ind w:left="910"/>
      </w:pPr>
      <w:r>
        <w:t>1</w:t>
      </w:r>
      <w:r>
        <w:rPr>
          <w:spacing w:val="-1"/>
        </w:rPr>
        <w:t>、若有相同的最高得分，则其中投标总价低的投标人将被排序在前；</w:t>
      </w:r>
    </w:p>
    <w:p>
      <w:pPr>
        <w:pStyle w:val="BodyText"/>
        <w:spacing w:before="132" w:line="343" w:lineRule="auto"/>
        <w:ind w:left="475" w:right="876" w:firstLine="435"/>
      </w:pPr>
      <w:r>
        <w:rPr>
          <w:spacing w:val="-2"/>
        </w:rPr>
        <w:t>2、若有相同的最高得分且投标报价相同的，则按服务部分得分从高到低顺序进行排</w:t>
      </w:r>
      <w:r>
        <w:rPr>
          <w:spacing w:val="-2"/>
        </w:rPr>
        <w:t>列，服务部分得分最高的投标人将被排序在前。</w:t>
      </w:r>
    </w:p>
    <w:p>
      <w:pPr>
        <w:spacing w:after="0" w:line="343" w:lineRule="auto"/>
        <w:sectPr>
          <w:headerReference w:type="default" r:id="rId21"/>
          <w:footerReference w:type="default" r:id="rId22"/>
          <w:pgSz w:w="11910" w:h="16840"/>
          <w:pgMar w:top="1240" w:right="320" w:bottom="1180" w:left="1100" w:header="884" w:footer="991"/>
          <w:pgNumType w:start="6"/>
          <w:cols w:space="708"/>
        </w:sectPr>
      </w:pPr>
    </w:p>
    <w:p>
      <w:pPr>
        <w:pStyle w:val="BodyText"/>
        <w:spacing w:before="3"/>
        <w:rPr>
          <w:sz w:val="12"/>
        </w:rPr>
      </w:pPr>
    </w:p>
    <w:p>
      <w:pPr>
        <w:pStyle w:val="BodyText"/>
        <w:spacing w:before="66"/>
        <w:ind w:left="910"/>
      </w:pPr>
      <w:r>
        <w:rPr>
          <w:spacing w:val="-1"/>
        </w:rPr>
        <w:t>各部份评分分值分布如下：</w:t>
      </w:r>
    </w:p>
    <w:p>
      <w:pPr>
        <w:pStyle w:val="BodyText"/>
        <w:tabs>
          <w:tab w:val="left" w:pos="4074"/>
        </w:tabs>
        <w:spacing w:before="133"/>
        <w:ind w:left="955"/>
      </w:pPr>
      <w:r>
        <w:t>A：商务部份评</w:t>
      </w:r>
      <w:r>
        <w:rPr>
          <w:spacing w:val="-10"/>
        </w:rPr>
        <w:t>分</w:t>
      </w:r>
      <w:r>
        <w:tab/>
        <w:t>满分</w:t>
      </w:r>
      <w:r>
        <w:rPr>
          <w:spacing w:val="-60"/>
        </w:rPr>
        <w:t xml:space="preserve"> </w:t>
      </w:r>
      <w:r>
        <w:t>25</w:t>
      </w:r>
      <w:r>
        <w:rPr>
          <w:spacing w:val="-60"/>
        </w:rPr>
        <w:t xml:space="preserve"> </w:t>
      </w:r>
      <w:r>
        <w:rPr>
          <w:spacing w:val="-10"/>
        </w:rPr>
        <w:t>分</w:t>
      </w:r>
    </w:p>
    <w:p>
      <w:pPr>
        <w:pStyle w:val="BodyText"/>
        <w:tabs>
          <w:tab w:val="left" w:pos="4074"/>
        </w:tabs>
        <w:spacing w:before="132"/>
        <w:ind w:left="955"/>
      </w:pPr>
      <w:r>
        <w:t>B：服务部份评</w:t>
      </w:r>
      <w:r>
        <w:rPr>
          <w:spacing w:val="-10"/>
        </w:rPr>
        <w:t>分</w:t>
      </w:r>
      <w:r>
        <w:tab/>
        <w:t>满分</w:t>
      </w:r>
      <w:r>
        <w:rPr>
          <w:spacing w:val="-60"/>
        </w:rPr>
        <w:t xml:space="preserve"> </w:t>
      </w:r>
      <w:r>
        <w:t>45</w:t>
      </w:r>
      <w:r>
        <w:rPr>
          <w:spacing w:val="-60"/>
        </w:rPr>
        <w:t xml:space="preserve"> </w:t>
      </w:r>
      <w:r>
        <w:rPr>
          <w:spacing w:val="-10"/>
        </w:rPr>
        <w:t>分</w:t>
      </w:r>
    </w:p>
    <w:p>
      <w:pPr>
        <w:pStyle w:val="BodyText"/>
        <w:tabs>
          <w:tab w:val="left" w:pos="4074"/>
        </w:tabs>
        <w:spacing w:before="133"/>
        <w:ind w:left="955"/>
      </w:pPr>
      <w:r>
        <w:t>C：报价部份评</w:t>
      </w:r>
      <w:r>
        <w:rPr>
          <w:spacing w:val="-10"/>
        </w:rPr>
        <w:t>分</w:t>
      </w:r>
      <w:r>
        <w:tab/>
        <w:t>满分</w:t>
      </w:r>
      <w:r>
        <w:rPr>
          <w:spacing w:val="-60"/>
        </w:rPr>
        <w:t xml:space="preserve"> </w:t>
      </w:r>
      <w:r>
        <w:t>30</w:t>
      </w:r>
      <w:r>
        <w:rPr>
          <w:spacing w:val="-60"/>
        </w:rPr>
        <w:t xml:space="preserve"> </w:t>
      </w:r>
      <w:r>
        <w:rPr>
          <w:spacing w:val="-10"/>
        </w:rPr>
        <w:t>分</w:t>
      </w:r>
    </w:p>
    <w:p>
      <w:pPr>
        <w:pStyle w:val="Heading4"/>
        <w:spacing w:line="504" w:lineRule="exact"/>
        <w:ind w:left="475" w:firstLine="0"/>
      </w:pPr>
      <w:r>
        <w:rPr>
          <w:spacing w:val="-6"/>
        </w:rPr>
        <w:t>A</w:t>
      </w:r>
      <w:r>
        <w:rPr>
          <w:spacing w:val="-6"/>
        </w:rPr>
        <w:t>、商务部分评分标准：满分 25</w:t>
      </w:r>
      <w:r>
        <w:rPr>
          <w:spacing w:val="-7"/>
        </w:rPr>
        <w:t xml:space="preserve"> 分。</w:t>
      </w:r>
    </w:p>
    <w:p>
      <w:pPr>
        <w:spacing w:before="0" w:line="430" w:lineRule="exact"/>
        <w:ind w:left="475" w:right="0" w:firstLine="0"/>
        <w:jc w:val="left"/>
        <w:rPr>
          <w:rFonts w:ascii="Microsoft JhengHei" w:eastAsia="Microsoft JhengHei"/>
          <w:b/>
          <w:sz w:val="24"/>
        </w:rPr>
      </w:pPr>
      <w:r>
        <w:rPr>
          <w:rFonts w:ascii="Microsoft JhengHei" w:eastAsia="Microsoft JhengHei"/>
          <w:b/>
          <w:spacing w:val="-6"/>
          <w:sz w:val="24"/>
        </w:rPr>
        <w:t>A1</w:t>
      </w:r>
      <w:r>
        <w:rPr>
          <w:rFonts w:ascii="Microsoft JhengHei" w:eastAsia="Microsoft JhengHei"/>
          <w:b/>
          <w:spacing w:val="-6"/>
          <w:sz w:val="24"/>
        </w:rPr>
        <w:t>、投标人机构情况：（满分 3</w:t>
      </w:r>
      <w:r>
        <w:rPr>
          <w:rFonts w:ascii="Microsoft JhengHei" w:eastAsia="Microsoft JhengHei"/>
          <w:b/>
          <w:spacing w:val="-5"/>
          <w:sz w:val="24"/>
        </w:rPr>
        <w:t xml:space="preserve"> 分</w:t>
      </w:r>
      <w:r>
        <w:rPr>
          <w:rFonts w:ascii="Microsoft JhengHei" w:eastAsia="Microsoft JhengHei"/>
          <w:b/>
          <w:spacing w:val="-10"/>
          <w:sz w:val="24"/>
        </w:rPr>
        <w:t>）</w:t>
      </w:r>
    </w:p>
    <w:p>
      <w:pPr>
        <w:pStyle w:val="BodyText"/>
        <w:spacing w:before="78"/>
        <w:ind w:left="685"/>
      </w:pPr>
      <w:r>
        <w:t>A1-1</w:t>
      </w:r>
      <w:r>
        <w:rPr>
          <w:spacing w:val="-4"/>
        </w:rPr>
        <w:t xml:space="preserve">、投标人营业执照注册地在福建省内的得 </w:t>
      </w:r>
      <w:r>
        <w:t>3</w:t>
      </w:r>
      <w:r>
        <w:rPr>
          <w:spacing w:val="-24"/>
        </w:rPr>
        <w:t xml:space="preserve"> 分；</w:t>
      </w:r>
    </w:p>
    <w:p>
      <w:pPr>
        <w:pStyle w:val="BodyText"/>
        <w:spacing w:before="132" w:line="343" w:lineRule="auto"/>
        <w:ind w:left="1405" w:right="875" w:hanging="720"/>
      </w:pPr>
      <w:r>
        <w:rPr>
          <w:spacing w:val="-2"/>
        </w:rPr>
        <w:t>A1-2、投标人营业执照注册地在福建省外，但在福建省内设立有分公司或办事处的，</w:t>
      </w:r>
      <w:r>
        <w:rPr>
          <w:spacing w:val="-8"/>
        </w:rPr>
        <w:t xml:space="preserve">的得 </w:t>
      </w:r>
      <w:r>
        <w:t>1</w:t>
      </w:r>
      <w:r>
        <w:rPr>
          <w:spacing w:val="-8"/>
        </w:rPr>
        <w:t xml:space="preserve"> 分。</w:t>
      </w:r>
    </w:p>
    <w:p>
      <w:pPr>
        <w:pStyle w:val="BodyText"/>
        <w:spacing w:before="1" w:line="343" w:lineRule="auto"/>
        <w:ind w:left="1313" w:right="874" w:hanging="480"/>
      </w:pPr>
      <w:r>
        <w:rPr>
          <w:spacing w:val="-13"/>
        </w:rPr>
        <w:t>注：投标人在福建省内设立有分公司或办事处的，应提供工商局登记证明或办事处所</w:t>
      </w:r>
      <w:r>
        <w:rPr>
          <w:spacing w:val="-2"/>
        </w:rPr>
        <w:t>在地经委出具的备案证明。</w:t>
      </w:r>
    </w:p>
    <w:p>
      <w:pPr>
        <w:pStyle w:val="BodyText"/>
        <w:spacing w:line="343" w:lineRule="auto"/>
        <w:ind w:left="955" w:right="651" w:hanging="480"/>
      </w:pPr>
      <w:r>
        <w:rPr>
          <w:rFonts w:ascii="Times New Roman" w:eastAsia="Times New Roman"/>
          <w:spacing w:val="-1"/>
        </w:rPr>
        <w:t>A2</w:t>
      </w:r>
      <w:r>
        <w:rPr>
          <w:spacing w:val="-6"/>
        </w:rPr>
        <w:t>、投标人具有仍在有效期内的质量管理体系认证证书、职业健康安全管理体系认证证</w:t>
      </w:r>
      <w:r>
        <w:rPr>
          <w:spacing w:val="-9"/>
        </w:rPr>
        <w:t xml:space="preserve">书、环境管理体系认证证书的，同时具有的得 </w:t>
      </w:r>
      <w:r>
        <w:rPr>
          <w:rFonts w:ascii="Times New Roman" w:eastAsia="Times New Roman"/>
        </w:rPr>
        <w:t xml:space="preserve">2 </w:t>
      </w:r>
      <w:r>
        <w:rPr>
          <w:spacing w:val="-5"/>
        </w:rPr>
        <w:t xml:space="preserve">分，具有其中一个或两个的得 </w:t>
      </w:r>
      <w:r>
        <w:rPr>
          <w:rFonts w:ascii="Times New Roman" w:eastAsia="Times New Roman"/>
        </w:rPr>
        <w:t xml:space="preserve">1 </w:t>
      </w:r>
      <w:r>
        <w:rPr>
          <w:spacing w:val="-10"/>
        </w:rPr>
        <w:t>分。</w:t>
      </w:r>
    </w:p>
    <w:p>
      <w:pPr>
        <w:pStyle w:val="BodyText"/>
        <w:spacing w:before="1"/>
        <w:ind w:left="955"/>
      </w:pPr>
      <w:r>
        <w:t>（</w:t>
      </w:r>
      <w:r>
        <w:rPr>
          <w:spacing w:val="-20"/>
        </w:rPr>
        <w:t xml:space="preserve">满分 </w:t>
      </w:r>
      <w:r>
        <w:rPr>
          <w:rFonts w:ascii="Times New Roman" w:eastAsia="Times New Roman"/>
        </w:rPr>
        <w:t xml:space="preserve">2 </w:t>
      </w:r>
      <w:r>
        <w:t>分</w:t>
      </w:r>
      <w:r>
        <w:rPr>
          <w:spacing w:val="-120"/>
        </w:rPr>
        <w:t>）</w:t>
      </w:r>
      <w:r>
        <w:rPr>
          <w:spacing w:val="-10"/>
        </w:rPr>
        <w:t>。</w:t>
      </w:r>
    </w:p>
    <w:p>
      <w:pPr>
        <w:pStyle w:val="BodyText"/>
        <w:spacing w:before="132" w:line="343" w:lineRule="auto"/>
        <w:ind w:left="955" w:right="875" w:hanging="480"/>
      </w:pPr>
      <w:r>
        <w:rPr>
          <w:spacing w:val="-2"/>
        </w:rPr>
        <w:t>A3、投标人获得省级及以上质量技术监督管理部门频发的“讲诚信、重质量”等类似荣</w:t>
      </w:r>
      <w:r>
        <w:rPr>
          <w:spacing w:val="-6"/>
        </w:rPr>
        <w:t xml:space="preserve">誉的得 </w:t>
      </w:r>
      <w:r>
        <w:t>1</w:t>
      </w:r>
      <w:r>
        <w:rPr>
          <w:spacing w:val="-48"/>
        </w:rPr>
        <w:t xml:space="preserve"> 分。</w:t>
      </w:r>
      <w:r>
        <w:t>（</w:t>
      </w:r>
      <w:r>
        <w:rPr>
          <w:spacing w:val="-7"/>
        </w:rPr>
        <w:t xml:space="preserve">满分 </w:t>
      </w:r>
      <w:r>
        <w:t>1</w:t>
      </w:r>
      <w:r>
        <w:rPr>
          <w:spacing w:val="-11"/>
        </w:rPr>
        <w:t xml:space="preserve"> 分</w:t>
      </w:r>
      <w:r>
        <w:rPr>
          <w:spacing w:val="-120"/>
        </w:rPr>
        <w:t>）</w:t>
      </w:r>
      <w:r>
        <w:t>。</w:t>
      </w:r>
    </w:p>
    <w:p>
      <w:pPr>
        <w:pStyle w:val="BodyText"/>
        <w:spacing w:before="1" w:line="343" w:lineRule="auto"/>
        <w:ind w:left="955" w:right="875" w:hanging="480"/>
      </w:pPr>
      <w:r>
        <w:rPr>
          <w:spacing w:val="-2"/>
        </w:rPr>
        <w:t>A4、投标人所服务项目获得市级（设区市）及以上的房管部门颁发的物业管理优秀项目</w:t>
      </w:r>
      <w:r>
        <w:rPr>
          <w:spacing w:val="-2"/>
        </w:rPr>
        <w:t xml:space="preserve">的，每具有一个项目得 </w:t>
      </w:r>
      <w:r>
        <w:t>1</w:t>
      </w:r>
      <w:r>
        <w:rPr>
          <w:spacing w:val="-8"/>
        </w:rPr>
        <w:t xml:space="preserve"> 分，满分 </w:t>
      </w:r>
      <w:r>
        <w:t>2</w:t>
      </w:r>
      <w:r>
        <w:rPr>
          <w:spacing w:val="-8"/>
        </w:rPr>
        <w:t xml:space="preserve"> 分。</w:t>
      </w:r>
    </w:p>
    <w:p>
      <w:pPr>
        <w:spacing w:before="0" w:line="362" w:lineRule="exact"/>
        <w:ind w:left="475" w:right="0" w:firstLine="0"/>
        <w:jc w:val="left"/>
        <w:rPr>
          <w:rFonts w:ascii="Microsoft JhengHei" w:eastAsia="Microsoft JhengHei"/>
          <w:b/>
          <w:sz w:val="24"/>
        </w:rPr>
      </w:pPr>
      <w:r>
        <w:rPr>
          <w:rFonts w:ascii="Microsoft JhengHei" w:eastAsia="Microsoft JhengHei"/>
          <w:b/>
          <w:sz w:val="24"/>
        </w:rPr>
        <w:t>A5</w:t>
      </w:r>
      <w:r>
        <w:rPr>
          <w:rFonts w:ascii="Microsoft JhengHei" w:eastAsia="Microsoft JhengHei"/>
          <w:b/>
          <w:sz w:val="24"/>
        </w:rPr>
        <w:t>、投标人具有省级建设主管部门颁发的物业管理二级及以上资质的得 1</w:t>
      </w:r>
      <w:r>
        <w:rPr>
          <w:rFonts w:ascii="Microsoft JhengHei" w:eastAsia="Microsoft JhengHei"/>
          <w:b/>
          <w:spacing w:val="-40"/>
          <w:sz w:val="24"/>
        </w:rPr>
        <w:t xml:space="preserve"> 分。</w:t>
      </w:r>
      <w:r>
        <w:rPr>
          <w:rFonts w:ascii="Microsoft JhengHei" w:eastAsia="Microsoft JhengHei"/>
          <w:b/>
          <w:sz w:val="24"/>
        </w:rPr>
        <w:t xml:space="preserve">（满分 </w:t>
      </w:r>
      <w:r>
        <w:rPr>
          <w:rFonts w:ascii="Microsoft JhengHei" w:eastAsia="Microsoft JhengHei"/>
          <w:b/>
          <w:spacing w:val="-10"/>
          <w:sz w:val="24"/>
        </w:rPr>
        <w:t>1</w:t>
      </w:r>
    </w:p>
    <w:p>
      <w:pPr>
        <w:spacing w:before="0" w:line="440" w:lineRule="exact"/>
        <w:ind w:left="955" w:right="0" w:firstLine="0"/>
        <w:jc w:val="left"/>
        <w:rPr>
          <w:rFonts w:ascii="Microsoft JhengHei" w:eastAsia="Microsoft JhengHei"/>
          <w:b/>
          <w:sz w:val="24"/>
        </w:rPr>
      </w:pPr>
      <w:r>
        <w:rPr>
          <w:rFonts w:ascii="Microsoft JhengHei" w:eastAsia="Microsoft JhengHei"/>
          <w:b/>
          <w:sz w:val="24"/>
        </w:rPr>
        <w:t>分</w:t>
      </w:r>
      <w:r>
        <w:rPr>
          <w:rFonts w:ascii="Microsoft JhengHei" w:eastAsia="Microsoft JhengHei"/>
          <w:b/>
          <w:spacing w:val="-10"/>
          <w:sz w:val="24"/>
        </w:rPr>
        <w:t>）</w:t>
      </w:r>
    </w:p>
    <w:p>
      <w:pPr>
        <w:spacing w:before="0" w:line="441" w:lineRule="exact"/>
        <w:ind w:left="475" w:right="0" w:firstLine="0"/>
        <w:jc w:val="left"/>
        <w:rPr>
          <w:rFonts w:ascii="Microsoft JhengHei" w:eastAsia="Microsoft JhengHei"/>
          <w:b/>
          <w:sz w:val="24"/>
        </w:rPr>
      </w:pPr>
      <w:r>
        <w:rPr>
          <w:rFonts w:ascii="Microsoft JhengHei" w:eastAsia="Microsoft JhengHei"/>
          <w:b/>
          <w:spacing w:val="-8"/>
          <w:sz w:val="24"/>
        </w:rPr>
        <w:t>A6</w:t>
      </w:r>
      <w:r>
        <w:rPr>
          <w:rFonts w:ascii="Microsoft JhengHei" w:eastAsia="Microsoft JhengHei"/>
          <w:b/>
          <w:spacing w:val="-8"/>
          <w:sz w:val="24"/>
        </w:rPr>
        <w:t>、投标人业绩：满分 3</w:t>
      </w:r>
      <w:r>
        <w:rPr>
          <w:rFonts w:ascii="Microsoft JhengHei" w:eastAsia="Microsoft JhengHei"/>
          <w:b/>
          <w:spacing w:val="-6"/>
          <w:sz w:val="24"/>
        </w:rPr>
        <w:t xml:space="preserve"> 分。</w:t>
      </w:r>
    </w:p>
    <w:p>
      <w:pPr>
        <w:pStyle w:val="BodyText"/>
        <w:spacing w:before="78" w:line="343" w:lineRule="auto"/>
        <w:ind w:left="475" w:right="874" w:firstLine="600"/>
      </w:pPr>
      <w:r>
        <w:rPr>
          <w:spacing w:val="-10"/>
        </w:rPr>
        <w:t xml:space="preserve">根据投标人 </w:t>
      </w:r>
      <w:r>
        <w:t>2009</w:t>
      </w:r>
      <w:r>
        <w:rPr>
          <w:spacing w:val="-40"/>
        </w:rPr>
        <w:t xml:space="preserve"> 年 </w:t>
      </w:r>
      <w:r>
        <w:t>1</w:t>
      </w:r>
      <w:r>
        <w:rPr>
          <w:spacing w:val="-40"/>
        </w:rPr>
        <w:t xml:space="preserve"> 月 </w:t>
      </w:r>
      <w:r>
        <w:t>1</w:t>
      </w:r>
      <w:r>
        <w:rPr>
          <w:spacing w:val="-8"/>
        </w:rPr>
        <w:t xml:space="preserve"> 日至今，由投标人完成的或正在履约中的医院物业管理</w:t>
      </w:r>
      <w:r>
        <w:rPr>
          <w:spacing w:val="-2"/>
        </w:rPr>
        <w:t>项目的业绩情况进行评分（同一家医院只算一份业绩）：</w:t>
      </w:r>
    </w:p>
    <w:p>
      <w:pPr>
        <w:pStyle w:val="BodyText"/>
        <w:spacing w:line="343" w:lineRule="auto"/>
        <w:ind w:left="1405" w:right="754" w:hanging="720"/>
      </w:pPr>
      <w:r>
        <w:rPr>
          <w:spacing w:val="-2"/>
        </w:rPr>
        <w:t>A6-1、提供三级甲等综合性医院合同业绩（单项业绩年合同金额须≥100</w:t>
      </w:r>
      <w:r>
        <w:rPr>
          <w:spacing w:val="-9"/>
        </w:rPr>
        <w:t xml:space="preserve"> 万元人民币，</w:t>
      </w:r>
      <w:r>
        <w:rPr>
          <w:spacing w:val="-2"/>
        </w:rPr>
        <w:t>在合同中应有体现金额，未予体现或未能予以佐证的不得分）的，每具有一份</w:t>
      </w:r>
    </w:p>
    <w:p>
      <w:pPr>
        <w:spacing w:before="0" w:line="363" w:lineRule="exact"/>
        <w:ind w:left="1405" w:right="0" w:firstLine="0"/>
        <w:jc w:val="left"/>
        <w:rPr>
          <w:rFonts w:ascii="Microsoft JhengHei" w:eastAsia="Microsoft JhengHei"/>
          <w:b/>
          <w:sz w:val="24"/>
        </w:rPr>
      </w:pPr>
      <w:r>
        <w:rPr>
          <w:spacing w:val="-10"/>
          <w:sz w:val="24"/>
        </w:rPr>
        <w:t xml:space="preserve">有效业绩得 </w:t>
      </w:r>
      <w:r>
        <w:rPr>
          <w:sz w:val="24"/>
        </w:rPr>
        <w:t>1</w:t>
      </w:r>
      <w:r>
        <w:rPr>
          <w:spacing w:val="-20"/>
          <w:sz w:val="24"/>
        </w:rPr>
        <w:t xml:space="preserve"> 分；</w:t>
      </w:r>
      <w:r>
        <w:rPr>
          <w:rFonts w:ascii="Microsoft JhengHei" w:eastAsia="Microsoft JhengHei"/>
          <w:b/>
          <w:sz w:val="24"/>
        </w:rPr>
        <w:t>（</w:t>
      </w:r>
      <w:r>
        <w:rPr>
          <w:rFonts w:ascii="Microsoft JhengHei" w:eastAsia="Microsoft JhengHei"/>
          <w:b/>
          <w:spacing w:val="-5"/>
          <w:sz w:val="24"/>
        </w:rPr>
        <w:t xml:space="preserve">满分 </w:t>
      </w:r>
      <w:r>
        <w:rPr>
          <w:rFonts w:ascii="Microsoft JhengHei" w:eastAsia="Microsoft JhengHei"/>
          <w:b/>
          <w:sz w:val="24"/>
        </w:rPr>
        <w:t>2</w:t>
      </w:r>
      <w:r>
        <w:rPr>
          <w:rFonts w:ascii="Microsoft JhengHei" w:eastAsia="Microsoft JhengHei"/>
          <w:b/>
          <w:spacing w:val="-5"/>
          <w:sz w:val="24"/>
        </w:rPr>
        <w:t xml:space="preserve"> 分</w:t>
      </w:r>
      <w:r>
        <w:rPr>
          <w:rFonts w:ascii="Microsoft JhengHei" w:eastAsia="Microsoft JhengHei"/>
          <w:b/>
          <w:spacing w:val="-10"/>
          <w:sz w:val="24"/>
        </w:rPr>
        <w:t>）</w:t>
      </w:r>
    </w:p>
    <w:p>
      <w:pPr>
        <w:pStyle w:val="BodyText"/>
        <w:spacing w:before="78"/>
        <w:ind w:left="685"/>
      </w:pPr>
      <w:r>
        <w:t>A6-2</w:t>
      </w:r>
      <w:r>
        <w:rPr>
          <w:spacing w:val="-16"/>
        </w:rPr>
        <w:t>、提供三级乙等综合性医院</w:t>
      </w:r>
      <w:r>
        <w:t>（含</w:t>
      </w:r>
      <w:r>
        <w:rPr>
          <w:spacing w:val="-79"/>
        </w:rPr>
        <w:t>）</w:t>
      </w:r>
      <w:r>
        <w:rPr>
          <w:spacing w:val="-10"/>
        </w:rPr>
        <w:t>物业管理项目业绩</w:t>
      </w:r>
      <w:r>
        <w:t>（单项业绩年合同金额须</w:t>
      </w:r>
      <w:r>
        <w:rPr>
          <w:spacing w:val="-4"/>
        </w:rPr>
        <w:t>≥100</w:t>
      </w:r>
    </w:p>
    <w:p>
      <w:pPr>
        <w:pStyle w:val="BodyText"/>
        <w:spacing w:before="133" w:line="280" w:lineRule="auto"/>
        <w:ind w:left="1405" w:right="755"/>
        <w:rPr>
          <w:rFonts w:ascii="Microsoft JhengHei" w:eastAsia="Microsoft JhengHei"/>
          <w:b/>
        </w:rPr>
      </w:pPr>
      <w:r>
        <w:rPr>
          <w:spacing w:val="-4"/>
        </w:rPr>
        <w:t>万元人民币，在合同中应有体现金额，未予体现或未能予以佐证的不得分）的，</w:t>
      </w:r>
      <w:r>
        <w:rPr>
          <w:spacing w:val="-3"/>
        </w:rPr>
        <w:t xml:space="preserve">每具有一份有效业绩的得 </w:t>
      </w:r>
      <w:r>
        <w:t>0.5</w:t>
      </w:r>
      <w:r>
        <w:rPr>
          <w:spacing w:val="-9"/>
        </w:rPr>
        <w:t xml:space="preserve"> 分；</w:t>
      </w:r>
      <w:r>
        <w:rPr>
          <w:rFonts w:ascii="Microsoft JhengHei" w:eastAsia="Microsoft JhengHei"/>
          <w:b/>
        </w:rPr>
        <w:t>（满分 1 分）</w:t>
      </w:r>
    </w:p>
    <w:p>
      <w:pPr>
        <w:pStyle w:val="BodyText"/>
        <w:spacing w:before="4"/>
        <w:ind w:left="1075"/>
      </w:pPr>
      <w:r>
        <w:rPr>
          <w:spacing w:val="-2"/>
        </w:rPr>
        <w:t>其余不得分。</w:t>
      </w:r>
    </w:p>
    <w:p>
      <w:pPr>
        <w:spacing w:before="53"/>
        <w:ind w:left="475" w:right="0" w:firstLine="0"/>
        <w:jc w:val="left"/>
        <w:rPr>
          <w:rFonts w:ascii="Microsoft JhengHei" w:eastAsia="Microsoft JhengHei"/>
          <w:b/>
          <w:sz w:val="24"/>
        </w:rPr>
      </w:pPr>
      <w:r>
        <w:rPr>
          <w:rFonts w:ascii="Microsoft JhengHei" w:eastAsia="Microsoft JhengHei"/>
          <w:b/>
          <w:spacing w:val="-4"/>
          <w:sz w:val="24"/>
        </w:rPr>
        <w:t>A7</w:t>
      </w:r>
      <w:r>
        <w:rPr>
          <w:rFonts w:ascii="Microsoft JhengHei" w:eastAsia="Microsoft JhengHei"/>
          <w:b/>
          <w:spacing w:val="-4"/>
          <w:sz w:val="24"/>
        </w:rPr>
        <w:t>、投标人所在单位的项目经理总体实力：（满分 3</w:t>
      </w:r>
      <w:r>
        <w:rPr>
          <w:rFonts w:ascii="Microsoft JhengHei" w:eastAsia="Microsoft JhengHei"/>
          <w:b/>
          <w:spacing w:val="-3"/>
          <w:sz w:val="24"/>
        </w:rPr>
        <w:t xml:space="preserve"> 分</w:t>
      </w:r>
      <w:r>
        <w:rPr>
          <w:rFonts w:ascii="Microsoft JhengHei" w:eastAsia="Microsoft JhengHei"/>
          <w:b/>
          <w:spacing w:val="-10"/>
          <w:sz w:val="24"/>
        </w:rPr>
        <w:t>）</w:t>
      </w:r>
    </w:p>
    <w:p>
      <w:pPr>
        <w:spacing w:after="0"/>
        <w:jc w:val="left"/>
        <w:rPr>
          <w:rFonts w:ascii="Microsoft JhengHei" w:eastAsia="Microsoft JhengHei"/>
          <w:sz w:val="24"/>
        </w:rPr>
        <w:sectPr>
          <w:headerReference w:type="default" r:id="rId23"/>
          <w:footerReference w:type="default" r:id="rId24"/>
          <w:pgSz w:w="11910" w:h="16840"/>
          <w:pgMar w:top="1240" w:right="320" w:bottom="1180" w:left="1100" w:header="884" w:footer="991"/>
          <w:pgNumType w:start="7"/>
          <w:cols w:space="708"/>
        </w:sectPr>
      </w:pPr>
    </w:p>
    <w:p>
      <w:pPr>
        <w:pStyle w:val="BodyText"/>
        <w:spacing w:before="10"/>
        <w:rPr>
          <w:rFonts w:ascii="Microsoft JhengHei"/>
          <w:b/>
          <w:sz w:val="8"/>
        </w:rPr>
      </w:pPr>
    </w:p>
    <w:p>
      <w:pPr>
        <w:pStyle w:val="BodyText"/>
        <w:spacing w:before="66" w:line="280" w:lineRule="auto"/>
        <w:ind w:left="1405" w:right="754" w:hanging="720"/>
        <w:rPr>
          <w:rFonts w:ascii="Microsoft JhengHei" w:eastAsia="Microsoft JhengHei"/>
          <w:b/>
        </w:rPr>
      </w:pPr>
      <w:r>
        <w:rPr>
          <w:spacing w:val="-2"/>
        </w:rPr>
        <w:t>A7-1</w:t>
      </w:r>
      <w:r>
        <w:rPr>
          <w:spacing w:val="-11"/>
        </w:rPr>
        <w:t>、从事过三级甲等综合性医院项目经理职位且具有五年以上同类项目管理经验的，</w:t>
      </w:r>
      <w:r>
        <w:rPr>
          <w:spacing w:val="-4"/>
        </w:rPr>
        <w:t xml:space="preserve">每具有一个得 </w:t>
      </w:r>
      <w:r>
        <w:t>0.5</w:t>
      </w:r>
      <w:r>
        <w:rPr>
          <w:spacing w:val="-49"/>
        </w:rPr>
        <w:t xml:space="preserve"> 分。</w:t>
      </w:r>
      <w:r>
        <w:rPr>
          <w:rFonts w:ascii="Microsoft JhengHei" w:eastAsia="Microsoft JhengHei"/>
          <w:b/>
        </w:rPr>
        <w:t>（满分 2 分）</w:t>
      </w:r>
    </w:p>
    <w:p>
      <w:pPr>
        <w:pStyle w:val="BodyText"/>
        <w:spacing w:before="4" w:line="280" w:lineRule="auto"/>
        <w:ind w:left="1405" w:right="754" w:hanging="720"/>
        <w:rPr>
          <w:rFonts w:ascii="Microsoft JhengHei" w:eastAsia="Microsoft JhengHei"/>
          <w:b/>
        </w:rPr>
      </w:pPr>
      <w:r>
        <w:rPr>
          <w:spacing w:val="-2"/>
        </w:rPr>
        <w:t>A7-2</w:t>
      </w:r>
      <w:r>
        <w:rPr>
          <w:spacing w:val="-11"/>
        </w:rPr>
        <w:t>、从事过三级乙等综合性医院项目经理职位且具有五年以上同类项目管理经验的，</w:t>
      </w:r>
      <w:r>
        <w:rPr>
          <w:spacing w:val="-4"/>
        </w:rPr>
        <w:t xml:space="preserve">每具有一个得 </w:t>
      </w:r>
      <w:r>
        <w:t>0.3</w:t>
      </w:r>
      <w:r>
        <w:rPr>
          <w:spacing w:val="-49"/>
        </w:rPr>
        <w:t xml:space="preserve"> 分。</w:t>
      </w:r>
      <w:r>
        <w:rPr>
          <w:rFonts w:ascii="Microsoft JhengHei" w:eastAsia="Microsoft JhengHei"/>
          <w:b/>
        </w:rPr>
        <w:t>（满分 1 分）</w:t>
      </w:r>
    </w:p>
    <w:p>
      <w:pPr>
        <w:pStyle w:val="BodyText"/>
        <w:spacing w:before="4"/>
        <w:ind w:left="955"/>
      </w:pPr>
      <w:r>
        <w:rPr>
          <w:spacing w:val="-1"/>
        </w:rPr>
        <w:t>投标人应提供服务合同以及医院物业管理部门出具的相关证明材料。</w:t>
      </w:r>
    </w:p>
    <w:p>
      <w:pPr>
        <w:spacing w:before="53"/>
        <w:ind w:left="955" w:right="875" w:hanging="480"/>
        <w:jc w:val="left"/>
        <w:rPr>
          <w:rFonts w:ascii="Microsoft JhengHei" w:eastAsia="Microsoft JhengHei"/>
          <w:b/>
          <w:sz w:val="24"/>
        </w:rPr>
      </w:pPr>
      <w:r>
        <w:rPr>
          <w:rFonts w:ascii="Microsoft JhengHei" w:eastAsia="Microsoft JhengHei"/>
          <w:b/>
          <w:spacing w:val="-2"/>
          <w:sz w:val="24"/>
        </w:rPr>
        <w:t>A8、投标人派驻本项目的项目经理取得省级建设管理部门颁发的全国物业管理企业经理</w:t>
      </w:r>
      <w:r>
        <w:rPr>
          <w:rFonts w:ascii="Microsoft JhengHei" w:eastAsia="Microsoft JhengHei"/>
          <w:b/>
          <w:sz w:val="24"/>
        </w:rPr>
        <w:t>岗位证书的得 1</w:t>
      </w:r>
      <w:r>
        <w:rPr>
          <w:rFonts w:ascii="Microsoft JhengHei" w:eastAsia="Microsoft JhengHei"/>
          <w:b/>
          <w:spacing w:val="-40"/>
          <w:sz w:val="24"/>
        </w:rPr>
        <w:t xml:space="preserve"> 分。</w:t>
      </w:r>
      <w:r>
        <w:rPr>
          <w:rFonts w:ascii="Microsoft JhengHei" w:eastAsia="Microsoft JhengHei"/>
          <w:b/>
          <w:sz w:val="24"/>
        </w:rPr>
        <w:t>（满分 1 分）</w:t>
      </w:r>
    </w:p>
    <w:p>
      <w:pPr>
        <w:spacing w:before="0" w:line="438" w:lineRule="exact"/>
        <w:ind w:left="475" w:right="0" w:firstLine="0"/>
        <w:jc w:val="left"/>
        <w:rPr>
          <w:rFonts w:ascii="Microsoft JhengHei" w:eastAsia="Microsoft JhengHei"/>
          <w:b/>
          <w:sz w:val="24"/>
        </w:rPr>
      </w:pPr>
      <w:r>
        <w:rPr>
          <w:rFonts w:ascii="Microsoft JhengHei" w:eastAsia="Microsoft JhengHei"/>
          <w:b/>
          <w:spacing w:val="-4"/>
          <w:sz w:val="24"/>
        </w:rPr>
        <w:t>A9</w:t>
      </w:r>
      <w:r>
        <w:rPr>
          <w:rFonts w:ascii="Microsoft JhengHei" w:eastAsia="Microsoft JhengHei"/>
          <w:b/>
          <w:spacing w:val="1"/>
          <w:sz w:val="24"/>
        </w:rPr>
        <w:t xml:space="preserve">、近 </w:t>
      </w:r>
      <w:r>
        <w:rPr>
          <w:rFonts w:ascii="Microsoft JhengHei" w:eastAsia="Microsoft JhengHei"/>
          <w:b/>
          <w:spacing w:val="-4"/>
          <w:sz w:val="24"/>
        </w:rPr>
        <w:t>5 年内已完成或正在履行期内的医院（三乙及以上等级）</w:t>
      </w:r>
      <w:r>
        <w:rPr>
          <w:rFonts w:ascii="Microsoft JhengHei" w:eastAsia="Microsoft JhengHei"/>
          <w:b/>
          <w:spacing w:val="-5"/>
          <w:sz w:val="24"/>
        </w:rPr>
        <w:t>的满意证明材料，每提</w:t>
      </w:r>
    </w:p>
    <w:p>
      <w:pPr>
        <w:spacing w:before="0" w:line="440" w:lineRule="exact"/>
        <w:ind w:left="955" w:right="0" w:firstLine="0"/>
        <w:jc w:val="left"/>
        <w:rPr>
          <w:rFonts w:ascii="Microsoft JhengHei" w:eastAsia="Microsoft JhengHei"/>
          <w:b/>
          <w:sz w:val="24"/>
        </w:rPr>
      </w:pPr>
      <w:r>
        <w:rPr>
          <w:rFonts w:ascii="Microsoft JhengHei" w:eastAsia="Microsoft JhengHei"/>
          <w:b/>
          <w:spacing w:val="1"/>
          <w:sz w:val="24"/>
        </w:rPr>
        <w:t xml:space="preserve">供一份证明材料的得 </w:t>
      </w:r>
      <w:r>
        <w:rPr>
          <w:rFonts w:ascii="Microsoft JhengHei" w:eastAsia="Microsoft JhengHei"/>
          <w:b/>
          <w:w w:val="62"/>
          <w:sz w:val="24"/>
        </w:rPr>
        <w:t>0</w:t>
      </w:r>
      <w:r>
        <w:rPr>
          <w:rFonts w:ascii="Microsoft JhengHei" w:eastAsia="Microsoft JhengHei"/>
          <w:b/>
          <w:w w:val="175"/>
          <w:sz w:val="24"/>
        </w:rPr>
        <w:t>.</w:t>
      </w:r>
      <w:r>
        <w:rPr>
          <w:rFonts w:ascii="Microsoft JhengHei" w:eastAsia="Microsoft JhengHei"/>
          <w:b/>
          <w:w w:val="62"/>
          <w:sz w:val="24"/>
        </w:rPr>
        <w:t>3</w:t>
      </w:r>
      <w:r>
        <w:rPr>
          <w:rFonts w:ascii="Microsoft JhengHei" w:eastAsia="Microsoft JhengHei"/>
          <w:b/>
          <w:spacing w:val="-36"/>
          <w:sz w:val="24"/>
        </w:rPr>
        <w:t xml:space="preserve"> 分。</w:t>
      </w:r>
      <w:r>
        <w:rPr>
          <w:rFonts w:ascii="Microsoft JhengHei" w:eastAsia="Microsoft JhengHei"/>
          <w:b/>
          <w:sz w:val="24"/>
        </w:rPr>
        <w:t>（</w:t>
      </w:r>
      <w:r>
        <w:rPr>
          <w:rFonts w:ascii="Microsoft JhengHei" w:eastAsia="Microsoft JhengHei"/>
          <w:b/>
          <w:spacing w:val="4"/>
          <w:sz w:val="24"/>
        </w:rPr>
        <w:t xml:space="preserve">满分 </w:t>
      </w:r>
      <w:r>
        <w:rPr>
          <w:rFonts w:ascii="Microsoft JhengHei" w:eastAsia="Microsoft JhengHei"/>
          <w:b/>
          <w:sz w:val="24"/>
        </w:rPr>
        <w:t>3</w:t>
      </w:r>
      <w:r>
        <w:rPr>
          <w:rFonts w:ascii="Microsoft JhengHei" w:eastAsia="Microsoft JhengHei"/>
          <w:b/>
          <w:spacing w:val="6"/>
          <w:sz w:val="24"/>
        </w:rPr>
        <w:t xml:space="preserve"> 分</w:t>
      </w:r>
      <w:r>
        <w:rPr>
          <w:rFonts w:ascii="Microsoft JhengHei" w:eastAsia="Microsoft JhengHei"/>
          <w:b/>
          <w:spacing w:val="-120"/>
          <w:sz w:val="24"/>
        </w:rPr>
        <w:t>）</w:t>
      </w:r>
      <w:r>
        <w:rPr>
          <w:rFonts w:ascii="Microsoft JhengHei" w:eastAsia="Microsoft JhengHei"/>
          <w:b/>
          <w:spacing w:val="-10"/>
          <w:sz w:val="24"/>
        </w:rPr>
        <w:t>。</w:t>
      </w:r>
    </w:p>
    <w:p>
      <w:pPr>
        <w:spacing w:before="0" w:line="280" w:lineRule="auto"/>
        <w:ind w:left="417" w:right="875" w:firstLine="475"/>
        <w:jc w:val="both"/>
        <w:rPr>
          <w:rFonts w:ascii="Microsoft JhengHei" w:eastAsia="Microsoft JhengHei"/>
          <w:b/>
          <w:sz w:val="24"/>
        </w:rPr>
      </w:pPr>
      <w:r>
        <w:rPr>
          <w:rFonts w:ascii="Microsoft JhengHei" w:eastAsia="Microsoft JhengHei"/>
          <w:b/>
          <w:spacing w:val="-2"/>
          <w:sz w:val="24"/>
        </w:rPr>
        <w:t>注：</w:t>
      </w:r>
      <w:r>
        <w:rPr>
          <w:spacing w:val="-2"/>
          <w:sz w:val="24"/>
        </w:rPr>
        <w:t>完整的满意证明材料应包括：医院出具的满意证明材料及双方签订的合同复印</w:t>
      </w:r>
      <w:r>
        <w:rPr>
          <w:spacing w:val="-2"/>
          <w:sz w:val="24"/>
        </w:rPr>
        <w:t>件，同时列表注明医院名称、等级、联系人、联系方式、合同签订时间，否则不得分。</w:t>
      </w:r>
      <w:r>
        <w:rPr>
          <w:spacing w:val="-2"/>
          <w:sz w:val="24"/>
        </w:rPr>
        <w:t xml:space="preserve"> </w:t>
      </w:r>
      <w:r>
        <w:rPr>
          <w:rFonts w:ascii="Microsoft JhengHei" w:eastAsia="Microsoft JhengHei"/>
          <w:b/>
          <w:sz w:val="24"/>
        </w:rPr>
        <w:t>A10</w:t>
      </w:r>
      <w:r>
        <w:rPr>
          <w:rFonts w:ascii="Microsoft JhengHei" w:eastAsia="Microsoft JhengHei"/>
          <w:b/>
          <w:sz w:val="24"/>
        </w:rPr>
        <w:t>、投标人经营年限情况（满 2 分</w:t>
      </w:r>
      <w:r>
        <w:rPr>
          <w:rFonts w:ascii="Microsoft JhengHei" w:eastAsia="Microsoft JhengHei"/>
          <w:b/>
          <w:spacing w:val="-120"/>
          <w:sz w:val="24"/>
        </w:rPr>
        <w:t>）</w:t>
      </w:r>
      <w:r>
        <w:rPr>
          <w:rFonts w:ascii="Microsoft JhengHei" w:eastAsia="Microsoft JhengHei"/>
          <w:b/>
          <w:sz w:val="24"/>
        </w:rPr>
        <w:t>。</w:t>
      </w:r>
    </w:p>
    <w:p>
      <w:pPr>
        <w:pStyle w:val="BodyText"/>
        <w:spacing w:before="6"/>
        <w:ind w:left="715"/>
      </w:pPr>
      <w:r>
        <w:t>A11-1</w:t>
      </w:r>
      <w:r>
        <w:rPr>
          <w:spacing w:val="-9"/>
        </w:rPr>
        <w:t xml:space="preserve"> 经营年限在 </w:t>
      </w:r>
      <w:r>
        <w:t>8</w:t>
      </w:r>
      <w:r>
        <w:rPr>
          <w:spacing w:val="-12"/>
        </w:rPr>
        <w:t xml:space="preserve"> 周年以上</w:t>
      </w:r>
      <w:r>
        <w:t>（</w:t>
      </w:r>
      <w:r>
        <w:rPr>
          <w:spacing w:val="-30"/>
        </w:rPr>
        <w:t xml:space="preserve">含 </w:t>
      </w:r>
      <w:r>
        <w:t>8</w:t>
      </w:r>
      <w:r>
        <w:rPr>
          <w:spacing w:val="-20"/>
        </w:rPr>
        <w:t xml:space="preserve"> 周年</w:t>
      </w:r>
      <w:r>
        <w:t>）</w:t>
      </w:r>
      <w:r>
        <w:rPr>
          <w:spacing w:val="-20"/>
        </w:rPr>
        <w:t xml:space="preserve">的得 </w:t>
      </w:r>
      <w:r>
        <w:t>2</w:t>
      </w:r>
      <w:r>
        <w:rPr>
          <w:spacing w:val="-24"/>
        </w:rPr>
        <w:t xml:space="preserve"> 分；</w:t>
      </w:r>
    </w:p>
    <w:p>
      <w:pPr>
        <w:pStyle w:val="BodyText"/>
        <w:spacing w:before="133" w:line="343" w:lineRule="auto"/>
        <w:ind w:left="715" w:right="891"/>
      </w:pPr>
      <w:r>
        <w:rPr>
          <w:spacing w:val="-4"/>
        </w:rPr>
        <w:t>A11-2</w:t>
      </w:r>
      <w:r>
        <w:rPr>
          <w:spacing w:val="-21"/>
        </w:rPr>
        <w:t xml:space="preserve"> 经营年限在 </w:t>
      </w:r>
      <w:r>
        <w:rPr>
          <w:spacing w:val="-4"/>
        </w:rPr>
        <w:t>5</w:t>
      </w:r>
      <w:r>
        <w:rPr>
          <w:spacing w:val="-16"/>
        </w:rPr>
        <w:t xml:space="preserve"> 周年以上</w:t>
      </w:r>
      <w:r>
        <w:rPr>
          <w:spacing w:val="-4"/>
        </w:rPr>
        <w:t>（</w:t>
      </w:r>
      <w:r>
        <w:rPr>
          <w:spacing w:val="-32"/>
        </w:rPr>
        <w:t xml:space="preserve">含 </w:t>
      </w:r>
      <w:r>
        <w:rPr>
          <w:spacing w:val="-4"/>
        </w:rPr>
        <w:t>5</w:t>
      </w:r>
      <w:r>
        <w:rPr>
          <w:spacing w:val="-23"/>
        </w:rPr>
        <w:t xml:space="preserve"> 周年</w:t>
      </w:r>
      <w:r>
        <w:rPr>
          <w:spacing w:val="-84"/>
        </w:rPr>
        <w:t>）</w:t>
      </w:r>
      <w:r>
        <w:rPr>
          <w:spacing w:val="36"/>
        </w:rPr>
        <w:t>，8</w:t>
      </w:r>
      <w:r>
        <w:rPr>
          <w:spacing w:val="-16"/>
        </w:rPr>
        <w:t xml:space="preserve"> 周年以下</w:t>
      </w:r>
      <w:r>
        <w:rPr>
          <w:spacing w:val="-4"/>
        </w:rPr>
        <w:t>（</w:t>
      </w:r>
      <w:r>
        <w:rPr>
          <w:spacing w:val="-23"/>
        </w:rPr>
        <w:t xml:space="preserve">不含 </w:t>
      </w:r>
      <w:r>
        <w:rPr>
          <w:spacing w:val="-4"/>
        </w:rPr>
        <w:t>8</w:t>
      </w:r>
      <w:r>
        <w:rPr>
          <w:spacing w:val="-23"/>
        </w:rPr>
        <w:t xml:space="preserve"> 周年</w:t>
      </w:r>
      <w:r>
        <w:rPr>
          <w:spacing w:val="-4"/>
        </w:rPr>
        <w:t>）</w:t>
      </w:r>
      <w:r>
        <w:rPr>
          <w:spacing w:val="-23"/>
        </w:rPr>
        <w:t xml:space="preserve">的得 </w:t>
      </w:r>
      <w:r>
        <w:rPr>
          <w:spacing w:val="-4"/>
        </w:rPr>
        <w:t>1.5</w:t>
      </w:r>
      <w:r>
        <w:rPr>
          <w:spacing w:val="-23"/>
        </w:rPr>
        <w:t xml:space="preserve"> 分；</w:t>
      </w:r>
      <w:r>
        <w:rPr>
          <w:spacing w:val="-4"/>
        </w:rPr>
        <w:t xml:space="preserve"> </w:t>
      </w:r>
      <w:r>
        <w:t>A11-3</w:t>
      </w:r>
      <w:r>
        <w:rPr>
          <w:spacing w:val="-17"/>
        </w:rPr>
        <w:t xml:space="preserve"> 经营年限在 </w:t>
      </w:r>
      <w:r>
        <w:t>3</w:t>
      </w:r>
      <w:r>
        <w:rPr>
          <w:spacing w:val="-12"/>
        </w:rPr>
        <w:t xml:space="preserve"> 周年以上</w:t>
      </w:r>
      <w:r>
        <w:t>（</w:t>
      </w:r>
      <w:r>
        <w:rPr>
          <w:spacing w:val="-29"/>
        </w:rPr>
        <w:t xml:space="preserve">含 </w:t>
      </w:r>
      <w:r>
        <w:t>3</w:t>
      </w:r>
      <w:r>
        <w:rPr>
          <w:spacing w:val="-20"/>
        </w:rPr>
        <w:t xml:space="preserve"> 周年</w:t>
      </w:r>
      <w:r>
        <w:rPr>
          <w:spacing w:val="-80"/>
        </w:rPr>
        <w:t>）</w:t>
      </w:r>
      <w:r>
        <w:rPr>
          <w:spacing w:val="40"/>
        </w:rPr>
        <w:t>，5</w:t>
      </w:r>
      <w:r>
        <w:rPr>
          <w:spacing w:val="-12"/>
        </w:rPr>
        <w:t xml:space="preserve"> 周年以下</w:t>
      </w:r>
      <w:r>
        <w:t>（</w:t>
      </w:r>
      <w:r>
        <w:rPr>
          <w:spacing w:val="-19"/>
        </w:rPr>
        <w:t xml:space="preserve">不含 </w:t>
      </w:r>
      <w:r>
        <w:t>5</w:t>
      </w:r>
      <w:r>
        <w:rPr>
          <w:spacing w:val="-20"/>
        </w:rPr>
        <w:t xml:space="preserve"> 周年</w:t>
      </w:r>
      <w:r>
        <w:t>）</w:t>
      </w:r>
      <w:r>
        <w:rPr>
          <w:spacing w:val="-19"/>
        </w:rPr>
        <w:t xml:space="preserve">的得 </w:t>
      </w:r>
      <w:r>
        <w:t>1</w:t>
      </w:r>
      <w:r>
        <w:rPr>
          <w:spacing w:val="-20"/>
        </w:rPr>
        <w:t xml:space="preserve"> 分；</w:t>
      </w:r>
      <w:r>
        <w:t xml:space="preserve"> A11-4</w:t>
      </w:r>
      <w:r>
        <w:rPr>
          <w:spacing w:val="-12"/>
        </w:rPr>
        <w:t xml:space="preserve"> 经营年限在 </w:t>
      </w:r>
      <w:r>
        <w:t>3</w:t>
      </w:r>
      <w:r>
        <w:rPr>
          <w:spacing w:val="-8"/>
        </w:rPr>
        <w:t xml:space="preserve"> 周年以下</w:t>
      </w:r>
      <w:r>
        <w:t>（</w:t>
      </w:r>
      <w:r>
        <w:rPr>
          <w:spacing w:val="-13"/>
        </w:rPr>
        <w:t xml:space="preserve">不含 </w:t>
      </w:r>
      <w:r>
        <w:t>3</w:t>
      </w:r>
      <w:r>
        <w:rPr>
          <w:spacing w:val="-13"/>
        </w:rPr>
        <w:t xml:space="preserve"> 周年</w:t>
      </w:r>
      <w:r>
        <w:t>）</w:t>
      </w:r>
      <w:r>
        <w:rPr>
          <w:spacing w:val="-13"/>
        </w:rPr>
        <w:t xml:space="preserve">的得 </w:t>
      </w:r>
      <w:r>
        <w:t>0.5</w:t>
      </w:r>
      <w:r>
        <w:rPr>
          <w:spacing w:val="-13"/>
        </w:rPr>
        <w:t xml:space="preserve"> 分。</w:t>
      </w:r>
    </w:p>
    <w:p>
      <w:pPr>
        <w:spacing w:before="0" w:line="379" w:lineRule="exact"/>
        <w:ind w:left="475" w:right="0" w:firstLine="0"/>
        <w:jc w:val="left"/>
        <w:rPr>
          <w:sz w:val="24"/>
        </w:rPr>
      </w:pPr>
      <w:r>
        <w:rPr>
          <w:rFonts w:ascii="Microsoft JhengHei" w:eastAsia="Microsoft JhengHei"/>
          <w:b/>
          <w:spacing w:val="-4"/>
          <w:sz w:val="24"/>
        </w:rPr>
        <w:t>A11</w:t>
      </w:r>
      <w:r>
        <w:rPr>
          <w:rFonts w:ascii="Microsoft JhengHei" w:eastAsia="Microsoft JhengHei"/>
          <w:b/>
          <w:spacing w:val="-4"/>
          <w:sz w:val="24"/>
        </w:rPr>
        <w:t>、单个项目履约年限：</w:t>
      </w:r>
      <w:r>
        <w:rPr>
          <w:spacing w:val="-4"/>
          <w:sz w:val="24"/>
        </w:rPr>
        <w:t>根据投标人所服务的单个医院（三级乙等及以上等级的医院</w:t>
      </w:r>
      <w:r>
        <w:rPr>
          <w:spacing w:val="-10"/>
          <w:sz w:val="24"/>
        </w:rPr>
        <w:t>）</w:t>
      </w:r>
    </w:p>
    <w:p>
      <w:pPr>
        <w:pStyle w:val="BodyText"/>
        <w:spacing w:before="97" w:line="345" w:lineRule="auto"/>
        <w:ind w:left="715" w:right="4491" w:firstLine="240"/>
      </w:pPr>
      <w:r>
        <w:rPr>
          <w:spacing w:val="-5"/>
        </w:rPr>
        <w:t xml:space="preserve">的实际连续履约年限情况进行评议，满分 </w:t>
      </w:r>
      <w:r>
        <w:rPr>
          <w:spacing w:val="-2"/>
        </w:rPr>
        <w:t>3</w:t>
      </w:r>
      <w:r>
        <w:rPr>
          <w:spacing w:val="-21"/>
        </w:rPr>
        <w:t xml:space="preserve"> 分。</w:t>
      </w:r>
      <w:r>
        <w:rPr>
          <w:spacing w:val="-2"/>
        </w:rPr>
        <w:t xml:space="preserve"> </w:t>
      </w:r>
      <w:r>
        <w:t>A12-1</w:t>
      </w:r>
      <w:r>
        <w:rPr>
          <w:spacing w:val="-9"/>
        </w:rPr>
        <w:t xml:space="preserve"> 服务年限在 </w:t>
      </w:r>
      <w:r>
        <w:t>8</w:t>
      </w:r>
      <w:r>
        <w:rPr>
          <w:spacing w:val="-15"/>
        </w:rPr>
        <w:t xml:space="preserve"> 年以上</w:t>
      </w:r>
      <w:r>
        <w:t>（</w:t>
      </w:r>
      <w:r>
        <w:rPr>
          <w:spacing w:val="-30"/>
        </w:rPr>
        <w:t xml:space="preserve">含 </w:t>
      </w:r>
      <w:r>
        <w:t>8</w:t>
      </w:r>
      <w:r>
        <w:rPr>
          <w:spacing w:val="-30"/>
        </w:rPr>
        <w:t xml:space="preserve"> 年</w:t>
      </w:r>
      <w:r>
        <w:t>）</w:t>
      </w:r>
      <w:r>
        <w:rPr>
          <w:spacing w:val="-20"/>
        </w:rPr>
        <w:t xml:space="preserve">的得 </w:t>
      </w:r>
      <w:r>
        <w:t>3</w:t>
      </w:r>
      <w:r>
        <w:rPr>
          <w:spacing w:val="-24"/>
        </w:rPr>
        <w:t xml:space="preserve"> 分；</w:t>
      </w:r>
    </w:p>
    <w:p>
      <w:pPr>
        <w:pStyle w:val="BodyText"/>
        <w:spacing w:line="343" w:lineRule="auto"/>
        <w:ind w:left="715" w:right="1851"/>
        <w:jc w:val="both"/>
      </w:pPr>
      <w:r>
        <w:rPr>
          <w:spacing w:val="-18"/>
        </w:rPr>
        <w:t>A12-2</w:t>
      </w:r>
      <w:r>
        <w:rPr>
          <w:spacing w:val="-17"/>
        </w:rPr>
        <w:t xml:space="preserve"> 服务年限在 </w:t>
      </w:r>
      <w:r>
        <w:rPr>
          <w:spacing w:val="-18"/>
        </w:rPr>
        <w:t>5</w:t>
      </w:r>
      <w:r>
        <w:rPr>
          <w:spacing w:val="-17"/>
        </w:rPr>
        <w:t xml:space="preserve"> 年以上</w:t>
      </w:r>
      <w:r>
        <w:rPr>
          <w:spacing w:val="-18"/>
        </w:rPr>
        <w:t>（</w:t>
      </w:r>
      <w:r>
        <w:rPr>
          <w:spacing w:val="-16"/>
        </w:rPr>
        <w:t xml:space="preserve">不含 </w:t>
      </w:r>
      <w:r>
        <w:rPr>
          <w:spacing w:val="-18"/>
        </w:rPr>
        <w:t>5</w:t>
      </w:r>
      <w:r>
        <w:rPr>
          <w:spacing w:val="-15"/>
        </w:rPr>
        <w:t xml:space="preserve"> 年</w:t>
      </w:r>
      <w:r>
        <w:rPr>
          <w:spacing w:val="-98"/>
        </w:rPr>
        <w:t>）</w:t>
      </w:r>
      <w:r>
        <w:rPr>
          <w:spacing w:val="22"/>
        </w:rPr>
        <w:t>，8</w:t>
      </w:r>
      <w:r>
        <w:rPr>
          <w:spacing w:val="-17"/>
        </w:rPr>
        <w:t xml:space="preserve"> 年以下</w:t>
      </w:r>
      <w:r>
        <w:rPr>
          <w:spacing w:val="-18"/>
        </w:rPr>
        <w:t>（</w:t>
      </w:r>
      <w:r>
        <w:rPr>
          <w:spacing w:val="-16"/>
        </w:rPr>
        <w:t xml:space="preserve">不含 </w:t>
      </w:r>
      <w:r>
        <w:rPr>
          <w:spacing w:val="-18"/>
        </w:rPr>
        <w:t>8</w:t>
      </w:r>
      <w:r>
        <w:rPr>
          <w:spacing w:val="-15"/>
        </w:rPr>
        <w:t xml:space="preserve"> 年</w:t>
      </w:r>
      <w:r>
        <w:rPr>
          <w:spacing w:val="-18"/>
        </w:rPr>
        <w:t>）</w:t>
      </w:r>
      <w:r>
        <w:rPr>
          <w:spacing w:val="-16"/>
        </w:rPr>
        <w:t xml:space="preserve">的得 </w:t>
      </w:r>
      <w:r>
        <w:rPr>
          <w:spacing w:val="-18"/>
        </w:rPr>
        <w:t>2</w:t>
      </w:r>
      <w:r>
        <w:rPr>
          <w:spacing w:val="-16"/>
        </w:rPr>
        <w:t xml:space="preserve"> 分；</w:t>
      </w:r>
      <w:r>
        <w:rPr>
          <w:spacing w:val="-18"/>
        </w:rPr>
        <w:t xml:space="preserve"> A12-3</w:t>
      </w:r>
      <w:r>
        <w:rPr>
          <w:spacing w:val="-17"/>
        </w:rPr>
        <w:t xml:space="preserve"> 服务年限在 </w:t>
      </w:r>
      <w:r>
        <w:rPr>
          <w:spacing w:val="-18"/>
        </w:rPr>
        <w:t>3</w:t>
      </w:r>
      <w:r>
        <w:rPr>
          <w:spacing w:val="-17"/>
        </w:rPr>
        <w:t xml:space="preserve"> 年以上</w:t>
      </w:r>
      <w:r>
        <w:rPr>
          <w:spacing w:val="-18"/>
        </w:rPr>
        <w:t>（</w:t>
      </w:r>
      <w:r>
        <w:rPr>
          <w:spacing w:val="-16"/>
        </w:rPr>
        <w:t xml:space="preserve">不含 </w:t>
      </w:r>
      <w:r>
        <w:rPr>
          <w:spacing w:val="-18"/>
        </w:rPr>
        <w:t>3</w:t>
      </w:r>
      <w:r>
        <w:rPr>
          <w:spacing w:val="-15"/>
        </w:rPr>
        <w:t xml:space="preserve"> 年</w:t>
      </w:r>
      <w:r>
        <w:rPr>
          <w:spacing w:val="-98"/>
        </w:rPr>
        <w:t>）</w:t>
      </w:r>
      <w:r>
        <w:rPr>
          <w:spacing w:val="22"/>
        </w:rPr>
        <w:t>，5</w:t>
      </w:r>
      <w:r>
        <w:rPr>
          <w:spacing w:val="-17"/>
        </w:rPr>
        <w:t xml:space="preserve"> 年以下</w:t>
      </w:r>
      <w:r>
        <w:rPr>
          <w:spacing w:val="-18"/>
        </w:rPr>
        <w:t>（</w:t>
      </w:r>
      <w:r>
        <w:rPr>
          <w:spacing w:val="-16"/>
        </w:rPr>
        <w:t xml:space="preserve">不含 </w:t>
      </w:r>
      <w:r>
        <w:rPr>
          <w:spacing w:val="-18"/>
        </w:rPr>
        <w:t>5</w:t>
      </w:r>
      <w:r>
        <w:rPr>
          <w:spacing w:val="-15"/>
        </w:rPr>
        <w:t xml:space="preserve"> 年</w:t>
      </w:r>
      <w:r>
        <w:rPr>
          <w:spacing w:val="-18"/>
        </w:rPr>
        <w:t>）</w:t>
      </w:r>
      <w:r>
        <w:rPr>
          <w:spacing w:val="-16"/>
        </w:rPr>
        <w:t xml:space="preserve">的得 </w:t>
      </w:r>
      <w:r>
        <w:rPr>
          <w:spacing w:val="-18"/>
        </w:rPr>
        <w:t>1</w:t>
      </w:r>
      <w:r>
        <w:rPr>
          <w:spacing w:val="-16"/>
        </w:rPr>
        <w:t xml:space="preserve"> 分；</w:t>
      </w:r>
      <w:r>
        <w:rPr>
          <w:spacing w:val="-18"/>
        </w:rPr>
        <w:t xml:space="preserve"> </w:t>
      </w:r>
      <w:r>
        <w:t>A12-4</w:t>
      </w:r>
      <w:r>
        <w:rPr>
          <w:spacing w:val="-12"/>
        </w:rPr>
        <w:t xml:space="preserve"> 服务年限在 </w:t>
      </w:r>
      <w:r>
        <w:t>3</w:t>
      </w:r>
      <w:r>
        <w:rPr>
          <w:spacing w:val="-10"/>
        </w:rPr>
        <w:t xml:space="preserve"> 年以下</w:t>
      </w:r>
      <w:r>
        <w:t>（</w:t>
      </w:r>
      <w:r>
        <w:rPr>
          <w:spacing w:val="-19"/>
        </w:rPr>
        <w:t xml:space="preserve">含 </w:t>
      </w:r>
      <w:r>
        <w:t>3</w:t>
      </w:r>
      <w:r>
        <w:rPr>
          <w:spacing w:val="-19"/>
        </w:rPr>
        <w:t xml:space="preserve"> 年</w:t>
      </w:r>
      <w:r>
        <w:t>）</w:t>
      </w:r>
      <w:r>
        <w:rPr>
          <w:spacing w:val="-13"/>
        </w:rPr>
        <w:t xml:space="preserve">的得 </w:t>
      </w:r>
      <w:r>
        <w:t>0.5</w:t>
      </w:r>
      <w:r>
        <w:rPr>
          <w:spacing w:val="-13"/>
        </w:rPr>
        <w:t xml:space="preserve"> 分。</w:t>
      </w:r>
    </w:p>
    <w:p>
      <w:pPr>
        <w:spacing w:before="0" w:line="362" w:lineRule="exact"/>
        <w:ind w:left="474" w:right="0" w:firstLine="0"/>
        <w:jc w:val="left"/>
        <w:rPr>
          <w:rFonts w:ascii="Microsoft JhengHei" w:eastAsia="Microsoft JhengHei"/>
          <w:b/>
          <w:sz w:val="24"/>
        </w:rPr>
      </w:pPr>
      <w:r>
        <w:rPr>
          <w:rFonts w:ascii="Times New Roman" w:eastAsia="Times New Roman"/>
          <w:b/>
          <w:sz w:val="24"/>
        </w:rPr>
        <w:t>A12</w:t>
      </w:r>
      <w:r>
        <w:rPr>
          <w:rFonts w:ascii="Microsoft JhengHei" w:eastAsia="Microsoft JhengHei"/>
          <w:b/>
          <w:spacing w:val="-1"/>
          <w:sz w:val="24"/>
        </w:rPr>
        <w:t xml:space="preserve">、投标人获得全国卫生行业协会表彰的，得 </w:t>
      </w:r>
      <w:r>
        <w:rPr>
          <w:rFonts w:ascii="Times New Roman" w:eastAsia="Times New Roman"/>
          <w:b/>
          <w:sz w:val="24"/>
        </w:rPr>
        <w:t>1</w:t>
      </w:r>
      <w:r>
        <w:rPr>
          <w:rFonts w:ascii="Times New Roman" w:eastAsia="Times New Roman"/>
          <w:b/>
          <w:spacing w:val="-1"/>
          <w:sz w:val="24"/>
        </w:rPr>
        <w:t xml:space="preserve"> </w:t>
      </w:r>
      <w:r>
        <w:rPr>
          <w:rFonts w:ascii="Microsoft JhengHei" w:eastAsia="Microsoft JhengHei"/>
          <w:b/>
          <w:spacing w:val="-60"/>
          <w:sz w:val="24"/>
        </w:rPr>
        <w:t>分。</w:t>
      </w:r>
      <w:r>
        <w:rPr>
          <w:rFonts w:ascii="Microsoft JhengHei" w:eastAsia="Microsoft JhengHei"/>
          <w:b/>
          <w:sz w:val="24"/>
        </w:rPr>
        <w:t>（</w:t>
      </w:r>
      <w:r>
        <w:rPr>
          <w:rFonts w:ascii="Microsoft JhengHei" w:eastAsia="Microsoft JhengHei"/>
          <w:b/>
          <w:spacing w:val="-1"/>
          <w:sz w:val="24"/>
        </w:rPr>
        <w:t xml:space="preserve">满分 </w:t>
      </w:r>
      <w:r>
        <w:rPr>
          <w:rFonts w:ascii="Times New Roman" w:eastAsia="Times New Roman"/>
          <w:b/>
          <w:sz w:val="24"/>
        </w:rPr>
        <w:t xml:space="preserve">1 </w:t>
      </w:r>
      <w:r>
        <w:rPr>
          <w:rFonts w:ascii="Microsoft JhengHei" w:eastAsia="Microsoft JhengHei"/>
          <w:b/>
          <w:sz w:val="24"/>
        </w:rPr>
        <w:t>分</w:t>
      </w:r>
      <w:r>
        <w:rPr>
          <w:rFonts w:ascii="Microsoft JhengHei" w:eastAsia="Microsoft JhengHei"/>
          <w:b/>
          <w:spacing w:val="-10"/>
          <w:sz w:val="24"/>
        </w:rPr>
        <w:t>）</w:t>
      </w:r>
    </w:p>
    <w:p>
      <w:pPr>
        <w:pStyle w:val="BodyText"/>
        <w:spacing w:line="283" w:lineRule="auto"/>
        <w:ind w:left="945" w:right="755" w:hanging="471"/>
      </w:pPr>
      <w:r>
        <w:rPr>
          <w:rFonts w:ascii="Microsoft JhengHei" w:eastAsia="Microsoft JhengHei"/>
          <w:b/>
          <w:spacing w:val="-24"/>
        </w:rPr>
        <w:t>备注：以上</w:t>
      </w:r>
      <w:r>
        <w:rPr>
          <w:spacing w:val="-2"/>
        </w:rPr>
        <w:t>与评分有关的人员，应为投标人的在职人员，投标时须同时提供相应的证件、</w:t>
      </w:r>
      <w:r>
        <w:rPr>
          <w:spacing w:val="-4"/>
        </w:rPr>
        <w:t>证明。</w:t>
      </w:r>
    </w:p>
    <w:p>
      <w:pPr>
        <w:pStyle w:val="Heading4"/>
        <w:spacing w:line="447" w:lineRule="exact"/>
        <w:ind w:left="475" w:firstLine="0"/>
      </w:pPr>
      <w:r>
        <w:rPr>
          <w:spacing w:val="-4"/>
        </w:rPr>
        <w:t>B</w:t>
      </w:r>
      <w:r>
        <w:rPr>
          <w:spacing w:val="-4"/>
        </w:rPr>
        <w:t>、服务部分评分标准（</w:t>
      </w:r>
      <w:r>
        <w:rPr>
          <w:spacing w:val="-7"/>
        </w:rPr>
        <w:t xml:space="preserve">满分 </w:t>
      </w:r>
      <w:r>
        <w:rPr>
          <w:spacing w:val="-4"/>
        </w:rPr>
        <w:t>45</w:t>
      </w:r>
      <w:r>
        <w:rPr>
          <w:spacing w:val="-7"/>
        </w:rPr>
        <w:t xml:space="preserve"> 分</w:t>
      </w:r>
      <w:r>
        <w:rPr>
          <w:spacing w:val="-10"/>
        </w:rPr>
        <w:t>）</w:t>
      </w:r>
    </w:p>
    <w:p>
      <w:pPr>
        <w:spacing w:before="0" w:line="430" w:lineRule="exact"/>
        <w:ind w:left="595" w:right="0" w:firstLine="0"/>
        <w:jc w:val="left"/>
        <w:rPr>
          <w:rFonts w:ascii="Microsoft JhengHei" w:eastAsia="Microsoft JhengHei"/>
          <w:b/>
          <w:sz w:val="24"/>
        </w:rPr>
      </w:pPr>
      <w:r>
        <w:rPr>
          <w:rFonts w:ascii="Microsoft JhengHei" w:eastAsia="Microsoft JhengHei"/>
          <w:b/>
          <w:spacing w:val="-5"/>
          <w:sz w:val="24"/>
        </w:rPr>
        <w:t xml:space="preserve">注：服务部分的实际得分低于服务部分总分 </w:t>
      </w:r>
      <w:r>
        <w:rPr>
          <w:rFonts w:ascii="Microsoft JhengHei" w:eastAsia="Microsoft JhengHei"/>
          <w:b/>
          <w:spacing w:val="-6"/>
          <w:sz w:val="24"/>
        </w:rPr>
        <w:t>50%</w:t>
      </w:r>
      <w:r>
        <w:rPr>
          <w:rFonts w:ascii="Microsoft JhengHei" w:eastAsia="Microsoft JhengHei"/>
          <w:b/>
          <w:spacing w:val="-7"/>
          <w:sz w:val="24"/>
        </w:rPr>
        <w:t>的按无效投标处理。</w:t>
      </w:r>
    </w:p>
    <w:p>
      <w:pPr>
        <w:spacing w:before="0"/>
        <w:ind w:left="955" w:right="875" w:hanging="480"/>
        <w:jc w:val="left"/>
        <w:rPr>
          <w:rFonts w:ascii="Microsoft JhengHei" w:eastAsia="Microsoft JhengHei" w:hAnsi="Microsoft JhengHei"/>
          <w:b/>
          <w:sz w:val="24"/>
        </w:rPr>
      </w:pPr>
      <w:r>
        <w:rPr>
          <w:rFonts w:ascii="Microsoft JhengHei" w:eastAsia="Microsoft JhengHei" w:hAnsi="Microsoft JhengHei"/>
          <w:b/>
          <w:spacing w:val="-2"/>
          <w:sz w:val="24"/>
        </w:rPr>
        <w:t>B1、评标委员会根据各投标人提供的项目管理运作流程计划及总体组织实施服务方案情</w:t>
      </w:r>
      <w:r>
        <w:rPr>
          <w:rFonts w:ascii="Microsoft JhengHei" w:eastAsia="Microsoft JhengHei" w:hAnsi="Microsoft JhengHei"/>
          <w:b/>
          <w:sz w:val="24"/>
        </w:rPr>
        <w:t>况，在 0—3 分间进行评分（满分 3 分</w:t>
      </w:r>
      <w:r>
        <w:rPr>
          <w:rFonts w:ascii="Microsoft JhengHei" w:eastAsia="Microsoft JhengHei" w:hAnsi="Microsoft JhengHei"/>
          <w:b/>
          <w:spacing w:val="-120"/>
          <w:sz w:val="24"/>
        </w:rPr>
        <w:t>）</w:t>
      </w:r>
      <w:r>
        <w:rPr>
          <w:rFonts w:ascii="Microsoft JhengHei" w:eastAsia="Microsoft JhengHei" w:hAnsi="Microsoft JhengHei"/>
          <w:b/>
          <w:sz w:val="24"/>
        </w:rPr>
        <w:t>；</w:t>
      </w:r>
    </w:p>
    <w:p>
      <w:pPr>
        <w:spacing w:before="0" w:line="439" w:lineRule="exact"/>
        <w:ind w:left="475" w:right="0" w:firstLine="0"/>
        <w:jc w:val="left"/>
        <w:rPr>
          <w:rFonts w:ascii="Microsoft JhengHei" w:eastAsia="Microsoft JhengHei"/>
          <w:b/>
          <w:sz w:val="24"/>
        </w:rPr>
      </w:pPr>
      <w:r>
        <w:rPr>
          <w:rFonts w:ascii="Microsoft JhengHei" w:eastAsia="Microsoft JhengHei"/>
          <w:b/>
          <w:spacing w:val="-2"/>
          <w:sz w:val="24"/>
        </w:rPr>
        <w:t>B2</w:t>
      </w:r>
      <w:r>
        <w:rPr>
          <w:rFonts w:ascii="Microsoft JhengHei" w:eastAsia="Microsoft JhengHei"/>
          <w:b/>
          <w:spacing w:val="-2"/>
          <w:sz w:val="24"/>
        </w:rPr>
        <w:t>、根据投标人提供的组织架构、岗位设置情况进行评分（</w:t>
      </w:r>
      <w:r>
        <w:rPr>
          <w:rFonts w:ascii="Microsoft JhengHei" w:eastAsia="Microsoft JhengHei"/>
          <w:b/>
          <w:spacing w:val="-6"/>
          <w:sz w:val="24"/>
        </w:rPr>
        <w:t xml:space="preserve">满分 </w:t>
      </w:r>
      <w:r>
        <w:rPr>
          <w:rFonts w:ascii="Microsoft JhengHei" w:eastAsia="Microsoft JhengHei"/>
          <w:b/>
          <w:spacing w:val="-2"/>
          <w:sz w:val="24"/>
        </w:rPr>
        <w:t>6</w:t>
      </w:r>
      <w:r>
        <w:rPr>
          <w:rFonts w:ascii="Microsoft JhengHei" w:eastAsia="Microsoft JhengHei"/>
          <w:b/>
          <w:spacing w:val="-7"/>
          <w:sz w:val="24"/>
        </w:rPr>
        <w:t xml:space="preserve"> 分</w:t>
      </w:r>
      <w:r>
        <w:rPr>
          <w:rFonts w:ascii="Microsoft JhengHei" w:eastAsia="Microsoft JhengHei"/>
          <w:b/>
          <w:spacing w:val="-130"/>
          <w:sz w:val="24"/>
        </w:rPr>
        <w:t>）</w:t>
      </w:r>
      <w:r>
        <w:rPr>
          <w:rFonts w:ascii="Microsoft JhengHei" w:eastAsia="Microsoft JhengHei"/>
          <w:b/>
          <w:spacing w:val="-10"/>
          <w:sz w:val="24"/>
        </w:rPr>
        <w:t>；</w:t>
      </w:r>
    </w:p>
    <w:p>
      <w:pPr>
        <w:pStyle w:val="BodyText"/>
        <w:spacing w:before="75"/>
        <w:ind w:left="834"/>
      </w:pPr>
      <w:r>
        <w:t>B2-1</w:t>
      </w:r>
      <w:r>
        <w:rPr>
          <w:spacing w:val="-1"/>
        </w:rPr>
        <w:t xml:space="preserve"> 根据组织架构是否清晰、岗位职责设置是否明确、有无管理服务各项质量指标</w:t>
      </w:r>
    </w:p>
    <w:p>
      <w:pPr>
        <w:spacing w:after="0"/>
        <w:sectPr>
          <w:headerReference w:type="default" r:id="rId25"/>
          <w:footerReference w:type="default" r:id="rId26"/>
          <w:pgSz w:w="11910" w:h="16840"/>
          <w:pgMar w:top="1240" w:right="320" w:bottom="1180" w:left="1100" w:header="884" w:footer="991"/>
          <w:pgNumType w:start="8"/>
          <w:cols w:space="708"/>
        </w:sectPr>
      </w:pPr>
    </w:p>
    <w:p>
      <w:pPr>
        <w:pStyle w:val="BodyText"/>
        <w:spacing w:before="3"/>
        <w:rPr>
          <w:sz w:val="12"/>
        </w:rPr>
      </w:pPr>
    </w:p>
    <w:p>
      <w:pPr>
        <w:spacing w:before="0" w:line="429" w:lineRule="exact"/>
        <w:ind w:left="1434" w:right="0" w:firstLine="0"/>
        <w:jc w:val="left"/>
        <w:rPr>
          <w:rFonts w:ascii="Microsoft JhengHei" w:eastAsia="Microsoft JhengHei" w:hAnsi="Microsoft JhengHei"/>
          <w:b/>
          <w:sz w:val="24"/>
        </w:rPr>
      </w:pPr>
      <w:r>
        <w:rPr>
          <w:spacing w:val="-2"/>
          <w:sz w:val="24"/>
        </w:rPr>
        <w:t>的承诺、目标</w:t>
      </w:r>
      <w:r>
        <w:rPr>
          <w:rFonts w:ascii="Microsoft JhengHei" w:eastAsia="Microsoft JhengHei" w:hAnsi="Microsoft JhengHei"/>
          <w:b/>
          <w:spacing w:val="-8"/>
          <w:sz w:val="24"/>
        </w:rPr>
        <w:t xml:space="preserve">在 </w:t>
      </w:r>
      <w:r>
        <w:rPr>
          <w:rFonts w:ascii="Microsoft JhengHei" w:eastAsia="Microsoft JhengHei" w:hAnsi="Microsoft JhengHei"/>
          <w:b/>
          <w:spacing w:val="-2"/>
          <w:sz w:val="24"/>
        </w:rPr>
        <w:t>0—3</w:t>
      </w:r>
      <w:r>
        <w:rPr>
          <w:rFonts w:ascii="Microsoft JhengHei" w:eastAsia="Microsoft JhengHei" w:hAnsi="Microsoft JhengHei"/>
          <w:b/>
          <w:spacing w:val="-5"/>
          <w:sz w:val="24"/>
        </w:rPr>
        <w:t xml:space="preserve"> 分间进行评分</w:t>
      </w:r>
      <w:r>
        <w:rPr>
          <w:rFonts w:ascii="Microsoft JhengHei" w:eastAsia="Microsoft JhengHei" w:hAnsi="Microsoft JhengHei"/>
          <w:b/>
          <w:spacing w:val="-2"/>
          <w:sz w:val="24"/>
        </w:rPr>
        <w:t>（</w:t>
      </w:r>
      <w:r>
        <w:rPr>
          <w:rFonts w:ascii="Microsoft JhengHei" w:eastAsia="Microsoft JhengHei" w:hAnsi="Microsoft JhengHei"/>
          <w:b/>
          <w:spacing w:val="-6"/>
          <w:sz w:val="24"/>
        </w:rPr>
        <w:t xml:space="preserve">满分 </w:t>
      </w:r>
      <w:r>
        <w:rPr>
          <w:rFonts w:ascii="Microsoft JhengHei" w:eastAsia="Microsoft JhengHei" w:hAnsi="Microsoft JhengHei"/>
          <w:b/>
          <w:spacing w:val="-2"/>
          <w:sz w:val="24"/>
        </w:rPr>
        <w:t>3</w:t>
      </w:r>
      <w:r>
        <w:rPr>
          <w:rFonts w:ascii="Microsoft JhengHei" w:eastAsia="Microsoft JhengHei" w:hAnsi="Microsoft JhengHei"/>
          <w:b/>
          <w:spacing w:val="-8"/>
          <w:sz w:val="24"/>
        </w:rPr>
        <w:t xml:space="preserve"> 分</w:t>
      </w:r>
      <w:r>
        <w:rPr>
          <w:rFonts w:ascii="Microsoft JhengHei" w:eastAsia="Microsoft JhengHei" w:hAnsi="Microsoft JhengHei"/>
          <w:b/>
          <w:spacing w:val="-130"/>
          <w:sz w:val="24"/>
        </w:rPr>
        <w:t>）</w:t>
      </w:r>
      <w:r>
        <w:rPr>
          <w:rFonts w:ascii="Microsoft JhengHei" w:eastAsia="Microsoft JhengHei" w:hAnsi="Microsoft JhengHei"/>
          <w:b/>
          <w:spacing w:val="-10"/>
          <w:sz w:val="24"/>
        </w:rPr>
        <w:t>；</w:t>
      </w:r>
    </w:p>
    <w:p>
      <w:pPr>
        <w:spacing w:before="78" w:line="280" w:lineRule="auto"/>
        <w:ind w:left="1434" w:right="875" w:hanging="600"/>
        <w:jc w:val="left"/>
        <w:rPr>
          <w:rFonts w:ascii="Microsoft JhengHei" w:eastAsia="Microsoft JhengHei" w:hAnsi="Microsoft JhengHei"/>
          <w:b/>
          <w:sz w:val="24"/>
        </w:rPr>
      </w:pPr>
      <w:r>
        <w:rPr>
          <w:sz w:val="24"/>
        </w:rPr>
        <w:t>B2-2</w:t>
      </w:r>
      <w:r>
        <w:rPr>
          <w:spacing w:val="-5"/>
          <w:sz w:val="24"/>
        </w:rPr>
        <w:t xml:space="preserve"> 根据配备的人数与职责分工是否满足实际管理需要以及劳资纠纷处理能力</w:t>
      </w:r>
      <w:r>
        <w:rPr>
          <w:sz w:val="24"/>
        </w:rPr>
        <w:t>（提供劳资纠纷处理的具体方案）</w:t>
      </w:r>
      <w:r>
        <w:rPr>
          <w:rFonts w:ascii="Microsoft JhengHei" w:eastAsia="Microsoft JhengHei" w:hAnsi="Microsoft JhengHei"/>
          <w:b/>
          <w:sz w:val="24"/>
        </w:rPr>
        <w:t>在 0—3 分间进行评分（满分 3 分</w:t>
      </w:r>
      <w:r>
        <w:rPr>
          <w:rFonts w:ascii="Microsoft JhengHei" w:eastAsia="Microsoft JhengHei" w:hAnsi="Microsoft JhengHei"/>
          <w:b/>
          <w:spacing w:val="-120"/>
          <w:sz w:val="24"/>
        </w:rPr>
        <w:t>）</w:t>
      </w:r>
      <w:r>
        <w:rPr>
          <w:rFonts w:ascii="Microsoft JhengHei" w:eastAsia="Microsoft JhengHei" w:hAnsi="Microsoft JhengHei"/>
          <w:b/>
          <w:sz w:val="24"/>
        </w:rPr>
        <w:t>。</w:t>
      </w:r>
    </w:p>
    <w:p>
      <w:pPr>
        <w:spacing w:before="0" w:line="365" w:lineRule="exact"/>
        <w:ind w:left="475" w:right="0" w:firstLine="0"/>
        <w:jc w:val="left"/>
        <w:rPr>
          <w:rFonts w:ascii="Microsoft JhengHei" w:eastAsia="Microsoft JhengHei" w:hAnsi="Microsoft JhengHei"/>
          <w:b/>
          <w:sz w:val="24"/>
        </w:rPr>
      </w:pPr>
      <w:r>
        <w:rPr>
          <w:rFonts w:ascii="Microsoft JhengHei" w:eastAsia="Microsoft JhengHei" w:hAnsi="Microsoft JhengHei"/>
          <w:b/>
          <w:sz w:val="24"/>
        </w:rPr>
        <w:t>B3</w:t>
      </w:r>
      <w:r>
        <w:rPr>
          <w:rFonts w:ascii="Microsoft JhengHei" w:eastAsia="Microsoft JhengHei" w:hAnsi="Microsoft JhengHei"/>
          <w:b/>
          <w:spacing w:val="-1"/>
          <w:sz w:val="24"/>
        </w:rPr>
        <w:t xml:space="preserve">、评标委员会根据各投标人针对拟投入人员的培训方案，在 </w:t>
      </w:r>
      <w:r>
        <w:rPr>
          <w:rFonts w:ascii="Microsoft JhengHei" w:eastAsia="Microsoft JhengHei" w:hAnsi="Microsoft JhengHei"/>
          <w:b/>
          <w:sz w:val="24"/>
        </w:rPr>
        <w:t>0—2</w:t>
      </w:r>
      <w:r>
        <w:rPr>
          <w:rFonts w:ascii="Microsoft JhengHei" w:eastAsia="Microsoft JhengHei" w:hAnsi="Microsoft JhengHei"/>
          <w:b/>
          <w:spacing w:val="-4"/>
          <w:sz w:val="24"/>
        </w:rPr>
        <w:t xml:space="preserve"> 分间进行评分</w:t>
      </w:r>
      <w:r>
        <w:rPr>
          <w:rFonts w:ascii="Microsoft JhengHei" w:eastAsia="Microsoft JhengHei" w:hAnsi="Microsoft JhengHei"/>
          <w:b/>
          <w:sz w:val="24"/>
        </w:rPr>
        <w:t>（</w:t>
      </w:r>
      <w:r>
        <w:rPr>
          <w:rFonts w:ascii="Microsoft JhengHei" w:eastAsia="Microsoft JhengHei" w:hAnsi="Microsoft JhengHei"/>
          <w:b/>
          <w:spacing w:val="-10"/>
          <w:sz w:val="24"/>
        </w:rPr>
        <w:t>满</w:t>
      </w:r>
    </w:p>
    <w:p>
      <w:pPr>
        <w:spacing w:before="0" w:line="440" w:lineRule="exact"/>
        <w:ind w:left="955" w:right="0" w:firstLine="0"/>
        <w:jc w:val="left"/>
        <w:rPr>
          <w:rFonts w:ascii="Microsoft JhengHei" w:eastAsia="Microsoft JhengHei"/>
          <w:b/>
          <w:sz w:val="24"/>
        </w:rPr>
      </w:pPr>
      <w:r>
        <w:rPr>
          <w:rFonts w:ascii="Microsoft JhengHei" w:eastAsia="Microsoft JhengHei"/>
          <w:b/>
          <w:spacing w:val="-7"/>
          <w:sz w:val="24"/>
        </w:rPr>
        <w:t xml:space="preserve">分 </w:t>
      </w:r>
      <w:r>
        <w:rPr>
          <w:rFonts w:ascii="Microsoft JhengHei" w:eastAsia="Microsoft JhengHei"/>
          <w:b/>
          <w:sz w:val="24"/>
        </w:rPr>
        <w:t>2</w:t>
      </w:r>
      <w:r>
        <w:rPr>
          <w:rFonts w:ascii="Microsoft JhengHei" w:eastAsia="Microsoft JhengHei"/>
          <w:b/>
          <w:spacing w:val="-6"/>
          <w:sz w:val="24"/>
        </w:rPr>
        <w:t xml:space="preserve"> 分</w:t>
      </w:r>
      <w:r>
        <w:rPr>
          <w:rFonts w:ascii="Microsoft JhengHei" w:eastAsia="Microsoft JhengHei"/>
          <w:b/>
          <w:spacing w:val="-5"/>
          <w:sz w:val="24"/>
        </w:rPr>
        <w:t>）：</w:t>
      </w:r>
    </w:p>
    <w:p>
      <w:pPr>
        <w:spacing w:before="0" w:line="440" w:lineRule="exact"/>
        <w:ind w:left="475" w:right="0" w:firstLine="0"/>
        <w:jc w:val="left"/>
        <w:rPr>
          <w:rFonts w:ascii="Microsoft JhengHei" w:eastAsia="Microsoft JhengHei" w:hAnsi="Microsoft JhengHei"/>
          <w:b/>
          <w:sz w:val="24"/>
        </w:rPr>
      </w:pPr>
      <w:r>
        <w:rPr>
          <w:rFonts w:ascii="Microsoft JhengHei" w:eastAsia="Microsoft JhengHei" w:hAnsi="Microsoft JhengHei"/>
          <w:b/>
          <w:sz w:val="24"/>
        </w:rPr>
        <w:t>B4</w:t>
      </w:r>
      <w:r>
        <w:rPr>
          <w:rFonts w:ascii="Microsoft JhengHei" w:eastAsia="Microsoft JhengHei" w:hAnsi="Microsoft JhengHei"/>
          <w:b/>
          <w:spacing w:val="-1"/>
          <w:sz w:val="24"/>
        </w:rPr>
        <w:t xml:space="preserve">、评标委员会根据各投标人针对拟投入人员的管理方案，在 </w:t>
      </w:r>
      <w:r>
        <w:rPr>
          <w:rFonts w:ascii="Microsoft JhengHei" w:eastAsia="Microsoft JhengHei" w:hAnsi="Microsoft JhengHei"/>
          <w:b/>
          <w:sz w:val="24"/>
        </w:rPr>
        <w:t>0—2</w:t>
      </w:r>
      <w:r>
        <w:rPr>
          <w:rFonts w:ascii="Microsoft JhengHei" w:eastAsia="Microsoft JhengHei" w:hAnsi="Microsoft JhengHei"/>
          <w:b/>
          <w:spacing w:val="-4"/>
          <w:sz w:val="24"/>
        </w:rPr>
        <w:t xml:space="preserve"> 分间进行评分</w:t>
      </w:r>
      <w:r>
        <w:rPr>
          <w:rFonts w:ascii="Microsoft JhengHei" w:eastAsia="Microsoft JhengHei" w:hAnsi="Microsoft JhengHei"/>
          <w:b/>
          <w:sz w:val="24"/>
        </w:rPr>
        <w:t>（</w:t>
      </w:r>
      <w:r>
        <w:rPr>
          <w:rFonts w:ascii="Microsoft JhengHei" w:eastAsia="Microsoft JhengHei" w:hAnsi="Microsoft JhengHei"/>
          <w:b/>
          <w:spacing w:val="-10"/>
          <w:sz w:val="24"/>
        </w:rPr>
        <w:t>满</w:t>
      </w:r>
    </w:p>
    <w:p>
      <w:pPr>
        <w:spacing w:before="0" w:line="440" w:lineRule="exact"/>
        <w:ind w:left="955" w:right="0" w:firstLine="0"/>
        <w:jc w:val="left"/>
        <w:rPr>
          <w:rFonts w:ascii="Microsoft JhengHei" w:eastAsia="Microsoft JhengHei"/>
          <w:b/>
          <w:sz w:val="24"/>
        </w:rPr>
      </w:pPr>
      <w:r>
        <w:rPr>
          <w:rFonts w:ascii="Microsoft JhengHei" w:eastAsia="Microsoft JhengHei"/>
          <w:b/>
          <w:spacing w:val="-7"/>
          <w:sz w:val="24"/>
        </w:rPr>
        <w:t xml:space="preserve">分 </w:t>
      </w:r>
      <w:r>
        <w:rPr>
          <w:rFonts w:ascii="Microsoft JhengHei" w:eastAsia="Microsoft JhengHei"/>
          <w:b/>
          <w:sz w:val="24"/>
        </w:rPr>
        <w:t>2</w:t>
      </w:r>
      <w:r>
        <w:rPr>
          <w:rFonts w:ascii="Microsoft JhengHei" w:eastAsia="Microsoft JhengHei"/>
          <w:b/>
          <w:spacing w:val="-6"/>
          <w:sz w:val="24"/>
        </w:rPr>
        <w:t xml:space="preserve"> 分</w:t>
      </w:r>
      <w:r>
        <w:rPr>
          <w:rFonts w:ascii="Microsoft JhengHei" w:eastAsia="Microsoft JhengHei"/>
          <w:b/>
          <w:spacing w:val="-5"/>
          <w:sz w:val="24"/>
        </w:rPr>
        <w:t>）：</w:t>
      </w:r>
    </w:p>
    <w:p>
      <w:pPr>
        <w:spacing w:before="0"/>
        <w:ind w:left="955" w:right="876" w:hanging="480"/>
        <w:jc w:val="left"/>
        <w:rPr>
          <w:rFonts w:ascii="Microsoft JhengHei" w:eastAsia="Microsoft JhengHei" w:hAnsi="Microsoft JhengHei"/>
          <w:b/>
          <w:sz w:val="24"/>
        </w:rPr>
      </w:pPr>
      <w:r>
        <w:rPr>
          <w:rFonts w:ascii="Microsoft JhengHei" w:eastAsia="Microsoft JhengHei" w:hAnsi="Microsoft JhengHei"/>
          <w:b/>
          <w:spacing w:val="-2"/>
          <w:sz w:val="24"/>
        </w:rPr>
        <w:t>B5、评标委员会根据各投标人针对本项目拟投入的主要设备是否专业、是否切合医院物</w:t>
      </w:r>
      <w:r>
        <w:rPr>
          <w:rFonts w:ascii="Microsoft JhengHei" w:eastAsia="Microsoft JhengHei" w:hAnsi="Microsoft JhengHei"/>
          <w:b/>
          <w:sz w:val="24"/>
        </w:rPr>
        <w:t>业管理的实际情况，在 0—3 分间进行评分（满分 3 分）：</w:t>
      </w:r>
    </w:p>
    <w:p>
      <w:pPr>
        <w:pStyle w:val="BodyText"/>
        <w:spacing w:before="75" w:line="343" w:lineRule="auto"/>
        <w:ind w:left="475" w:right="755" w:firstLine="240"/>
      </w:pPr>
      <w:r>
        <w:rPr>
          <w:spacing w:val="-13"/>
        </w:rPr>
        <w:t>备注：投标人必须提供拟投入本项目的设备名称、型号规格(或主要技术性能、参数)、</w:t>
      </w:r>
      <w:r>
        <w:rPr>
          <w:spacing w:val="-2"/>
        </w:rPr>
        <w:t>生产厂家、数量、价格、等资料一览表。</w:t>
      </w:r>
    </w:p>
    <w:p>
      <w:pPr>
        <w:spacing w:before="0" w:line="362" w:lineRule="exact"/>
        <w:ind w:left="475" w:right="0" w:firstLine="0"/>
        <w:jc w:val="left"/>
        <w:rPr>
          <w:rFonts w:ascii="Microsoft JhengHei" w:eastAsia="Microsoft JhengHei"/>
          <w:b/>
          <w:sz w:val="24"/>
        </w:rPr>
      </w:pPr>
      <w:r>
        <w:rPr>
          <w:rFonts w:ascii="Microsoft JhengHei" w:eastAsia="Microsoft JhengHei"/>
          <w:b/>
          <w:spacing w:val="-2"/>
          <w:sz w:val="24"/>
        </w:rPr>
        <w:t>B6</w:t>
      </w:r>
      <w:r>
        <w:rPr>
          <w:rFonts w:ascii="Microsoft JhengHei" w:eastAsia="Microsoft JhengHei"/>
          <w:b/>
          <w:spacing w:val="-12"/>
          <w:sz w:val="24"/>
        </w:rPr>
        <w:t>、根据投标人制定的招标项目物业管理服务物资</w:t>
      </w:r>
      <w:r>
        <w:rPr>
          <w:rFonts w:ascii="Microsoft JhengHei" w:eastAsia="Microsoft JhengHei"/>
          <w:b/>
          <w:spacing w:val="-2"/>
          <w:sz w:val="24"/>
        </w:rPr>
        <w:t>（含耗材</w:t>
      </w:r>
      <w:r>
        <w:rPr>
          <w:rFonts w:ascii="Microsoft JhengHei" w:eastAsia="Microsoft JhengHei"/>
          <w:b/>
          <w:spacing w:val="-52"/>
          <w:sz w:val="24"/>
        </w:rPr>
        <w:t>）</w:t>
      </w:r>
      <w:r>
        <w:rPr>
          <w:rFonts w:ascii="Microsoft JhengHei" w:eastAsia="Microsoft JhengHei"/>
          <w:b/>
          <w:spacing w:val="-14"/>
          <w:sz w:val="24"/>
        </w:rPr>
        <w:t>配备标准、数量及物资</w:t>
      </w:r>
      <w:r>
        <w:rPr>
          <w:rFonts w:ascii="Microsoft JhengHei" w:eastAsia="Microsoft JhengHei"/>
          <w:b/>
          <w:spacing w:val="-2"/>
          <w:sz w:val="24"/>
        </w:rPr>
        <w:t>（</w:t>
      </w:r>
      <w:r>
        <w:rPr>
          <w:rFonts w:ascii="Microsoft JhengHei" w:eastAsia="Microsoft JhengHei"/>
          <w:b/>
          <w:spacing w:val="-10"/>
          <w:sz w:val="24"/>
        </w:rPr>
        <w:t>含</w:t>
      </w:r>
    </w:p>
    <w:p>
      <w:pPr>
        <w:spacing w:before="0" w:line="440" w:lineRule="exact"/>
        <w:ind w:left="955" w:right="0" w:firstLine="0"/>
        <w:jc w:val="left"/>
        <w:rPr>
          <w:rFonts w:ascii="Microsoft JhengHei" w:eastAsia="Microsoft JhengHei" w:hAnsi="Microsoft JhengHei"/>
          <w:b/>
          <w:sz w:val="24"/>
        </w:rPr>
      </w:pPr>
      <w:r>
        <w:rPr>
          <w:rFonts w:ascii="Microsoft JhengHei" w:eastAsia="Microsoft JhengHei" w:hAnsi="Microsoft JhengHei"/>
          <w:b/>
          <w:spacing w:val="-2"/>
          <w:sz w:val="24"/>
        </w:rPr>
        <w:t>耗材）</w:t>
      </w:r>
      <w:r>
        <w:rPr>
          <w:rFonts w:ascii="Microsoft JhengHei" w:eastAsia="Microsoft JhengHei" w:hAnsi="Microsoft JhengHei"/>
          <w:b/>
          <w:spacing w:val="-3"/>
          <w:sz w:val="24"/>
        </w:rPr>
        <w:t xml:space="preserve">使用的管理计划、方案等的情况，在 </w:t>
      </w:r>
      <w:r>
        <w:rPr>
          <w:rFonts w:ascii="Microsoft JhengHei" w:eastAsia="Microsoft JhengHei" w:hAnsi="Microsoft JhengHei"/>
          <w:b/>
          <w:spacing w:val="-2"/>
          <w:sz w:val="24"/>
        </w:rPr>
        <w:t>0—3</w:t>
      </w:r>
      <w:r>
        <w:rPr>
          <w:rFonts w:ascii="Microsoft JhengHei" w:eastAsia="Microsoft JhengHei" w:hAnsi="Microsoft JhengHei"/>
          <w:b/>
          <w:spacing w:val="-4"/>
          <w:sz w:val="24"/>
        </w:rPr>
        <w:t xml:space="preserve"> 分间进行评分</w:t>
      </w:r>
      <w:r>
        <w:rPr>
          <w:rFonts w:ascii="Microsoft JhengHei" w:eastAsia="Microsoft JhengHei" w:hAnsi="Microsoft JhengHei"/>
          <w:b/>
          <w:spacing w:val="-2"/>
          <w:sz w:val="24"/>
        </w:rPr>
        <w:t>（</w:t>
      </w:r>
      <w:r>
        <w:rPr>
          <w:rFonts w:ascii="Microsoft JhengHei" w:eastAsia="Microsoft JhengHei" w:hAnsi="Microsoft JhengHei"/>
          <w:b/>
          <w:spacing w:val="-4"/>
          <w:sz w:val="24"/>
        </w:rPr>
        <w:t xml:space="preserve">满分 </w:t>
      </w:r>
      <w:r>
        <w:rPr>
          <w:rFonts w:ascii="Microsoft JhengHei" w:eastAsia="Microsoft JhengHei" w:hAnsi="Microsoft JhengHei"/>
          <w:b/>
          <w:spacing w:val="-2"/>
          <w:sz w:val="24"/>
        </w:rPr>
        <w:t>3</w:t>
      </w:r>
      <w:r>
        <w:rPr>
          <w:rFonts w:ascii="Microsoft JhengHei" w:eastAsia="Microsoft JhengHei" w:hAnsi="Microsoft JhengHei"/>
          <w:b/>
          <w:spacing w:val="-5"/>
          <w:sz w:val="24"/>
        </w:rPr>
        <w:t xml:space="preserve"> 分）：</w:t>
      </w:r>
    </w:p>
    <w:p>
      <w:pPr>
        <w:spacing w:before="0"/>
        <w:ind w:left="955" w:right="875" w:hanging="480"/>
        <w:jc w:val="both"/>
        <w:rPr>
          <w:rFonts w:ascii="Microsoft JhengHei" w:eastAsia="Microsoft JhengHei" w:hAnsi="Microsoft JhengHei"/>
          <w:b/>
          <w:sz w:val="24"/>
        </w:rPr>
      </w:pPr>
      <w:r>
        <w:rPr>
          <w:rFonts w:ascii="Microsoft JhengHei" w:eastAsia="Microsoft JhengHei" w:hAnsi="Microsoft JhengHei"/>
          <w:b/>
          <w:sz w:val="24"/>
        </w:rPr>
        <w:t>B7</w:t>
      </w:r>
      <w:r>
        <w:rPr>
          <w:rFonts w:ascii="Microsoft JhengHei" w:eastAsia="Microsoft JhengHei" w:hAnsi="Microsoft JhengHei"/>
          <w:b/>
          <w:sz w:val="24"/>
        </w:rPr>
        <w:t>、根据投标人制定的突击保障任务和突发问题的响应时间及处理方案情况，在 0—3</w:t>
      </w:r>
      <w:r>
        <w:rPr>
          <w:rFonts w:ascii="Microsoft JhengHei" w:eastAsia="Microsoft JhengHei" w:hAnsi="Microsoft JhengHei"/>
          <w:b/>
          <w:spacing w:val="-2"/>
          <w:sz w:val="24"/>
        </w:rPr>
        <w:t>分间进行评分（包括特殊时期（如法定节假日、春运期间、视察评比等）的应对措</w:t>
      </w:r>
      <w:r>
        <w:rPr>
          <w:rFonts w:ascii="Microsoft JhengHei" w:eastAsia="Microsoft JhengHei" w:hAnsi="Microsoft JhengHei"/>
          <w:b/>
          <w:sz w:val="24"/>
        </w:rPr>
        <w:t>施、人员配置等承诺</w:t>
      </w:r>
      <w:r>
        <w:rPr>
          <w:rFonts w:ascii="Microsoft JhengHei" w:eastAsia="Microsoft JhengHei" w:hAnsi="Microsoft JhengHei"/>
          <w:b/>
          <w:spacing w:val="-120"/>
          <w:sz w:val="24"/>
        </w:rPr>
        <w:t>）</w:t>
      </w:r>
      <w:r>
        <w:rPr>
          <w:rFonts w:ascii="Microsoft JhengHei" w:eastAsia="Microsoft JhengHei" w:hAnsi="Microsoft JhengHei"/>
          <w:b/>
          <w:sz w:val="24"/>
        </w:rPr>
        <w:t>（满分 3 分）：</w:t>
      </w:r>
    </w:p>
    <w:p>
      <w:pPr>
        <w:spacing w:before="0" w:line="240" w:lineRule="auto"/>
        <w:ind w:left="955" w:right="756" w:hanging="480"/>
        <w:jc w:val="both"/>
        <w:rPr>
          <w:rFonts w:ascii="Microsoft JhengHei" w:eastAsia="Microsoft JhengHei" w:hAnsi="Microsoft JhengHei"/>
          <w:b/>
          <w:sz w:val="24"/>
        </w:rPr>
      </w:pPr>
      <w:r>
        <w:rPr>
          <w:rFonts w:ascii="Microsoft JhengHei" w:eastAsia="Microsoft JhengHei" w:hAnsi="Microsoft JhengHei"/>
          <w:b/>
          <w:spacing w:val="-6"/>
          <w:sz w:val="24"/>
        </w:rPr>
        <w:t xml:space="preserve">B8、根据投标人结合本项目的实际情况制定的保洁、运送管理制度、工作流程健全情况， </w:t>
      </w:r>
      <w:r>
        <w:rPr>
          <w:rFonts w:ascii="Microsoft JhengHei" w:eastAsia="Microsoft JhengHei" w:hAnsi="Microsoft JhengHei"/>
          <w:b/>
          <w:sz w:val="24"/>
        </w:rPr>
        <w:t>0—2 分间进行评分（满分 2 分）：</w:t>
      </w:r>
    </w:p>
    <w:p>
      <w:pPr>
        <w:spacing w:before="0" w:line="240" w:lineRule="auto"/>
        <w:ind w:left="955" w:right="756" w:hanging="480"/>
        <w:jc w:val="both"/>
        <w:rPr>
          <w:rFonts w:ascii="Microsoft JhengHei" w:eastAsia="Microsoft JhengHei" w:hAnsi="Microsoft JhengHei"/>
          <w:b/>
          <w:sz w:val="24"/>
        </w:rPr>
      </w:pPr>
      <w:r>
        <w:rPr>
          <w:rFonts w:ascii="Microsoft JhengHei" w:eastAsia="Microsoft JhengHei" w:hAnsi="Microsoft JhengHei"/>
          <w:b/>
          <w:spacing w:val="-2"/>
          <w:sz w:val="24"/>
        </w:rPr>
        <w:t>B9</w:t>
      </w:r>
      <w:r>
        <w:rPr>
          <w:rFonts w:ascii="Microsoft JhengHei" w:eastAsia="Microsoft JhengHei" w:hAnsi="Microsoft JhengHei"/>
          <w:b/>
          <w:spacing w:val="-14"/>
          <w:sz w:val="24"/>
        </w:rPr>
        <w:t>、根据投标人结合本项目的实际情况制定的工程服务管理制度、工作流程健全情况在，</w:t>
      </w:r>
      <w:r>
        <w:rPr>
          <w:rFonts w:ascii="Microsoft JhengHei" w:eastAsia="Microsoft JhengHei" w:hAnsi="Microsoft JhengHei"/>
          <w:b/>
          <w:spacing w:val="-2"/>
          <w:sz w:val="24"/>
        </w:rPr>
        <w:t xml:space="preserve"> </w:t>
      </w:r>
      <w:r>
        <w:rPr>
          <w:rFonts w:ascii="Microsoft JhengHei" w:eastAsia="Microsoft JhengHei" w:hAnsi="Microsoft JhengHei"/>
          <w:b/>
          <w:sz w:val="24"/>
        </w:rPr>
        <w:t>0—2 分间进行评分（满分 2 分）：</w:t>
      </w:r>
    </w:p>
    <w:p>
      <w:pPr>
        <w:spacing w:before="0" w:line="240" w:lineRule="auto"/>
        <w:ind w:left="1075" w:right="876" w:hanging="600"/>
        <w:jc w:val="both"/>
        <w:rPr>
          <w:rFonts w:ascii="Microsoft JhengHei" w:eastAsia="Microsoft JhengHei" w:hAnsi="Microsoft JhengHei"/>
          <w:b/>
          <w:sz w:val="24"/>
        </w:rPr>
      </w:pPr>
      <w:r>
        <w:rPr>
          <w:rFonts w:ascii="Microsoft JhengHei" w:eastAsia="Microsoft JhengHei" w:hAnsi="Microsoft JhengHei"/>
          <w:b/>
          <w:spacing w:val="-2"/>
          <w:sz w:val="24"/>
        </w:rPr>
        <w:t>B10</w:t>
      </w:r>
      <w:r>
        <w:rPr>
          <w:rFonts w:ascii="Microsoft JhengHei" w:eastAsia="Microsoft JhengHei" w:hAnsi="Microsoft JhengHei"/>
          <w:b/>
          <w:spacing w:val="-2"/>
          <w:sz w:val="24"/>
        </w:rPr>
        <w:t>、根据投标人结合本项目的实际情况制定的保洁、运送、工程服务管理工作考核与</w:t>
      </w:r>
      <w:r>
        <w:rPr>
          <w:rFonts w:ascii="Microsoft JhengHei" w:eastAsia="Microsoft JhengHei" w:hAnsi="Microsoft JhengHei"/>
          <w:b/>
          <w:sz w:val="24"/>
        </w:rPr>
        <w:t>奖惩措施情况，在 0—3 分间进行评分（满分 3 分）：</w:t>
      </w:r>
    </w:p>
    <w:p>
      <w:pPr>
        <w:spacing w:before="0" w:line="438" w:lineRule="exact"/>
        <w:ind w:left="475" w:right="0" w:firstLine="0"/>
        <w:jc w:val="both"/>
        <w:rPr>
          <w:rFonts w:ascii="Microsoft JhengHei" w:eastAsia="Microsoft JhengHei" w:hAnsi="Microsoft JhengHei"/>
          <w:b/>
          <w:sz w:val="24"/>
        </w:rPr>
      </w:pPr>
      <w:r>
        <w:rPr>
          <w:rFonts w:ascii="Microsoft JhengHei" w:eastAsia="Microsoft JhengHei" w:hAnsi="Microsoft JhengHei"/>
          <w:b/>
          <w:spacing w:val="-4"/>
          <w:sz w:val="24"/>
        </w:rPr>
        <w:t>B11</w:t>
      </w:r>
      <w:r>
        <w:rPr>
          <w:rFonts w:ascii="Microsoft JhengHei" w:eastAsia="Microsoft JhengHei" w:hAnsi="Microsoft JhengHei"/>
          <w:b/>
          <w:spacing w:val="-5"/>
          <w:sz w:val="24"/>
        </w:rPr>
        <w:t xml:space="preserve">、根据投标人结合本项目的实际情况制定的垃圾分类收集方案，在 </w:t>
      </w:r>
      <w:r>
        <w:rPr>
          <w:rFonts w:ascii="Microsoft JhengHei" w:eastAsia="Microsoft JhengHei" w:hAnsi="Microsoft JhengHei"/>
          <w:b/>
          <w:spacing w:val="-4"/>
          <w:sz w:val="24"/>
        </w:rPr>
        <w:t>0—2</w:t>
      </w:r>
      <w:r>
        <w:rPr>
          <w:rFonts w:ascii="Microsoft JhengHei" w:eastAsia="Microsoft JhengHei" w:hAnsi="Microsoft JhengHei"/>
          <w:b/>
          <w:spacing w:val="-7"/>
          <w:sz w:val="24"/>
        </w:rPr>
        <w:t xml:space="preserve"> 分间进行评</w:t>
      </w:r>
    </w:p>
    <w:p>
      <w:pPr>
        <w:spacing w:before="0" w:line="440" w:lineRule="exact"/>
        <w:ind w:left="955" w:right="0" w:firstLine="0"/>
        <w:jc w:val="both"/>
        <w:rPr>
          <w:rFonts w:ascii="Microsoft JhengHei" w:eastAsia="Microsoft JhengHei"/>
          <w:b/>
          <w:sz w:val="24"/>
        </w:rPr>
      </w:pPr>
      <w:r>
        <w:rPr>
          <w:rFonts w:ascii="Microsoft JhengHei" w:eastAsia="Microsoft JhengHei"/>
          <w:b/>
          <w:sz w:val="24"/>
        </w:rPr>
        <w:t>分（</w:t>
      </w:r>
      <w:r>
        <w:rPr>
          <w:rFonts w:ascii="Microsoft JhengHei" w:eastAsia="Microsoft JhengHei"/>
          <w:b/>
          <w:spacing w:val="-5"/>
          <w:sz w:val="24"/>
        </w:rPr>
        <w:t xml:space="preserve">满分 </w:t>
      </w:r>
      <w:r>
        <w:rPr>
          <w:rFonts w:ascii="Microsoft JhengHei" w:eastAsia="Microsoft JhengHei"/>
          <w:b/>
          <w:sz w:val="24"/>
        </w:rPr>
        <w:t>2</w:t>
      </w:r>
      <w:r>
        <w:rPr>
          <w:rFonts w:ascii="Microsoft JhengHei" w:eastAsia="Microsoft JhengHei"/>
          <w:b/>
          <w:spacing w:val="-6"/>
          <w:sz w:val="24"/>
        </w:rPr>
        <w:t xml:space="preserve"> 分</w:t>
      </w:r>
      <w:r>
        <w:rPr>
          <w:rFonts w:ascii="Microsoft JhengHei" w:eastAsia="Microsoft JhengHei"/>
          <w:b/>
          <w:spacing w:val="-5"/>
          <w:sz w:val="24"/>
        </w:rPr>
        <w:t>）：</w:t>
      </w:r>
    </w:p>
    <w:p>
      <w:pPr>
        <w:spacing w:before="0" w:line="440" w:lineRule="exact"/>
        <w:ind w:left="475" w:right="0" w:firstLine="0"/>
        <w:jc w:val="both"/>
        <w:rPr>
          <w:rFonts w:ascii="Microsoft JhengHei" w:eastAsia="Microsoft JhengHei" w:hAnsi="Microsoft JhengHei"/>
          <w:b/>
          <w:sz w:val="24"/>
        </w:rPr>
      </w:pPr>
      <w:r>
        <w:rPr>
          <w:rFonts w:ascii="Microsoft JhengHei" w:eastAsia="Microsoft JhengHei" w:hAnsi="Microsoft JhengHei"/>
          <w:b/>
          <w:spacing w:val="-4"/>
          <w:sz w:val="24"/>
        </w:rPr>
        <w:t>B12</w:t>
      </w:r>
      <w:r>
        <w:rPr>
          <w:rFonts w:ascii="Microsoft JhengHei" w:eastAsia="Microsoft JhengHei" w:hAnsi="Microsoft JhengHei"/>
          <w:b/>
          <w:spacing w:val="-17"/>
          <w:sz w:val="24"/>
        </w:rPr>
        <w:t xml:space="preserve">、根据投标人结合本项目的实际情况制定的院感控制方案，在 </w:t>
      </w:r>
      <w:r>
        <w:rPr>
          <w:rFonts w:ascii="Microsoft JhengHei" w:eastAsia="Microsoft JhengHei" w:hAnsi="Microsoft JhengHei"/>
          <w:b/>
          <w:spacing w:val="-4"/>
          <w:sz w:val="24"/>
        </w:rPr>
        <w:t>0—3</w:t>
      </w:r>
      <w:r>
        <w:rPr>
          <w:rFonts w:ascii="Microsoft JhengHei" w:eastAsia="Microsoft JhengHei" w:hAnsi="Microsoft JhengHei"/>
          <w:b/>
          <w:spacing w:val="-16"/>
          <w:sz w:val="24"/>
        </w:rPr>
        <w:t xml:space="preserve"> 分间进行评分</w:t>
      </w:r>
      <w:r>
        <w:rPr>
          <w:rFonts w:ascii="Microsoft JhengHei" w:eastAsia="Microsoft JhengHei" w:hAnsi="Microsoft JhengHei"/>
          <w:b/>
          <w:spacing w:val="-4"/>
          <w:sz w:val="24"/>
        </w:rPr>
        <w:t>（</w:t>
      </w:r>
      <w:r>
        <w:rPr>
          <w:rFonts w:ascii="Microsoft JhengHei" w:eastAsia="Microsoft JhengHei" w:hAnsi="Microsoft JhengHei"/>
          <w:b/>
          <w:spacing w:val="-10"/>
          <w:sz w:val="24"/>
        </w:rPr>
        <w:t>满</w:t>
      </w:r>
    </w:p>
    <w:p>
      <w:pPr>
        <w:spacing w:before="0" w:line="440" w:lineRule="exact"/>
        <w:ind w:left="1075" w:right="0" w:firstLine="0"/>
        <w:jc w:val="both"/>
        <w:rPr>
          <w:rFonts w:ascii="Microsoft JhengHei" w:eastAsia="Microsoft JhengHei"/>
          <w:b/>
          <w:sz w:val="24"/>
        </w:rPr>
      </w:pPr>
      <w:r>
        <w:rPr>
          <w:rFonts w:ascii="Microsoft JhengHei" w:eastAsia="Microsoft JhengHei"/>
          <w:b/>
          <w:spacing w:val="-7"/>
          <w:sz w:val="24"/>
        </w:rPr>
        <w:t xml:space="preserve">分 </w:t>
      </w:r>
      <w:r>
        <w:rPr>
          <w:rFonts w:ascii="Microsoft JhengHei" w:eastAsia="Microsoft JhengHei"/>
          <w:b/>
          <w:sz w:val="24"/>
        </w:rPr>
        <w:t>3</w:t>
      </w:r>
      <w:r>
        <w:rPr>
          <w:rFonts w:ascii="Microsoft JhengHei" w:eastAsia="Microsoft JhengHei"/>
          <w:b/>
          <w:spacing w:val="-6"/>
          <w:sz w:val="24"/>
        </w:rPr>
        <w:t xml:space="preserve"> 分</w:t>
      </w:r>
      <w:r>
        <w:rPr>
          <w:rFonts w:ascii="Microsoft JhengHei" w:eastAsia="Microsoft JhengHei"/>
          <w:b/>
          <w:spacing w:val="-5"/>
          <w:sz w:val="24"/>
        </w:rPr>
        <w:t>）：</w:t>
      </w:r>
    </w:p>
    <w:p>
      <w:pPr>
        <w:spacing w:before="0" w:line="440" w:lineRule="exact"/>
        <w:ind w:left="475" w:right="0" w:firstLine="0"/>
        <w:jc w:val="both"/>
        <w:rPr>
          <w:rFonts w:ascii="Microsoft JhengHei" w:eastAsia="Microsoft JhengHei"/>
          <w:b/>
          <w:sz w:val="24"/>
        </w:rPr>
      </w:pPr>
      <w:r>
        <w:rPr>
          <w:rFonts w:ascii="Microsoft JhengHei" w:eastAsia="Microsoft JhengHei"/>
          <w:b/>
          <w:spacing w:val="-4"/>
          <w:sz w:val="24"/>
        </w:rPr>
        <w:t>B13、投标人结合本项目的实际情况编制的物业管理服务（</w:t>
      </w:r>
      <w:r>
        <w:rPr>
          <w:rFonts w:ascii="Microsoft JhengHei" w:eastAsia="Microsoft JhengHei"/>
          <w:b/>
          <w:spacing w:val="-3"/>
          <w:sz w:val="24"/>
        </w:rPr>
        <w:t xml:space="preserve">提供 </w:t>
      </w:r>
      <w:r>
        <w:rPr>
          <w:rFonts w:ascii="Microsoft JhengHei" w:eastAsia="Microsoft JhengHei"/>
          <w:b/>
          <w:spacing w:val="-4"/>
          <w:sz w:val="24"/>
        </w:rPr>
        <w:t>24 小时服务）</w:t>
      </w:r>
      <w:r>
        <w:rPr>
          <w:rFonts w:ascii="Microsoft JhengHei" w:eastAsia="Microsoft JhengHei"/>
          <w:b/>
          <w:spacing w:val="-6"/>
          <w:sz w:val="24"/>
        </w:rPr>
        <w:t>承诺函情</w:t>
      </w:r>
    </w:p>
    <w:p>
      <w:pPr>
        <w:spacing w:before="0" w:line="440" w:lineRule="exact"/>
        <w:ind w:left="1075" w:right="0" w:firstLine="0"/>
        <w:jc w:val="both"/>
        <w:rPr>
          <w:rFonts w:ascii="Microsoft JhengHei" w:eastAsia="Microsoft JhengHei" w:hAnsi="Microsoft JhengHei"/>
          <w:b/>
          <w:sz w:val="24"/>
        </w:rPr>
      </w:pPr>
      <w:r>
        <w:rPr>
          <w:rFonts w:ascii="Microsoft JhengHei" w:eastAsia="Microsoft JhengHei" w:hAnsi="Microsoft JhengHei"/>
          <w:b/>
          <w:spacing w:val="-5"/>
          <w:sz w:val="24"/>
        </w:rPr>
        <w:t xml:space="preserve">况，在 </w:t>
      </w:r>
      <w:r>
        <w:rPr>
          <w:rFonts w:ascii="Microsoft JhengHei" w:eastAsia="Microsoft JhengHei" w:hAnsi="Microsoft JhengHei"/>
          <w:b/>
          <w:spacing w:val="-4"/>
          <w:sz w:val="24"/>
        </w:rPr>
        <w:t>0—2</w:t>
      </w:r>
      <w:r>
        <w:rPr>
          <w:rFonts w:ascii="Microsoft JhengHei" w:eastAsia="Microsoft JhengHei" w:hAnsi="Microsoft JhengHei"/>
          <w:b/>
          <w:spacing w:val="-5"/>
          <w:sz w:val="24"/>
        </w:rPr>
        <w:t xml:space="preserve"> 分间进行评分</w:t>
      </w:r>
      <w:r>
        <w:rPr>
          <w:rFonts w:ascii="Microsoft JhengHei" w:eastAsia="Microsoft JhengHei" w:hAnsi="Microsoft JhengHei"/>
          <w:b/>
          <w:spacing w:val="-4"/>
          <w:sz w:val="24"/>
        </w:rPr>
        <w:t>（</w:t>
      </w:r>
      <w:r>
        <w:rPr>
          <w:rFonts w:ascii="Microsoft JhengHei" w:eastAsia="Microsoft JhengHei" w:hAnsi="Microsoft JhengHei"/>
          <w:b/>
          <w:spacing w:val="-5"/>
          <w:sz w:val="24"/>
        </w:rPr>
        <w:t xml:space="preserve">满分 </w:t>
      </w:r>
      <w:r>
        <w:rPr>
          <w:rFonts w:ascii="Microsoft JhengHei" w:eastAsia="Microsoft JhengHei" w:hAnsi="Microsoft JhengHei"/>
          <w:b/>
          <w:spacing w:val="-4"/>
          <w:sz w:val="24"/>
        </w:rPr>
        <w:t>2</w:t>
      </w:r>
      <w:r>
        <w:rPr>
          <w:rFonts w:ascii="Microsoft JhengHei" w:eastAsia="Microsoft JhengHei" w:hAnsi="Microsoft JhengHei"/>
          <w:b/>
          <w:spacing w:val="-5"/>
          <w:sz w:val="24"/>
        </w:rPr>
        <w:t xml:space="preserve"> 分）：</w:t>
      </w:r>
    </w:p>
    <w:p>
      <w:pPr>
        <w:spacing w:before="0"/>
        <w:ind w:left="1075" w:right="755" w:hanging="600"/>
        <w:jc w:val="both"/>
        <w:rPr>
          <w:rFonts w:ascii="Microsoft JhengHei" w:eastAsia="Microsoft JhengHei" w:hAnsi="Microsoft JhengHei"/>
          <w:b/>
          <w:sz w:val="24"/>
        </w:rPr>
      </w:pPr>
      <w:r>
        <w:rPr>
          <w:rFonts w:ascii="Microsoft JhengHei" w:eastAsia="Microsoft JhengHei" w:hAnsi="Microsoft JhengHei"/>
          <w:b/>
          <w:w w:val="77"/>
          <w:sz w:val="24"/>
        </w:rPr>
        <w:t>B</w:t>
      </w:r>
      <w:r>
        <w:rPr>
          <w:rFonts w:ascii="Microsoft JhengHei" w:eastAsia="Microsoft JhengHei" w:hAnsi="Microsoft JhengHei"/>
          <w:b/>
          <w:w w:val="83"/>
          <w:sz w:val="24"/>
        </w:rPr>
        <w:t>14</w:t>
      </w:r>
      <w:r>
        <w:rPr>
          <w:rFonts w:ascii="Microsoft JhengHei" w:eastAsia="Microsoft JhengHei" w:hAnsi="Microsoft JhengHei"/>
          <w:b/>
          <w:spacing w:val="2"/>
          <w:sz w:val="24"/>
        </w:rPr>
        <w:t>、投标人根据本项目实际情况制订的各项财务收、支预算情况方案、人员薪酬、工</w:t>
      </w:r>
      <w:r>
        <w:rPr>
          <w:rFonts w:ascii="Microsoft JhengHei" w:eastAsia="Microsoft JhengHei" w:hAnsi="Microsoft JhengHei"/>
          <w:b/>
          <w:spacing w:val="-17"/>
          <w:sz w:val="24"/>
        </w:rPr>
        <w:t xml:space="preserve">作时间、合同签订执行等标准是否科学、合理，在 </w:t>
      </w:r>
      <w:r>
        <w:rPr>
          <w:rFonts w:ascii="Microsoft JhengHei" w:eastAsia="Microsoft JhengHei" w:hAnsi="Microsoft JhengHei"/>
          <w:b/>
          <w:w w:val="83"/>
          <w:sz w:val="24"/>
        </w:rPr>
        <w:t>0</w:t>
      </w:r>
      <w:r>
        <w:rPr>
          <w:rFonts w:ascii="Microsoft JhengHei" w:eastAsia="Microsoft JhengHei" w:hAnsi="Microsoft JhengHei"/>
          <w:b/>
          <w:w w:val="92"/>
          <w:sz w:val="24"/>
        </w:rPr>
        <w:t>—</w:t>
      </w:r>
      <w:r>
        <w:rPr>
          <w:rFonts w:ascii="Microsoft JhengHei" w:eastAsia="Microsoft JhengHei" w:hAnsi="Microsoft JhengHei"/>
          <w:b/>
          <w:w w:val="83"/>
          <w:sz w:val="24"/>
        </w:rPr>
        <w:t>3</w:t>
      </w:r>
      <w:r>
        <w:rPr>
          <w:rFonts w:ascii="Microsoft JhengHei" w:eastAsia="Microsoft JhengHei" w:hAnsi="Microsoft JhengHei"/>
          <w:b/>
          <w:spacing w:val="-12"/>
          <w:sz w:val="24"/>
        </w:rPr>
        <w:t xml:space="preserve"> 分间进行评分</w:t>
      </w:r>
      <w:r>
        <w:rPr>
          <w:rFonts w:ascii="Microsoft JhengHei" w:eastAsia="Microsoft JhengHei" w:hAnsi="Microsoft JhengHei"/>
          <w:b/>
          <w:sz w:val="24"/>
        </w:rPr>
        <w:t xml:space="preserve">（满分 </w:t>
      </w:r>
      <w:r>
        <w:rPr>
          <w:rFonts w:ascii="Microsoft JhengHei" w:eastAsia="Microsoft JhengHei" w:hAnsi="Microsoft JhengHei"/>
          <w:b/>
          <w:w w:val="83"/>
          <w:sz w:val="24"/>
        </w:rPr>
        <w:t>3</w:t>
      </w:r>
      <w:r>
        <w:rPr>
          <w:rFonts w:ascii="Microsoft JhengHei" w:eastAsia="Microsoft JhengHei" w:hAnsi="Microsoft JhengHei"/>
          <w:b/>
          <w:sz w:val="24"/>
        </w:rPr>
        <w:t xml:space="preserve"> 分</w:t>
      </w:r>
      <w:r>
        <w:rPr>
          <w:rFonts w:ascii="Microsoft JhengHei" w:eastAsia="Microsoft JhengHei" w:hAnsi="Microsoft JhengHei"/>
          <w:b/>
          <w:spacing w:val="-60"/>
          <w:sz w:val="24"/>
        </w:rPr>
        <w:t>）</w:t>
      </w:r>
      <w:r>
        <w:rPr>
          <w:rFonts w:ascii="Microsoft JhengHei" w:eastAsia="Microsoft JhengHei" w:hAnsi="Microsoft JhengHei"/>
          <w:b/>
          <w:sz w:val="24"/>
        </w:rPr>
        <w:t>：</w:t>
      </w:r>
    </w:p>
    <w:p>
      <w:pPr>
        <w:spacing w:before="0" w:line="439" w:lineRule="exact"/>
        <w:ind w:left="475" w:right="0" w:firstLine="0"/>
        <w:jc w:val="both"/>
        <w:rPr>
          <w:rFonts w:ascii="Microsoft JhengHei" w:eastAsia="Microsoft JhengHei" w:hAnsi="Microsoft JhengHei"/>
          <w:b/>
          <w:sz w:val="24"/>
        </w:rPr>
      </w:pPr>
      <w:r>
        <w:rPr>
          <w:rFonts w:ascii="Microsoft JhengHei" w:eastAsia="Microsoft JhengHei" w:hAnsi="Microsoft JhengHei"/>
          <w:b/>
          <w:spacing w:val="-4"/>
          <w:sz w:val="24"/>
        </w:rPr>
        <w:t>B15</w:t>
      </w:r>
      <w:r>
        <w:rPr>
          <w:rFonts w:ascii="Microsoft JhengHei" w:eastAsia="Microsoft JhengHei" w:hAnsi="Microsoft JhengHei"/>
          <w:b/>
          <w:spacing w:val="-7"/>
          <w:sz w:val="24"/>
        </w:rPr>
        <w:t xml:space="preserve">、 根据投标人提供的针对管理服务的质量控制管理体系标准，在 </w:t>
      </w:r>
      <w:r>
        <w:rPr>
          <w:rFonts w:ascii="Microsoft JhengHei" w:eastAsia="Microsoft JhengHei" w:hAnsi="Microsoft JhengHei"/>
          <w:b/>
          <w:spacing w:val="-4"/>
          <w:sz w:val="24"/>
        </w:rPr>
        <w:t>0—3</w:t>
      </w:r>
      <w:r>
        <w:rPr>
          <w:rFonts w:ascii="Microsoft JhengHei" w:eastAsia="Microsoft JhengHei" w:hAnsi="Microsoft JhengHei"/>
          <w:b/>
          <w:spacing w:val="-5"/>
          <w:sz w:val="24"/>
        </w:rPr>
        <w:t xml:space="preserve"> 分间进行评分</w:t>
      </w:r>
    </w:p>
    <w:p>
      <w:pPr>
        <w:spacing w:after="0" w:line="439" w:lineRule="exact"/>
        <w:jc w:val="both"/>
        <w:rPr>
          <w:rFonts w:ascii="Microsoft JhengHei" w:eastAsia="Microsoft JhengHei" w:hAnsi="Microsoft JhengHei"/>
          <w:sz w:val="24"/>
        </w:rPr>
        <w:sectPr>
          <w:headerReference w:type="default" r:id="rId27"/>
          <w:footerReference w:type="default" r:id="rId28"/>
          <w:pgSz w:w="11910" w:h="16840"/>
          <w:pgMar w:top="1240" w:right="320" w:bottom="1180" w:left="1100" w:header="884" w:footer="991"/>
          <w:pgNumType w:start="9"/>
          <w:cols w:space="708"/>
        </w:sectPr>
      </w:pPr>
    </w:p>
    <w:p>
      <w:pPr>
        <w:pStyle w:val="BodyText"/>
        <w:spacing w:before="10"/>
        <w:rPr>
          <w:rFonts w:ascii="Microsoft JhengHei"/>
          <w:b/>
          <w:sz w:val="8"/>
        </w:rPr>
      </w:pPr>
    </w:p>
    <w:p>
      <w:pPr>
        <w:spacing w:before="0" w:line="431" w:lineRule="exact"/>
        <w:ind w:left="1075" w:right="0" w:firstLine="0"/>
        <w:jc w:val="left"/>
        <w:rPr>
          <w:rFonts w:ascii="微软雅黑" w:eastAsia="微软雅黑"/>
          <w:b/>
          <w:sz w:val="24"/>
        </w:rPr>
      </w:pPr>
      <w:r>
        <w:rPr>
          <w:rFonts w:ascii="微软雅黑" w:eastAsia="微软雅黑"/>
          <w:b/>
          <w:spacing w:val="-6"/>
          <w:sz w:val="24"/>
        </w:rPr>
        <w:t>（</w:t>
      </w:r>
      <w:r>
        <w:rPr>
          <w:rFonts w:ascii="微软雅黑" w:eastAsia="微软雅黑"/>
          <w:b/>
          <w:spacing w:val="-8"/>
          <w:sz w:val="24"/>
        </w:rPr>
        <w:t xml:space="preserve">满分 </w:t>
      </w:r>
      <w:r>
        <w:rPr>
          <w:rFonts w:ascii="微软雅黑" w:eastAsia="微软雅黑"/>
          <w:b/>
          <w:spacing w:val="-6"/>
          <w:sz w:val="24"/>
        </w:rPr>
        <w:t>3</w:t>
      </w:r>
      <w:r>
        <w:rPr>
          <w:rFonts w:ascii="微软雅黑" w:eastAsia="微软雅黑"/>
          <w:b/>
          <w:spacing w:val="-8"/>
          <w:sz w:val="24"/>
        </w:rPr>
        <w:t xml:space="preserve"> 分</w:t>
      </w:r>
      <w:r>
        <w:rPr>
          <w:rFonts w:ascii="微软雅黑" w:eastAsia="微软雅黑"/>
          <w:b/>
          <w:spacing w:val="-6"/>
          <w:sz w:val="24"/>
        </w:rPr>
        <w:t>）：</w:t>
      </w:r>
    </w:p>
    <w:p>
      <w:pPr>
        <w:spacing w:before="2" w:line="237" w:lineRule="auto"/>
        <w:ind w:left="1075" w:right="936" w:hanging="600"/>
        <w:jc w:val="left"/>
        <w:rPr>
          <w:rFonts w:ascii="微软雅黑" w:eastAsia="微软雅黑" w:hAnsi="微软雅黑"/>
          <w:b/>
          <w:sz w:val="24"/>
        </w:rPr>
      </w:pPr>
      <w:r>
        <w:rPr>
          <w:rFonts w:ascii="微软雅黑" w:eastAsia="微软雅黑" w:hAnsi="微软雅黑"/>
          <w:b/>
          <w:spacing w:val="-2"/>
          <w:sz w:val="24"/>
        </w:rPr>
        <w:t>B16</w:t>
      </w:r>
      <w:r>
        <w:rPr>
          <w:rFonts w:ascii="微软雅黑" w:eastAsia="微软雅黑" w:hAnsi="微软雅黑"/>
          <w:b/>
          <w:spacing w:val="-2"/>
          <w:sz w:val="24"/>
        </w:rPr>
        <w:t>、根据投标人提供的针对管理服务的各部门互相支持、配合的方案合理情况，在</w:t>
      </w:r>
      <w:r>
        <w:rPr>
          <w:rFonts w:ascii="微软雅黑" w:eastAsia="微软雅黑" w:hAnsi="微软雅黑"/>
          <w:b/>
          <w:spacing w:val="80"/>
          <w:sz w:val="24"/>
        </w:rPr>
        <w:t xml:space="preserve"> </w:t>
      </w:r>
      <w:r>
        <w:rPr>
          <w:rFonts w:ascii="微软雅黑" w:eastAsia="微软雅黑" w:hAnsi="微软雅黑"/>
          <w:b/>
          <w:sz w:val="24"/>
        </w:rPr>
        <w:t>0—3 分间进行评分（满分 3 分）：</w:t>
      </w:r>
    </w:p>
    <w:p>
      <w:pPr>
        <w:spacing w:before="1"/>
        <w:ind w:left="473" w:right="0" w:firstLine="0"/>
        <w:jc w:val="left"/>
        <w:rPr>
          <w:rFonts w:ascii="微软雅黑" w:eastAsia="微软雅黑"/>
          <w:b/>
          <w:sz w:val="24"/>
        </w:rPr>
      </w:pPr>
      <w:r>
        <w:rPr>
          <w:rFonts w:ascii="微软雅黑" w:eastAsia="微软雅黑"/>
          <w:b/>
          <w:spacing w:val="-1"/>
          <w:sz w:val="24"/>
        </w:rPr>
        <w:t>商务部分、服务部分得分计算方法：</w:t>
      </w:r>
    </w:p>
    <w:p>
      <w:pPr>
        <w:pStyle w:val="BodyText"/>
        <w:spacing w:before="74" w:line="343" w:lineRule="auto"/>
        <w:ind w:left="703" w:right="945" w:firstLine="480"/>
        <w:jc w:val="both"/>
      </w:pPr>
      <w:r>
        <w:rPr>
          <w:spacing w:val="-2"/>
        </w:rPr>
        <w:t>先将评委对商务部分、服务部分每个项目细项的评分分别去掉一个最高分和一个</w:t>
      </w:r>
      <w:r>
        <w:rPr>
          <w:spacing w:val="-2"/>
        </w:rPr>
        <w:t>最低分（得分相同的，只去掉一个</w:t>
      </w:r>
      <w:r>
        <w:rPr>
          <w:spacing w:val="-118"/>
        </w:rPr>
        <w:t>）</w:t>
      </w:r>
      <w:r>
        <w:rPr>
          <w:spacing w:val="-2"/>
        </w:rPr>
        <w:t>，后再采用算术平均方法分别计算有效投标人在</w:t>
      </w:r>
      <w:r>
        <w:rPr>
          <w:spacing w:val="-2"/>
        </w:rPr>
        <w:t>商务、服务两个部分的各自最终得分。</w:t>
      </w:r>
    </w:p>
    <w:p>
      <w:pPr>
        <w:spacing w:before="0" w:line="366" w:lineRule="exact"/>
        <w:ind w:left="475" w:right="0" w:firstLine="0"/>
        <w:jc w:val="left"/>
        <w:rPr>
          <w:rFonts w:ascii="微软雅黑" w:eastAsia="微软雅黑"/>
          <w:b/>
          <w:sz w:val="24"/>
        </w:rPr>
      </w:pPr>
      <w:r>
        <w:rPr>
          <w:rFonts w:ascii="微软雅黑" w:eastAsia="微软雅黑"/>
          <w:b/>
          <w:spacing w:val="-6"/>
          <w:sz w:val="24"/>
        </w:rPr>
        <w:t>C</w:t>
      </w:r>
      <w:r>
        <w:rPr>
          <w:rFonts w:ascii="微软雅黑" w:eastAsia="微软雅黑"/>
          <w:b/>
          <w:spacing w:val="-6"/>
          <w:sz w:val="24"/>
        </w:rPr>
        <w:t>、投标价格部分评分标准（</w:t>
      </w:r>
      <w:r>
        <w:rPr>
          <w:rFonts w:ascii="微软雅黑" w:eastAsia="微软雅黑"/>
          <w:b/>
          <w:spacing w:val="-7"/>
          <w:sz w:val="24"/>
        </w:rPr>
        <w:t xml:space="preserve">满分 </w:t>
      </w:r>
      <w:r>
        <w:rPr>
          <w:rFonts w:ascii="微软雅黑" w:eastAsia="微软雅黑"/>
          <w:b/>
          <w:spacing w:val="-6"/>
          <w:sz w:val="24"/>
        </w:rPr>
        <w:t>30 分</w:t>
      </w:r>
      <w:r>
        <w:rPr>
          <w:rFonts w:ascii="微软雅黑" w:eastAsia="微软雅黑"/>
          <w:b/>
          <w:spacing w:val="-10"/>
          <w:sz w:val="24"/>
        </w:rPr>
        <w:t>）</w:t>
      </w:r>
    </w:p>
    <w:p>
      <w:pPr>
        <w:pStyle w:val="BodyText"/>
        <w:spacing w:before="74"/>
        <w:ind w:left="835"/>
      </w:pPr>
      <w:r>
        <w:rPr>
          <w:spacing w:val="-1"/>
        </w:rPr>
        <w:t>各有效报价投标人的投标报价得分按以下方式得出：</w:t>
      </w:r>
    </w:p>
    <w:p>
      <w:pPr>
        <w:pStyle w:val="BodyText"/>
        <w:spacing w:before="133" w:line="343" w:lineRule="auto"/>
        <w:ind w:left="1075" w:right="6891"/>
      </w:pPr>
      <w:r>
        <w:rPr>
          <w:spacing w:val="-2"/>
        </w:rPr>
        <w:t>C=30*（Hn/H）</w:t>
      </w:r>
      <w:r>
        <w:rPr>
          <w:spacing w:val="80"/>
          <w:w w:val="150"/>
        </w:rPr>
        <w:t xml:space="preserve">   </w:t>
      </w:r>
      <w:r>
        <w:rPr>
          <w:spacing w:val="-2"/>
        </w:rPr>
        <w:t>C：投标人的报价得分；</w:t>
      </w:r>
    </w:p>
    <w:p>
      <w:pPr>
        <w:pStyle w:val="BodyText"/>
        <w:spacing w:line="343" w:lineRule="auto"/>
        <w:ind w:left="1075" w:right="1131"/>
      </w:pPr>
      <w:r>
        <w:rPr>
          <w:spacing w:val="-2"/>
        </w:rPr>
        <w:t>H：有效投标报价（即满足招标文件要求的投标人的投标报价</w:t>
      </w:r>
      <w:r>
        <w:rPr>
          <w:spacing w:val="-120"/>
        </w:rPr>
        <w:t>）</w:t>
      </w:r>
      <w:r>
        <w:rPr>
          <w:spacing w:val="-2"/>
        </w:rPr>
        <w:t>。</w:t>
      </w:r>
      <w:r>
        <w:rPr>
          <w:spacing w:val="80"/>
          <w:w w:val="150"/>
        </w:rPr>
        <w:t xml:space="preserve">     </w:t>
      </w:r>
      <w:r>
        <w:rPr>
          <w:spacing w:val="-2"/>
        </w:rPr>
        <w:t>Hn：评标基准价（即满足招标文件要求且投标报价最低的投标人的投标报价</w:t>
      </w:r>
      <w:r>
        <w:rPr>
          <w:spacing w:val="-120"/>
        </w:rPr>
        <w:t>）</w:t>
      </w:r>
      <w:r>
        <w:rPr>
          <w:spacing w:val="-2"/>
        </w:rPr>
        <w:t>。</w:t>
      </w:r>
    </w:p>
    <w:p>
      <w:pPr>
        <w:pStyle w:val="BodyText"/>
        <w:spacing w:before="5"/>
        <w:rPr>
          <w:sz w:val="28"/>
        </w:rPr>
      </w:pPr>
    </w:p>
    <w:p>
      <w:pPr>
        <w:spacing w:before="0"/>
        <w:ind w:left="475" w:right="0" w:firstLine="0"/>
        <w:jc w:val="left"/>
        <w:rPr>
          <w:rFonts w:ascii="微软雅黑" w:eastAsia="微软雅黑"/>
          <w:b/>
          <w:sz w:val="24"/>
        </w:rPr>
      </w:pPr>
      <w:r>
        <w:rPr>
          <w:rFonts w:ascii="微软雅黑" w:eastAsia="微软雅黑"/>
          <w:b/>
          <w:spacing w:val="-6"/>
          <w:sz w:val="24"/>
        </w:rPr>
        <w:t>D</w:t>
      </w:r>
      <w:r>
        <w:rPr>
          <w:rFonts w:ascii="微软雅黑" w:eastAsia="微软雅黑"/>
          <w:b/>
          <w:spacing w:val="-7"/>
          <w:sz w:val="24"/>
        </w:rPr>
        <w:t>、中小企业价格折扣办法：</w:t>
      </w:r>
    </w:p>
    <w:p>
      <w:pPr>
        <w:pStyle w:val="BodyText"/>
        <w:spacing w:before="75" w:line="343" w:lineRule="auto"/>
        <w:ind w:left="475" w:right="875" w:firstLine="360"/>
      </w:pPr>
      <w:r>
        <w:rPr>
          <w:spacing w:val="-6"/>
        </w:rPr>
        <w:t>根据《政府采购促进中小企业发展暂行办法》</w:t>
      </w:r>
      <w:r>
        <w:t>（财库[2011]181</w:t>
      </w:r>
      <w:r>
        <w:rPr>
          <w:spacing w:val="-21"/>
        </w:rPr>
        <w:t xml:space="preserve"> 号</w:t>
      </w:r>
      <w:r>
        <w:t>）文件，具体规定</w:t>
      </w:r>
      <w:r>
        <w:rPr>
          <w:spacing w:val="-4"/>
        </w:rPr>
        <w:t>如下：</w:t>
      </w:r>
    </w:p>
    <w:p>
      <w:pPr>
        <w:pStyle w:val="ListParagraph"/>
        <w:numPr>
          <w:ilvl w:val="0"/>
          <w:numId w:val="43"/>
        </w:numPr>
        <w:tabs>
          <w:tab w:val="left" w:pos="901"/>
        </w:tabs>
        <w:spacing w:before="0" w:after="0" w:line="240" w:lineRule="auto"/>
        <w:ind w:left="900" w:right="0" w:hanging="426"/>
        <w:jc w:val="left"/>
        <w:rPr>
          <w:sz w:val="24"/>
        </w:rPr>
      </w:pPr>
      <w:r>
        <w:rPr>
          <w:sz w:val="24"/>
        </w:rPr>
        <w:t>本办法所称中小企业（含中型、小型、微型企业，下同）</w:t>
      </w:r>
      <w:r>
        <w:rPr>
          <w:spacing w:val="-1"/>
          <w:sz w:val="24"/>
        </w:rPr>
        <w:t>应当同时符合以下条件：</w:t>
      </w:r>
    </w:p>
    <w:p>
      <w:pPr>
        <w:pStyle w:val="BodyText"/>
        <w:spacing w:before="133" w:line="343" w:lineRule="auto"/>
        <w:ind w:left="1615" w:right="874" w:hanging="720"/>
      </w:pPr>
      <w:r>
        <w:rPr>
          <w:spacing w:val="-2"/>
        </w:rPr>
        <w:t>（一）符合中小企业划分标准（</w:t>
      </w:r>
      <w:r>
        <w:rPr>
          <w:spacing w:val="-8"/>
        </w:rPr>
        <w:t>按《关于印发中小企业划型标准规定的通知》</w:t>
      </w:r>
      <w:r>
        <w:rPr>
          <w:spacing w:val="-2"/>
        </w:rPr>
        <w:t>（工信</w:t>
      </w:r>
      <w:r>
        <w:t>部联企业〔2011〕300</w:t>
      </w:r>
      <w:r>
        <w:rPr>
          <w:spacing w:val="-21"/>
        </w:rPr>
        <w:t xml:space="preserve"> 号</w:t>
      </w:r>
      <w:r>
        <w:t>）执行</w:t>
      </w:r>
      <w:r>
        <w:rPr>
          <w:spacing w:val="-120"/>
        </w:rPr>
        <w:t>）</w:t>
      </w:r>
      <w:r>
        <w:t>；</w:t>
      </w:r>
    </w:p>
    <w:p>
      <w:pPr>
        <w:pStyle w:val="BodyText"/>
        <w:spacing w:line="343" w:lineRule="auto"/>
        <w:ind w:left="1615" w:right="875" w:hanging="720"/>
      </w:pPr>
      <w:r>
        <w:rPr>
          <w:spacing w:val="-2"/>
        </w:rPr>
        <w:t>（二）提供本企业制造的货物、承担的工程或者服务，或者提供其他中小企业制造</w:t>
      </w:r>
      <w:r>
        <w:rPr>
          <w:spacing w:val="-2"/>
        </w:rPr>
        <w:t>的货物。本项所称货物不包括使用大型企业注册商标的货物.</w:t>
      </w:r>
    </w:p>
    <w:p>
      <w:pPr>
        <w:pStyle w:val="BodyText"/>
        <w:spacing w:before="1"/>
        <w:ind w:left="895"/>
      </w:pPr>
      <w:r>
        <w:t>（三）</w:t>
      </w:r>
      <w:r>
        <w:rPr>
          <w:spacing w:val="-1"/>
        </w:rPr>
        <w:t>小型、微型企业提供中型企业制造的货物的，视同为中型企业。</w:t>
      </w:r>
    </w:p>
    <w:p>
      <w:pPr>
        <w:pStyle w:val="ListParagraph"/>
        <w:numPr>
          <w:ilvl w:val="0"/>
          <w:numId w:val="42"/>
        </w:numPr>
        <w:tabs>
          <w:tab w:val="left" w:pos="901"/>
        </w:tabs>
        <w:spacing w:before="132" w:after="0" w:line="240" w:lineRule="auto"/>
        <w:ind w:left="900" w:right="0" w:hanging="426"/>
        <w:jc w:val="left"/>
        <w:rPr>
          <w:sz w:val="24"/>
        </w:rPr>
      </w:pPr>
      <w:r>
        <w:rPr>
          <w:spacing w:val="-2"/>
          <w:sz w:val="24"/>
        </w:rPr>
        <w:t>价格扣除办法：</w:t>
      </w:r>
    </w:p>
    <w:p>
      <w:pPr>
        <w:pStyle w:val="BodyText"/>
        <w:spacing w:before="133" w:line="343" w:lineRule="auto"/>
        <w:ind w:left="1615" w:right="875" w:hanging="720"/>
        <w:jc w:val="both"/>
      </w:pPr>
      <w:r>
        <w:rPr>
          <w:spacing w:val="-2"/>
        </w:rPr>
        <w:t>（一）对于非专门面向中小企业的项目，对小型和微型企业（或联合体各方均为小</w:t>
      </w:r>
      <w:r>
        <w:rPr>
          <w:spacing w:val="-2"/>
        </w:rPr>
        <w:t>型、微型企业的）</w:t>
      </w:r>
      <w:r>
        <w:rPr>
          <w:spacing w:val="-4"/>
        </w:rPr>
        <w:t xml:space="preserve">产品的价格给予 </w:t>
      </w:r>
      <w:r>
        <w:rPr>
          <w:spacing w:val="-2"/>
        </w:rPr>
        <w:t>6%的扣除，用扣除后的价格参与价格分的</w:t>
      </w:r>
      <w:r>
        <w:rPr>
          <w:spacing w:val="-4"/>
        </w:rPr>
        <w:t>评审。</w:t>
      </w:r>
    </w:p>
    <w:p>
      <w:pPr>
        <w:pStyle w:val="BodyText"/>
        <w:spacing w:before="1" w:line="343" w:lineRule="auto"/>
        <w:ind w:left="1615" w:right="874" w:hanging="720"/>
        <w:jc w:val="both"/>
      </w:pPr>
      <w:r>
        <w:rPr>
          <w:spacing w:val="-2"/>
        </w:rPr>
        <w:t>（二）大中型企业和其他自然人、法人或者其他组织与小型、微型企业组成联合体</w:t>
      </w:r>
      <w:r>
        <w:rPr>
          <w:spacing w:val="-2"/>
        </w:rPr>
        <w:t>共同参加非专门面向中小企业的政府采购活动的，其联合协议中约定小型、</w:t>
      </w:r>
      <w:r>
        <w:rPr>
          <w:spacing w:val="-4"/>
        </w:rPr>
        <w:t xml:space="preserve">微型企业的协议合同金额占到联合体协议合同总金额 </w:t>
      </w:r>
      <w:r>
        <w:rPr>
          <w:spacing w:val="-2"/>
        </w:rPr>
        <w:t>30%</w:t>
      </w:r>
      <w:r>
        <w:rPr>
          <w:spacing w:val="-15"/>
        </w:rPr>
        <w:t>以上的，可给予联合</w:t>
      </w:r>
      <w:r>
        <w:rPr>
          <w:spacing w:val="-21"/>
        </w:rPr>
        <w:t xml:space="preserve">体 </w:t>
      </w:r>
      <w:r>
        <w:t>2%-3%的价格扣除。</w:t>
      </w:r>
    </w:p>
    <w:p>
      <w:pPr>
        <w:spacing w:after="0" w:line="343" w:lineRule="auto"/>
        <w:jc w:val="both"/>
        <w:sectPr>
          <w:headerReference w:type="default" r:id="rId29"/>
          <w:footerReference w:type="default" r:id="rId30"/>
          <w:pgSz w:w="11910" w:h="16840"/>
          <w:pgMar w:top="1240" w:right="320" w:bottom="1180" w:left="1100" w:header="884" w:footer="991"/>
          <w:pgNumType w:start="10"/>
          <w:cols w:space="708"/>
        </w:sectPr>
      </w:pPr>
    </w:p>
    <w:p>
      <w:pPr>
        <w:pStyle w:val="BodyText"/>
        <w:spacing w:before="3"/>
        <w:rPr>
          <w:sz w:val="12"/>
        </w:rPr>
      </w:pPr>
    </w:p>
    <w:p>
      <w:pPr>
        <w:pStyle w:val="BodyText"/>
        <w:spacing w:before="66" w:line="343" w:lineRule="auto"/>
        <w:ind w:left="1185" w:right="3651" w:hanging="710"/>
        <w:jc w:val="both"/>
      </w:pPr>
      <w:r>
        <w:rPr>
          <w:spacing w:val="-2"/>
        </w:rPr>
        <w:t xml:space="preserve">3、小型和微型企业适用价格扣除办法时应提供的相关资料： </w:t>
      </w:r>
      <w:r>
        <w:rPr>
          <w:spacing w:val="-10"/>
        </w:rPr>
        <w:t>(一) 《中小企业声明函》。</w:t>
      </w:r>
    </w:p>
    <w:p>
      <w:pPr>
        <w:pStyle w:val="BodyText"/>
        <w:spacing w:before="1" w:line="343" w:lineRule="auto"/>
        <w:ind w:left="1905" w:right="875" w:hanging="720"/>
        <w:jc w:val="both"/>
      </w:pPr>
      <w:r>
        <w:t>(二) 投标人需在投标文件报价部分中“各项财务预算标准、成本分析一览表”</w:t>
      </w:r>
      <w:r>
        <w:rPr>
          <w:spacing w:val="-2"/>
        </w:rPr>
        <w:t>中逐项注明所投产品或服务的生产厂家具体名称并备注是否属于小型、微</w:t>
      </w:r>
      <w:r>
        <w:rPr>
          <w:spacing w:val="-4"/>
        </w:rPr>
        <w:t>型企业。</w:t>
      </w:r>
    </w:p>
    <w:p>
      <w:pPr>
        <w:spacing w:before="0" w:line="365" w:lineRule="exact"/>
        <w:ind w:left="945" w:right="0" w:firstLine="0"/>
        <w:jc w:val="left"/>
        <w:rPr>
          <w:rFonts w:ascii="微软雅黑" w:eastAsia="微软雅黑"/>
          <w:b/>
          <w:sz w:val="24"/>
        </w:rPr>
      </w:pPr>
      <w:r>
        <w:rPr>
          <w:rFonts w:ascii="微软雅黑" w:eastAsia="微软雅黑"/>
          <w:b/>
          <w:sz w:val="24"/>
        </w:rPr>
        <w:t>总分</w:t>
      </w:r>
      <w:r>
        <w:rPr>
          <w:rFonts w:ascii="微软雅黑" w:eastAsia="微软雅黑"/>
          <w:b/>
          <w:spacing w:val="-2"/>
          <w:w w:val="85"/>
          <w:sz w:val="24"/>
        </w:rPr>
        <w:t>＝A+B+C+D</w:t>
      </w:r>
    </w:p>
    <w:p>
      <w:pPr>
        <w:spacing w:before="0" w:line="441" w:lineRule="exact"/>
        <w:ind w:left="955" w:right="0" w:firstLine="0"/>
        <w:jc w:val="left"/>
        <w:rPr>
          <w:rFonts w:ascii="微软雅黑" w:eastAsia="微软雅黑"/>
          <w:b/>
          <w:sz w:val="24"/>
        </w:rPr>
      </w:pPr>
      <w:r>
        <w:rPr>
          <w:rFonts w:ascii="微软雅黑" w:eastAsia="微软雅黑"/>
          <w:b/>
          <w:spacing w:val="-1"/>
          <w:sz w:val="24"/>
        </w:rPr>
        <w:t>注：以上计算分数时四舍五入取小数点后两位</w:t>
      </w:r>
    </w:p>
    <w:p>
      <w:pPr>
        <w:pStyle w:val="BodyText"/>
        <w:spacing w:before="15"/>
        <w:rPr>
          <w:rFonts w:ascii="微软雅黑"/>
          <w:b/>
          <w:sz w:val="35"/>
        </w:rPr>
      </w:pPr>
    </w:p>
    <w:p>
      <w:pPr>
        <w:pStyle w:val="Heading3"/>
        <w:spacing w:line="240" w:lineRule="auto"/>
        <w:rPr>
          <w:rFonts w:ascii="微软雅黑" w:eastAsia="微软雅黑"/>
        </w:rPr>
      </w:pPr>
      <w:r>
        <w:rPr>
          <w:rFonts w:ascii="微软雅黑" w:eastAsia="微软雅黑"/>
          <w:spacing w:val="-3"/>
        </w:rPr>
        <w:t>一、说明</w:t>
      </w:r>
    </w:p>
    <w:p>
      <w:pPr>
        <w:pStyle w:val="Heading4"/>
        <w:numPr>
          <w:ilvl w:val="0"/>
          <w:numId w:val="49"/>
        </w:numPr>
        <w:tabs>
          <w:tab w:val="left" w:pos="898"/>
        </w:tabs>
        <w:spacing w:before="275" w:after="0" w:line="240" w:lineRule="auto"/>
        <w:ind w:left="897" w:right="0" w:hanging="423"/>
        <w:jc w:val="left"/>
        <w:rPr>
          <w:rFonts w:ascii="微软雅黑" w:eastAsia="微软雅黑"/>
          <w:sz w:val="26"/>
        </w:rPr>
      </w:pPr>
      <w:r>
        <w:rPr>
          <w:rFonts w:ascii="微软雅黑" w:eastAsia="微软雅黑"/>
          <w:spacing w:val="-3"/>
        </w:rPr>
        <w:t>适用范围</w:t>
      </w:r>
    </w:p>
    <w:p>
      <w:pPr>
        <w:pStyle w:val="ListParagraph"/>
        <w:numPr>
          <w:ilvl w:val="1"/>
          <w:numId w:val="49"/>
        </w:numPr>
        <w:tabs>
          <w:tab w:val="left" w:pos="1388"/>
        </w:tabs>
        <w:spacing w:before="53" w:after="0" w:line="240" w:lineRule="auto"/>
        <w:ind w:left="1388" w:right="0" w:hanging="361"/>
        <w:jc w:val="left"/>
        <w:rPr>
          <w:sz w:val="22"/>
        </w:rPr>
      </w:pPr>
      <w:r>
        <w:rPr>
          <w:sz w:val="24"/>
        </w:rPr>
        <w:t>本招标文件仅适用于投标人须知前附表第1</w:t>
      </w:r>
      <w:r>
        <w:rPr>
          <w:spacing w:val="-7"/>
          <w:sz w:val="24"/>
        </w:rPr>
        <w:t>项所叙述项目的采购。政策法规参考</w:t>
      </w:r>
    </w:p>
    <w:p>
      <w:pPr>
        <w:pStyle w:val="BodyText"/>
        <w:spacing w:before="133"/>
        <w:ind w:left="475"/>
      </w:pPr>
      <w:r>
        <w:rPr>
          <w:spacing w:val="-20"/>
        </w:rPr>
        <w:t>《中华人民共和国招标投标法》、《中华人民共和国政府采购法》及有关招标的政策规定。</w:t>
      </w:r>
    </w:p>
    <w:p>
      <w:pPr>
        <w:pStyle w:val="Heading4"/>
        <w:numPr>
          <w:ilvl w:val="0"/>
          <w:numId w:val="49"/>
        </w:numPr>
        <w:tabs>
          <w:tab w:val="left" w:pos="898"/>
        </w:tabs>
        <w:spacing w:before="3" w:after="0" w:line="240" w:lineRule="auto"/>
        <w:ind w:left="897" w:right="0" w:hanging="423"/>
        <w:jc w:val="left"/>
        <w:rPr>
          <w:rFonts w:ascii="微软雅黑" w:eastAsia="微软雅黑"/>
          <w:sz w:val="26"/>
        </w:rPr>
      </w:pPr>
      <w:r>
        <w:rPr>
          <w:rFonts w:ascii="微软雅黑" w:eastAsia="微软雅黑"/>
          <w:spacing w:val="-5"/>
        </w:rPr>
        <w:t>定义</w:t>
      </w:r>
    </w:p>
    <w:p>
      <w:pPr>
        <w:pStyle w:val="ListParagraph"/>
        <w:numPr>
          <w:ilvl w:val="1"/>
          <w:numId w:val="49"/>
        </w:numPr>
        <w:tabs>
          <w:tab w:val="left" w:pos="1388"/>
        </w:tabs>
        <w:spacing w:before="53" w:after="0" w:line="240" w:lineRule="auto"/>
        <w:ind w:left="1388" w:right="0" w:hanging="361"/>
        <w:jc w:val="left"/>
        <w:rPr>
          <w:sz w:val="22"/>
        </w:rPr>
      </w:pPr>
      <w:r>
        <w:rPr>
          <w:spacing w:val="-17"/>
          <w:sz w:val="24"/>
        </w:rPr>
        <w:t>“采购人”、“招标人”系指本次采购项目的业主方。</w:t>
      </w:r>
    </w:p>
    <w:p>
      <w:pPr>
        <w:pStyle w:val="ListParagraph"/>
        <w:numPr>
          <w:ilvl w:val="1"/>
          <w:numId w:val="49"/>
        </w:numPr>
        <w:tabs>
          <w:tab w:val="left" w:pos="1388"/>
        </w:tabs>
        <w:spacing w:before="133" w:after="0" w:line="343" w:lineRule="auto"/>
        <w:ind w:left="475" w:right="875" w:firstLine="552"/>
        <w:jc w:val="left"/>
        <w:rPr>
          <w:sz w:val="22"/>
        </w:rPr>
      </w:pPr>
      <w:r>
        <w:rPr>
          <w:spacing w:val="-19"/>
          <w:sz w:val="24"/>
        </w:rPr>
        <w:t>“招标代理机构”、“招标代理公司”系指本次招标采购项目的活动组织方福建</w:t>
      </w:r>
      <w:r>
        <w:rPr>
          <w:spacing w:val="-2"/>
          <w:sz w:val="24"/>
        </w:rPr>
        <w:t>省新卫招标代理有限公司。</w:t>
      </w:r>
    </w:p>
    <w:p>
      <w:pPr>
        <w:pStyle w:val="ListParagraph"/>
        <w:numPr>
          <w:ilvl w:val="1"/>
          <w:numId w:val="49"/>
        </w:numPr>
        <w:tabs>
          <w:tab w:val="left" w:pos="1388"/>
        </w:tabs>
        <w:spacing w:before="0" w:after="0" w:line="343" w:lineRule="auto"/>
        <w:ind w:left="475" w:right="875" w:firstLine="552"/>
        <w:jc w:val="left"/>
        <w:rPr>
          <w:sz w:val="22"/>
        </w:rPr>
      </w:pPr>
      <w:r>
        <w:rPr>
          <w:spacing w:val="-2"/>
          <w:sz w:val="24"/>
        </w:rPr>
        <w:t>“投标人”系指购买了本招标文件，且已经提交或者准备提交本次投标文件的</w:t>
      </w:r>
      <w:r>
        <w:rPr>
          <w:spacing w:val="-2"/>
          <w:sz w:val="24"/>
        </w:rPr>
        <w:t>制造商或供应商。</w:t>
      </w:r>
    </w:p>
    <w:p>
      <w:pPr>
        <w:pStyle w:val="ListParagraph"/>
        <w:numPr>
          <w:ilvl w:val="1"/>
          <w:numId w:val="49"/>
        </w:numPr>
        <w:tabs>
          <w:tab w:val="left" w:pos="1388"/>
        </w:tabs>
        <w:spacing w:before="1" w:after="0" w:line="343" w:lineRule="auto"/>
        <w:ind w:left="475" w:right="755" w:firstLine="552"/>
        <w:jc w:val="left"/>
        <w:rPr>
          <w:sz w:val="22"/>
        </w:rPr>
      </w:pPr>
      <w:r>
        <w:rPr>
          <w:spacing w:val="-2"/>
          <w:sz w:val="24"/>
        </w:rPr>
        <w:t>“服务”系指招标文件规定卖方须承担的安装、调试、配送、技术协助、校准、</w:t>
      </w:r>
      <w:r>
        <w:rPr>
          <w:spacing w:val="-2"/>
          <w:sz w:val="24"/>
        </w:rPr>
        <w:t>培训以及其他类似的义务。</w:t>
      </w:r>
    </w:p>
    <w:p>
      <w:pPr>
        <w:pStyle w:val="ListParagraph"/>
        <w:numPr>
          <w:ilvl w:val="0"/>
          <w:numId w:val="49"/>
        </w:numPr>
        <w:tabs>
          <w:tab w:val="left" w:pos="898"/>
        </w:tabs>
        <w:spacing w:before="0" w:after="0" w:line="349" w:lineRule="exact"/>
        <w:ind w:left="897" w:right="0" w:hanging="423"/>
        <w:jc w:val="left"/>
        <w:rPr>
          <w:rFonts w:ascii="微软雅黑" w:eastAsia="微软雅黑"/>
          <w:b/>
          <w:sz w:val="26"/>
        </w:rPr>
      </w:pPr>
      <w:r>
        <w:rPr>
          <w:rFonts w:ascii="微软雅黑" w:eastAsia="微软雅黑"/>
          <w:b/>
          <w:sz w:val="28"/>
        </w:rPr>
        <w:t>合格的投标人：</w:t>
      </w:r>
      <w:r>
        <w:rPr>
          <w:spacing w:val="-1"/>
          <w:sz w:val="24"/>
        </w:rPr>
        <w:t>详见投标人须知前附表中的资格标准。</w:t>
      </w:r>
    </w:p>
    <w:p>
      <w:pPr>
        <w:pStyle w:val="Heading4"/>
        <w:numPr>
          <w:ilvl w:val="0"/>
          <w:numId w:val="49"/>
        </w:numPr>
        <w:tabs>
          <w:tab w:val="left" w:pos="898"/>
        </w:tabs>
        <w:spacing w:before="0" w:after="0" w:line="478" w:lineRule="exact"/>
        <w:ind w:left="897" w:right="0" w:hanging="423"/>
        <w:jc w:val="left"/>
        <w:rPr>
          <w:rFonts w:ascii="微软雅黑" w:eastAsia="微软雅黑"/>
          <w:sz w:val="26"/>
        </w:rPr>
      </w:pPr>
      <w:r>
        <w:rPr>
          <w:rFonts w:ascii="微软雅黑" w:eastAsia="微软雅黑"/>
          <w:spacing w:val="-3"/>
        </w:rPr>
        <w:t>投标费用</w:t>
      </w:r>
    </w:p>
    <w:p>
      <w:pPr>
        <w:pStyle w:val="ListParagraph"/>
        <w:numPr>
          <w:ilvl w:val="1"/>
          <w:numId w:val="49"/>
        </w:numPr>
        <w:tabs>
          <w:tab w:val="left" w:pos="1315"/>
        </w:tabs>
        <w:spacing w:before="53" w:after="0" w:line="240" w:lineRule="auto"/>
        <w:ind w:left="1315" w:right="0" w:hanging="480"/>
        <w:jc w:val="left"/>
        <w:rPr>
          <w:sz w:val="24"/>
        </w:rPr>
      </w:pPr>
      <w:r>
        <w:rPr>
          <w:spacing w:val="-1"/>
          <w:sz w:val="24"/>
        </w:rPr>
        <w:t>投标人应自行承担其准备与参加投标所涉及的一切费用。</w:t>
      </w:r>
    </w:p>
    <w:p>
      <w:pPr>
        <w:pStyle w:val="BodyText"/>
        <w:rPr>
          <w:sz w:val="20"/>
        </w:rPr>
      </w:pPr>
    </w:p>
    <w:p>
      <w:pPr>
        <w:pStyle w:val="BodyText"/>
        <w:rPr>
          <w:sz w:val="20"/>
        </w:rPr>
      </w:pPr>
    </w:p>
    <w:p>
      <w:pPr>
        <w:pStyle w:val="BodyText"/>
        <w:spacing w:before="9"/>
        <w:rPr>
          <w:sz w:val="19"/>
        </w:rPr>
      </w:pPr>
    </w:p>
    <w:p>
      <w:pPr>
        <w:spacing w:after="0"/>
        <w:rPr>
          <w:sz w:val="19"/>
        </w:rPr>
        <w:sectPr>
          <w:headerReference w:type="default" r:id="rId31"/>
          <w:footerReference w:type="default" r:id="rId32"/>
          <w:pgSz w:w="11910" w:h="16840"/>
          <w:pgMar w:top="1240" w:right="320" w:bottom="1180" w:left="1100" w:header="884" w:footer="991"/>
          <w:pgNumType w:start="11"/>
          <w:cols w:space="708"/>
        </w:sectPr>
      </w:pPr>
    </w:p>
    <w:p>
      <w:pPr>
        <w:pStyle w:val="BodyText"/>
        <w:spacing w:before="2"/>
        <w:rPr>
          <w:sz w:val="34"/>
        </w:rPr>
      </w:pPr>
    </w:p>
    <w:p>
      <w:pPr>
        <w:pStyle w:val="ListParagraph"/>
        <w:numPr>
          <w:ilvl w:val="0"/>
          <w:numId w:val="49"/>
        </w:numPr>
        <w:tabs>
          <w:tab w:val="left" w:pos="898"/>
        </w:tabs>
        <w:spacing w:before="0" w:after="0" w:line="240" w:lineRule="auto"/>
        <w:ind w:left="897" w:right="0" w:hanging="423"/>
        <w:jc w:val="left"/>
        <w:rPr>
          <w:rFonts w:ascii="微软雅黑" w:eastAsia="微软雅黑"/>
          <w:b/>
          <w:sz w:val="26"/>
        </w:rPr>
      </w:pPr>
      <w:r>
        <w:rPr>
          <w:rFonts w:ascii="微软雅黑" w:eastAsia="微软雅黑"/>
          <w:b/>
          <w:spacing w:val="-2"/>
          <w:sz w:val="28"/>
        </w:rPr>
        <w:t>招标文件的组成</w:t>
      </w:r>
    </w:p>
    <w:p>
      <w:pPr>
        <w:pStyle w:val="Heading3"/>
        <w:ind w:left="475" w:right="0"/>
        <w:jc w:val="left"/>
        <w:rPr>
          <w:rFonts w:ascii="微软雅黑" w:eastAsia="微软雅黑"/>
        </w:rPr>
      </w:pPr>
      <w:r>
        <w:rPr>
          <w:b w:val="0"/>
        </w:rPr>
        <w:br w:type="column"/>
      </w:r>
      <w:r>
        <w:rPr>
          <w:rFonts w:ascii="微软雅黑" w:eastAsia="微软雅黑"/>
          <w:spacing w:val="-2"/>
        </w:rPr>
        <w:t>二、招标文件</w:t>
      </w:r>
    </w:p>
    <w:p>
      <w:pPr>
        <w:spacing w:after="0"/>
        <w:jc w:val="left"/>
        <w:rPr>
          <w:rFonts w:ascii="微软雅黑" w:eastAsia="微软雅黑"/>
        </w:rPr>
        <w:sectPr>
          <w:headerReference w:type="default" r:id="rId33"/>
          <w:footerReference w:type="default" r:id="rId34"/>
          <w:type w:val="continuous"/>
          <w:pgSz w:w="11910" w:h="16840"/>
          <w:pgMar w:top="1240" w:right="320" w:bottom="280" w:left="1100" w:header="884" w:footer="991"/>
          <w:pgNumType w:start="12"/>
          <w:cols w:num="2" w:space="708" w:equalWidth="0">
            <w:col w:w="2904" w:space="235"/>
            <w:col w:w="7351" w:space="0"/>
          </w:cols>
        </w:sectPr>
      </w:pPr>
    </w:p>
    <w:p>
      <w:pPr>
        <w:pStyle w:val="ListParagraph"/>
        <w:numPr>
          <w:ilvl w:val="1"/>
          <w:numId w:val="49"/>
        </w:numPr>
        <w:tabs>
          <w:tab w:val="left" w:pos="1315"/>
        </w:tabs>
        <w:spacing w:before="54" w:after="0" w:line="343" w:lineRule="auto"/>
        <w:ind w:left="475" w:right="874" w:firstLine="420"/>
        <w:jc w:val="left"/>
        <w:rPr>
          <w:sz w:val="24"/>
        </w:rPr>
      </w:pPr>
      <w:r>
        <w:rPr>
          <w:spacing w:val="-6"/>
          <w:sz w:val="24"/>
        </w:rPr>
        <w:t>招标文件用以阐明所需项目及服务招标程序和合同主要条款。招标文件由下述部</w:t>
      </w:r>
      <w:r>
        <w:rPr>
          <w:spacing w:val="-4"/>
          <w:sz w:val="24"/>
        </w:rPr>
        <w:t>分组成：</w:t>
      </w:r>
    </w:p>
    <w:p>
      <w:pPr>
        <w:pStyle w:val="BodyText"/>
        <w:ind w:left="895"/>
      </w:pPr>
      <w:r>
        <w:rPr>
          <w:spacing w:val="-2"/>
        </w:rPr>
        <w:t>① 投标邀请</w:t>
      </w:r>
    </w:p>
    <w:p>
      <w:pPr>
        <w:spacing w:after="0"/>
        <w:sectPr>
          <w:headerReference w:type="default" r:id="rId35"/>
          <w:footerReference w:type="default" r:id="rId36"/>
          <w:type w:val="continuous"/>
          <w:pgSz w:w="11910" w:h="16840"/>
          <w:pgMar w:top="1240" w:right="320" w:bottom="280" w:left="1100" w:header="884" w:footer="991"/>
          <w:pgNumType w:start="13"/>
          <w:cols w:space="708"/>
        </w:sectPr>
      </w:pPr>
    </w:p>
    <w:p>
      <w:pPr>
        <w:pStyle w:val="BodyText"/>
        <w:spacing w:before="3"/>
        <w:rPr>
          <w:sz w:val="12"/>
        </w:rPr>
      </w:pPr>
    </w:p>
    <w:p>
      <w:pPr>
        <w:pStyle w:val="BodyText"/>
        <w:spacing w:before="66"/>
        <w:ind w:left="895"/>
      </w:pPr>
      <w:r>
        <w:rPr>
          <w:spacing w:val="-2"/>
        </w:rPr>
        <w:t>② 投标人须知</w:t>
      </w:r>
    </w:p>
    <w:p>
      <w:pPr>
        <w:pStyle w:val="BodyText"/>
        <w:spacing w:before="133"/>
        <w:ind w:left="895"/>
      </w:pPr>
      <w:r>
        <w:rPr>
          <w:spacing w:val="-2"/>
        </w:rPr>
        <w:t>③ 招标内容及要求</w:t>
      </w:r>
    </w:p>
    <w:p>
      <w:pPr>
        <w:pStyle w:val="BodyText"/>
        <w:spacing w:before="132"/>
        <w:ind w:left="895"/>
      </w:pPr>
      <w:r>
        <w:t>④ 合同主要条款（参考文本</w:t>
      </w:r>
      <w:r>
        <w:rPr>
          <w:spacing w:val="-10"/>
        </w:rPr>
        <w:t>）</w:t>
      </w:r>
    </w:p>
    <w:p>
      <w:pPr>
        <w:pStyle w:val="BodyText"/>
        <w:spacing w:before="133"/>
        <w:ind w:left="895"/>
      </w:pPr>
      <w:r>
        <w:rPr>
          <w:spacing w:val="-2"/>
        </w:rPr>
        <w:t>⑤ 投标文件格式</w:t>
      </w:r>
    </w:p>
    <w:p>
      <w:pPr>
        <w:pStyle w:val="Heading4"/>
        <w:numPr>
          <w:ilvl w:val="0"/>
          <w:numId w:val="41"/>
        </w:numPr>
        <w:tabs>
          <w:tab w:val="left" w:pos="898"/>
        </w:tabs>
        <w:spacing w:before="3" w:after="0" w:line="240" w:lineRule="auto"/>
        <w:ind w:left="897" w:right="0" w:hanging="423"/>
        <w:jc w:val="left"/>
        <w:rPr>
          <w:rFonts w:ascii="微软雅黑" w:eastAsia="微软雅黑"/>
        </w:rPr>
      </w:pPr>
      <w:r>
        <w:rPr>
          <w:rFonts w:ascii="微软雅黑" w:eastAsia="微软雅黑"/>
          <w:spacing w:val="-2"/>
        </w:rPr>
        <w:t>招标文件的澄清</w:t>
      </w:r>
    </w:p>
    <w:p>
      <w:pPr>
        <w:pStyle w:val="ListParagraph"/>
        <w:numPr>
          <w:ilvl w:val="1"/>
          <w:numId w:val="41"/>
        </w:numPr>
        <w:tabs>
          <w:tab w:val="left" w:pos="1315"/>
        </w:tabs>
        <w:spacing w:before="53" w:after="0" w:line="343" w:lineRule="auto"/>
        <w:ind w:left="475" w:right="874" w:firstLine="420"/>
        <w:jc w:val="both"/>
        <w:rPr>
          <w:sz w:val="24"/>
        </w:rPr>
      </w:pPr>
      <w:r>
        <w:rPr>
          <w:spacing w:val="-9"/>
          <w:sz w:val="24"/>
        </w:rPr>
        <w:t>投标人对招标文件如有疑点，可要求澄清。要求澄清应按投标邀请中载明的地址</w:t>
      </w:r>
      <w:r>
        <w:rPr>
          <w:spacing w:val="-2"/>
          <w:sz w:val="24"/>
        </w:rPr>
        <w:t>以书面形式通知本招标代理公司。本招标代理公司将视情况在投标截止时间15个日历日</w:t>
      </w:r>
    </w:p>
    <w:p>
      <w:pPr>
        <w:pStyle w:val="BodyText"/>
        <w:spacing w:before="1" w:line="343" w:lineRule="auto"/>
        <w:ind w:left="475" w:right="875"/>
        <w:jc w:val="both"/>
      </w:pPr>
      <w:r>
        <w:rPr>
          <w:spacing w:val="-2"/>
        </w:rPr>
        <w:t>（如至原定截止时间不足15个日历日，则相应延长开标时间）前将不标明查询来源的书</w:t>
      </w:r>
      <w:r>
        <w:rPr>
          <w:spacing w:val="-2"/>
        </w:rPr>
        <w:t>面答复发给所有投标人，并在采购信息发布的媒体上发布更正公告。该澄清内容为招标</w:t>
      </w:r>
      <w:r>
        <w:rPr>
          <w:spacing w:val="-12"/>
        </w:rPr>
        <w:t>文件的组成部分。投标人在投标邀请第</w:t>
      </w:r>
      <w:r>
        <w:rPr>
          <w:spacing w:val="-2"/>
        </w:rPr>
        <w:t>7项规定的日期前未对招标文件内容提出疑议或异</w:t>
      </w:r>
      <w:r>
        <w:rPr>
          <w:spacing w:val="-2"/>
        </w:rPr>
        <w:t>议的,视为认同本招标文件中所有条款，今后将无权提出任何异议。</w:t>
      </w:r>
    </w:p>
    <w:p>
      <w:pPr>
        <w:pStyle w:val="ListParagraph"/>
        <w:numPr>
          <w:ilvl w:val="1"/>
          <w:numId w:val="41"/>
        </w:numPr>
        <w:tabs>
          <w:tab w:val="left" w:pos="1375"/>
        </w:tabs>
        <w:spacing w:before="1" w:after="0" w:line="343" w:lineRule="auto"/>
        <w:ind w:left="475" w:right="771" w:firstLine="420"/>
        <w:jc w:val="left"/>
        <w:rPr>
          <w:sz w:val="24"/>
        </w:rPr>
      </w:pPr>
      <w:r>
        <w:rPr>
          <w:spacing w:val="-2"/>
          <w:sz w:val="24"/>
        </w:rPr>
        <w:t>投标人对招标文件提出质疑,应以有效签署的书面形式原件提交，并提供法定代</w:t>
      </w:r>
      <w:r>
        <w:rPr>
          <w:spacing w:val="-2"/>
          <w:sz w:val="24"/>
        </w:rPr>
        <w:t>表人授权书原件（由法定代表人直接送达的无需</w:t>
      </w:r>
      <w:r>
        <w:rPr>
          <w:spacing w:val="-120"/>
          <w:sz w:val="24"/>
        </w:rPr>
        <w:t>）</w:t>
      </w:r>
      <w:r>
        <w:rPr>
          <w:spacing w:val="-2"/>
          <w:sz w:val="24"/>
        </w:rPr>
        <w:t>，附企业营业执照副本、税务登记证、</w:t>
      </w:r>
      <w:r>
        <w:rPr>
          <w:spacing w:val="-13"/>
          <w:sz w:val="24"/>
        </w:rPr>
        <w:t>组织机构代码证复印件。</w:t>
      </w:r>
      <w:r>
        <w:rPr>
          <w:spacing w:val="-2"/>
          <w:sz w:val="24"/>
        </w:rPr>
        <w:t>（</w:t>
      </w:r>
      <w:r>
        <w:rPr>
          <w:spacing w:val="-13"/>
          <w:sz w:val="24"/>
        </w:rPr>
        <w:t>注：未按以上要求的不予受理。以上提供复印件的应有原件备</w:t>
      </w:r>
      <w:r>
        <w:rPr>
          <w:spacing w:val="-2"/>
          <w:sz w:val="24"/>
        </w:rPr>
        <w:t>查，若无法提供原件或与原件不符，视为虚假质疑，不予受理</w:t>
      </w:r>
      <w:r>
        <w:rPr>
          <w:spacing w:val="-120"/>
          <w:sz w:val="24"/>
        </w:rPr>
        <w:t>）</w:t>
      </w:r>
      <w:r>
        <w:rPr>
          <w:spacing w:val="-2"/>
          <w:sz w:val="24"/>
        </w:rPr>
        <w:t>。</w:t>
      </w:r>
    </w:p>
    <w:p>
      <w:pPr>
        <w:pStyle w:val="Heading4"/>
        <w:numPr>
          <w:ilvl w:val="0"/>
          <w:numId w:val="41"/>
        </w:numPr>
        <w:tabs>
          <w:tab w:val="left" w:pos="898"/>
        </w:tabs>
        <w:spacing w:before="0" w:after="0" w:line="388" w:lineRule="exact"/>
        <w:ind w:left="897" w:right="0" w:hanging="423"/>
        <w:jc w:val="left"/>
        <w:rPr>
          <w:rFonts w:ascii="微软雅黑" w:eastAsia="微软雅黑"/>
        </w:rPr>
      </w:pPr>
      <w:r>
        <w:rPr>
          <w:rFonts w:ascii="微软雅黑" w:eastAsia="微软雅黑"/>
          <w:spacing w:val="-2"/>
        </w:rPr>
        <w:t>招标文件的修改</w:t>
      </w:r>
    </w:p>
    <w:p>
      <w:pPr>
        <w:pStyle w:val="BodyText"/>
        <w:spacing w:before="53" w:line="343" w:lineRule="auto"/>
        <w:ind w:left="475" w:right="875" w:firstLine="420"/>
        <w:jc w:val="both"/>
      </w:pPr>
      <w:r>
        <w:rPr>
          <w:spacing w:val="-2"/>
        </w:rPr>
        <w:t>7.1</w:t>
      </w:r>
      <w:r>
        <w:rPr>
          <w:spacing w:val="-6"/>
        </w:rPr>
        <w:t xml:space="preserve"> 至投标截止日期前</w:t>
      </w:r>
      <w:r>
        <w:rPr>
          <w:spacing w:val="-2"/>
        </w:rPr>
        <w:t>15</w:t>
      </w:r>
      <w:r>
        <w:rPr>
          <w:spacing w:val="-53"/>
        </w:rPr>
        <w:t>日</w:t>
      </w:r>
      <w:r>
        <w:rPr>
          <w:spacing w:val="-2"/>
        </w:rPr>
        <w:t>（如至原定截止时间不足15</w:t>
      </w:r>
      <w:r>
        <w:rPr>
          <w:spacing w:val="-10"/>
        </w:rPr>
        <w:t>个日历日，则相应延长开标时</w:t>
      </w:r>
      <w:r>
        <w:rPr>
          <w:spacing w:val="-2"/>
        </w:rPr>
        <w:t>间</w:t>
      </w:r>
      <w:r>
        <w:rPr>
          <w:spacing w:val="-87"/>
        </w:rPr>
        <w:t>）</w:t>
      </w:r>
      <w:r>
        <w:rPr>
          <w:spacing w:val="-14"/>
        </w:rPr>
        <w:t>，本招标代理公司可主动或依投标人要求澄清的问题而修改招标文件，并在原信息发</w:t>
      </w:r>
      <w:r>
        <w:rPr>
          <w:spacing w:val="-2"/>
        </w:rPr>
        <w:t>布的媒体上发布更正公告，并以书面形式通知所有投标人，投标人在收到该通知后应立</w:t>
      </w:r>
      <w:r>
        <w:rPr>
          <w:spacing w:val="-2"/>
        </w:rPr>
        <w:t>即以电报或传真的形式予以确认。该修改内容为招标文件的组成部分，对投标人具有约</w:t>
      </w:r>
      <w:r>
        <w:rPr>
          <w:spacing w:val="-2"/>
        </w:rPr>
        <w:t>束力。但本招标文件第7.2条规定的推迟投标截止时间和开标时间情形不受本条约束。</w:t>
      </w:r>
    </w:p>
    <w:p>
      <w:pPr>
        <w:pStyle w:val="BodyText"/>
        <w:spacing w:before="2" w:line="343" w:lineRule="auto"/>
        <w:ind w:left="475" w:right="874" w:firstLine="420"/>
        <w:jc w:val="both"/>
      </w:pPr>
      <w:r>
        <w:rPr>
          <w:spacing w:val="-2"/>
        </w:rPr>
        <w:t>7.2</w:t>
      </w:r>
      <w:r>
        <w:rPr>
          <w:spacing w:val="-10"/>
        </w:rPr>
        <w:t xml:space="preserve"> 为使投标人在准备投标文件时有合理的时间考虑招标文件的修改，本招标代理公</w:t>
      </w:r>
      <w:r>
        <w:rPr>
          <w:spacing w:val="-2"/>
        </w:rPr>
        <w:t>司在投标截止时间3</w:t>
      </w:r>
      <w:r>
        <w:rPr>
          <w:spacing w:val="-7"/>
        </w:rPr>
        <w:t>个日历日前可酌情推迟投标截止时间和开标时间，并将变更时间以书</w:t>
      </w:r>
      <w:r>
        <w:rPr>
          <w:spacing w:val="-2"/>
        </w:rPr>
        <w:t>面形式通知所有投标人，在采购信息发布的媒体上发布更正公告。该修改内容为招标文</w:t>
      </w:r>
      <w:r>
        <w:rPr>
          <w:spacing w:val="-2"/>
        </w:rPr>
        <w:t>件的组成部分。在此情况下，招标人和投标人受投标截止期制约的所有权利和义务均应</w:t>
      </w:r>
      <w:r>
        <w:rPr>
          <w:spacing w:val="-2"/>
        </w:rPr>
        <w:t>延长至新的截止日期。</w:t>
      </w:r>
    </w:p>
    <w:p>
      <w:pPr>
        <w:pStyle w:val="BodyText"/>
        <w:spacing w:before="5"/>
        <w:rPr>
          <w:sz w:val="21"/>
        </w:rPr>
      </w:pPr>
    </w:p>
    <w:p>
      <w:pPr>
        <w:spacing w:after="0"/>
        <w:rPr>
          <w:sz w:val="21"/>
        </w:rPr>
        <w:sectPr>
          <w:headerReference w:type="default" r:id="rId37"/>
          <w:footerReference w:type="default" r:id="rId38"/>
          <w:pgSz w:w="11910" w:h="16840"/>
          <w:pgMar w:top="1240" w:right="320" w:bottom="1180" w:left="1100" w:header="884" w:footer="991"/>
          <w:pgNumType w:start="14"/>
          <w:cols w:space="708"/>
        </w:sectPr>
      </w:pPr>
    </w:p>
    <w:p>
      <w:pPr>
        <w:pStyle w:val="BodyText"/>
        <w:spacing w:before="2"/>
        <w:rPr>
          <w:sz w:val="34"/>
        </w:rPr>
      </w:pPr>
    </w:p>
    <w:p>
      <w:pPr>
        <w:pStyle w:val="ListParagraph"/>
        <w:numPr>
          <w:ilvl w:val="0"/>
          <w:numId w:val="41"/>
        </w:numPr>
        <w:tabs>
          <w:tab w:val="left" w:pos="898"/>
        </w:tabs>
        <w:spacing w:before="0" w:after="0" w:line="240" w:lineRule="auto"/>
        <w:ind w:left="897" w:right="0" w:hanging="423"/>
        <w:jc w:val="left"/>
        <w:rPr>
          <w:rFonts w:ascii="微软雅黑" w:eastAsia="微软雅黑"/>
          <w:b/>
          <w:sz w:val="28"/>
        </w:rPr>
      </w:pPr>
      <w:r>
        <w:rPr>
          <w:rFonts w:ascii="微软雅黑" w:eastAsia="微软雅黑"/>
          <w:b/>
          <w:spacing w:val="-5"/>
          <w:sz w:val="28"/>
        </w:rPr>
        <w:t>要求</w:t>
      </w:r>
    </w:p>
    <w:p>
      <w:pPr>
        <w:pStyle w:val="Heading3"/>
        <w:ind w:left="475" w:right="0"/>
        <w:jc w:val="left"/>
        <w:rPr>
          <w:rFonts w:ascii="微软雅黑" w:eastAsia="微软雅黑"/>
        </w:rPr>
      </w:pPr>
      <w:r>
        <w:rPr>
          <w:b w:val="0"/>
        </w:rPr>
        <w:br w:type="column"/>
      </w:r>
      <w:r>
        <w:rPr>
          <w:rFonts w:ascii="微软雅黑" w:eastAsia="微软雅黑"/>
          <w:spacing w:val="-2"/>
        </w:rPr>
        <w:t>三、投标文件的编写</w:t>
      </w:r>
    </w:p>
    <w:p>
      <w:pPr>
        <w:spacing w:after="0"/>
        <w:jc w:val="left"/>
        <w:rPr>
          <w:rFonts w:ascii="微软雅黑" w:eastAsia="微软雅黑"/>
        </w:rPr>
        <w:sectPr>
          <w:headerReference w:type="default" r:id="rId39"/>
          <w:footerReference w:type="default" r:id="rId40"/>
          <w:type w:val="continuous"/>
          <w:pgSz w:w="11910" w:h="16840"/>
          <w:pgMar w:top="1240" w:right="320" w:bottom="280" w:left="1100" w:header="884" w:footer="991"/>
          <w:pgNumType w:start="15"/>
          <w:cols w:num="2" w:space="708" w:equalWidth="0">
            <w:col w:w="1499" w:space="1623"/>
            <w:col w:w="7368" w:space="0"/>
          </w:cols>
        </w:sectPr>
      </w:pPr>
    </w:p>
    <w:p>
      <w:pPr>
        <w:pStyle w:val="ListParagraph"/>
        <w:numPr>
          <w:ilvl w:val="1"/>
          <w:numId w:val="41"/>
        </w:numPr>
        <w:tabs>
          <w:tab w:val="left" w:pos="1555"/>
        </w:tabs>
        <w:spacing w:before="53" w:after="0" w:line="343" w:lineRule="auto"/>
        <w:ind w:left="475" w:right="771" w:firstLine="600"/>
        <w:jc w:val="left"/>
        <w:rPr>
          <w:sz w:val="24"/>
        </w:rPr>
      </w:pPr>
      <w:r>
        <w:rPr>
          <w:spacing w:val="-2"/>
          <w:sz w:val="24"/>
        </w:rPr>
        <w:t>投标人应仔细阅读招标文件的所有内容，按照招标文件的要求提交投标文件。</w:t>
      </w:r>
      <w:r>
        <w:rPr>
          <w:spacing w:val="-2"/>
          <w:sz w:val="24"/>
        </w:rPr>
        <w:t>投标文件应对招标文件的要求做出实质性响应，并保证所提供的全部资料的真实性。投</w:t>
      </w:r>
    </w:p>
    <w:p>
      <w:pPr>
        <w:spacing w:after="0" w:line="343" w:lineRule="auto"/>
        <w:jc w:val="left"/>
        <w:rPr>
          <w:sz w:val="24"/>
        </w:rPr>
        <w:sectPr>
          <w:headerReference w:type="default" r:id="rId41"/>
          <w:footerReference w:type="default" r:id="rId42"/>
          <w:type w:val="continuous"/>
          <w:pgSz w:w="11910" w:h="16840"/>
          <w:pgMar w:top="1240" w:right="320" w:bottom="280" w:left="1100" w:header="884" w:footer="991"/>
          <w:pgNumType w:start="16"/>
          <w:cols w:space="708"/>
        </w:sectPr>
      </w:pPr>
    </w:p>
    <w:p>
      <w:pPr>
        <w:pStyle w:val="BodyText"/>
        <w:spacing w:before="3"/>
        <w:rPr>
          <w:sz w:val="12"/>
        </w:rPr>
      </w:pPr>
    </w:p>
    <w:p>
      <w:pPr>
        <w:pStyle w:val="BodyText"/>
        <w:spacing w:before="66" w:line="343" w:lineRule="auto"/>
        <w:ind w:left="475" w:right="875"/>
      </w:pPr>
      <w:r>
        <w:rPr>
          <w:spacing w:val="-2"/>
        </w:rPr>
        <w:t>标人若提供虚假资料或未按招标文件要求提供，一经发现将将视为无效投标，没收其投</w:t>
      </w:r>
      <w:r>
        <w:rPr>
          <w:spacing w:val="-2"/>
        </w:rPr>
        <w:t>标保证金，并根据本文件和相关法律法规追究其相关责任。</w:t>
      </w:r>
    </w:p>
    <w:p>
      <w:pPr>
        <w:pStyle w:val="ListParagraph"/>
        <w:numPr>
          <w:ilvl w:val="1"/>
          <w:numId w:val="50"/>
        </w:numPr>
        <w:tabs>
          <w:tab w:val="left" w:pos="1436"/>
        </w:tabs>
        <w:spacing w:before="1" w:after="0" w:line="343" w:lineRule="auto"/>
        <w:ind w:left="475" w:right="875" w:firstLine="480"/>
        <w:jc w:val="both"/>
        <w:rPr>
          <w:sz w:val="24"/>
        </w:rPr>
      </w:pPr>
      <w:r>
        <w:rPr>
          <w:spacing w:val="-2"/>
          <w:sz w:val="24"/>
        </w:rPr>
        <w:t>除非有另外的规定，投标人可对招标内容一览表所列的全部合同包或部分合同</w:t>
      </w:r>
      <w:r>
        <w:rPr>
          <w:spacing w:val="-2"/>
          <w:sz w:val="24"/>
        </w:rPr>
        <w:t>包进行投标，但不得对每一合同包中的项目拆分投标。本招标代理机构不接受有任何可</w:t>
      </w:r>
      <w:r>
        <w:rPr>
          <w:spacing w:val="-2"/>
          <w:sz w:val="24"/>
        </w:rPr>
        <w:t>选择性的报价，每一种项目和每一合同包只能有一个报价，总报价应为投标项目送达招</w:t>
      </w:r>
      <w:r>
        <w:rPr>
          <w:spacing w:val="-2"/>
          <w:sz w:val="24"/>
        </w:rPr>
        <w:t>标人指定地点、经招标人验收合格并交付使用及售后服务等所有可能发生的费用。</w:t>
      </w:r>
    </w:p>
    <w:p>
      <w:pPr>
        <w:pStyle w:val="ListParagraph"/>
        <w:numPr>
          <w:ilvl w:val="1"/>
          <w:numId w:val="50"/>
        </w:numPr>
        <w:tabs>
          <w:tab w:val="left" w:pos="1316"/>
        </w:tabs>
        <w:spacing w:before="1" w:after="0" w:line="343" w:lineRule="auto"/>
        <w:ind w:left="475" w:right="874" w:firstLine="480"/>
        <w:jc w:val="both"/>
        <w:rPr>
          <w:sz w:val="22"/>
        </w:rPr>
      </w:pPr>
      <w:r>
        <w:rPr>
          <w:spacing w:val="-6"/>
          <w:sz w:val="24"/>
        </w:rPr>
        <w:t>中标人应保证采购人和招标代理机构不受到第三方关于侵犯专利权、商标权或工</w:t>
      </w:r>
      <w:r>
        <w:rPr>
          <w:spacing w:val="-2"/>
          <w:sz w:val="24"/>
        </w:rPr>
        <w:t>业设计权等知识产权的指控，任何第三方如果提出指控，中标人应与第三方交涉，承担</w:t>
      </w:r>
      <w:r>
        <w:rPr>
          <w:spacing w:val="-2"/>
          <w:sz w:val="24"/>
        </w:rPr>
        <w:t>可能发生的一切法律责任、费用和后果，并赔偿招标人和招标代理机构的损失。</w:t>
      </w:r>
    </w:p>
    <w:p>
      <w:pPr>
        <w:pStyle w:val="ListParagraph"/>
        <w:numPr>
          <w:ilvl w:val="1"/>
          <w:numId w:val="50"/>
        </w:numPr>
        <w:tabs>
          <w:tab w:val="left" w:pos="1316"/>
        </w:tabs>
        <w:spacing w:before="1" w:after="0" w:line="343" w:lineRule="auto"/>
        <w:ind w:left="475" w:right="875" w:firstLine="480"/>
        <w:jc w:val="both"/>
        <w:rPr>
          <w:sz w:val="22"/>
        </w:rPr>
      </w:pPr>
      <w:r>
        <w:rPr>
          <w:spacing w:val="-2"/>
          <w:sz w:val="24"/>
        </w:rPr>
        <w:t>投标人不得以任何形式向与本项目无关的其他单位或人员提供招标文件及所附</w:t>
      </w:r>
      <w:r>
        <w:rPr>
          <w:spacing w:val="-2"/>
          <w:sz w:val="24"/>
        </w:rPr>
        <w:t>的有关资料，如违反，必须赔偿采购人和招标代理机构的所有损失，且采购人和招标代</w:t>
      </w:r>
      <w:r>
        <w:rPr>
          <w:spacing w:val="-2"/>
          <w:sz w:val="24"/>
        </w:rPr>
        <w:t>理机构保留追究法律责任的权力。</w:t>
      </w:r>
    </w:p>
    <w:p>
      <w:pPr>
        <w:pStyle w:val="ListParagraph"/>
        <w:numPr>
          <w:ilvl w:val="1"/>
          <w:numId w:val="50"/>
        </w:numPr>
        <w:tabs>
          <w:tab w:val="left" w:pos="1316"/>
        </w:tabs>
        <w:spacing w:before="1" w:after="0" w:line="343" w:lineRule="auto"/>
        <w:ind w:left="475" w:right="875" w:firstLine="480"/>
        <w:jc w:val="left"/>
        <w:rPr>
          <w:sz w:val="22"/>
        </w:rPr>
      </w:pPr>
      <w:r>
        <w:rPr>
          <w:spacing w:val="-8"/>
          <w:sz w:val="24"/>
        </w:rPr>
        <w:t>投标人对招标要求应该响应的内容采取回避，或对本应提供的服务数据采取文字</w:t>
      </w:r>
      <w:r>
        <w:rPr>
          <w:spacing w:val="-2"/>
          <w:sz w:val="24"/>
        </w:rPr>
        <w:t>叙述答非所问、含糊不清、模凌两可的，将被视为未实质性响应招标要求。</w:t>
      </w:r>
    </w:p>
    <w:p>
      <w:pPr>
        <w:pStyle w:val="ListParagraph"/>
        <w:numPr>
          <w:ilvl w:val="1"/>
          <w:numId w:val="40"/>
        </w:numPr>
        <w:tabs>
          <w:tab w:val="left" w:pos="1316"/>
        </w:tabs>
        <w:spacing w:before="0" w:after="0" w:line="343" w:lineRule="auto"/>
        <w:ind w:left="475" w:right="755" w:firstLine="480"/>
        <w:jc w:val="left"/>
        <w:rPr>
          <w:sz w:val="22"/>
        </w:rPr>
      </w:pPr>
      <w:r>
        <w:rPr>
          <w:spacing w:val="-9"/>
          <w:sz w:val="24"/>
        </w:rPr>
        <w:t>投标人随同投标文件提供的服务资料</w:t>
      </w:r>
      <w:r>
        <w:rPr>
          <w:spacing w:val="-2"/>
          <w:sz w:val="24"/>
        </w:rPr>
        <w:t>（</w:t>
      </w:r>
      <w:r>
        <w:rPr>
          <w:spacing w:val="-11"/>
          <w:sz w:val="24"/>
        </w:rPr>
        <w:t>含法定认证机构的认证报告、鉴定文件等</w:t>
      </w:r>
      <w:r>
        <w:rPr>
          <w:spacing w:val="-2"/>
          <w:sz w:val="24"/>
        </w:rPr>
        <w:t>）</w:t>
      </w:r>
      <w:r>
        <w:rPr>
          <w:spacing w:val="-2"/>
          <w:sz w:val="24"/>
        </w:rPr>
        <w:t>必须规范、完整，不能模棱两可、似是而非，否则将被视为未实质性响应招标要求。</w:t>
      </w:r>
    </w:p>
    <w:p>
      <w:pPr>
        <w:pStyle w:val="ListParagraph"/>
        <w:numPr>
          <w:ilvl w:val="1"/>
          <w:numId w:val="40"/>
        </w:numPr>
        <w:tabs>
          <w:tab w:val="left" w:pos="1316"/>
        </w:tabs>
        <w:spacing w:before="1" w:after="0" w:line="240" w:lineRule="auto"/>
        <w:ind w:left="1316" w:right="0" w:hanging="361"/>
        <w:jc w:val="left"/>
        <w:rPr>
          <w:sz w:val="22"/>
        </w:rPr>
      </w:pPr>
      <w:r>
        <w:rPr>
          <w:spacing w:val="-1"/>
          <w:sz w:val="24"/>
        </w:rPr>
        <w:t>投标人应详细说明其服务的详细内容并对招标内容做出响应。</w:t>
      </w:r>
    </w:p>
    <w:p>
      <w:pPr>
        <w:pStyle w:val="ListParagraph"/>
        <w:numPr>
          <w:ilvl w:val="1"/>
          <w:numId w:val="40"/>
        </w:numPr>
        <w:tabs>
          <w:tab w:val="left" w:pos="1438"/>
        </w:tabs>
        <w:spacing w:before="53" w:after="0" w:line="414" w:lineRule="exact"/>
        <w:ind w:left="1437" w:right="0" w:hanging="483"/>
        <w:jc w:val="left"/>
        <w:rPr>
          <w:rFonts w:ascii="Microsoft JhengHei" w:eastAsia="Microsoft JhengHei"/>
          <w:b/>
          <w:sz w:val="24"/>
        </w:rPr>
      </w:pPr>
      <w:r>
        <w:rPr>
          <w:rFonts w:ascii="Microsoft JhengHei" w:eastAsia="Microsoft JhengHei"/>
          <w:b/>
          <w:spacing w:val="-1"/>
          <w:sz w:val="24"/>
        </w:rPr>
        <w:t>投标人提供的服务等必须符合相应的国家标准、行业标准及规范要求。</w:t>
      </w:r>
    </w:p>
    <w:p>
      <w:pPr>
        <w:pStyle w:val="Heading4"/>
        <w:numPr>
          <w:ilvl w:val="0"/>
          <w:numId w:val="50"/>
        </w:numPr>
        <w:tabs>
          <w:tab w:val="left" w:pos="898"/>
        </w:tabs>
        <w:spacing w:before="0" w:after="0" w:line="488" w:lineRule="exact"/>
        <w:ind w:left="897" w:right="0" w:hanging="423"/>
        <w:jc w:val="left"/>
      </w:pPr>
      <w:r>
        <w:rPr>
          <w:spacing w:val="-2"/>
        </w:rPr>
        <w:t>投标文件语言</w:t>
      </w:r>
    </w:p>
    <w:p>
      <w:pPr>
        <w:pStyle w:val="ListParagraph"/>
        <w:numPr>
          <w:ilvl w:val="1"/>
          <w:numId w:val="50"/>
        </w:numPr>
        <w:tabs>
          <w:tab w:val="left" w:pos="1436"/>
        </w:tabs>
        <w:spacing w:before="58" w:after="0" w:line="343" w:lineRule="auto"/>
        <w:ind w:left="475" w:right="875" w:firstLine="480"/>
        <w:jc w:val="both"/>
        <w:rPr>
          <w:sz w:val="24"/>
        </w:rPr>
      </w:pPr>
      <w:r>
        <w:rPr>
          <w:spacing w:val="-2"/>
          <w:sz w:val="24"/>
        </w:rPr>
        <w:t>投标文件应用中文书写。投标文件中所附或所引用的原件不是中文时，应附中</w:t>
      </w:r>
      <w:r>
        <w:rPr>
          <w:spacing w:val="-2"/>
          <w:sz w:val="24"/>
        </w:rPr>
        <w:t>文译本。各种计量单位及符号应采用国际上统一使用的公制计量单位和符号。</w:t>
      </w:r>
    </w:p>
    <w:p>
      <w:pPr>
        <w:pStyle w:val="Heading4"/>
        <w:numPr>
          <w:ilvl w:val="0"/>
          <w:numId w:val="50"/>
        </w:numPr>
        <w:tabs>
          <w:tab w:val="left" w:pos="1039"/>
        </w:tabs>
        <w:spacing w:before="0" w:after="0" w:line="372" w:lineRule="exact"/>
        <w:ind w:left="1038" w:right="0" w:hanging="564"/>
        <w:jc w:val="left"/>
      </w:pPr>
      <w:r>
        <w:rPr>
          <w:spacing w:val="-2"/>
        </w:rPr>
        <w:t>投标文件的组成</w:t>
      </w:r>
    </w:p>
    <w:p>
      <w:pPr>
        <w:pStyle w:val="ListParagraph"/>
        <w:numPr>
          <w:ilvl w:val="1"/>
          <w:numId w:val="50"/>
        </w:numPr>
        <w:tabs>
          <w:tab w:val="left" w:pos="1439"/>
        </w:tabs>
        <w:spacing w:before="0" w:after="0" w:line="430" w:lineRule="exact"/>
        <w:ind w:left="1438" w:right="0" w:hanging="484"/>
        <w:jc w:val="left"/>
        <w:rPr>
          <w:rFonts w:ascii="Microsoft JhengHei" w:eastAsia="Microsoft JhengHei"/>
          <w:b/>
          <w:sz w:val="22"/>
        </w:rPr>
      </w:pPr>
      <w:r>
        <w:rPr>
          <w:rFonts w:ascii="Microsoft JhengHei" w:eastAsia="Microsoft JhengHei"/>
          <w:b/>
          <w:spacing w:val="-1"/>
          <w:sz w:val="24"/>
        </w:rPr>
        <w:t>投标文件的报价部分：</w:t>
      </w:r>
    </w:p>
    <w:p>
      <w:pPr>
        <w:pStyle w:val="ListParagraph"/>
        <w:numPr>
          <w:ilvl w:val="0"/>
          <w:numId w:val="39"/>
        </w:numPr>
        <w:tabs>
          <w:tab w:val="left" w:pos="1556"/>
        </w:tabs>
        <w:spacing w:before="45" w:after="0" w:line="240" w:lineRule="auto"/>
        <w:ind w:left="1556" w:right="0" w:hanging="601"/>
        <w:jc w:val="left"/>
        <w:rPr>
          <w:sz w:val="24"/>
        </w:rPr>
      </w:pPr>
      <w:r>
        <w:rPr>
          <w:spacing w:val="-3"/>
          <w:sz w:val="24"/>
        </w:rPr>
        <w:t>投标书；</w:t>
      </w:r>
    </w:p>
    <w:p>
      <w:pPr>
        <w:pStyle w:val="ListParagraph"/>
        <w:numPr>
          <w:ilvl w:val="0"/>
          <w:numId w:val="39"/>
        </w:numPr>
        <w:tabs>
          <w:tab w:val="left" w:pos="1556"/>
        </w:tabs>
        <w:spacing w:before="93" w:after="0" w:line="240" w:lineRule="auto"/>
        <w:ind w:left="1556" w:right="0" w:hanging="601"/>
        <w:jc w:val="left"/>
        <w:rPr>
          <w:sz w:val="24"/>
        </w:rPr>
      </w:pPr>
      <w:r>
        <w:rPr>
          <w:spacing w:val="-2"/>
          <w:sz w:val="24"/>
        </w:rPr>
        <w:t>开标一览表；</w:t>
      </w:r>
    </w:p>
    <w:p>
      <w:pPr>
        <w:pStyle w:val="ListParagraph"/>
        <w:numPr>
          <w:ilvl w:val="0"/>
          <w:numId w:val="39"/>
        </w:numPr>
        <w:tabs>
          <w:tab w:val="left" w:pos="1556"/>
        </w:tabs>
        <w:spacing w:before="92" w:after="0" w:line="312" w:lineRule="auto"/>
        <w:ind w:left="475" w:right="755" w:firstLine="480"/>
        <w:jc w:val="left"/>
        <w:rPr>
          <w:sz w:val="24"/>
        </w:rPr>
      </w:pPr>
      <w:r>
        <w:rPr>
          <w:spacing w:val="-9"/>
          <w:sz w:val="24"/>
        </w:rPr>
        <w:t>各项财务预算标准、成本分析一览表：详细列示招标文件“第三章”中所有涉</w:t>
      </w:r>
      <w:r>
        <w:rPr>
          <w:spacing w:val="-8"/>
          <w:sz w:val="24"/>
        </w:rPr>
        <w:t>及需由投标人完成或支出的各细项费用，同时人力资源部分的费用还应在列示中按保洁、</w:t>
      </w:r>
      <w:r>
        <w:rPr>
          <w:spacing w:val="-2"/>
          <w:sz w:val="24"/>
        </w:rPr>
        <w:t>运送、工程服务三个部分单独测算、汇总。</w:t>
      </w:r>
    </w:p>
    <w:p>
      <w:pPr>
        <w:pStyle w:val="ListParagraph"/>
        <w:numPr>
          <w:ilvl w:val="0"/>
          <w:numId w:val="39"/>
        </w:numPr>
        <w:tabs>
          <w:tab w:val="left" w:pos="1556"/>
        </w:tabs>
        <w:spacing w:before="1" w:after="0" w:line="240" w:lineRule="auto"/>
        <w:ind w:left="1556" w:right="0" w:hanging="601"/>
        <w:jc w:val="left"/>
        <w:rPr>
          <w:sz w:val="24"/>
        </w:rPr>
      </w:pPr>
      <w:r>
        <w:rPr>
          <w:spacing w:val="-1"/>
          <w:sz w:val="24"/>
        </w:rPr>
        <w:t>中小企业价格折扣明细表。</w:t>
      </w:r>
    </w:p>
    <w:p>
      <w:pPr>
        <w:pStyle w:val="ListParagraph"/>
        <w:numPr>
          <w:ilvl w:val="1"/>
          <w:numId w:val="50"/>
        </w:numPr>
        <w:tabs>
          <w:tab w:val="left" w:pos="1439"/>
        </w:tabs>
        <w:spacing w:before="45" w:after="0" w:line="240" w:lineRule="auto"/>
        <w:ind w:left="1438" w:right="0" w:hanging="484"/>
        <w:jc w:val="left"/>
        <w:rPr>
          <w:rFonts w:ascii="Microsoft JhengHei" w:eastAsia="Microsoft JhengHei"/>
          <w:b/>
          <w:sz w:val="22"/>
        </w:rPr>
      </w:pPr>
      <w:r>
        <w:rPr>
          <w:rFonts w:ascii="Microsoft JhengHei" w:eastAsia="Microsoft JhengHei"/>
          <w:b/>
          <w:spacing w:val="-1"/>
          <w:sz w:val="24"/>
        </w:rPr>
        <w:t>投标文件商务与服务部分</w:t>
      </w:r>
    </w:p>
    <w:p>
      <w:pPr>
        <w:pStyle w:val="ListParagraph"/>
        <w:numPr>
          <w:ilvl w:val="0"/>
          <w:numId w:val="38"/>
        </w:numPr>
        <w:tabs>
          <w:tab w:val="left" w:pos="1556"/>
        </w:tabs>
        <w:spacing w:before="46" w:after="0" w:line="312" w:lineRule="auto"/>
        <w:ind w:left="475" w:right="754" w:firstLine="480"/>
        <w:jc w:val="left"/>
        <w:rPr>
          <w:sz w:val="24"/>
        </w:rPr>
      </w:pPr>
      <w:r>
        <w:rPr>
          <w:spacing w:val="-13"/>
          <w:sz w:val="24"/>
        </w:rPr>
        <w:t>拟投入服务人员情况表：按运送、保洁、工程服务三个部分，详细列明各楼房</w:t>
      </w:r>
      <w:r>
        <w:rPr>
          <w:spacing w:val="-2"/>
          <w:sz w:val="24"/>
        </w:rPr>
        <w:t>、各部、各岗位的人数、详细分工。</w:t>
      </w:r>
    </w:p>
    <w:p>
      <w:pPr>
        <w:spacing w:after="0" w:line="312" w:lineRule="auto"/>
        <w:jc w:val="left"/>
        <w:rPr>
          <w:sz w:val="24"/>
        </w:rPr>
        <w:sectPr>
          <w:headerReference w:type="default" r:id="rId43"/>
          <w:footerReference w:type="default" r:id="rId44"/>
          <w:pgSz w:w="11910" w:h="16840"/>
          <w:pgMar w:top="1240" w:right="320" w:bottom="1180" w:left="1100" w:header="884" w:footer="991"/>
          <w:pgNumType w:start="17"/>
          <w:cols w:space="708"/>
        </w:sectPr>
      </w:pPr>
    </w:p>
    <w:p>
      <w:pPr>
        <w:pStyle w:val="BodyText"/>
        <w:spacing w:before="9"/>
        <w:rPr>
          <w:sz w:val="9"/>
        </w:rPr>
      </w:pPr>
    </w:p>
    <w:p>
      <w:pPr>
        <w:pStyle w:val="ListParagraph"/>
        <w:numPr>
          <w:ilvl w:val="0"/>
          <w:numId w:val="38"/>
        </w:numPr>
        <w:tabs>
          <w:tab w:val="left" w:pos="1556"/>
        </w:tabs>
        <w:spacing w:before="67" w:after="0" w:line="240" w:lineRule="auto"/>
        <w:ind w:left="1556" w:right="0" w:hanging="601"/>
        <w:jc w:val="left"/>
        <w:rPr>
          <w:sz w:val="24"/>
        </w:rPr>
      </w:pPr>
      <w:r>
        <w:rPr>
          <w:spacing w:val="-1"/>
          <w:sz w:val="24"/>
        </w:rPr>
        <w:t>拟投入设备安排情况一览表；</w:t>
      </w:r>
    </w:p>
    <w:p>
      <w:pPr>
        <w:pStyle w:val="ListParagraph"/>
        <w:numPr>
          <w:ilvl w:val="0"/>
          <w:numId w:val="38"/>
        </w:numPr>
        <w:tabs>
          <w:tab w:val="left" w:pos="1556"/>
        </w:tabs>
        <w:spacing w:before="92" w:after="0" w:line="240" w:lineRule="auto"/>
        <w:ind w:left="1556" w:right="0" w:hanging="601"/>
        <w:jc w:val="left"/>
        <w:rPr>
          <w:sz w:val="24"/>
        </w:rPr>
      </w:pPr>
      <w:r>
        <w:rPr>
          <w:spacing w:val="-1"/>
          <w:sz w:val="24"/>
        </w:rPr>
        <w:t>易耗品及劳保用品等日常用品的年使用量测算表。</w:t>
      </w:r>
    </w:p>
    <w:p>
      <w:pPr>
        <w:pStyle w:val="ListParagraph"/>
        <w:numPr>
          <w:ilvl w:val="0"/>
          <w:numId w:val="38"/>
        </w:numPr>
        <w:tabs>
          <w:tab w:val="left" w:pos="1556"/>
        </w:tabs>
        <w:spacing w:before="93" w:after="0" w:line="240" w:lineRule="auto"/>
        <w:ind w:left="1556" w:right="0" w:hanging="601"/>
        <w:jc w:val="left"/>
        <w:rPr>
          <w:sz w:val="24"/>
        </w:rPr>
      </w:pPr>
      <w:r>
        <w:rPr>
          <w:spacing w:val="-1"/>
          <w:sz w:val="24"/>
        </w:rPr>
        <w:t>根据招标文件要求，结合本项目的实际情况编制物业管理服务承诺；</w:t>
      </w:r>
    </w:p>
    <w:p>
      <w:pPr>
        <w:pStyle w:val="ListParagraph"/>
        <w:numPr>
          <w:ilvl w:val="0"/>
          <w:numId w:val="38"/>
        </w:numPr>
        <w:tabs>
          <w:tab w:val="left" w:pos="1556"/>
        </w:tabs>
        <w:spacing w:before="92" w:after="0" w:line="312" w:lineRule="auto"/>
        <w:ind w:left="475" w:right="875" w:firstLine="480"/>
        <w:jc w:val="left"/>
        <w:rPr>
          <w:sz w:val="24"/>
        </w:rPr>
      </w:pPr>
      <w:r>
        <w:rPr>
          <w:spacing w:val="-2"/>
          <w:sz w:val="24"/>
        </w:rPr>
        <w:t>提供拟在福建中医药大学附属第三人民医院推行的物业管理方案、各项制度</w:t>
      </w:r>
      <w:r>
        <w:rPr>
          <w:spacing w:val="-4"/>
          <w:sz w:val="24"/>
        </w:rPr>
        <w:t>及措施、组织架构、岗位设置、人员管理等；</w:t>
      </w:r>
    </w:p>
    <w:p>
      <w:pPr>
        <w:pStyle w:val="ListParagraph"/>
        <w:numPr>
          <w:ilvl w:val="0"/>
          <w:numId w:val="38"/>
        </w:numPr>
        <w:tabs>
          <w:tab w:val="left" w:pos="1556"/>
        </w:tabs>
        <w:spacing w:before="1" w:after="0" w:line="240" w:lineRule="auto"/>
        <w:ind w:left="1556" w:right="0" w:hanging="601"/>
        <w:jc w:val="left"/>
        <w:rPr>
          <w:sz w:val="24"/>
        </w:rPr>
      </w:pPr>
      <w:r>
        <w:rPr>
          <w:spacing w:val="-10"/>
          <w:sz w:val="24"/>
        </w:rPr>
        <w:t>评分标准中要求提供的、招标文件中要求提供的或投标人认为应该提供的资料；</w:t>
      </w:r>
    </w:p>
    <w:p>
      <w:pPr>
        <w:pStyle w:val="ListParagraph"/>
        <w:numPr>
          <w:ilvl w:val="0"/>
          <w:numId w:val="38"/>
        </w:numPr>
        <w:tabs>
          <w:tab w:val="left" w:pos="1557"/>
        </w:tabs>
        <w:spacing w:before="92" w:after="0" w:line="312" w:lineRule="auto"/>
        <w:ind w:left="475" w:right="875" w:firstLine="480"/>
        <w:jc w:val="left"/>
        <w:rPr>
          <w:sz w:val="24"/>
        </w:rPr>
      </w:pPr>
      <w:r>
        <w:rPr>
          <w:spacing w:val="-2"/>
          <w:sz w:val="24"/>
        </w:rPr>
        <w:t>投标人法人营业执照副本复印件（需经符合工商管理部门要求的有效年检</w:t>
      </w:r>
      <w:r>
        <w:rPr>
          <w:spacing w:val="-120"/>
          <w:sz w:val="24"/>
        </w:rPr>
        <w:t>）</w:t>
      </w:r>
      <w:r>
        <w:rPr>
          <w:spacing w:val="-2"/>
          <w:sz w:val="24"/>
        </w:rPr>
        <w:t>、</w:t>
      </w:r>
      <w:r>
        <w:rPr>
          <w:sz w:val="24"/>
        </w:rPr>
        <w:t>税务登记证复印件、组织机构代码证复印件、2012</w:t>
      </w:r>
      <w:r>
        <w:rPr>
          <w:spacing w:val="-7"/>
          <w:sz w:val="24"/>
        </w:rPr>
        <w:t xml:space="preserve"> 年度的财务审计报告；</w:t>
      </w:r>
    </w:p>
    <w:p>
      <w:pPr>
        <w:pStyle w:val="ListParagraph"/>
        <w:numPr>
          <w:ilvl w:val="0"/>
          <w:numId w:val="38"/>
        </w:numPr>
        <w:tabs>
          <w:tab w:val="left" w:pos="1557"/>
        </w:tabs>
        <w:spacing w:before="1" w:after="0" w:line="312" w:lineRule="auto"/>
        <w:ind w:left="475" w:right="875" w:firstLine="480"/>
        <w:jc w:val="left"/>
        <w:rPr>
          <w:sz w:val="24"/>
        </w:rPr>
      </w:pPr>
      <w:r>
        <w:rPr>
          <w:spacing w:val="-2"/>
          <w:sz w:val="24"/>
        </w:rPr>
        <w:t>法定代表人授权书原件（法定代表人直接参加投标可不需此件</w:t>
      </w:r>
      <w:r>
        <w:rPr>
          <w:spacing w:val="-120"/>
          <w:sz w:val="24"/>
        </w:rPr>
        <w:t>）</w:t>
      </w:r>
      <w:r>
        <w:rPr>
          <w:spacing w:val="-2"/>
          <w:sz w:val="24"/>
        </w:rPr>
        <w:t>，法定代表人</w:t>
      </w:r>
      <w:r>
        <w:rPr>
          <w:spacing w:val="-2"/>
          <w:sz w:val="24"/>
        </w:rPr>
        <w:t>和投标人代表身份证的完整复印件；</w:t>
      </w:r>
    </w:p>
    <w:p>
      <w:pPr>
        <w:pStyle w:val="ListParagraph"/>
        <w:numPr>
          <w:ilvl w:val="0"/>
          <w:numId w:val="38"/>
        </w:numPr>
        <w:tabs>
          <w:tab w:val="left" w:pos="1496"/>
        </w:tabs>
        <w:spacing w:before="0" w:after="0" w:line="240" w:lineRule="auto"/>
        <w:ind w:left="1496" w:right="0" w:hanging="601"/>
        <w:jc w:val="left"/>
        <w:rPr>
          <w:sz w:val="24"/>
        </w:rPr>
      </w:pPr>
      <w:r>
        <w:rPr>
          <w:spacing w:val="-2"/>
          <w:sz w:val="24"/>
        </w:rPr>
        <w:t>现场勘察证明；</w:t>
      </w:r>
    </w:p>
    <w:p>
      <w:pPr>
        <w:pStyle w:val="ListParagraph"/>
        <w:numPr>
          <w:ilvl w:val="0"/>
          <w:numId w:val="38"/>
        </w:numPr>
        <w:tabs>
          <w:tab w:val="left" w:pos="1735"/>
        </w:tabs>
        <w:spacing w:before="93" w:after="0" w:line="240" w:lineRule="auto"/>
        <w:ind w:left="1735" w:right="0" w:hanging="840"/>
        <w:jc w:val="left"/>
        <w:rPr>
          <w:sz w:val="24"/>
        </w:rPr>
      </w:pPr>
      <w:r>
        <w:rPr>
          <w:spacing w:val="-2"/>
          <w:sz w:val="24"/>
        </w:rPr>
        <w:t>投标人的资格声明；</w:t>
      </w:r>
    </w:p>
    <w:p>
      <w:pPr>
        <w:pStyle w:val="ListParagraph"/>
        <w:numPr>
          <w:ilvl w:val="0"/>
          <w:numId w:val="38"/>
        </w:numPr>
        <w:tabs>
          <w:tab w:val="left" w:pos="1676"/>
        </w:tabs>
        <w:spacing w:before="92" w:after="0" w:line="240" w:lineRule="auto"/>
        <w:ind w:left="1676" w:right="0" w:hanging="721"/>
        <w:jc w:val="left"/>
        <w:rPr>
          <w:sz w:val="24"/>
        </w:rPr>
      </w:pPr>
      <w:r>
        <w:rPr>
          <w:spacing w:val="-2"/>
          <w:sz w:val="24"/>
        </w:rPr>
        <w:t>投标人一般情况表；</w:t>
      </w:r>
    </w:p>
    <w:p>
      <w:pPr>
        <w:pStyle w:val="ListParagraph"/>
        <w:numPr>
          <w:ilvl w:val="0"/>
          <w:numId w:val="38"/>
        </w:numPr>
        <w:tabs>
          <w:tab w:val="left" w:pos="1676"/>
        </w:tabs>
        <w:spacing w:before="93" w:after="0" w:line="240" w:lineRule="auto"/>
        <w:ind w:left="1676" w:right="0" w:hanging="721"/>
        <w:jc w:val="left"/>
        <w:rPr>
          <w:sz w:val="24"/>
        </w:rPr>
      </w:pPr>
      <w:r>
        <w:rPr>
          <w:spacing w:val="-1"/>
          <w:sz w:val="24"/>
        </w:rPr>
        <w:t>招标代理服务费承诺书；</w:t>
      </w:r>
    </w:p>
    <w:p>
      <w:pPr>
        <w:pStyle w:val="ListParagraph"/>
        <w:numPr>
          <w:ilvl w:val="0"/>
          <w:numId w:val="38"/>
        </w:numPr>
        <w:tabs>
          <w:tab w:val="left" w:pos="1676"/>
        </w:tabs>
        <w:spacing w:before="92" w:after="0" w:line="240" w:lineRule="auto"/>
        <w:ind w:left="1676" w:right="0" w:hanging="721"/>
        <w:jc w:val="left"/>
        <w:rPr>
          <w:sz w:val="24"/>
        </w:rPr>
      </w:pPr>
      <w:r>
        <w:rPr>
          <w:spacing w:val="-2"/>
          <w:sz w:val="24"/>
        </w:rPr>
        <w:t>投标保证金；</w:t>
      </w:r>
    </w:p>
    <w:p>
      <w:pPr>
        <w:pStyle w:val="ListParagraph"/>
        <w:numPr>
          <w:ilvl w:val="0"/>
          <w:numId w:val="38"/>
        </w:numPr>
        <w:tabs>
          <w:tab w:val="left" w:pos="1676"/>
        </w:tabs>
        <w:spacing w:before="93" w:after="0" w:line="240" w:lineRule="auto"/>
        <w:ind w:left="1676" w:right="0" w:hanging="721"/>
        <w:jc w:val="left"/>
        <w:rPr>
          <w:sz w:val="24"/>
        </w:rPr>
      </w:pPr>
      <w:r>
        <w:rPr>
          <w:spacing w:val="-1"/>
          <w:sz w:val="24"/>
        </w:rPr>
        <w:t>退还投标保证金的通知。</w:t>
      </w:r>
    </w:p>
    <w:p>
      <w:pPr>
        <w:pStyle w:val="ListParagraph"/>
        <w:numPr>
          <w:ilvl w:val="0"/>
          <w:numId w:val="38"/>
        </w:numPr>
        <w:tabs>
          <w:tab w:val="left" w:pos="1676"/>
        </w:tabs>
        <w:spacing w:before="92" w:after="0" w:line="304" w:lineRule="exact"/>
        <w:ind w:left="1676" w:right="0" w:hanging="721"/>
        <w:jc w:val="left"/>
        <w:rPr>
          <w:sz w:val="24"/>
        </w:rPr>
      </w:pPr>
      <w:r>
        <w:rPr>
          <w:spacing w:val="-1"/>
          <w:sz w:val="24"/>
        </w:rPr>
        <w:t>行贿犯罪档案查询结果告知函</w:t>
      </w:r>
    </w:p>
    <w:p>
      <w:pPr>
        <w:pStyle w:val="Heading4"/>
        <w:numPr>
          <w:ilvl w:val="0"/>
          <w:numId w:val="41"/>
        </w:numPr>
        <w:tabs>
          <w:tab w:val="left" w:pos="1039"/>
        </w:tabs>
        <w:spacing w:before="0" w:after="0" w:line="511" w:lineRule="exact"/>
        <w:ind w:left="1038" w:right="0" w:hanging="564"/>
        <w:jc w:val="left"/>
      </w:pPr>
      <w:r>
        <w:rPr>
          <w:spacing w:val="-2"/>
        </w:rPr>
        <w:t>投标有效期</w:t>
      </w:r>
    </w:p>
    <w:p>
      <w:pPr>
        <w:pStyle w:val="ListParagraph"/>
        <w:numPr>
          <w:ilvl w:val="1"/>
          <w:numId w:val="41"/>
        </w:numPr>
        <w:tabs>
          <w:tab w:val="left" w:pos="1556"/>
        </w:tabs>
        <w:spacing w:before="58" w:after="0" w:line="343" w:lineRule="auto"/>
        <w:ind w:left="475" w:right="771" w:firstLine="480"/>
        <w:jc w:val="both"/>
        <w:rPr>
          <w:sz w:val="24"/>
        </w:rPr>
      </w:pPr>
      <w:r>
        <w:rPr>
          <w:spacing w:val="-2"/>
          <w:sz w:val="24"/>
        </w:rPr>
        <w:t>投标文件从投标人须知前附表第4项所规定的投标截止期之后开始生效，在投</w:t>
      </w:r>
      <w:r>
        <w:rPr>
          <w:spacing w:val="-2"/>
          <w:sz w:val="24"/>
        </w:rPr>
        <w:t>标人须知前附表第3项所规定的期限内保持有效。有效期不足将导致其投标文件被拒绝。</w:t>
      </w:r>
    </w:p>
    <w:p>
      <w:pPr>
        <w:pStyle w:val="ListParagraph"/>
        <w:numPr>
          <w:ilvl w:val="1"/>
          <w:numId w:val="41"/>
        </w:numPr>
        <w:tabs>
          <w:tab w:val="left" w:pos="1560"/>
        </w:tabs>
        <w:spacing w:before="0" w:after="0" w:line="343" w:lineRule="auto"/>
        <w:ind w:left="475" w:right="875" w:firstLine="480"/>
        <w:jc w:val="both"/>
        <w:rPr>
          <w:sz w:val="24"/>
        </w:rPr>
      </w:pPr>
      <w:r>
        <w:rPr>
          <w:spacing w:val="-2"/>
          <w:sz w:val="24"/>
        </w:rPr>
        <w:t>特殊情况下本招标代理公司可于投标有效期满之前书面要求投标人同意延长</w:t>
      </w:r>
      <w:r>
        <w:rPr>
          <w:spacing w:val="-2"/>
          <w:sz w:val="24"/>
        </w:rPr>
        <w:t>有效期，投标人应在本招标代理公司规定的期限内以书面形式予以答复。投标人可以拒</w:t>
      </w:r>
      <w:r>
        <w:rPr>
          <w:spacing w:val="-2"/>
          <w:sz w:val="24"/>
        </w:rPr>
        <w:t>绝上述要求而其投标保证金可按规定予以退还。投标人答复不明确或者逾期未答复的，</w:t>
      </w:r>
      <w:r>
        <w:rPr>
          <w:spacing w:val="-2"/>
          <w:sz w:val="24"/>
        </w:rPr>
        <w:t>均视为拒绝上述要求。对于接受该要求的投标人，既不要求也不允许其修改投标文件，</w:t>
      </w:r>
      <w:r>
        <w:rPr>
          <w:spacing w:val="-2"/>
          <w:sz w:val="24"/>
        </w:rPr>
        <w:t>但将要求其相应延长投标保证金有效期，有关退还和不予退还投标保证金的规定在投标</w:t>
      </w:r>
      <w:r>
        <w:rPr>
          <w:spacing w:val="-2"/>
          <w:sz w:val="24"/>
        </w:rPr>
        <w:t>有效期延长期内继续有效。</w:t>
      </w:r>
    </w:p>
    <w:p>
      <w:pPr>
        <w:pStyle w:val="Heading4"/>
        <w:numPr>
          <w:ilvl w:val="0"/>
          <w:numId w:val="41"/>
        </w:numPr>
        <w:tabs>
          <w:tab w:val="left" w:pos="1039"/>
        </w:tabs>
        <w:spacing w:before="0" w:after="0" w:line="384" w:lineRule="exact"/>
        <w:ind w:left="1038" w:right="0" w:hanging="564"/>
        <w:jc w:val="left"/>
      </w:pPr>
      <w:r>
        <w:rPr>
          <w:spacing w:val="-2"/>
        </w:rPr>
        <w:t>投标保证金</w:t>
      </w:r>
    </w:p>
    <w:p>
      <w:pPr>
        <w:pStyle w:val="ListParagraph"/>
        <w:numPr>
          <w:ilvl w:val="1"/>
          <w:numId w:val="41"/>
        </w:numPr>
        <w:tabs>
          <w:tab w:val="left" w:pos="1555"/>
        </w:tabs>
        <w:spacing w:before="58" w:after="0" w:line="240" w:lineRule="auto"/>
        <w:ind w:left="1555" w:right="0" w:hanging="600"/>
        <w:jc w:val="left"/>
        <w:rPr>
          <w:sz w:val="24"/>
        </w:rPr>
      </w:pPr>
      <w:r>
        <w:rPr>
          <w:spacing w:val="-1"/>
          <w:sz w:val="24"/>
        </w:rPr>
        <w:t>投标保证金为投标文件的组成部分之一。</w:t>
      </w:r>
    </w:p>
    <w:p>
      <w:pPr>
        <w:pStyle w:val="ListParagraph"/>
        <w:numPr>
          <w:ilvl w:val="1"/>
          <w:numId w:val="41"/>
        </w:numPr>
        <w:tabs>
          <w:tab w:val="left" w:pos="1495"/>
        </w:tabs>
        <w:spacing w:before="132" w:after="0" w:line="343" w:lineRule="auto"/>
        <w:ind w:left="475" w:right="875" w:firstLine="480"/>
        <w:jc w:val="left"/>
        <w:rPr>
          <w:sz w:val="24"/>
        </w:rPr>
      </w:pPr>
      <w:r>
        <w:rPr>
          <w:spacing w:val="1"/>
          <w:sz w:val="24"/>
        </w:rPr>
        <w:t>投标人应在提交投标文件之前向本招标代理公司缴交投标人须知前附表第</w:t>
      </w:r>
      <w:r>
        <w:rPr>
          <w:sz w:val="24"/>
        </w:rPr>
        <w:t>5</w:t>
      </w:r>
      <w:r>
        <w:rPr>
          <w:spacing w:val="-42"/>
          <w:sz w:val="24"/>
        </w:rPr>
        <w:t xml:space="preserve"> 项</w:t>
      </w:r>
      <w:r>
        <w:rPr>
          <w:spacing w:val="-2"/>
          <w:sz w:val="24"/>
        </w:rPr>
        <w:t>要求的投标保证金。</w:t>
      </w:r>
    </w:p>
    <w:p>
      <w:pPr>
        <w:pStyle w:val="ListParagraph"/>
        <w:numPr>
          <w:ilvl w:val="1"/>
          <w:numId w:val="41"/>
        </w:numPr>
        <w:tabs>
          <w:tab w:val="left" w:pos="1555"/>
        </w:tabs>
        <w:spacing w:before="1" w:after="0" w:line="240" w:lineRule="auto"/>
        <w:ind w:left="1555" w:right="0" w:hanging="600"/>
        <w:jc w:val="left"/>
        <w:rPr>
          <w:sz w:val="24"/>
        </w:rPr>
      </w:pPr>
      <w:r>
        <w:rPr>
          <w:spacing w:val="-1"/>
          <w:sz w:val="24"/>
        </w:rPr>
        <w:t>投标保证金用于保护本次招标活动免受投标人的行为而引起的风险。</w:t>
      </w:r>
    </w:p>
    <w:p>
      <w:pPr>
        <w:pStyle w:val="ListParagraph"/>
        <w:numPr>
          <w:ilvl w:val="1"/>
          <w:numId w:val="41"/>
        </w:numPr>
        <w:tabs>
          <w:tab w:val="left" w:pos="1555"/>
        </w:tabs>
        <w:spacing w:before="53" w:after="0" w:line="240" w:lineRule="auto"/>
        <w:ind w:left="475" w:right="756" w:firstLine="480"/>
        <w:jc w:val="left"/>
        <w:rPr>
          <w:sz w:val="24"/>
        </w:rPr>
      </w:pPr>
      <w:r>
        <w:rPr>
          <w:rFonts w:ascii="Microsoft JhengHei" w:eastAsia="Microsoft JhengHei"/>
          <w:b/>
          <w:spacing w:val="-2"/>
          <w:sz w:val="24"/>
        </w:rPr>
        <w:t>投标保证金应以投标人名称用转帐或电汇形式提交（不接受现金、现金存款、</w:t>
      </w:r>
      <w:r>
        <w:rPr>
          <w:rFonts w:ascii="Microsoft JhengHei" w:eastAsia="Microsoft JhengHei"/>
          <w:b/>
          <w:spacing w:val="-2"/>
          <w:sz w:val="24"/>
        </w:rPr>
        <w:t>支票或汇票</w:t>
      </w:r>
      <w:r>
        <w:rPr>
          <w:rFonts w:ascii="Microsoft JhengHei" w:eastAsia="Microsoft JhengHei"/>
          <w:b/>
          <w:spacing w:val="-120"/>
          <w:sz w:val="24"/>
        </w:rPr>
        <w:t>）</w:t>
      </w:r>
      <w:r>
        <w:rPr>
          <w:rFonts w:ascii="Microsoft JhengHei" w:eastAsia="Microsoft JhengHei"/>
          <w:b/>
          <w:spacing w:val="-2"/>
          <w:sz w:val="24"/>
        </w:rPr>
        <w:t>。</w:t>
      </w:r>
    </w:p>
    <w:p>
      <w:pPr>
        <w:spacing w:after="0" w:line="240" w:lineRule="auto"/>
        <w:jc w:val="left"/>
        <w:rPr>
          <w:sz w:val="24"/>
        </w:rPr>
        <w:sectPr>
          <w:headerReference w:type="default" r:id="rId45"/>
          <w:footerReference w:type="default" r:id="rId46"/>
          <w:pgSz w:w="11910" w:h="16840"/>
          <w:pgMar w:top="1240" w:right="320" w:bottom="1180" w:left="1100" w:header="884" w:footer="991"/>
          <w:pgNumType w:start="18"/>
          <w:cols w:space="708"/>
        </w:sectPr>
      </w:pPr>
    </w:p>
    <w:p>
      <w:pPr>
        <w:pStyle w:val="BodyText"/>
        <w:spacing w:before="10"/>
        <w:rPr>
          <w:rFonts w:ascii="Microsoft JhengHei"/>
          <w:b/>
          <w:sz w:val="8"/>
        </w:rPr>
      </w:pPr>
    </w:p>
    <w:p>
      <w:pPr>
        <w:pStyle w:val="ListParagraph"/>
        <w:numPr>
          <w:ilvl w:val="1"/>
          <w:numId w:val="41"/>
        </w:numPr>
        <w:tabs>
          <w:tab w:val="left" w:pos="1555"/>
        </w:tabs>
        <w:spacing w:before="66" w:after="0" w:line="240" w:lineRule="auto"/>
        <w:ind w:left="1555" w:right="0" w:hanging="600"/>
        <w:jc w:val="left"/>
        <w:rPr>
          <w:sz w:val="24"/>
        </w:rPr>
      </w:pPr>
      <w:r>
        <w:rPr>
          <w:spacing w:val="-1"/>
          <w:sz w:val="24"/>
        </w:rPr>
        <w:t>未按规定缴交投标保证金的投标，将被视为无效投标。</w:t>
      </w:r>
    </w:p>
    <w:p>
      <w:pPr>
        <w:pStyle w:val="ListParagraph"/>
        <w:numPr>
          <w:ilvl w:val="1"/>
          <w:numId w:val="41"/>
        </w:numPr>
        <w:tabs>
          <w:tab w:val="left" w:pos="1555"/>
        </w:tabs>
        <w:spacing w:before="132" w:after="0" w:line="343" w:lineRule="auto"/>
        <w:ind w:left="475" w:right="875" w:firstLine="480"/>
        <w:jc w:val="left"/>
        <w:rPr>
          <w:sz w:val="24"/>
        </w:rPr>
      </w:pPr>
      <w:r>
        <w:rPr>
          <w:spacing w:val="-2"/>
          <w:sz w:val="24"/>
        </w:rPr>
        <w:t>在中标通知书发出后5</w:t>
      </w:r>
      <w:r>
        <w:rPr>
          <w:spacing w:val="-18"/>
          <w:sz w:val="24"/>
        </w:rPr>
        <w:t>个工作日内，未中标供应商应向本招标代理公司开具《收</w:t>
      </w:r>
      <w:r>
        <w:rPr>
          <w:spacing w:val="-13"/>
          <w:sz w:val="24"/>
        </w:rPr>
        <w:t>回投标保证金的函》，到本招标代理公司财务科办理退还投标保证金手续。</w:t>
      </w:r>
    </w:p>
    <w:p>
      <w:pPr>
        <w:pStyle w:val="ListParagraph"/>
        <w:numPr>
          <w:ilvl w:val="1"/>
          <w:numId w:val="41"/>
        </w:numPr>
        <w:tabs>
          <w:tab w:val="left" w:pos="1436"/>
        </w:tabs>
        <w:spacing w:before="1" w:after="0" w:line="240" w:lineRule="auto"/>
        <w:ind w:left="1436" w:right="0" w:hanging="481"/>
        <w:jc w:val="left"/>
        <w:rPr>
          <w:sz w:val="22"/>
        </w:rPr>
      </w:pPr>
      <w:r>
        <w:rPr>
          <w:spacing w:val="-1"/>
          <w:sz w:val="24"/>
        </w:rPr>
        <w:t>中标供应商投标保证金退还：</w:t>
      </w:r>
    </w:p>
    <w:p>
      <w:pPr>
        <w:pStyle w:val="ListParagraph"/>
        <w:numPr>
          <w:ilvl w:val="0"/>
          <w:numId w:val="37"/>
        </w:numPr>
        <w:tabs>
          <w:tab w:val="left" w:pos="1556"/>
        </w:tabs>
        <w:spacing w:before="133" w:after="0" w:line="343" w:lineRule="auto"/>
        <w:ind w:left="475" w:right="875" w:firstLine="480"/>
        <w:jc w:val="left"/>
        <w:rPr>
          <w:sz w:val="24"/>
        </w:rPr>
      </w:pPr>
      <w:r>
        <w:rPr>
          <w:spacing w:val="-2"/>
          <w:sz w:val="24"/>
        </w:rPr>
        <w:t>中标人应在签订采购合同时应按采购人的要求提供履约保证金，该履约保证</w:t>
      </w:r>
      <w:r>
        <w:rPr>
          <w:spacing w:val="-4"/>
          <w:sz w:val="24"/>
        </w:rPr>
        <w:t>金在合同期满后无息退还。</w:t>
      </w:r>
    </w:p>
    <w:p>
      <w:pPr>
        <w:pStyle w:val="ListParagraph"/>
        <w:numPr>
          <w:ilvl w:val="0"/>
          <w:numId w:val="37"/>
        </w:numPr>
        <w:tabs>
          <w:tab w:val="left" w:pos="1557"/>
        </w:tabs>
        <w:spacing w:before="0" w:after="0" w:line="343" w:lineRule="auto"/>
        <w:ind w:left="475" w:right="875" w:firstLine="480"/>
        <w:jc w:val="left"/>
        <w:rPr>
          <w:sz w:val="24"/>
        </w:rPr>
      </w:pPr>
      <w:r>
        <w:rPr>
          <w:spacing w:val="-2"/>
          <w:sz w:val="24"/>
        </w:rPr>
        <w:t>在中标人支付所有招标服务费并签订政府采购合同后5个工作日内，持政府采</w:t>
      </w:r>
      <w:r>
        <w:rPr>
          <w:spacing w:val="-2"/>
          <w:sz w:val="24"/>
        </w:rPr>
        <w:t>购合同到本招标代理公司财务科办理退还保证金手续。</w:t>
      </w:r>
    </w:p>
    <w:p>
      <w:pPr>
        <w:pStyle w:val="ListParagraph"/>
        <w:numPr>
          <w:ilvl w:val="1"/>
          <w:numId w:val="41"/>
        </w:numPr>
        <w:tabs>
          <w:tab w:val="left" w:pos="1436"/>
        </w:tabs>
        <w:spacing w:before="0" w:after="0" w:line="362" w:lineRule="exact"/>
        <w:ind w:left="1436" w:right="0" w:hanging="481"/>
        <w:jc w:val="left"/>
        <w:rPr>
          <w:sz w:val="22"/>
        </w:rPr>
      </w:pPr>
      <w:r>
        <w:rPr>
          <w:rFonts w:ascii="Microsoft JhengHei" w:eastAsia="Microsoft JhengHei"/>
          <w:b/>
          <w:spacing w:val="-2"/>
          <w:sz w:val="24"/>
          <w:u w:val="thick"/>
        </w:rPr>
        <w:t>投标保证金汇款须在投标截止前24小时（以银行对账单和进账单为准）</w:t>
      </w:r>
      <w:r>
        <w:rPr>
          <w:rFonts w:ascii="Microsoft JhengHei" w:eastAsia="Microsoft JhengHei"/>
          <w:b/>
          <w:spacing w:val="-5"/>
          <w:sz w:val="24"/>
          <w:u w:val="thick"/>
        </w:rPr>
        <w:t>进入招</w:t>
      </w:r>
    </w:p>
    <w:p>
      <w:pPr>
        <w:spacing w:before="0"/>
        <w:ind w:left="475" w:right="876" w:firstLine="0"/>
        <w:jc w:val="left"/>
        <w:rPr>
          <w:rFonts w:ascii="Microsoft JhengHei" w:eastAsia="Microsoft JhengHei"/>
          <w:b/>
          <w:sz w:val="24"/>
        </w:rPr>
      </w:pPr>
      <w:r>
        <w:rPr>
          <w:rFonts w:ascii="Microsoft JhengHei" w:eastAsia="Microsoft JhengHei"/>
          <w:b/>
          <w:spacing w:val="-2"/>
          <w:sz w:val="24"/>
          <w:u w:val="thick"/>
        </w:rPr>
        <w:t>标代理机构指定帐户。如投标保证金汇款不按规定时间全额到账，投标人将被视为未递</w:t>
      </w:r>
      <w:r>
        <w:rPr>
          <w:rFonts w:ascii="Microsoft JhengHei" w:eastAsia="Microsoft JhengHei"/>
          <w:b/>
          <w:spacing w:val="80"/>
          <w:w w:val="150"/>
          <w:sz w:val="24"/>
          <w:u w:val="thick"/>
        </w:rPr>
        <w:t xml:space="preserve">                                                                     </w:t>
      </w:r>
      <w:r>
        <w:rPr>
          <w:rFonts w:ascii="Microsoft JhengHei" w:eastAsia="Microsoft JhengHei"/>
          <w:b/>
          <w:spacing w:val="-2"/>
          <w:sz w:val="24"/>
          <w:u w:val="thick"/>
        </w:rPr>
        <w:t>交投标保证金，其投标将被拒绝</w:t>
      </w:r>
      <w:r>
        <w:rPr>
          <w:rFonts w:ascii="Microsoft JhengHei" w:eastAsia="Microsoft JhengHei"/>
          <w:b/>
          <w:spacing w:val="-120"/>
          <w:sz w:val="24"/>
          <w:u w:val="thick"/>
        </w:rPr>
        <w:t>）</w:t>
      </w:r>
      <w:r>
        <w:rPr>
          <w:rFonts w:ascii="Microsoft JhengHei" w:eastAsia="Microsoft JhengHei"/>
          <w:b/>
          <w:spacing w:val="-2"/>
          <w:sz w:val="24"/>
          <w:u w:val="thick"/>
        </w:rPr>
        <w:t>。</w:t>
      </w:r>
    </w:p>
    <w:p>
      <w:pPr>
        <w:pStyle w:val="ListParagraph"/>
        <w:numPr>
          <w:ilvl w:val="1"/>
          <w:numId w:val="41"/>
        </w:numPr>
        <w:tabs>
          <w:tab w:val="left" w:pos="1316"/>
        </w:tabs>
        <w:spacing w:before="76" w:after="0" w:line="240" w:lineRule="auto"/>
        <w:ind w:left="1316" w:right="0" w:hanging="481"/>
        <w:jc w:val="left"/>
        <w:rPr>
          <w:sz w:val="22"/>
        </w:rPr>
      </w:pPr>
      <w:r>
        <w:rPr>
          <w:sz w:val="24"/>
        </w:rPr>
        <w:t>投标保证金的有效期为投标有效期满后的90</w:t>
      </w:r>
      <w:r>
        <w:rPr>
          <w:spacing w:val="-2"/>
          <w:sz w:val="24"/>
        </w:rPr>
        <w:t>个日历日。</w:t>
      </w:r>
    </w:p>
    <w:p>
      <w:pPr>
        <w:pStyle w:val="ListParagraph"/>
        <w:numPr>
          <w:ilvl w:val="1"/>
          <w:numId w:val="41"/>
        </w:numPr>
        <w:tabs>
          <w:tab w:val="left" w:pos="1555"/>
        </w:tabs>
        <w:spacing w:before="132" w:after="0" w:line="240" w:lineRule="auto"/>
        <w:ind w:left="1555" w:right="0" w:hanging="720"/>
        <w:jc w:val="left"/>
        <w:rPr>
          <w:sz w:val="24"/>
        </w:rPr>
      </w:pPr>
      <w:r>
        <w:rPr>
          <w:spacing w:val="-1"/>
          <w:sz w:val="24"/>
        </w:rPr>
        <w:t>发生以下情况之一的，投标保证金将不予退还：</w:t>
      </w:r>
    </w:p>
    <w:p>
      <w:pPr>
        <w:pStyle w:val="BodyText"/>
        <w:spacing w:before="133"/>
        <w:ind w:left="955"/>
      </w:pPr>
      <w:r>
        <w:rPr>
          <w:spacing w:val="-1"/>
        </w:rPr>
        <w:t>⑴ 投标人在投标截止期后，投标有效期内撤回投标；</w:t>
      </w:r>
    </w:p>
    <w:p>
      <w:pPr>
        <w:pStyle w:val="BodyText"/>
        <w:spacing w:before="132"/>
        <w:ind w:left="954"/>
      </w:pPr>
      <w:r>
        <w:t>⑵ 中标人未能做到按本须知第22</w:t>
      </w:r>
      <w:r>
        <w:rPr>
          <w:spacing w:val="-2"/>
        </w:rPr>
        <w:t>条规定签订合同；</w:t>
      </w:r>
    </w:p>
    <w:p>
      <w:pPr>
        <w:pStyle w:val="BodyText"/>
        <w:spacing w:before="133"/>
        <w:ind w:left="954"/>
      </w:pPr>
      <w:r>
        <w:rPr>
          <w:spacing w:val="-1"/>
        </w:rPr>
        <w:t>⑶ 中标人未按投标人须知前附表规定缴纳招标服务费；</w:t>
      </w:r>
    </w:p>
    <w:p>
      <w:pPr>
        <w:pStyle w:val="BodyText"/>
        <w:spacing w:before="132"/>
        <w:ind w:left="955"/>
      </w:pPr>
      <w:r>
        <w:t>⑷ 中标人未按本须知第12.7条规定提交履约保证金的（如果有</w:t>
      </w:r>
      <w:r>
        <w:rPr>
          <w:spacing w:val="-125"/>
        </w:rPr>
        <w:t>）</w:t>
      </w:r>
      <w:r>
        <w:rPr>
          <w:spacing w:val="-5"/>
        </w:rPr>
        <w:t>；</w:t>
      </w:r>
    </w:p>
    <w:p>
      <w:pPr>
        <w:pStyle w:val="BodyText"/>
        <w:spacing w:before="133"/>
        <w:ind w:left="955"/>
      </w:pPr>
      <w:r>
        <w:rPr>
          <w:spacing w:val="-1"/>
        </w:rPr>
        <w:t>⑸ 以他人名义投标或者以其他方式弄虚作假，骗取中标；</w:t>
      </w:r>
    </w:p>
    <w:p>
      <w:pPr>
        <w:pStyle w:val="BodyText"/>
        <w:spacing w:before="132"/>
        <w:ind w:left="955"/>
      </w:pPr>
      <w:r>
        <w:rPr>
          <w:spacing w:val="-1"/>
        </w:rPr>
        <w:t>⑹ 本招标文件中规定的其他没收投标保证金的情形。</w:t>
      </w:r>
    </w:p>
    <w:p>
      <w:pPr>
        <w:pStyle w:val="BodyText"/>
        <w:spacing w:before="133"/>
        <w:ind w:left="955"/>
      </w:pPr>
      <w:r>
        <w:rPr>
          <w:spacing w:val="-1"/>
        </w:rPr>
        <w:t>上述不予退还投标保证金的情况给招标采购单位造成损失的，还要承担赔偿责任。</w:t>
      </w:r>
    </w:p>
    <w:p>
      <w:pPr>
        <w:pStyle w:val="Heading4"/>
        <w:numPr>
          <w:ilvl w:val="0"/>
          <w:numId w:val="41"/>
        </w:numPr>
        <w:tabs>
          <w:tab w:val="left" w:pos="1039"/>
        </w:tabs>
        <w:spacing w:before="0" w:after="0" w:line="504" w:lineRule="exact"/>
        <w:ind w:left="1038" w:right="0" w:hanging="564"/>
        <w:jc w:val="left"/>
      </w:pPr>
      <w:r>
        <w:rPr>
          <w:spacing w:val="-2"/>
        </w:rPr>
        <w:t>投标文件的格式</w:t>
      </w:r>
    </w:p>
    <w:p>
      <w:pPr>
        <w:pStyle w:val="ListParagraph"/>
        <w:numPr>
          <w:ilvl w:val="1"/>
          <w:numId w:val="41"/>
        </w:numPr>
        <w:tabs>
          <w:tab w:val="left" w:pos="1499"/>
        </w:tabs>
        <w:spacing w:before="0" w:after="0" w:line="240" w:lineRule="auto"/>
        <w:ind w:left="475" w:right="756" w:firstLine="480"/>
        <w:jc w:val="left"/>
        <w:rPr>
          <w:rFonts w:ascii="Microsoft JhengHei" w:eastAsia="Microsoft JhengHei" w:hAnsi="Microsoft JhengHei"/>
          <w:b/>
          <w:sz w:val="24"/>
        </w:rPr>
      </w:pPr>
      <w:r>
        <w:rPr>
          <w:rFonts w:ascii="Microsoft JhengHei" w:eastAsia="Microsoft JhengHei" w:hAnsi="Microsoft JhengHei"/>
          <w:b/>
          <w:sz w:val="24"/>
        </w:rPr>
        <w:t>投标文件的编制：投标人须编制由本须知第 10 条规定文件组成的投标</w:t>
      </w:r>
      <w:r>
        <w:rPr>
          <w:rFonts w:ascii="Microsoft JhengHei" w:eastAsia="Microsoft JhengHei" w:hAnsi="Microsoft JhengHei"/>
          <w:b/>
          <w:color w:val="000000"/>
          <w:sz w:val="24"/>
          <w:shd w:val="clear" w:color="auto" w:fill="E5E5E5"/>
        </w:rPr>
        <w:t>文件正</w:t>
      </w:r>
      <w:r>
        <w:rPr>
          <w:rFonts w:ascii="Microsoft JhengHei" w:eastAsia="Microsoft JhengHei" w:hAnsi="Microsoft JhengHei"/>
          <w:b/>
          <w:color w:val="000000"/>
          <w:spacing w:val="80"/>
          <w:w w:val="150"/>
          <w:sz w:val="24"/>
          <w:shd w:val="clear" w:color="auto" w:fill="E5E5E5"/>
        </w:rPr>
        <w:t xml:space="preserve">                                                                      </w:t>
      </w:r>
      <w:r>
        <w:rPr>
          <w:rFonts w:ascii="Microsoft JhengHei" w:eastAsia="Microsoft JhengHei" w:hAnsi="Microsoft JhengHei"/>
          <w:b/>
          <w:color w:val="000000"/>
          <w:spacing w:val="-2"/>
          <w:sz w:val="24"/>
          <w:shd w:val="clear" w:color="auto" w:fill="E5E5E5"/>
        </w:rPr>
        <w:t>本一份，副本五份</w:t>
      </w:r>
      <w:r>
        <w:rPr>
          <w:rFonts w:ascii="Microsoft JhengHei" w:eastAsia="Microsoft JhengHei" w:hAnsi="Microsoft JhengHei"/>
          <w:b/>
          <w:color w:val="000000"/>
          <w:spacing w:val="-2"/>
          <w:sz w:val="24"/>
        </w:rPr>
        <w:t>。投标文件由报价标、商务标以及服务管理方案标三部分组成，投标</w:t>
      </w:r>
      <w:r>
        <w:rPr>
          <w:rFonts w:ascii="Microsoft JhengHei" w:eastAsia="Microsoft JhengHei" w:hAnsi="Microsoft JhengHei"/>
          <w:b/>
          <w:color w:val="000000"/>
          <w:spacing w:val="-2"/>
          <w:sz w:val="24"/>
        </w:rPr>
        <w:t>人必须分别编制报价部分、商务部分以及服务管理方案部分。报价部分、商务部分、服</w:t>
      </w:r>
      <w:r>
        <w:rPr>
          <w:rFonts w:ascii="Microsoft JhengHei" w:eastAsia="Microsoft JhengHei" w:hAnsi="Microsoft JhengHei"/>
          <w:b/>
          <w:color w:val="000000"/>
          <w:spacing w:val="-2"/>
          <w:sz w:val="24"/>
        </w:rPr>
        <w:t>务管理方案部分投标文件分别单独装订，分册密封。在投标文件封面上和密封袋上分别</w:t>
      </w:r>
      <w:r>
        <w:rPr>
          <w:rFonts w:ascii="Microsoft JhengHei" w:eastAsia="Microsoft JhengHei" w:hAnsi="Microsoft JhengHei"/>
          <w:b/>
          <w:color w:val="000000"/>
          <w:spacing w:val="-28"/>
          <w:sz w:val="24"/>
        </w:rPr>
        <w:t>标明“投标文件报价部分”、“投标文件技术商务部分”和</w:t>
      </w:r>
      <w:r>
        <w:rPr>
          <w:rFonts w:ascii="Microsoft JhengHei" w:eastAsia="Microsoft JhengHei" w:hAnsi="Microsoft JhengHei"/>
          <w:b/>
          <w:color w:val="000000"/>
          <w:spacing w:val="-2"/>
          <w:sz w:val="24"/>
        </w:rPr>
        <w:t>（投标文件服务管理方案部分</w:t>
      </w:r>
      <w:r>
        <w:rPr>
          <w:rFonts w:ascii="Microsoft JhengHei" w:eastAsia="Microsoft JhengHei" w:hAnsi="Microsoft JhengHei"/>
          <w:b/>
          <w:color w:val="000000"/>
          <w:spacing w:val="-120"/>
          <w:sz w:val="24"/>
        </w:rPr>
        <w:t>）</w:t>
      </w:r>
      <w:r>
        <w:rPr>
          <w:rFonts w:ascii="Microsoft JhengHei" w:eastAsia="Microsoft JhengHei" w:hAnsi="Microsoft JhengHei"/>
          <w:b/>
          <w:color w:val="000000"/>
          <w:spacing w:val="-2"/>
          <w:sz w:val="24"/>
        </w:rPr>
        <w:t>。</w:t>
      </w:r>
      <w:r>
        <w:rPr>
          <w:rFonts w:ascii="Microsoft JhengHei" w:eastAsia="Microsoft JhengHei" w:hAnsi="Microsoft JhengHei"/>
          <w:b/>
          <w:color w:val="000000"/>
          <w:sz w:val="24"/>
        </w:rPr>
        <w:t>投标文件必须用 A4 幅面纸张打印装订，应编制封面、目录、页码，必须胶装（为永久</w:t>
      </w:r>
      <w:r>
        <w:rPr>
          <w:rFonts w:ascii="Microsoft JhengHei" w:eastAsia="Microsoft JhengHei" w:hAnsi="Microsoft JhengHei"/>
          <w:b/>
          <w:color w:val="000000"/>
          <w:spacing w:val="-2"/>
          <w:sz w:val="24"/>
        </w:rPr>
        <w:t>性、无破坏不可拆分）装订成册，并在相应位置签名且加盖公章，同时要求投标文件在</w:t>
      </w:r>
      <w:r>
        <w:rPr>
          <w:rFonts w:ascii="Microsoft JhengHei" w:eastAsia="Microsoft JhengHei" w:hAnsi="Microsoft JhengHei"/>
          <w:b/>
          <w:color w:val="000000"/>
          <w:spacing w:val="-19"/>
          <w:sz w:val="24"/>
        </w:rPr>
        <w:t>封面标明“正本”、“副本”字样；投标文件副本内容应与正本一致，可以用正本的完整</w:t>
      </w:r>
      <w:r>
        <w:rPr>
          <w:rFonts w:ascii="Microsoft JhengHei" w:eastAsia="Microsoft JhengHei" w:hAnsi="Microsoft JhengHei"/>
          <w:b/>
          <w:color w:val="000000"/>
          <w:spacing w:val="-2"/>
          <w:sz w:val="24"/>
        </w:rPr>
        <w:t>复印件。正本与副本内容如有不一致之处，则以正本为准。未按此规定要求的，将被视</w:t>
      </w:r>
      <w:r>
        <w:rPr>
          <w:rFonts w:ascii="Microsoft JhengHei" w:eastAsia="Microsoft JhengHei" w:hAnsi="Microsoft JhengHei"/>
          <w:b/>
          <w:color w:val="000000"/>
          <w:spacing w:val="-2"/>
          <w:sz w:val="24"/>
        </w:rPr>
        <w:t>为未实质性响应招标文件要求，其投标文件无效。</w:t>
      </w:r>
    </w:p>
    <w:p>
      <w:pPr>
        <w:spacing w:after="0" w:line="240" w:lineRule="auto"/>
        <w:jc w:val="left"/>
        <w:rPr>
          <w:rFonts w:ascii="Microsoft JhengHei" w:eastAsia="Microsoft JhengHei" w:hAnsi="Microsoft JhengHei"/>
          <w:sz w:val="24"/>
        </w:rPr>
        <w:sectPr>
          <w:headerReference w:type="default" r:id="rId47"/>
          <w:footerReference w:type="default" r:id="rId48"/>
          <w:pgSz w:w="11910" w:h="16840"/>
          <w:pgMar w:top="1240" w:right="320" w:bottom="1180" w:left="1100" w:header="884" w:footer="991"/>
          <w:pgNumType w:start="19"/>
          <w:cols w:space="708"/>
        </w:sectPr>
      </w:pPr>
    </w:p>
    <w:p>
      <w:pPr>
        <w:pStyle w:val="BodyText"/>
        <w:spacing w:before="10"/>
        <w:rPr>
          <w:rFonts w:ascii="Microsoft JhengHei"/>
          <w:b/>
          <w:sz w:val="8"/>
        </w:rPr>
      </w:pPr>
    </w:p>
    <w:p>
      <w:pPr>
        <w:pStyle w:val="ListParagraph"/>
        <w:numPr>
          <w:ilvl w:val="1"/>
          <w:numId w:val="41"/>
        </w:numPr>
        <w:tabs>
          <w:tab w:val="left" w:pos="1676"/>
        </w:tabs>
        <w:spacing w:before="66" w:after="0" w:line="343" w:lineRule="auto"/>
        <w:ind w:left="475" w:right="875" w:firstLine="600"/>
        <w:jc w:val="both"/>
        <w:rPr>
          <w:sz w:val="24"/>
        </w:rPr>
      </w:pPr>
      <w:r>
        <w:rPr>
          <w:spacing w:val="-2"/>
          <w:sz w:val="24"/>
        </w:rPr>
        <w:t>投标文件应由投标人的法定代表人或者其授权代表签字并加盖公章，如由后</w:t>
      </w:r>
      <w:r>
        <w:rPr>
          <w:spacing w:val="-2"/>
          <w:sz w:val="24"/>
        </w:rPr>
        <w:t>者签字，应提供“法定代表人授权委托书”及双方身份证原件现场备查。</w:t>
      </w:r>
    </w:p>
    <w:p>
      <w:pPr>
        <w:pStyle w:val="ListParagraph"/>
        <w:numPr>
          <w:ilvl w:val="1"/>
          <w:numId w:val="41"/>
        </w:numPr>
        <w:tabs>
          <w:tab w:val="left" w:pos="1555"/>
        </w:tabs>
        <w:spacing w:before="1" w:after="0" w:line="240" w:lineRule="auto"/>
        <w:ind w:left="1555" w:right="0" w:hanging="600"/>
        <w:jc w:val="left"/>
        <w:rPr>
          <w:sz w:val="24"/>
        </w:rPr>
      </w:pPr>
      <w:r>
        <w:rPr>
          <w:spacing w:val="-1"/>
          <w:sz w:val="24"/>
        </w:rPr>
        <w:t>除非有另外的规定或许可，投标使用货币为人民币。</w:t>
      </w:r>
    </w:p>
    <w:p>
      <w:pPr>
        <w:pStyle w:val="ListParagraph"/>
        <w:numPr>
          <w:ilvl w:val="1"/>
          <w:numId w:val="41"/>
        </w:numPr>
        <w:tabs>
          <w:tab w:val="left" w:pos="1499"/>
        </w:tabs>
        <w:spacing w:before="53" w:after="0" w:line="240" w:lineRule="auto"/>
        <w:ind w:left="475" w:right="875" w:firstLine="480"/>
        <w:jc w:val="both"/>
        <w:rPr>
          <w:rFonts w:ascii="Microsoft JhengHei" w:eastAsia="Microsoft JhengHei" w:hAnsi="Microsoft JhengHei"/>
          <w:b/>
          <w:sz w:val="24"/>
        </w:rPr>
      </w:pPr>
      <w:r>
        <w:rPr>
          <w:rFonts w:ascii="Microsoft JhengHei" w:eastAsia="Microsoft JhengHei" w:hAnsi="Microsoft JhengHei"/>
          <w:b/>
          <w:spacing w:val="-2"/>
          <w:sz w:val="24"/>
        </w:rPr>
        <w:t>投标人应按招标文件要求在“项目说明一览表”中（格式详见第五章“投标文</w:t>
      </w:r>
      <w:r>
        <w:rPr>
          <w:rFonts w:ascii="Microsoft JhengHei" w:eastAsia="Microsoft JhengHei" w:hAnsi="Microsoft JhengHei"/>
          <w:b/>
          <w:spacing w:val="-32"/>
          <w:sz w:val="24"/>
        </w:rPr>
        <w:t>件格式”</w:t>
      </w:r>
      <w:r>
        <w:rPr>
          <w:rFonts w:ascii="Microsoft JhengHei" w:eastAsia="Microsoft JhengHei" w:hAnsi="Microsoft JhengHei"/>
          <w:b/>
          <w:sz w:val="24"/>
        </w:rPr>
        <w:t>）</w:t>
      </w:r>
      <w:r>
        <w:rPr>
          <w:rFonts w:ascii="Microsoft JhengHei" w:eastAsia="Microsoft JhengHei" w:hAnsi="Microsoft JhengHei"/>
          <w:b/>
          <w:spacing w:val="-2"/>
          <w:sz w:val="24"/>
        </w:rPr>
        <w:t>提交服务响应文件，对拟供服务的主要内容详细描述。</w:t>
      </w:r>
    </w:p>
    <w:p>
      <w:pPr>
        <w:pStyle w:val="ListParagraph"/>
        <w:numPr>
          <w:ilvl w:val="1"/>
          <w:numId w:val="41"/>
        </w:numPr>
        <w:tabs>
          <w:tab w:val="left" w:pos="1555"/>
        </w:tabs>
        <w:spacing w:before="76" w:after="0" w:line="343" w:lineRule="auto"/>
        <w:ind w:left="475" w:right="651" w:firstLine="480"/>
        <w:jc w:val="both"/>
        <w:rPr>
          <w:sz w:val="24"/>
        </w:rPr>
      </w:pPr>
      <w:r>
        <w:rPr>
          <w:spacing w:val="-7"/>
          <w:sz w:val="24"/>
        </w:rPr>
        <w:t>投标文件的正本和全部副本均应使用不能擦去的墨料或墨水打印、书写或复印，</w:t>
      </w:r>
      <w:r>
        <w:rPr>
          <w:spacing w:val="-2"/>
          <w:sz w:val="24"/>
        </w:rPr>
        <w:t>并由法定代表人或其授权代表签署，盖投标人公章。</w:t>
      </w:r>
    </w:p>
    <w:p>
      <w:pPr>
        <w:pStyle w:val="ListParagraph"/>
        <w:numPr>
          <w:ilvl w:val="1"/>
          <w:numId w:val="41"/>
        </w:numPr>
        <w:tabs>
          <w:tab w:val="left" w:pos="1436"/>
        </w:tabs>
        <w:spacing w:before="1" w:after="0" w:line="343" w:lineRule="auto"/>
        <w:ind w:left="475" w:right="875" w:firstLine="480"/>
        <w:jc w:val="both"/>
        <w:rPr>
          <w:sz w:val="22"/>
        </w:rPr>
      </w:pPr>
      <w:r>
        <w:rPr>
          <w:spacing w:val="-2"/>
          <w:sz w:val="24"/>
        </w:rPr>
        <w:t>全套投标文件应无涂改和行间插字，除非这些改动是根据本招标代理公司的指</w:t>
      </w:r>
      <w:r>
        <w:rPr>
          <w:spacing w:val="-2"/>
          <w:sz w:val="24"/>
        </w:rPr>
        <w:t>示进行的，或者是为改正投标人造成的必须修改的错误而进行的。有改动时，修改处应</w:t>
      </w:r>
      <w:r>
        <w:rPr>
          <w:spacing w:val="-2"/>
          <w:sz w:val="24"/>
        </w:rPr>
        <w:t>由授权代表签署证明或加盖校正章。</w:t>
      </w:r>
    </w:p>
    <w:p>
      <w:pPr>
        <w:pStyle w:val="ListParagraph"/>
        <w:numPr>
          <w:ilvl w:val="1"/>
          <w:numId w:val="41"/>
        </w:numPr>
        <w:tabs>
          <w:tab w:val="left" w:pos="1439"/>
        </w:tabs>
        <w:spacing w:before="0" w:after="0" w:line="362" w:lineRule="exact"/>
        <w:ind w:left="1438" w:right="0" w:hanging="484"/>
        <w:jc w:val="left"/>
        <w:rPr>
          <w:rFonts w:ascii="Microsoft JhengHei" w:eastAsia="Microsoft JhengHei"/>
          <w:b/>
          <w:sz w:val="22"/>
        </w:rPr>
      </w:pPr>
      <w:r>
        <w:rPr>
          <w:rFonts w:ascii="Microsoft JhengHei" w:eastAsia="Microsoft JhengHei"/>
          <w:b/>
          <w:spacing w:val="-3"/>
          <w:sz w:val="24"/>
        </w:rPr>
        <w:t>未按本须知规定的格式填写投标文件、投标文件字迹模糊不清的，其投标将被</w:t>
      </w:r>
    </w:p>
    <w:p>
      <w:pPr>
        <w:spacing w:before="0" w:line="440" w:lineRule="exact"/>
        <w:ind w:left="475" w:right="0" w:firstLine="0"/>
        <w:jc w:val="left"/>
        <w:rPr>
          <w:rFonts w:ascii="Microsoft JhengHei" w:eastAsia="Microsoft JhengHei"/>
          <w:b/>
          <w:sz w:val="24"/>
        </w:rPr>
      </w:pPr>
      <w:r>
        <w:rPr>
          <w:rFonts w:ascii="Microsoft JhengHei" w:eastAsia="Microsoft JhengHei"/>
          <w:b/>
          <w:spacing w:val="-4"/>
          <w:sz w:val="24"/>
        </w:rPr>
        <w:t>拒绝。</w:t>
      </w:r>
    </w:p>
    <w:p>
      <w:pPr>
        <w:pStyle w:val="ListParagraph"/>
        <w:numPr>
          <w:ilvl w:val="1"/>
          <w:numId w:val="41"/>
        </w:numPr>
        <w:tabs>
          <w:tab w:val="left" w:pos="1439"/>
        </w:tabs>
        <w:spacing w:before="0" w:after="0" w:line="441" w:lineRule="exact"/>
        <w:ind w:left="1438" w:right="0" w:hanging="484"/>
        <w:jc w:val="left"/>
        <w:rPr>
          <w:rFonts w:ascii="Microsoft JhengHei" w:eastAsia="Microsoft JhengHei" w:hAnsi="Microsoft JhengHei"/>
          <w:b/>
          <w:sz w:val="22"/>
        </w:rPr>
      </w:pPr>
      <w:r>
        <w:rPr>
          <w:rFonts w:ascii="Microsoft JhengHei" w:eastAsia="Microsoft JhengHei" w:hAnsi="Microsoft JhengHei"/>
          <w:b/>
          <w:spacing w:val="-1"/>
          <w:sz w:val="24"/>
        </w:rPr>
        <w:t>所有资格证明文件复印件须注明“与原件一致”并加盖投标人公章。</w:t>
      </w:r>
    </w:p>
    <w:p>
      <w:pPr>
        <w:pStyle w:val="BodyText"/>
        <w:spacing w:before="6"/>
        <w:rPr>
          <w:rFonts w:ascii="Microsoft JhengHei"/>
          <w:b/>
          <w:sz w:val="16"/>
        </w:rPr>
      </w:pPr>
    </w:p>
    <w:p>
      <w:pPr>
        <w:pStyle w:val="Heading3"/>
        <w:spacing w:line="537" w:lineRule="exact"/>
      </w:pPr>
      <w:r>
        <w:rPr>
          <w:spacing w:val="-2"/>
        </w:rPr>
        <w:t>四、投标文件的提交</w:t>
      </w:r>
    </w:p>
    <w:p>
      <w:pPr>
        <w:pStyle w:val="Heading4"/>
        <w:numPr>
          <w:ilvl w:val="0"/>
          <w:numId w:val="41"/>
        </w:numPr>
        <w:tabs>
          <w:tab w:val="left" w:pos="899"/>
        </w:tabs>
        <w:spacing w:before="0" w:after="0" w:line="452" w:lineRule="exact"/>
        <w:ind w:left="898" w:right="0" w:hanging="424"/>
        <w:jc w:val="left"/>
        <w:rPr>
          <w:sz w:val="26"/>
        </w:rPr>
      </w:pPr>
      <w:r>
        <w:rPr>
          <w:spacing w:val="-1"/>
        </w:rPr>
        <w:t>投标文件的密封、标记和递交</w:t>
      </w:r>
    </w:p>
    <w:p>
      <w:pPr>
        <w:pStyle w:val="ListParagraph"/>
        <w:numPr>
          <w:ilvl w:val="1"/>
          <w:numId w:val="41"/>
        </w:numPr>
        <w:tabs>
          <w:tab w:val="left" w:pos="1555"/>
        </w:tabs>
        <w:spacing w:before="0" w:after="0" w:line="283" w:lineRule="auto"/>
        <w:ind w:left="475" w:right="754" w:firstLine="480"/>
        <w:jc w:val="left"/>
        <w:rPr>
          <w:sz w:val="24"/>
        </w:rPr>
      </w:pPr>
      <w:r>
        <w:rPr>
          <w:spacing w:val="-2"/>
          <w:sz w:val="24"/>
        </w:rPr>
        <w:t>投标人应将投标文件</w:t>
      </w:r>
      <w:r>
        <w:rPr>
          <w:rFonts w:ascii="Microsoft JhengHei" w:eastAsia="Microsoft JhengHei"/>
          <w:b/>
          <w:spacing w:val="-2"/>
          <w:sz w:val="24"/>
        </w:rPr>
        <w:t>报价部分</w:t>
      </w:r>
      <w:r>
        <w:rPr>
          <w:spacing w:val="-2"/>
          <w:sz w:val="24"/>
        </w:rPr>
        <w:t>和</w:t>
      </w:r>
      <w:r>
        <w:rPr>
          <w:rFonts w:ascii="Microsoft JhengHei" w:eastAsia="Microsoft JhengHei"/>
          <w:b/>
          <w:spacing w:val="-2"/>
          <w:sz w:val="24"/>
        </w:rPr>
        <w:t>技术商务部分</w:t>
      </w:r>
      <w:r>
        <w:rPr>
          <w:spacing w:val="-13"/>
          <w:sz w:val="24"/>
        </w:rPr>
        <w:t>正本分别用密封袋密封，两部分</w:t>
      </w:r>
      <w:r>
        <w:rPr>
          <w:spacing w:val="-4"/>
          <w:sz w:val="24"/>
        </w:rPr>
        <w:t>的全部副本也分别用密封袋密封，并标明招标编号、招标项目、投标人名称、报价部分、</w:t>
      </w:r>
    </w:p>
    <w:p>
      <w:pPr>
        <w:pStyle w:val="BodyText"/>
        <w:spacing w:before="65" w:line="343" w:lineRule="auto"/>
        <w:ind w:left="475" w:right="875"/>
      </w:pPr>
      <w:r>
        <w:rPr>
          <w:spacing w:val="-2"/>
        </w:rPr>
        <w:t>技术商务部分及“正本”或“副本”字样。另外，投标人还需要单独提交一份用密封袋</w:t>
      </w:r>
      <w:r>
        <w:rPr>
          <w:spacing w:val="-13"/>
        </w:rPr>
        <w:t>密封的“开标一览表”，便于开标当天现场唱标。投标文件未密封将导致投标被拒绝。</w:t>
      </w:r>
    </w:p>
    <w:p>
      <w:pPr>
        <w:pStyle w:val="ListParagraph"/>
        <w:numPr>
          <w:ilvl w:val="1"/>
          <w:numId w:val="41"/>
        </w:numPr>
        <w:tabs>
          <w:tab w:val="left" w:pos="1435"/>
          <w:tab w:val="left" w:pos="5582"/>
        </w:tabs>
        <w:spacing w:before="0" w:after="0" w:line="343" w:lineRule="auto"/>
        <w:ind w:left="475" w:right="875" w:firstLine="360"/>
        <w:jc w:val="left"/>
        <w:rPr>
          <w:sz w:val="24"/>
        </w:rPr>
      </w:pPr>
      <w:r>
        <w:rPr>
          <w:sz w:val="24"/>
        </w:rPr>
        <w:t>每一密封袋密封处应注</w:t>
      </w:r>
      <w:r>
        <w:rPr>
          <w:spacing w:val="-53"/>
          <w:sz w:val="24"/>
        </w:rPr>
        <w:t>明</w:t>
      </w:r>
      <w:r>
        <w:rPr>
          <w:sz w:val="24"/>
        </w:rPr>
        <w:t xml:space="preserve">“于 </w:t>
      </w:r>
      <w:r>
        <w:rPr>
          <w:rFonts w:ascii="Times New Roman" w:eastAsia="Times New Roman" w:hAnsi="Times New Roman"/>
          <w:sz w:val="24"/>
          <w:u w:val="single"/>
        </w:rPr>
        <w:tab/>
      </w:r>
      <w:r>
        <w:rPr>
          <w:spacing w:val="-2"/>
          <w:sz w:val="24"/>
        </w:rPr>
        <w:t>之</w:t>
      </w:r>
      <w:r>
        <w:rPr>
          <w:spacing w:val="-53"/>
          <w:sz w:val="24"/>
        </w:rPr>
        <w:t>前</w:t>
      </w:r>
      <w:r>
        <w:rPr>
          <w:spacing w:val="-2"/>
          <w:sz w:val="24"/>
        </w:rPr>
        <w:t>（</w:t>
      </w:r>
      <w:r>
        <w:rPr>
          <w:spacing w:val="-2"/>
          <w:sz w:val="24"/>
        </w:rPr>
        <w:t>指</w:t>
      </w:r>
      <w:r>
        <w:rPr>
          <w:spacing w:val="-2"/>
          <w:sz w:val="24"/>
        </w:rPr>
        <w:t>招</w:t>
      </w:r>
      <w:r>
        <w:rPr>
          <w:spacing w:val="-2"/>
          <w:sz w:val="24"/>
        </w:rPr>
        <w:t>标</w:t>
      </w:r>
      <w:r>
        <w:rPr>
          <w:spacing w:val="-2"/>
          <w:sz w:val="24"/>
        </w:rPr>
        <w:t>公</w:t>
      </w:r>
      <w:r>
        <w:rPr>
          <w:spacing w:val="-2"/>
          <w:sz w:val="24"/>
        </w:rPr>
        <w:t>开</w:t>
      </w:r>
      <w:r>
        <w:rPr>
          <w:spacing w:val="-2"/>
          <w:sz w:val="24"/>
        </w:rPr>
        <w:t>中</w:t>
      </w:r>
      <w:r>
        <w:rPr>
          <w:spacing w:val="-2"/>
          <w:sz w:val="24"/>
        </w:rPr>
        <w:t>规</w:t>
      </w:r>
      <w:r>
        <w:rPr>
          <w:spacing w:val="-2"/>
          <w:sz w:val="24"/>
        </w:rPr>
        <w:t>定</w:t>
      </w:r>
      <w:r>
        <w:rPr>
          <w:spacing w:val="-2"/>
          <w:sz w:val="24"/>
        </w:rPr>
        <w:t>的</w:t>
      </w:r>
      <w:r>
        <w:rPr>
          <w:spacing w:val="-2"/>
          <w:sz w:val="24"/>
        </w:rPr>
        <w:t>开</w:t>
      </w:r>
      <w:r>
        <w:rPr>
          <w:spacing w:val="-2"/>
          <w:sz w:val="24"/>
        </w:rPr>
        <w:t>标</w:t>
      </w:r>
      <w:r>
        <w:rPr>
          <w:spacing w:val="-2"/>
          <w:sz w:val="24"/>
        </w:rPr>
        <w:t>日</w:t>
      </w:r>
      <w:r>
        <w:rPr>
          <w:spacing w:val="-2"/>
          <w:sz w:val="24"/>
        </w:rPr>
        <w:t>期</w:t>
      </w:r>
      <w:r>
        <w:rPr>
          <w:spacing w:val="-2"/>
          <w:sz w:val="24"/>
        </w:rPr>
        <w:t>及</w:t>
      </w:r>
      <w:r>
        <w:rPr>
          <w:spacing w:val="-2"/>
          <w:sz w:val="24"/>
        </w:rPr>
        <w:t>时</w:t>
      </w:r>
      <w:r>
        <w:rPr>
          <w:spacing w:val="-2"/>
          <w:sz w:val="24"/>
        </w:rPr>
        <w:t>间</w:t>
      </w:r>
      <w:r>
        <w:rPr>
          <w:spacing w:val="-2"/>
          <w:sz w:val="24"/>
        </w:rPr>
        <w:t>）</w:t>
      </w:r>
      <w:r>
        <w:rPr>
          <w:spacing w:val="-2"/>
          <w:sz w:val="24"/>
        </w:rPr>
        <w:t>不</w:t>
      </w:r>
      <w:r>
        <w:rPr>
          <w:spacing w:val="-2"/>
          <w:sz w:val="24"/>
        </w:rPr>
        <w:t>准</w:t>
      </w:r>
      <w:r>
        <w:rPr>
          <w:spacing w:val="-2"/>
          <w:sz w:val="24"/>
        </w:rPr>
        <w:t>启</w:t>
      </w:r>
      <w:r>
        <w:rPr>
          <w:spacing w:val="-2"/>
          <w:sz w:val="24"/>
        </w:rPr>
        <w:t>封</w:t>
      </w:r>
      <w:r>
        <w:rPr>
          <w:spacing w:val="-2"/>
          <w:sz w:val="24"/>
        </w:rPr>
        <w:t>”</w:t>
      </w:r>
      <w:r>
        <w:rPr>
          <w:spacing w:val="-2"/>
          <w:sz w:val="24"/>
        </w:rPr>
        <w:t>的</w:t>
      </w:r>
      <w:r>
        <w:rPr>
          <w:spacing w:val="-2"/>
          <w:sz w:val="24"/>
        </w:rPr>
        <w:t>字</w:t>
      </w:r>
      <w:r>
        <w:rPr>
          <w:spacing w:val="-2"/>
          <w:sz w:val="24"/>
        </w:rPr>
        <w:t>样</w:t>
      </w:r>
      <w:r>
        <w:rPr>
          <w:spacing w:val="-2"/>
          <w:sz w:val="24"/>
        </w:rPr>
        <w:t>，</w:t>
      </w:r>
      <w:r>
        <w:rPr>
          <w:spacing w:val="-2"/>
          <w:sz w:val="24"/>
        </w:rPr>
        <w:t>并</w:t>
      </w:r>
      <w:r>
        <w:rPr>
          <w:spacing w:val="-2"/>
          <w:sz w:val="24"/>
        </w:rPr>
        <w:t>加</w:t>
      </w:r>
      <w:r>
        <w:rPr>
          <w:spacing w:val="-2"/>
          <w:sz w:val="24"/>
        </w:rPr>
        <w:t>盖</w:t>
      </w:r>
      <w:r>
        <w:rPr>
          <w:spacing w:val="-2"/>
          <w:sz w:val="24"/>
        </w:rPr>
        <w:t>投</w:t>
      </w:r>
      <w:r>
        <w:rPr>
          <w:spacing w:val="-2"/>
          <w:sz w:val="24"/>
        </w:rPr>
        <w:t>标</w:t>
      </w:r>
      <w:r>
        <w:rPr>
          <w:spacing w:val="-2"/>
          <w:sz w:val="24"/>
        </w:rPr>
        <w:t>人</w:t>
      </w:r>
      <w:r>
        <w:rPr>
          <w:spacing w:val="-2"/>
          <w:sz w:val="24"/>
        </w:rPr>
        <w:t>公</w:t>
      </w:r>
      <w:r>
        <w:rPr>
          <w:spacing w:val="-2"/>
          <w:sz w:val="24"/>
        </w:rPr>
        <w:t>章</w:t>
      </w:r>
      <w:r>
        <w:rPr>
          <w:spacing w:val="-2"/>
          <w:sz w:val="24"/>
        </w:rPr>
        <w:t>。</w:t>
      </w:r>
    </w:p>
    <w:p>
      <w:pPr>
        <w:pStyle w:val="ListParagraph"/>
        <w:numPr>
          <w:ilvl w:val="1"/>
          <w:numId w:val="41"/>
        </w:numPr>
        <w:tabs>
          <w:tab w:val="left" w:pos="1555"/>
        </w:tabs>
        <w:spacing w:before="1" w:after="0" w:line="343" w:lineRule="auto"/>
        <w:ind w:left="475" w:right="875" w:firstLine="480"/>
        <w:jc w:val="both"/>
        <w:rPr>
          <w:sz w:val="24"/>
        </w:rPr>
      </w:pPr>
      <w:r>
        <w:rPr>
          <w:spacing w:val="-9"/>
          <w:sz w:val="24"/>
        </w:rPr>
        <w:t>如果投标文件由邮局或专人送交，投标人应将投标文件按照本须知第</w:t>
      </w:r>
      <w:r>
        <w:rPr>
          <w:spacing w:val="-2"/>
          <w:sz w:val="24"/>
        </w:rPr>
        <w:t>14.1条至</w:t>
      </w:r>
      <w:r>
        <w:rPr>
          <w:spacing w:val="-2"/>
          <w:sz w:val="24"/>
        </w:rPr>
        <w:t>第14.2条的规定进行密封和标记后，按投标人须知前附表注明的地址送至接收人。</w:t>
      </w:r>
    </w:p>
    <w:p>
      <w:pPr>
        <w:pStyle w:val="ListParagraph"/>
        <w:numPr>
          <w:ilvl w:val="1"/>
          <w:numId w:val="41"/>
        </w:numPr>
        <w:tabs>
          <w:tab w:val="left" w:pos="1555"/>
        </w:tabs>
        <w:spacing w:before="0" w:after="0" w:line="343" w:lineRule="auto"/>
        <w:ind w:left="475" w:right="875" w:firstLine="480"/>
        <w:jc w:val="both"/>
        <w:rPr>
          <w:sz w:val="24"/>
        </w:rPr>
      </w:pPr>
      <w:r>
        <w:rPr>
          <w:spacing w:val="-9"/>
          <w:sz w:val="24"/>
        </w:rPr>
        <w:t>如果未按上述规定进行密封和标记，本招标代理公司将不承担由此造成的对投</w:t>
      </w:r>
      <w:r>
        <w:rPr>
          <w:spacing w:val="-2"/>
          <w:sz w:val="24"/>
        </w:rPr>
        <w:t>标文件的误投或提前拆封的责任。</w:t>
      </w:r>
    </w:p>
    <w:p>
      <w:pPr>
        <w:pStyle w:val="ListParagraph"/>
        <w:numPr>
          <w:ilvl w:val="1"/>
          <w:numId w:val="41"/>
        </w:numPr>
        <w:tabs>
          <w:tab w:val="left" w:pos="1555"/>
        </w:tabs>
        <w:spacing w:before="1" w:after="0" w:line="343" w:lineRule="auto"/>
        <w:ind w:left="475" w:right="874" w:firstLine="480"/>
        <w:jc w:val="both"/>
        <w:rPr>
          <w:sz w:val="24"/>
        </w:rPr>
      </w:pPr>
      <w:r>
        <w:rPr>
          <w:spacing w:val="-7"/>
          <w:sz w:val="24"/>
        </w:rPr>
        <w:t>投标文件应在投标公开中规定的截止时间前送达，迟到的投标文件为无效投标</w:t>
      </w:r>
      <w:r>
        <w:rPr>
          <w:sz w:val="24"/>
        </w:rPr>
        <w:t>文件, 将被拒收。</w:t>
      </w:r>
    </w:p>
    <w:p>
      <w:pPr>
        <w:pStyle w:val="ListParagraph"/>
        <w:numPr>
          <w:ilvl w:val="1"/>
          <w:numId w:val="41"/>
        </w:numPr>
        <w:tabs>
          <w:tab w:val="left" w:pos="1555"/>
        </w:tabs>
        <w:spacing w:before="0" w:after="0" w:line="343" w:lineRule="auto"/>
        <w:ind w:left="475" w:right="875" w:firstLine="480"/>
        <w:jc w:val="both"/>
        <w:rPr>
          <w:sz w:val="24"/>
        </w:rPr>
      </w:pPr>
      <w:r>
        <w:rPr>
          <w:spacing w:val="-9"/>
          <w:sz w:val="24"/>
        </w:rPr>
        <w:t>投标人在投标截止时间前，可以对所提交的投标文件进行修改或者撤回，并书</w:t>
      </w:r>
      <w:r>
        <w:rPr>
          <w:spacing w:val="-2"/>
          <w:sz w:val="24"/>
        </w:rPr>
        <w:t>面通知本招标代理公司。修改的内容和撤回通知应当按本须知要求签署、盖章、密封，</w:t>
      </w:r>
      <w:r>
        <w:rPr>
          <w:spacing w:val="-2"/>
          <w:sz w:val="24"/>
        </w:rPr>
        <w:t>并作为投标文件的组成部分。</w:t>
      </w:r>
    </w:p>
    <w:p>
      <w:pPr>
        <w:spacing w:after="0" w:line="343" w:lineRule="auto"/>
        <w:jc w:val="both"/>
        <w:rPr>
          <w:sz w:val="24"/>
        </w:rPr>
        <w:sectPr>
          <w:headerReference w:type="default" r:id="rId49"/>
          <w:footerReference w:type="default" r:id="rId50"/>
          <w:pgSz w:w="11910" w:h="16840"/>
          <w:pgMar w:top="1240" w:right="320" w:bottom="1180" w:left="1100" w:header="884" w:footer="991"/>
          <w:pgNumType w:start="20"/>
          <w:cols w:space="708"/>
        </w:sectPr>
      </w:pPr>
    </w:p>
    <w:p>
      <w:pPr>
        <w:pStyle w:val="BodyText"/>
        <w:spacing w:before="3"/>
        <w:rPr>
          <w:sz w:val="12"/>
        </w:rPr>
      </w:pPr>
    </w:p>
    <w:p>
      <w:pPr>
        <w:pStyle w:val="ListParagraph"/>
        <w:numPr>
          <w:ilvl w:val="1"/>
          <w:numId w:val="41"/>
        </w:numPr>
        <w:tabs>
          <w:tab w:val="left" w:pos="1555"/>
        </w:tabs>
        <w:spacing w:before="66" w:after="0" w:line="343" w:lineRule="auto"/>
        <w:ind w:left="475" w:right="875" w:firstLine="480"/>
        <w:jc w:val="left"/>
        <w:rPr>
          <w:sz w:val="24"/>
        </w:rPr>
      </w:pPr>
      <w:r>
        <w:rPr>
          <w:spacing w:val="-9"/>
          <w:sz w:val="24"/>
        </w:rPr>
        <w:t>投标人在投标截止期后不得修改、撤回投标文件。投标人在投标截止期后修改</w:t>
      </w:r>
      <w:r>
        <w:rPr>
          <w:spacing w:val="-2"/>
          <w:sz w:val="24"/>
        </w:rPr>
        <w:t>投标文件的，其投标被拒绝。</w:t>
      </w:r>
    </w:p>
    <w:p>
      <w:pPr>
        <w:pStyle w:val="ListParagraph"/>
        <w:numPr>
          <w:ilvl w:val="1"/>
          <w:numId w:val="41"/>
        </w:numPr>
        <w:tabs>
          <w:tab w:val="left" w:pos="1555"/>
        </w:tabs>
        <w:spacing w:before="1" w:after="0" w:line="343" w:lineRule="auto"/>
        <w:ind w:left="475" w:right="875" w:firstLine="480"/>
        <w:jc w:val="left"/>
        <w:rPr>
          <w:sz w:val="24"/>
        </w:rPr>
      </w:pPr>
      <w:r>
        <w:rPr>
          <w:spacing w:val="-7"/>
          <w:sz w:val="24"/>
        </w:rPr>
        <w:t>投标截止时间结束后参加投标的投标人不足三家的，本次招标程序终止，除采</w:t>
      </w:r>
      <w:r>
        <w:rPr>
          <w:spacing w:val="-2"/>
          <w:sz w:val="24"/>
        </w:rPr>
        <w:t>购任务取消情形外，招标采购单位将依法重新组织招标或者采取其他方式采购。</w:t>
      </w:r>
    </w:p>
    <w:p>
      <w:pPr>
        <w:pStyle w:val="BodyText"/>
        <w:spacing w:before="4"/>
        <w:rPr>
          <w:sz w:val="21"/>
        </w:rPr>
      </w:pPr>
    </w:p>
    <w:p>
      <w:pPr>
        <w:spacing w:after="0"/>
        <w:rPr>
          <w:sz w:val="21"/>
        </w:rPr>
        <w:sectPr>
          <w:headerReference w:type="default" r:id="rId51"/>
          <w:footerReference w:type="default" r:id="rId52"/>
          <w:pgSz w:w="11910" w:h="16840"/>
          <w:pgMar w:top="1240" w:right="320" w:bottom="1180" w:left="1100" w:header="884" w:footer="991"/>
          <w:pgNumType w:start="21"/>
          <w:cols w:space="708"/>
        </w:sectPr>
      </w:pPr>
    </w:p>
    <w:p>
      <w:pPr>
        <w:pStyle w:val="BodyText"/>
        <w:spacing w:before="12"/>
        <w:rPr>
          <w:sz w:val="33"/>
        </w:rPr>
      </w:pPr>
    </w:p>
    <w:p>
      <w:pPr>
        <w:pStyle w:val="ListParagraph"/>
        <w:numPr>
          <w:ilvl w:val="0"/>
          <w:numId w:val="41"/>
        </w:numPr>
        <w:tabs>
          <w:tab w:val="left" w:pos="1039"/>
        </w:tabs>
        <w:spacing w:before="0" w:after="0" w:line="240" w:lineRule="auto"/>
        <w:ind w:left="1038" w:right="0" w:hanging="564"/>
        <w:jc w:val="left"/>
        <w:rPr>
          <w:rFonts w:ascii="Microsoft JhengHei" w:eastAsia="Microsoft JhengHei"/>
          <w:b/>
          <w:sz w:val="26"/>
        </w:rPr>
      </w:pPr>
      <w:r>
        <w:rPr>
          <w:rFonts w:ascii="Microsoft JhengHei" w:eastAsia="Microsoft JhengHei"/>
          <w:b/>
          <w:spacing w:val="-2"/>
          <w:sz w:val="28"/>
        </w:rPr>
        <w:t>开标、评标时间</w:t>
      </w:r>
    </w:p>
    <w:p>
      <w:pPr>
        <w:pStyle w:val="Heading3"/>
        <w:spacing w:line="538" w:lineRule="exact"/>
        <w:ind w:left="69" w:right="0"/>
        <w:jc w:val="left"/>
      </w:pPr>
      <w:r>
        <w:rPr>
          <w:b w:val="0"/>
        </w:rPr>
        <w:br w:type="column"/>
      </w:r>
      <w:r>
        <w:rPr>
          <w:spacing w:val="-1"/>
        </w:rPr>
        <w:t>五、投标文件的评估和比较</w:t>
      </w:r>
    </w:p>
    <w:p>
      <w:pPr>
        <w:spacing w:after="0" w:line="538" w:lineRule="exact"/>
        <w:jc w:val="left"/>
        <w:sectPr>
          <w:headerReference w:type="default" r:id="rId53"/>
          <w:footerReference w:type="default" r:id="rId54"/>
          <w:type w:val="continuous"/>
          <w:pgSz w:w="11910" w:h="16840"/>
          <w:pgMar w:top="1240" w:right="320" w:bottom="280" w:left="1100" w:header="884" w:footer="991"/>
          <w:pgNumType w:start="22"/>
          <w:cols w:num="2" w:space="708" w:equalWidth="0">
            <w:col w:w="3006" w:space="40"/>
            <w:col w:w="7444" w:space="0"/>
          </w:cols>
        </w:sectPr>
      </w:pPr>
    </w:p>
    <w:p>
      <w:pPr>
        <w:pStyle w:val="ListParagraph"/>
        <w:numPr>
          <w:ilvl w:val="1"/>
          <w:numId w:val="41"/>
        </w:numPr>
        <w:tabs>
          <w:tab w:val="left" w:pos="1555"/>
        </w:tabs>
        <w:spacing w:before="58" w:after="0" w:line="240" w:lineRule="auto"/>
        <w:ind w:left="1555" w:right="0" w:hanging="600"/>
        <w:jc w:val="both"/>
        <w:rPr>
          <w:sz w:val="24"/>
        </w:rPr>
      </w:pPr>
      <w:r>
        <w:rPr>
          <w:spacing w:val="-1"/>
          <w:sz w:val="24"/>
        </w:rPr>
        <w:t>在投标人须知前附表中所规定的时间、地点开标。</w:t>
      </w:r>
    </w:p>
    <w:p>
      <w:pPr>
        <w:pStyle w:val="ListParagraph"/>
        <w:numPr>
          <w:ilvl w:val="1"/>
          <w:numId w:val="41"/>
        </w:numPr>
        <w:tabs>
          <w:tab w:val="left" w:pos="1555"/>
        </w:tabs>
        <w:spacing w:before="132" w:after="0" w:line="240" w:lineRule="auto"/>
        <w:ind w:left="1555" w:right="0" w:hanging="600"/>
        <w:jc w:val="both"/>
        <w:rPr>
          <w:sz w:val="24"/>
        </w:rPr>
      </w:pPr>
      <w:r>
        <w:rPr>
          <w:spacing w:val="-1"/>
          <w:sz w:val="24"/>
        </w:rPr>
        <w:t>开标由本招标代理公司主持，采购人、投标人代表和有关方面代表参加。</w:t>
      </w:r>
    </w:p>
    <w:p>
      <w:pPr>
        <w:pStyle w:val="ListParagraph"/>
        <w:numPr>
          <w:ilvl w:val="1"/>
          <w:numId w:val="41"/>
        </w:numPr>
        <w:tabs>
          <w:tab w:val="left" w:pos="1555"/>
        </w:tabs>
        <w:spacing w:before="133" w:after="0" w:line="343" w:lineRule="auto"/>
        <w:ind w:left="475" w:right="875" w:firstLine="480"/>
        <w:jc w:val="both"/>
        <w:rPr>
          <w:sz w:val="24"/>
        </w:rPr>
      </w:pPr>
      <w:r>
        <w:rPr>
          <w:spacing w:val="-12"/>
          <w:sz w:val="24"/>
        </w:rPr>
        <w:t>开标时，由招标监督代表和投标人代表检查投标文件的密封情况，对符合密封</w:t>
      </w:r>
      <w:r>
        <w:rPr>
          <w:spacing w:val="-2"/>
          <w:sz w:val="24"/>
        </w:rPr>
        <w:t>要求的投标文件按照提交投标文件时间的先后顺序（或者逆顺序）当场逐一拆封，由开</w:t>
      </w:r>
      <w:r>
        <w:rPr>
          <w:spacing w:val="-2"/>
          <w:sz w:val="24"/>
        </w:rPr>
        <w:t>标会主持人宣唱各投标人的报价，唱标内容为“开标一览表”内容。福建省新卫招标代</w:t>
      </w:r>
      <w:r>
        <w:rPr>
          <w:spacing w:val="-2"/>
          <w:sz w:val="24"/>
        </w:rPr>
        <w:t>理有限公司对唱标内容作开标记录，由投标人代表签字确认。未当场提出异议的（含未</w:t>
      </w:r>
      <w:r>
        <w:rPr>
          <w:spacing w:val="-2"/>
          <w:sz w:val="24"/>
        </w:rPr>
        <w:t>确认</w:t>
      </w:r>
      <w:r>
        <w:rPr>
          <w:spacing w:val="-120"/>
          <w:sz w:val="24"/>
        </w:rPr>
        <w:t>）</w:t>
      </w:r>
      <w:r>
        <w:rPr>
          <w:spacing w:val="-2"/>
          <w:sz w:val="24"/>
        </w:rPr>
        <w:t>，视同认可开标记录。</w:t>
      </w:r>
    </w:p>
    <w:p>
      <w:pPr>
        <w:pStyle w:val="Heading4"/>
        <w:numPr>
          <w:ilvl w:val="0"/>
          <w:numId w:val="41"/>
        </w:numPr>
        <w:tabs>
          <w:tab w:val="left" w:pos="1039"/>
        </w:tabs>
        <w:spacing w:before="0" w:after="0" w:line="384" w:lineRule="exact"/>
        <w:ind w:left="1038" w:right="0" w:hanging="564"/>
        <w:jc w:val="left"/>
        <w:rPr>
          <w:sz w:val="26"/>
        </w:rPr>
      </w:pPr>
      <w:r>
        <w:rPr>
          <w:spacing w:val="-2"/>
        </w:rPr>
        <w:t>评标委员会</w:t>
      </w:r>
    </w:p>
    <w:p>
      <w:pPr>
        <w:pStyle w:val="ListParagraph"/>
        <w:numPr>
          <w:ilvl w:val="1"/>
          <w:numId w:val="41"/>
        </w:numPr>
        <w:tabs>
          <w:tab w:val="left" w:pos="1555"/>
        </w:tabs>
        <w:spacing w:before="57" w:after="0" w:line="280" w:lineRule="auto"/>
        <w:ind w:left="475" w:right="874" w:firstLine="480"/>
        <w:jc w:val="both"/>
        <w:rPr>
          <w:sz w:val="24"/>
        </w:rPr>
      </w:pPr>
      <w:r>
        <w:rPr>
          <w:spacing w:val="-6"/>
          <w:sz w:val="24"/>
        </w:rPr>
        <w:t>本招标代理公司根据招标项目和服务的特点依法组建评标委员会。评标委员会</w:t>
      </w:r>
      <w:r>
        <w:rPr>
          <w:spacing w:val="-4"/>
          <w:sz w:val="24"/>
        </w:rPr>
        <w:t>由技术、经济、法律方面的专家和采购人代表组成。成员为</w:t>
      </w:r>
      <w:r>
        <w:rPr>
          <w:rFonts w:ascii="Microsoft JhengHei" w:eastAsia="Microsoft JhengHei"/>
          <w:b/>
          <w:spacing w:val="-4"/>
          <w:sz w:val="24"/>
        </w:rPr>
        <w:t>5人</w:t>
      </w:r>
      <w:r>
        <w:rPr>
          <w:spacing w:val="-4"/>
          <w:sz w:val="24"/>
        </w:rPr>
        <w:t>以上单数组成，专家不能</w:t>
      </w:r>
      <w:r>
        <w:rPr>
          <w:spacing w:val="-2"/>
          <w:sz w:val="24"/>
        </w:rPr>
        <w:t>少于三分之二。在开标后的适当时间里由评标委员会对投标文件进行审查、质疑、评估</w:t>
      </w:r>
    </w:p>
    <w:p>
      <w:pPr>
        <w:pStyle w:val="BodyText"/>
        <w:spacing w:before="84"/>
        <w:ind w:left="475"/>
      </w:pPr>
      <w:r>
        <w:rPr>
          <w:spacing w:val="-1"/>
        </w:rPr>
        <w:t>和比较，并做出授予合同的建议。</w:t>
      </w:r>
    </w:p>
    <w:p>
      <w:pPr>
        <w:pStyle w:val="Heading4"/>
        <w:numPr>
          <w:ilvl w:val="0"/>
          <w:numId w:val="41"/>
        </w:numPr>
        <w:tabs>
          <w:tab w:val="left" w:pos="899"/>
        </w:tabs>
        <w:spacing w:before="0" w:after="0" w:line="240" w:lineRule="auto"/>
        <w:ind w:left="898" w:right="0" w:hanging="424"/>
        <w:jc w:val="left"/>
        <w:rPr>
          <w:sz w:val="26"/>
        </w:rPr>
      </w:pPr>
      <w:r>
        <w:rPr>
          <w:spacing w:val="-2"/>
        </w:rPr>
        <w:t>投标文件的初审</w:t>
      </w:r>
    </w:p>
    <w:p>
      <w:pPr>
        <w:pStyle w:val="BodyText"/>
        <w:spacing w:before="58" w:line="343" w:lineRule="auto"/>
        <w:ind w:left="475" w:right="875" w:firstLine="480"/>
      </w:pPr>
      <w:r>
        <w:rPr>
          <w:spacing w:val="-2"/>
        </w:rPr>
        <w:t>对所有投标人的评估，都采用相同的程序和标准。评议过程将严格按照招标文件的</w:t>
      </w:r>
      <w:r>
        <w:rPr>
          <w:spacing w:val="-2"/>
        </w:rPr>
        <w:t>要求和条件进行。</w:t>
      </w:r>
    </w:p>
    <w:p>
      <w:pPr>
        <w:pStyle w:val="BodyText"/>
        <w:spacing w:line="343" w:lineRule="auto"/>
        <w:ind w:left="475" w:right="875" w:firstLine="480"/>
      </w:pPr>
      <w:r>
        <w:rPr>
          <w:spacing w:val="-2"/>
        </w:rPr>
        <w:t>有关投标文件的审查、澄清、评估和比较以及推荐中标候选人的一切情况都不得透</w:t>
      </w:r>
      <w:r>
        <w:rPr>
          <w:spacing w:val="-2"/>
        </w:rPr>
        <w:t>露给任一投标人或与上述评标工作无关的人员。</w:t>
      </w:r>
    </w:p>
    <w:p>
      <w:pPr>
        <w:pStyle w:val="BodyText"/>
        <w:spacing w:before="1" w:line="343" w:lineRule="auto"/>
        <w:ind w:left="475" w:right="875" w:firstLine="480"/>
      </w:pPr>
      <w:r>
        <w:rPr>
          <w:spacing w:val="-2"/>
        </w:rPr>
        <w:t>投标人任何试图影响评委会对投标文件的评估、比较或者推荐候选人的行为，都将</w:t>
      </w:r>
      <w:r>
        <w:rPr>
          <w:spacing w:val="-2"/>
        </w:rPr>
        <w:t>导致其投标被拒绝，并被没收投标保证金。</w:t>
      </w:r>
    </w:p>
    <w:p>
      <w:pPr>
        <w:pStyle w:val="ListParagraph"/>
        <w:numPr>
          <w:ilvl w:val="1"/>
          <w:numId w:val="41"/>
        </w:numPr>
        <w:tabs>
          <w:tab w:val="left" w:pos="1555"/>
        </w:tabs>
        <w:spacing w:before="1" w:after="0" w:line="343" w:lineRule="auto"/>
        <w:ind w:left="475" w:right="755" w:firstLine="480"/>
        <w:jc w:val="left"/>
        <w:rPr>
          <w:sz w:val="24"/>
        </w:rPr>
      </w:pPr>
      <w:r>
        <w:rPr>
          <w:spacing w:val="-14"/>
          <w:sz w:val="24"/>
        </w:rPr>
        <w:t>评委会将对投标文件进行检查，以确定投标文件是否完整、有无计算上的错误、</w:t>
      </w:r>
      <w:r>
        <w:rPr>
          <w:spacing w:val="-2"/>
          <w:sz w:val="24"/>
        </w:rPr>
        <w:t>是否提交了投标保证金、文件是否已正确签署。</w:t>
      </w:r>
    </w:p>
    <w:p>
      <w:pPr>
        <w:pStyle w:val="ListParagraph"/>
        <w:numPr>
          <w:ilvl w:val="1"/>
          <w:numId w:val="41"/>
        </w:numPr>
        <w:tabs>
          <w:tab w:val="left" w:pos="1555"/>
        </w:tabs>
        <w:spacing w:before="0" w:after="0" w:line="240" w:lineRule="auto"/>
        <w:ind w:left="1555" w:right="0" w:hanging="600"/>
        <w:jc w:val="left"/>
        <w:rPr>
          <w:sz w:val="24"/>
        </w:rPr>
      </w:pPr>
      <w:r>
        <w:rPr>
          <w:spacing w:val="-1"/>
          <w:sz w:val="24"/>
        </w:rPr>
        <w:t>算术错误将按以下方法更正：</w:t>
      </w:r>
    </w:p>
    <w:p>
      <w:pPr>
        <w:pStyle w:val="ListParagraph"/>
        <w:numPr>
          <w:ilvl w:val="0"/>
          <w:numId w:val="36"/>
        </w:numPr>
        <w:tabs>
          <w:tab w:val="left" w:pos="1316"/>
        </w:tabs>
        <w:spacing w:before="133" w:after="0" w:line="343" w:lineRule="auto"/>
        <w:ind w:left="475" w:right="874" w:firstLine="480"/>
        <w:jc w:val="left"/>
        <w:rPr>
          <w:sz w:val="24"/>
        </w:rPr>
      </w:pPr>
      <w:r>
        <w:rPr>
          <w:spacing w:val="-6"/>
          <w:sz w:val="24"/>
        </w:rPr>
        <w:t>投标文件中开标一览表(报价表)内容与投标文件中明细表内容不一致的，以开标</w:t>
      </w:r>
      <w:r>
        <w:rPr>
          <w:spacing w:val="-2"/>
          <w:sz w:val="24"/>
        </w:rPr>
        <w:t>一览表(报价表)为准。</w:t>
      </w:r>
    </w:p>
    <w:p>
      <w:pPr>
        <w:spacing w:after="0" w:line="343" w:lineRule="auto"/>
        <w:jc w:val="left"/>
        <w:rPr>
          <w:sz w:val="24"/>
        </w:rPr>
        <w:sectPr>
          <w:headerReference w:type="default" r:id="rId55"/>
          <w:footerReference w:type="default" r:id="rId56"/>
          <w:type w:val="continuous"/>
          <w:pgSz w:w="11910" w:h="16840"/>
          <w:pgMar w:top="1240" w:right="320" w:bottom="280" w:left="1100" w:header="884" w:footer="991"/>
          <w:pgNumType w:start="23"/>
          <w:cols w:space="708"/>
        </w:sectPr>
      </w:pPr>
    </w:p>
    <w:p>
      <w:pPr>
        <w:pStyle w:val="BodyText"/>
        <w:spacing w:before="3"/>
        <w:rPr>
          <w:sz w:val="12"/>
        </w:rPr>
      </w:pPr>
    </w:p>
    <w:p>
      <w:pPr>
        <w:pStyle w:val="ListParagraph"/>
        <w:numPr>
          <w:ilvl w:val="0"/>
          <w:numId w:val="36"/>
        </w:numPr>
        <w:tabs>
          <w:tab w:val="left" w:pos="1316"/>
        </w:tabs>
        <w:spacing w:before="66" w:after="0" w:line="343" w:lineRule="auto"/>
        <w:ind w:left="475" w:right="875" w:firstLine="480"/>
        <w:jc w:val="right"/>
        <w:rPr>
          <w:sz w:val="24"/>
        </w:rPr>
      </w:pPr>
      <w:r>
        <w:rPr>
          <w:spacing w:val="-6"/>
          <w:sz w:val="24"/>
        </w:rPr>
        <w:t>投标文件的大写金额和小写金额不一致的，以大写金额为准；总价金额与按单价</w:t>
      </w:r>
      <w:r>
        <w:rPr>
          <w:spacing w:val="-2"/>
          <w:sz w:val="24"/>
        </w:rPr>
        <w:t>汇总金额不一致的，以单价金额计算结果为准；单价金额小数点有明显错位的，应以总</w:t>
      </w:r>
      <w:r>
        <w:rPr>
          <w:spacing w:val="-2"/>
          <w:sz w:val="24"/>
        </w:rPr>
        <w:t>价为准，并修改单价；对不同文字文本投标文件的解释发生异议的，以中文文本为准。</w:t>
      </w:r>
      <w:r>
        <w:rPr>
          <w:spacing w:val="-2"/>
          <w:sz w:val="24"/>
        </w:rPr>
        <w:t>如果投标人不接受按上述方法对投标文件中的算术错误进行更正，其投标将被拒绝</w:t>
      </w:r>
    </w:p>
    <w:p>
      <w:pPr>
        <w:pStyle w:val="BodyText"/>
        <w:spacing w:before="1"/>
        <w:ind w:left="475"/>
      </w:pPr>
      <w:r>
        <w:rPr>
          <w:spacing w:val="-1"/>
        </w:rPr>
        <w:t>并没收其投标保证金。</w:t>
      </w:r>
    </w:p>
    <w:p>
      <w:pPr>
        <w:pStyle w:val="ListParagraph"/>
        <w:numPr>
          <w:ilvl w:val="1"/>
          <w:numId w:val="41"/>
        </w:numPr>
        <w:tabs>
          <w:tab w:val="left" w:pos="1557"/>
        </w:tabs>
        <w:spacing w:before="149" w:after="0" w:line="240" w:lineRule="auto"/>
        <w:ind w:left="1557" w:right="0" w:hanging="600"/>
        <w:jc w:val="left"/>
        <w:rPr>
          <w:sz w:val="24"/>
        </w:rPr>
      </w:pPr>
      <w:r>
        <w:rPr>
          <w:spacing w:val="-1"/>
          <w:sz w:val="24"/>
        </w:rPr>
        <w:t>资格性检查和符合性检查</w:t>
      </w:r>
    </w:p>
    <w:p>
      <w:pPr>
        <w:pStyle w:val="ListParagraph"/>
        <w:numPr>
          <w:ilvl w:val="2"/>
          <w:numId w:val="41"/>
        </w:numPr>
        <w:tabs>
          <w:tab w:val="left" w:pos="1797"/>
        </w:tabs>
        <w:spacing w:before="152" w:after="0" w:line="360" w:lineRule="auto"/>
        <w:ind w:left="475" w:right="755" w:firstLine="482"/>
        <w:jc w:val="left"/>
        <w:rPr>
          <w:sz w:val="24"/>
        </w:rPr>
      </w:pPr>
      <w:r>
        <w:rPr>
          <w:spacing w:val="-17"/>
          <w:sz w:val="24"/>
        </w:rPr>
        <w:t>资格性检查。依据法律法规和招标文件的规定，在对投标文件详细评估之前，</w:t>
      </w:r>
      <w:r>
        <w:rPr>
          <w:spacing w:val="3"/>
          <w:sz w:val="24"/>
        </w:rPr>
        <w:t>评标委员会将依据投标人提交的投标文件按投标人须知前附表第</w:t>
      </w:r>
      <w:r>
        <w:rPr>
          <w:sz w:val="24"/>
        </w:rPr>
        <w:t>2</w:t>
      </w:r>
      <w:r>
        <w:rPr>
          <w:spacing w:val="2"/>
          <w:sz w:val="24"/>
        </w:rPr>
        <w:t>项所述的资格标准对投标人进行资格审查, 以确定其是否具备投标资格。如果投标人不具备投标资格，不满足招标文件所规定的资格标准或提供资格证明文件不全的, 其投标将被拒绝。</w:t>
      </w:r>
    </w:p>
    <w:p>
      <w:pPr>
        <w:pStyle w:val="ListParagraph"/>
        <w:numPr>
          <w:ilvl w:val="2"/>
          <w:numId w:val="41"/>
        </w:numPr>
        <w:tabs>
          <w:tab w:val="left" w:pos="1797"/>
        </w:tabs>
        <w:spacing w:before="0" w:after="0" w:line="360" w:lineRule="auto"/>
        <w:ind w:left="475" w:right="754" w:firstLine="482"/>
        <w:jc w:val="left"/>
        <w:rPr>
          <w:sz w:val="24"/>
        </w:rPr>
      </w:pPr>
      <w:r>
        <w:rPr>
          <w:spacing w:val="-2"/>
          <w:sz w:val="24"/>
        </w:rPr>
        <w:t>符合性检查。依据招标文件的规定，评标委员会还将从投标文件的有效性、</w:t>
      </w:r>
      <w:r>
        <w:rPr>
          <w:spacing w:val="-2"/>
          <w:sz w:val="24"/>
        </w:rPr>
        <w:t>完整性和对招标文件的响应程度进行审查，以确定是否符合对招标文件的实质性要求做</w:t>
      </w:r>
      <w:r>
        <w:rPr>
          <w:spacing w:val="-2"/>
          <w:sz w:val="24"/>
        </w:rPr>
        <w:t>出响应。实质性偏离是指：（1）实质性影响合同的范围、质量和履行；（2）实质性违</w:t>
      </w:r>
      <w:r>
        <w:rPr>
          <w:spacing w:val="-4"/>
          <w:sz w:val="24"/>
        </w:rPr>
        <w:t>背招标文件，限制了采购人的权利和中标人合同项下的义务；</w:t>
      </w:r>
      <w:r>
        <w:rPr>
          <w:spacing w:val="-2"/>
          <w:sz w:val="24"/>
        </w:rPr>
        <w:t>（3）不公正地影响了其它</w:t>
      </w:r>
      <w:r>
        <w:rPr>
          <w:spacing w:val="-2"/>
          <w:sz w:val="24"/>
        </w:rPr>
        <w:t>做出实质性响应的投标人的竞争地位。对没有实质性响应的投标文件将不进行评估，其</w:t>
      </w:r>
      <w:r>
        <w:rPr>
          <w:spacing w:val="-4"/>
          <w:sz w:val="24"/>
        </w:rPr>
        <w:t>投标将被拒绝。凡有下列情况之一者，投标文件也将被视为未实质性响应招标文件要求：</w:t>
      </w:r>
    </w:p>
    <w:p>
      <w:pPr>
        <w:pStyle w:val="BodyText"/>
        <w:spacing w:line="360" w:lineRule="auto"/>
        <w:ind w:left="957" w:right="755"/>
      </w:pPr>
      <w:r>
        <w:rPr>
          <w:spacing w:val="-2"/>
        </w:rPr>
        <w:t>(1)投标文件未按照本须知第13条投标文件的格式及第14</w:t>
      </w:r>
      <w:r>
        <w:rPr>
          <w:spacing w:val="-17"/>
        </w:rPr>
        <w:t>条的规定进行密封、标记的；</w:t>
      </w:r>
      <w:r>
        <w:rPr>
          <w:spacing w:val="-2"/>
        </w:rPr>
        <w:t xml:space="preserve"> (2)</w:t>
      </w:r>
      <w:r>
        <w:rPr>
          <w:spacing w:val="-6"/>
        </w:rPr>
        <w:t>未按规定由投标人的法定代表人或其授权代表签字，或未加盖投标人公章的；或</w:t>
      </w:r>
    </w:p>
    <w:p>
      <w:pPr>
        <w:pStyle w:val="BodyText"/>
        <w:spacing w:line="305" w:lineRule="exact"/>
        <w:ind w:left="475"/>
      </w:pPr>
      <w:r>
        <w:rPr>
          <w:spacing w:val="-1"/>
        </w:rPr>
        <w:t>签字人未经法定代表人有效授权委托的；</w:t>
      </w:r>
    </w:p>
    <w:p>
      <w:pPr>
        <w:pStyle w:val="ListParagraph"/>
        <w:numPr>
          <w:ilvl w:val="0"/>
          <w:numId w:val="36"/>
        </w:numPr>
        <w:tabs>
          <w:tab w:val="left" w:pos="1318"/>
        </w:tabs>
        <w:spacing w:before="140" w:after="0" w:line="240" w:lineRule="auto"/>
        <w:ind w:left="1318" w:right="0" w:hanging="361"/>
        <w:jc w:val="left"/>
        <w:rPr>
          <w:sz w:val="24"/>
        </w:rPr>
      </w:pPr>
      <w:r>
        <w:rPr>
          <w:spacing w:val="-1"/>
          <w:sz w:val="24"/>
        </w:rPr>
        <w:t>未按规定提交投标保证金的；</w:t>
      </w:r>
    </w:p>
    <w:p>
      <w:pPr>
        <w:pStyle w:val="ListParagraph"/>
        <w:numPr>
          <w:ilvl w:val="0"/>
          <w:numId w:val="36"/>
        </w:numPr>
        <w:tabs>
          <w:tab w:val="left" w:pos="1318"/>
        </w:tabs>
        <w:spacing w:before="153" w:after="0" w:line="240" w:lineRule="auto"/>
        <w:ind w:left="1318" w:right="0" w:hanging="361"/>
        <w:jc w:val="left"/>
        <w:rPr>
          <w:sz w:val="24"/>
        </w:rPr>
      </w:pPr>
      <w:r>
        <w:rPr>
          <w:spacing w:val="-1"/>
          <w:sz w:val="24"/>
        </w:rPr>
        <w:t>投标有效期不满足招标文件要求的；</w:t>
      </w:r>
    </w:p>
    <w:p>
      <w:pPr>
        <w:pStyle w:val="ListParagraph"/>
        <w:numPr>
          <w:ilvl w:val="0"/>
          <w:numId w:val="36"/>
        </w:numPr>
        <w:tabs>
          <w:tab w:val="left" w:pos="1318"/>
        </w:tabs>
        <w:spacing w:before="152" w:after="0" w:line="360" w:lineRule="auto"/>
        <w:ind w:left="957" w:right="3889" w:firstLine="0"/>
        <w:jc w:val="left"/>
        <w:rPr>
          <w:sz w:val="24"/>
        </w:rPr>
      </w:pPr>
      <w:r>
        <w:rPr>
          <w:spacing w:val="-2"/>
          <w:sz w:val="24"/>
        </w:rPr>
        <w:t>投标内容与招标内容及要求有重大偏离或保留的；</w:t>
      </w:r>
      <w:r>
        <w:rPr>
          <w:spacing w:val="-2"/>
          <w:sz w:val="24"/>
        </w:rPr>
        <w:t xml:space="preserve"> (6)投标人提交的是可选择的报价；</w:t>
      </w:r>
    </w:p>
    <w:p>
      <w:pPr>
        <w:pStyle w:val="BodyText"/>
        <w:spacing w:line="360" w:lineRule="auto"/>
        <w:ind w:left="957" w:right="4859"/>
      </w:pPr>
      <w:r>
        <w:rPr>
          <w:spacing w:val="-2"/>
        </w:rPr>
        <w:t>(7)投标人未按规定对投标进行分项报价；</w:t>
      </w:r>
      <w:r>
        <w:rPr>
          <w:spacing w:val="-2"/>
        </w:rPr>
        <w:t xml:space="preserve"> (8)一个投标人不止投一个标；</w:t>
      </w:r>
    </w:p>
    <w:p>
      <w:pPr>
        <w:pStyle w:val="BodyText"/>
        <w:spacing w:line="360" w:lineRule="auto"/>
        <w:ind w:left="957" w:right="4859"/>
      </w:pPr>
      <w:r>
        <w:rPr>
          <w:spacing w:val="-2"/>
        </w:rPr>
        <w:t>(9)投标文件组成不符合招标文件要求的；</w:t>
      </w:r>
      <w:r>
        <w:rPr>
          <w:spacing w:val="-2"/>
        </w:rPr>
        <w:t xml:space="preserve"> (10)投标文件中提供虚假或失实资料的；</w:t>
      </w:r>
    </w:p>
    <w:p>
      <w:pPr>
        <w:pStyle w:val="BodyText"/>
        <w:spacing w:line="305" w:lineRule="exact"/>
        <w:ind w:left="957"/>
      </w:pPr>
      <w:r>
        <w:t>(11)</w:t>
      </w:r>
      <w:r>
        <w:rPr>
          <w:spacing w:val="-1"/>
        </w:rPr>
        <w:t>不符合招标文件中规定的其它实质性条款。</w:t>
      </w:r>
    </w:p>
    <w:p>
      <w:pPr>
        <w:pStyle w:val="BodyText"/>
        <w:spacing w:before="148"/>
        <w:ind w:left="957"/>
      </w:pPr>
      <w:r>
        <w:rPr>
          <w:spacing w:val="-1"/>
        </w:rPr>
        <w:t>评标委员会决定投标的响应性只根据投标文件本身的内容，而不寻求其他的外部证</w:t>
      </w:r>
    </w:p>
    <w:p>
      <w:pPr>
        <w:pStyle w:val="BodyText"/>
        <w:spacing w:before="152"/>
        <w:ind w:left="475"/>
      </w:pPr>
      <w:r>
        <w:rPr>
          <w:spacing w:val="-5"/>
        </w:rPr>
        <w:t>据。</w:t>
      </w:r>
    </w:p>
    <w:p>
      <w:pPr>
        <w:spacing w:after="0"/>
        <w:sectPr>
          <w:headerReference w:type="default" r:id="rId57"/>
          <w:footerReference w:type="default" r:id="rId58"/>
          <w:pgSz w:w="11910" w:h="16840"/>
          <w:pgMar w:top="1240" w:right="320" w:bottom="1180" w:left="1100" w:header="884" w:footer="991"/>
          <w:pgNumType w:start="24"/>
          <w:cols w:space="708"/>
        </w:sectPr>
      </w:pPr>
    </w:p>
    <w:p>
      <w:pPr>
        <w:pStyle w:val="BodyText"/>
        <w:spacing w:before="7"/>
        <w:rPr>
          <w:sz w:val="9"/>
        </w:rPr>
      </w:pPr>
    </w:p>
    <w:p>
      <w:pPr>
        <w:pStyle w:val="Heading4"/>
        <w:numPr>
          <w:ilvl w:val="0"/>
          <w:numId w:val="41"/>
        </w:numPr>
        <w:tabs>
          <w:tab w:val="left" w:pos="899"/>
        </w:tabs>
        <w:spacing w:before="0" w:after="0" w:line="484" w:lineRule="exact"/>
        <w:ind w:left="898" w:right="0" w:hanging="424"/>
        <w:jc w:val="left"/>
        <w:rPr>
          <w:sz w:val="26"/>
        </w:rPr>
      </w:pPr>
      <w:r>
        <w:rPr>
          <w:spacing w:val="-2"/>
        </w:rPr>
        <w:t>投标文件的澄清</w:t>
      </w:r>
    </w:p>
    <w:p>
      <w:pPr>
        <w:pStyle w:val="ListParagraph"/>
        <w:numPr>
          <w:ilvl w:val="1"/>
          <w:numId w:val="41"/>
        </w:numPr>
        <w:tabs>
          <w:tab w:val="left" w:pos="1555"/>
        </w:tabs>
        <w:spacing w:before="57" w:after="0" w:line="343" w:lineRule="auto"/>
        <w:ind w:left="475" w:right="875" w:firstLine="480"/>
        <w:jc w:val="both"/>
        <w:rPr>
          <w:sz w:val="24"/>
        </w:rPr>
      </w:pPr>
      <w:r>
        <w:rPr>
          <w:spacing w:val="-11"/>
          <w:sz w:val="24"/>
        </w:rPr>
        <w:t>对投标文件中含义不明确、同类问题表述不一致或者有明显文字和计算错误的</w:t>
      </w:r>
      <w:r>
        <w:rPr>
          <w:spacing w:val="-2"/>
          <w:sz w:val="24"/>
        </w:rPr>
        <w:t>内容，评标委员会可以书面形式要求投标人做出必要的澄清、说明或者纠正。投标人的</w:t>
      </w:r>
      <w:r>
        <w:rPr>
          <w:spacing w:val="-2"/>
          <w:sz w:val="24"/>
        </w:rPr>
        <w:t>澄清、说明或者纠正应当在评标委员会规定的时间内以书面形式做出，由其法定代表人</w:t>
      </w:r>
      <w:r>
        <w:rPr>
          <w:spacing w:val="-2"/>
          <w:sz w:val="24"/>
        </w:rPr>
        <w:t>或者授权代表签字，并不得超出投标文件的范围或者改变投标文件的实质性内容。</w:t>
      </w:r>
    </w:p>
    <w:p>
      <w:pPr>
        <w:pStyle w:val="Heading4"/>
        <w:numPr>
          <w:ilvl w:val="0"/>
          <w:numId w:val="41"/>
        </w:numPr>
        <w:tabs>
          <w:tab w:val="left" w:pos="899"/>
        </w:tabs>
        <w:spacing w:before="0" w:after="0" w:line="384" w:lineRule="exact"/>
        <w:ind w:left="898" w:right="0" w:hanging="424"/>
        <w:jc w:val="left"/>
        <w:rPr>
          <w:sz w:val="26"/>
        </w:rPr>
      </w:pPr>
      <w:r>
        <w:rPr>
          <w:spacing w:val="-2"/>
        </w:rPr>
        <w:t>比较与评价</w:t>
      </w:r>
    </w:p>
    <w:p>
      <w:pPr>
        <w:pStyle w:val="ListParagraph"/>
        <w:numPr>
          <w:ilvl w:val="1"/>
          <w:numId w:val="41"/>
        </w:numPr>
        <w:tabs>
          <w:tab w:val="left" w:pos="1436"/>
        </w:tabs>
        <w:spacing w:before="58" w:after="0" w:line="343" w:lineRule="auto"/>
        <w:ind w:left="475" w:right="874" w:firstLine="480"/>
        <w:jc w:val="left"/>
        <w:rPr>
          <w:sz w:val="22"/>
        </w:rPr>
      </w:pPr>
      <w:r>
        <w:rPr>
          <w:spacing w:val="-2"/>
          <w:sz w:val="24"/>
        </w:rPr>
        <w:t>评标委员会将按投标人须知前附表第6</w:t>
      </w:r>
      <w:r>
        <w:rPr>
          <w:spacing w:val="-12"/>
          <w:sz w:val="24"/>
        </w:rPr>
        <w:t>项所述评标方法与标准，对资格性检查和</w:t>
      </w:r>
      <w:r>
        <w:rPr>
          <w:spacing w:val="-2"/>
          <w:sz w:val="24"/>
        </w:rPr>
        <w:t>符合性检查合格的投标文件进行商务和技术评估，综合比较与评价。</w:t>
      </w:r>
    </w:p>
    <w:p>
      <w:pPr>
        <w:pStyle w:val="ListParagraph"/>
        <w:numPr>
          <w:ilvl w:val="1"/>
          <w:numId w:val="41"/>
        </w:numPr>
        <w:tabs>
          <w:tab w:val="left" w:pos="1559"/>
        </w:tabs>
        <w:spacing w:before="0" w:after="0" w:line="362" w:lineRule="exact"/>
        <w:ind w:left="1558" w:right="0" w:hanging="604"/>
        <w:jc w:val="left"/>
        <w:rPr>
          <w:rFonts w:ascii="Microsoft JhengHei" w:eastAsia="Microsoft JhengHei"/>
          <w:b/>
          <w:sz w:val="24"/>
        </w:rPr>
      </w:pPr>
      <w:r>
        <w:rPr>
          <w:rFonts w:ascii="Microsoft JhengHei" w:eastAsia="Microsoft JhengHei"/>
          <w:b/>
          <w:sz w:val="24"/>
        </w:rPr>
        <w:t>对漏（缺）报项的处理：招标文件中要求列入报价的费用（含配置、服务</w:t>
      </w:r>
      <w:r>
        <w:rPr>
          <w:rFonts w:ascii="Microsoft JhengHei" w:eastAsia="Microsoft JhengHei"/>
          <w:b/>
          <w:spacing w:val="-125"/>
          <w:sz w:val="24"/>
        </w:rPr>
        <w:t>）</w:t>
      </w:r>
      <w:r>
        <w:rPr>
          <w:rFonts w:ascii="Microsoft JhengHei" w:eastAsia="Microsoft JhengHei"/>
          <w:b/>
          <w:spacing w:val="-5"/>
          <w:sz w:val="24"/>
        </w:rPr>
        <w:t>，</w:t>
      </w:r>
    </w:p>
    <w:p>
      <w:pPr>
        <w:spacing w:before="0"/>
        <w:ind w:left="475" w:right="875" w:firstLine="0"/>
        <w:jc w:val="left"/>
        <w:rPr>
          <w:rFonts w:ascii="Microsoft JhengHei" w:eastAsia="Microsoft JhengHei"/>
          <w:b/>
          <w:sz w:val="24"/>
        </w:rPr>
      </w:pPr>
      <w:r>
        <w:rPr>
          <w:rFonts w:ascii="Microsoft JhengHei" w:eastAsia="Microsoft JhengHei"/>
          <w:b/>
          <w:spacing w:val="-2"/>
          <w:sz w:val="24"/>
        </w:rPr>
        <w:t>漏（缺）报的视同已含在投标总价中。但在评标时取有效投标人该项最高报价加入评标</w:t>
      </w:r>
      <w:r>
        <w:rPr>
          <w:rFonts w:ascii="Microsoft JhengHei" w:eastAsia="Microsoft JhengHei"/>
          <w:b/>
          <w:spacing w:val="-2"/>
          <w:sz w:val="24"/>
        </w:rPr>
        <w:t>价进行评标。对多报项及赠送项的价格评标时不予核减，全部进入评标价评议。</w:t>
      </w:r>
    </w:p>
    <w:p>
      <w:pPr>
        <w:pStyle w:val="ListParagraph"/>
        <w:numPr>
          <w:ilvl w:val="1"/>
          <w:numId w:val="41"/>
        </w:numPr>
        <w:tabs>
          <w:tab w:val="left" w:pos="1555"/>
        </w:tabs>
        <w:spacing w:before="76" w:after="0" w:line="343" w:lineRule="auto"/>
        <w:ind w:left="475" w:right="755" w:firstLine="480"/>
        <w:jc w:val="left"/>
        <w:rPr>
          <w:sz w:val="24"/>
        </w:rPr>
      </w:pPr>
      <w:r>
        <w:rPr>
          <w:spacing w:val="-2"/>
          <w:sz w:val="24"/>
        </w:rPr>
        <w:t>若投标人的报价明显低于其他报价，使得其投标报价可能低于其个别成本的，</w:t>
      </w:r>
      <w:r>
        <w:rPr>
          <w:spacing w:val="-2"/>
          <w:sz w:val="24"/>
        </w:rPr>
        <w:t>有可能影响商品及服务质量或不能诚信履约的，投标人应按评标委员会要求做出书面说</w:t>
      </w:r>
      <w:r>
        <w:rPr>
          <w:spacing w:val="-9"/>
          <w:sz w:val="24"/>
        </w:rPr>
        <w:t>明并提供相关证明材料，不能合理说明或不能提供相关证明材料的，可作无效投标处理。</w:t>
      </w:r>
    </w:p>
    <w:p>
      <w:pPr>
        <w:pStyle w:val="ListParagraph"/>
        <w:numPr>
          <w:ilvl w:val="1"/>
          <w:numId w:val="41"/>
        </w:numPr>
        <w:tabs>
          <w:tab w:val="left" w:pos="1555"/>
        </w:tabs>
        <w:spacing w:before="1" w:after="0" w:line="343" w:lineRule="auto"/>
        <w:ind w:left="475" w:right="874" w:firstLine="480"/>
        <w:jc w:val="left"/>
        <w:rPr>
          <w:sz w:val="24"/>
        </w:rPr>
      </w:pPr>
      <w:r>
        <w:rPr>
          <w:spacing w:val="-6"/>
          <w:sz w:val="24"/>
        </w:rPr>
        <w:t>评标委员会在评标过程中发现投标人存在下列情形之一的，可认定其有串通投</w:t>
      </w:r>
      <w:r>
        <w:rPr>
          <w:spacing w:val="-2"/>
          <w:sz w:val="24"/>
        </w:rPr>
        <w:t>标行为，并做出其投标无效的决定：</w:t>
      </w:r>
    </w:p>
    <w:p>
      <w:pPr>
        <w:pStyle w:val="BodyText"/>
        <w:ind w:left="955"/>
      </w:pPr>
      <w:r>
        <w:rPr>
          <w:spacing w:val="-1"/>
        </w:rPr>
        <w:t>⑴不同投标人的投标文件错、漏之处一致或雷同，且不能合理解释的；</w:t>
      </w:r>
    </w:p>
    <w:p>
      <w:pPr>
        <w:pStyle w:val="BodyText"/>
        <w:spacing w:before="133"/>
        <w:ind w:left="955"/>
      </w:pPr>
      <w:r>
        <w:rPr>
          <w:spacing w:val="-1"/>
        </w:rPr>
        <w:t>⑵不同的投标人的法定代表人、委托代理人等由同一个单位缴纳社会保险的；</w:t>
      </w:r>
    </w:p>
    <w:p>
      <w:pPr>
        <w:pStyle w:val="BodyText"/>
        <w:spacing w:before="132" w:line="343" w:lineRule="auto"/>
        <w:ind w:left="475" w:right="875" w:firstLine="480"/>
        <w:jc w:val="both"/>
      </w:pPr>
      <w:r>
        <w:rPr>
          <w:spacing w:val="-2"/>
        </w:rPr>
        <w:t>⑶由同一人或分别由几个有利害关系人携带两个以上（含两个）投标人的企业资料</w:t>
      </w:r>
      <w:r>
        <w:rPr>
          <w:spacing w:val="-2"/>
        </w:rPr>
        <w:t>参与资格审查、领取招标资料，或代表两个以上（含两个）投标人参加招标答疑会、交</w:t>
      </w:r>
      <w:r>
        <w:rPr>
          <w:spacing w:val="-2"/>
        </w:rPr>
        <w:t>纳或退还投标保证金、开标的；</w:t>
      </w:r>
    </w:p>
    <w:p>
      <w:pPr>
        <w:pStyle w:val="BodyText"/>
        <w:spacing w:before="1"/>
        <w:ind w:left="955"/>
      </w:pPr>
      <w:r>
        <w:rPr>
          <w:spacing w:val="-1"/>
        </w:rPr>
        <w:t>⑷有关法律、法规或规章规定的其他串通投标行为。</w:t>
      </w:r>
    </w:p>
    <w:p>
      <w:pPr>
        <w:pStyle w:val="ListParagraph"/>
        <w:numPr>
          <w:ilvl w:val="1"/>
          <w:numId w:val="41"/>
        </w:numPr>
        <w:tabs>
          <w:tab w:val="left" w:pos="1555"/>
        </w:tabs>
        <w:spacing w:before="132" w:after="0" w:line="343" w:lineRule="auto"/>
        <w:ind w:left="475" w:right="875" w:firstLine="480"/>
        <w:jc w:val="left"/>
        <w:rPr>
          <w:sz w:val="24"/>
        </w:rPr>
      </w:pPr>
      <w:r>
        <w:rPr>
          <w:spacing w:val="-7"/>
          <w:sz w:val="24"/>
        </w:rPr>
        <w:t>评标委员会将按比较与评价最优在先原则，排列评价顺序，根据在投标人须知</w:t>
      </w:r>
      <w:r>
        <w:rPr>
          <w:spacing w:val="-2"/>
          <w:sz w:val="24"/>
        </w:rPr>
        <w:t>前附表中确定的中标候选人数量推荐出中标候选人。</w:t>
      </w:r>
    </w:p>
    <w:p>
      <w:pPr>
        <w:pStyle w:val="Heading3"/>
        <w:spacing w:line="371" w:lineRule="exact"/>
      </w:pPr>
      <w:r>
        <w:rPr>
          <w:spacing w:val="-2"/>
        </w:rPr>
        <w:t>六、定标与签订合同</w:t>
      </w:r>
    </w:p>
    <w:p>
      <w:pPr>
        <w:pStyle w:val="Heading4"/>
        <w:numPr>
          <w:ilvl w:val="0"/>
          <w:numId w:val="41"/>
        </w:numPr>
        <w:tabs>
          <w:tab w:val="left" w:pos="899"/>
        </w:tabs>
        <w:spacing w:before="0" w:after="0" w:line="412" w:lineRule="exact"/>
        <w:ind w:left="898" w:right="0" w:hanging="424"/>
        <w:jc w:val="left"/>
        <w:rPr>
          <w:sz w:val="26"/>
        </w:rPr>
      </w:pPr>
      <w:r>
        <w:rPr>
          <w:spacing w:val="-3"/>
        </w:rPr>
        <w:t>定标准则</w:t>
      </w:r>
    </w:p>
    <w:p>
      <w:pPr>
        <w:pStyle w:val="ListParagraph"/>
        <w:numPr>
          <w:ilvl w:val="1"/>
          <w:numId w:val="41"/>
        </w:numPr>
        <w:tabs>
          <w:tab w:val="left" w:pos="1555"/>
        </w:tabs>
        <w:spacing w:before="57" w:after="0" w:line="240" w:lineRule="auto"/>
        <w:ind w:left="1555" w:right="0" w:hanging="600"/>
        <w:jc w:val="left"/>
        <w:rPr>
          <w:sz w:val="24"/>
        </w:rPr>
      </w:pPr>
      <w:r>
        <w:rPr>
          <w:spacing w:val="-1"/>
          <w:sz w:val="24"/>
        </w:rPr>
        <w:t>最低投标价不作为中标的保证。</w:t>
      </w:r>
    </w:p>
    <w:p>
      <w:pPr>
        <w:pStyle w:val="ListParagraph"/>
        <w:numPr>
          <w:ilvl w:val="1"/>
          <w:numId w:val="41"/>
        </w:numPr>
        <w:tabs>
          <w:tab w:val="left" w:pos="1555"/>
        </w:tabs>
        <w:spacing w:before="133" w:after="0" w:line="343" w:lineRule="auto"/>
        <w:ind w:left="475" w:right="874" w:firstLine="480"/>
        <w:jc w:val="left"/>
        <w:rPr>
          <w:sz w:val="24"/>
        </w:rPr>
      </w:pPr>
      <w:r>
        <w:rPr>
          <w:spacing w:val="-4"/>
          <w:sz w:val="24"/>
        </w:rPr>
        <w:t>投标人的投标文件符合招标文件要求，按招标文件确定评标标准、方法，经评</w:t>
      </w:r>
      <w:r>
        <w:rPr>
          <w:spacing w:val="-2"/>
          <w:sz w:val="24"/>
        </w:rPr>
        <w:t>委评审并推荐中标候选人。</w:t>
      </w:r>
    </w:p>
    <w:p>
      <w:pPr>
        <w:pStyle w:val="Heading4"/>
        <w:numPr>
          <w:ilvl w:val="0"/>
          <w:numId w:val="41"/>
        </w:numPr>
        <w:tabs>
          <w:tab w:val="left" w:pos="1039"/>
        </w:tabs>
        <w:spacing w:before="0" w:after="0" w:line="383" w:lineRule="exact"/>
        <w:ind w:left="1038" w:right="0" w:hanging="564"/>
        <w:jc w:val="left"/>
      </w:pPr>
      <w:r>
        <w:rPr>
          <w:spacing w:val="-3"/>
        </w:rPr>
        <w:t>中标通知</w:t>
      </w:r>
    </w:p>
    <w:p>
      <w:pPr>
        <w:pStyle w:val="ListParagraph"/>
        <w:numPr>
          <w:ilvl w:val="1"/>
          <w:numId w:val="41"/>
        </w:numPr>
        <w:tabs>
          <w:tab w:val="left" w:pos="1555"/>
        </w:tabs>
        <w:spacing w:before="9" w:after="0" w:line="297" w:lineRule="auto"/>
        <w:ind w:left="475" w:right="755" w:firstLine="480"/>
        <w:jc w:val="left"/>
        <w:rPr>
          <w:sz w:val="24"/>
        </w:rPr>
      </w:pPr>
      <w:r>
        <w:rPr>
          <w:spacing w:val="-12"/>
          <w:sz w:val="24"/>
        </w:rPr>
        <w:t>评标结束后，评标结果经采购人确认后，本招标代理公司将在刊登本采购项目</w:t>
      </w:r>
      <w:r>
        <w:rPr>
          <w:spacing w:val="-8"/>
          <w:sz w:val="24"/>
        </w:rPr>
        <w:t>招标公告的媒介上对中标结果进行公示，同时本招标代理公司向中标人发出中标通知书。</w:t>
      </w:r>
    </w:p>
    <w:p>
      <w:pPr>
        <w:spacing w:after="0" w:line="297" w:lineRule="auto"/>
        <w:jc w:val="left"/>
        <w:rPr>
          <w:sz w:val="24"/>
        </w:rPr>
        <w:sectPr>
          <w:headerReference w:type="default" r:id="rId59"/>
          <w:footerReference w:type="default" r:id="rId60"/>
          <w:pgSz w:w="11910" w:h="16840"/>
          <w:pgMar w:top="1240" w:right="320" w:bottom="1180" w:left="1100" w:header="884" w:footer="991"/>
          <w:pgNumType w:start="25"/>
          <w:cols w:space="708"/>
        </w:sectPr>
      </w:pPr>
    </w:p>
    <w:p>
      <w:pPr>
        <w:pStyle w:val="BodyText"/>
        <w:spacing w:before="6"/>
        <w:rPr>
          <w:sz w:val="8"/>
        </w:rPr>
      </w:pPr>
    </w:p>
    <w:p>
      <w:pPr>
        <w:pStyle w:val="BodyText"/>
        <w:spacing w:before="67" w:line="297" w:lineRule="auto"/>
        <w:ind w:left="475" w:right="875"/>
        <w:jc w:val="both"/>
      </w:pPr>
      <w:r>
        <w:rPr>
          <w:spacing w:val="-2"/>
        </w:rPr>
        <w:t>中标通知书对采购人和中标人具有同等法律效力。中标通知书发出后，采购人改变中标</w:t>
      </w:r>
      <w:r>
        <w:rPr>
          <w:spacing w:val="-2"/>
        </w:rPr>
        <w:t>结果，或者中标人放弃中标，应按相关法律、规章、规范性文件的要求承担相应的法律</w:t>
      </w:r>
      <w:r>
        <w:rPr>
          <w:spacing w:val="-13"/>
        </w:rPr>
        <w:t>责任。投标人对中标公告有异议的，应当在知道或应当知道其权益受到损害之日起</w:t>
      </w:r>
      <w:r>
        <w:rPr>
          <w:spacing w:val="-2"/>
        </w:rPr>
        <w:t>7个工</w:t>
      </w:r>
      <w:r>
        <w:rPr>
          <w:spacing w:val="-2"/>
        </w:rPr>
        <w:t>作日内，以书面形式向采购人或本招标代理公司提出质疑。</w:t>
      </w:r>
    </w:p>
    <w:p>
      <w:pPr>
        <w:pStyle w:val="ListParagraph"/>
        <w:numPr>
          <w:ilvl w:val="1"/>
          <w:numId w:val="51"/>
        </w:numPr>
        <w:tabs>
          <w:tab w:val="left" w:pos="1555"/>
        </w:tabs>
        <w:spacing w:before="0" w:after="0" w:line="297" w:lineRule="auto"/>
        <w:ind w:left="475" w:right="875" w:firstLine="480"/>
        <w:jc w:val="both"/>
        <w:rPr>
          <w:sz w:val="24"/>
        </w:rPr>
      </w:pPr>
      <w:r>
        <w:rPr>
          <w:spacing w:val="-2"/>
          <w:sz w:val="24"/>
        </w:rPr>
        <w:t>采购结果公告发出后10</w:t>
      </w:r>
      <w:r>
        <w:rPr>
          <w:spacing w:val="-13"/>
          <w:sz w:val="24"/>
        </w:rPr>
        <w:t>个工作日内，未中标的投标人应自行前往招标代理公司</w:t>
      </w:r>
      <w:r>
        <w:rPr>
          <w:spacing w:val="-17"/>
          <w:sz w:val="24"/>
        </w:rPr>
        <w:t>领取《落标通知书》，逾期未领取者将被视为已领取《落标通知书》，招标公司将不再补</w:t>
      </w:r>
      <w:r>
        <w:rPr>
          <w:spacing w:val="-16"/>
          <w:sz w:val="24"/>
        </w:rPr>
        <w:t>发《落标通知书》。</w:t>
      </w:r>
    </w:p>
    <w:p>
      <w:pPr>
        <w:pStyle w:val="ListParagraph"/>
        <w:numPr>
          <w:ilvl w:val="1"/>
          <w:numId w:val="51"/>
        </w:numPr>
        <w:tabs>
          <w:tab w:val="left" w:pos="1436"/>
        </w:tabs>
        <w:spacing w:before="0" w:after="0" w:line="297" w:lineRule="auto"/>
        <w:ind w:left="475" w:right="874" w:firstLine="480"/>
        <w:jc w:val="left"/>
        <w:rPr>
          <w:sz w:val="22"/>
        </w:rPr>
      </w:pPr>
      <w:r>
        <w:rPr>
          <w:spacing w:val="-34"/>
          <w:sz w:val="24"/>
        </w:rPr>
        <w:t>《中标通知书》将作为签订合同的依据。《合同》签订后，《中标通知书》成为《合</w:t>
      </w:r>
      <w:r>
        <w:rPr>
          <w:spacing w:val="-2"/>
          <w:sz w:val="24"/>
        </w:rPr>
        <w:t>同》的一部分。</w:t>
      </w:r>
    </w:p>
    <w:p>
      <w:pPr>
        <w:pStyle w:val="ListParagraph"/>
        <w:numPr>
          <w:ilvl w:val="1"/>
          <w:numId w:val="51"/>
        </w:numPr>
        <w:tabs>
          <w:tab w:val="left" w:pos="1436"/>
        </w:tabs>
        <w:spacing w:before="0" w:after="0" w:line="297" w:lineRule="auto"/>
        <w:ind w:left="475" w:right="875" w:firstLine="480"/>
        <w:jc w:val="left"/>
        <w:rPr>
          <w:sz w:val="22"/>
        </w:rPr>
      </w:pPr>
      <w:r>
        <w:rPr>
          <w:spacing w:val="-2"/>
          <w:sz w:val="24"/>
        </w:rPr>
        <w:t>《中标通知书》发出后，投标人按12.6及12.7条规定办理投标保证金的退还手</w:t>
      </w:r>
      <w:r>
        <w:rPr>
          <w:spacing w:val="-6"/>
          <w:sz w:val="24"/>
        </w:rPr>
        <w:t>续。</w:t>
      </w:r>
    </w:p>
    <w:p>
      <w:pPr>
        <w:pStyle w:val="Heading4"/>
        <w:numPr>
          <w:ilvl w:val="0"/>
          <w:numId w:val="51"/>
        </w:numPr>
        <w:tabs>
          <w:tab w:val="left" w:pos="899"/>
        </w:tabs>
        <w:spacing w:before="0" w:after="0" w:line="379" w:lineRule="exact"/>
        <w:ind w:left="898" w:right="0" w:hanging="424"/>
        <w:jc w:val="left"/>
        <w:rPr>
          <w:sz w:val="26"/>
        </w:rPr>
      </w:pPr>
      <w:r>
        <w:rPr>
          <w:spacing w:val="-3"/>
        </w:rPr>
        <w:t>签订合同</w:t>
      </w:r>
    </w:p>
    <w:p>
      <w:pPr>
        <w:pStyle w:val="ListParagraph"/>
        <w:numPr>
          <w:ilvl w:val="1"/>
          <w:numId w:val="51"/>
        </w:numPr>
        <w:tabs>
          <w:tab w:val="left" w:pos="1556"/>
        </w:tabs>
        <w:spacing w:before="0" w:after="0" w:line="297" w:lineRule="auto"/>
        <w:ind w:left="475" w:right="875" w:firstLine="480"/>
        <w:jc w:val="both"/>
        <w:rPr>
          <w:sz w:val="24"/>
        </w:rPr>
      </w:pPr>
      <w:r>
        <w:rPr>
          <w:spacing w:val="-4"/>
          <w:sz w:val="24"/>
        </w:rPr>
        <w:t xml:space="preserve">中标人在《中标通知书》发出之日起 </w:t>
      </w:r>
      <w:r>
        <w:rPr>
          <w:spacing w:val="-2"/>
          <w:sz w:val="24"/>
        </w:rPr>
        <w:t>30</w:t>
      </w:r>
      <w:r>
        <w:rPr>
          <w:spacing w:val="-10"/>
          <w:sz w:val="24"/>
        </w:rPr>
        <w:t xml:space="preserve"> 日内</w:t>
      </w:r>
      <w:r>
        <w:rPr>
          <w:spacing w:val="-2"/>
          <w:sz w:val="24"/>
        </w:rPr>
        <w:t>（</w:t>
      </w:r>
      <w:r>
        <w:rPr>
          <w:spacing w:val="-4"/>
          <w:sz w:val="24"/>
        </w:rPr>
        <w:t xml:space="preserve">中标人应在接到通知之日起 </w:t>
      </w:r>
      <w:r>
        <w:rPr>
          <w:spacing w:val="-2"/>
          <w:sz w:val="24"/>
        </w:rPr>
        <w:t>3</w:t>
      </w:r>
      <w:r>
        <w:rPr>
          <w:spacing w:val="-13"/>
          <w:sz w:val="24"/>
        </w:rPr>
        <w:t>日内领取《中标通知书》</w:t>
      </w:r>
      <w:r>
        <w:rPr>
          <w:spacing w:val="-120"/>
          <w:sz w:val="24"/>
        </w:rPr>
        <w:t>）</w:t>
      </w:r>
      <w:r>
        <w:rPr>
          <w:spacing w:val="-2"/>
          <w:sz w:val="24"/>
        </w:rPr>
        <w:t>，根据招标文件确定的事项和中标人投标文件，参照本招标文</w:t>
      </w:r>
      <w:r>
        <w:rPr>
          <w:spacing w:val="-2"/>
          <w:sz w:val="24"/>
        </w:rPr>
        <w:t>件第四章的《合同》文本与采购人签订合同，双方所签订的合同不得对招标文件和中标</w:t>
      </w:r>
      <w:r>
        <w:rPr>
          <w:spacing w:val="-2"/>
          <w:sz w:val="24"/>
        </w:rPr>
        <w:t>人投标文件作实质性修改。逾期未签订合同，按照有关法律规定承担相应的法律责任；</w:t>
      </w:r>
      <w:r>
        <w:rPr>
          <w:spacing w:val="-2"/>
          <w:sz w:val="24"/>
        </w:rPr>
        <w:t>招标代理机构将没收投标保证金，以抵偿对采购人造成的损失。</w:t>
      </w:r>
    </w:p>
    <w:p>
      <w:pPr>
        <w:pStyle w:val="ListParagraph"/>
        <w:numPr>
          <w:ilvl w:val="1"/>
          <w:numId w:val="51"/>
        </w:numPr>
        <w:tabs>
          <w:tab w:val="left" w:pos="1495"/>
        </w:tabs>
        <w:spacing w:before="0" w:after="0" w:line="297" w:lineRule="auto"/>
        <w:ind w:left="475" w:right="875" w:firstLine="480"/>
        <w:jc w:val="both"/>
        <w:rPr>
          <w:sz w:val="24"/>
        </w:rPr>
      </w:pPr>
      <w:r>
        <w:rPr>
          <w:spacing w:val="-2"/>
          <w:sz w:val="24"/>
        </w:rPr>
        <w:t>招标文件、招标文件的修改文件、中标人的投标文件、补充或修改的文件及澄</w:t>
      </w:r>
      <w:r>
        <w:rPr>
          <w:spacing w:val="-2"/>
          <w:sz w:val="24"/>
        </w:rPr>
        <w:t>清或承诺文件等，均为双方签订《合同》的组成部分，并与《合同》一并作为本招标文</w:t>
      </w:r>
      <w:r>
        <w:rPr>
          <w:spacing w:val="-2"/>
          <w:sz w:val="24"/>
        </w:rPr>
        <w:t>件所列采购项目的互补性法律文件，与《合同》具有同等法律效力。</w:t>
      </w:r>
    </w:p>
    <w:p>
      <w:pPr>
        <w:pStyle w:val="ListParagraph"/>
        <w:numPr>
          <w:ilvl w:val="1"/>
          <w:numId w:val="51"/>
        </w:numPr>
        <w:tabs>
          <w:tab w:val="left" w:pos="1555"/>
        </w:tabs>
        <w:spacing w:before="0" w:after="0" w:line="297" w:lineRule="auto"/>
        <w:ind w:left="475" w:right="875" w:firstLine="540"/>
        <w:jc w:val="both"/>
        <w:rPr>
          <w:sz w:val="24"/>
        </w:rPr>
      </w:pPr>
      <w:r>
        <w:rPr>
          <w:spacing w:val="-10"/>
          <w:sz w:val="24"/>
        </w:rPr>
        <w:t>采购人在合同履行中，需追加与合同标的相同的项目或者服务的，在不改变合</w:t>
      </w:r>
      <w:r>
        <w:rPr>
          <w:spacing w:val="-2"/>
          <w:sz w:val="24"/>
        </w:rPr>
        <w:t>同其他条款的前提下，可与供应商协商签订补充合同，但所有补充合同的采购金额不得</w:t>
      </w:r>
      <w:r>
        <w:rPr>
          <w:spacing w:val="-2"/>
          <w:sz w:val="24"/>
        </w:rPr>
        <w:t>超过原合同采购金额的百分之十。</w:t>
      </w:r>
    </w:p>
    <w:p>
      <w:pPr>
        <w:pStyle w:val="BodyText"/>
        <w:spacing w:line="297" w:lineRule="auto"/>
        <w:ind w:left="475" w:right="874" w:firstLine="420"/>
        <w:jc w:val="both"/>
      </w:pPr>
      <w:r>
        <w:rPr>
          <w:spacing w:val="-2"/>
        </w:rPr>
        <w:t>22.4</w:t>
      </w:r>
      <w:r>
        <w:rPr>
          <w:spacing w:val="-4"/>
        </w:rPr>
        <w:t xml:space="preserve"> 中标人因不可抗力或者自身原因不能履行采购合同的，采购人可以与排位在中</w:t>
      </w:r>
      <w:r>
        <w:rPr>
          <w:spacing w:val="-2"/>
        </w:rPr>
        <w:t>标人之后第一位的中标候选供应商（如果有）签订采购合同，以此类推。</w:t>
      </w:r>
    </w:p>
    <w:p>
      <w:pPr>
        <w:pStyle w:val="Heading4"/>
        <w:numPr>
          <w:ilvl w:val="0"/>
          <w:numId w:val="51"/>
        </w:numPr>
        <w:tabs>
          <w:tab w:val="left" w:pos="899"/>
        </w:tabs>
        <w:spacing w:before="0" w:after="0" w:line="379" w:lineRule="exact"/>
        <w:ind w:left="898" w:right="0" w:hanging="424"/>
        <w:jc w:val="left"/>
        <w:rPr>
          <w:sz w:val="26"/>
        </w:rPr>
      </w:pPr>
      <w:r>
        <w:rPr>
          <w:spacing w:val="-2"/>
        </w:rPr>
        <w:t>招标项目监督部门</w:t>
      </w:r>
    </w:p>
    <w:p>
      <w:pPr>
        <w:pStyle w:val="ListParagraph"/>
        <w:numPr>
          <w:ilvl w:val="1"/>
          <w:numId w:val="51"/>
        </w:numPr>
        <w:tabs>
          <w:tab w:val="left" w:pos="1436"/>
        </w:tabs>
        <w:spacing w:before="0" w:after="0" w:line="306" w:lineRule="exact"/>
        <w:ind w:left="1436" w:right="0" w:hanging="481"/>
        <w:jc w:val="left"/>
        <w:rPr>
          <w:sz w:val="22"/>
        </w:rPr>
      </w:pPr>
      <w:r>
        <w:rPr>
          <w:spacing w:val="-1"/>
          <w:sz w:val="24"/>
        </w:rPr>
        <w:t>招标项目监督部门：福建中医药大学附属第三人民医院监审科。</w:t>
      </w:r>
    </w:p>
    <w:p>
      <w:pPr>
        <w:pStyle w:val="ListParagraph"/>
        <w:numPr>
          <w:ilvl w:val="1"/>
          <w:numId w:val="51"/>
        </w:numPr>
        <w:tabs>
          <w:tab w:val="left" w:pos="1436"/>
        </w:tabs>
        <w:spacing w:before="45" w:after="0" w:line="297" w:lineRule="auto"/>
        <w:ind w:left="475" w:right="875" w:firstLine="480"/>
        <w:jc w:val="left"/>
        <w:rPr>
          <w:sz w:val="22"/>
        </w:rPr>
      </w:pPr>
      <w:r>
        <w:rPr>
          <w:spacing w:val="-10"/>
          <w:sz w:val="24"/>
        </w:rPr>
        <w:t>投标人如对招标活动有异议，可以按照有关规定向投标须知前附表第</w:t>
      </w:r>
      <w:r>
        <w:rPr>
          <w:spacing w:val="-2"/>
          <w:sz w:val="24"/>
        </w:rPr>
        <w:t>8项所述招</w:t>
      </w:r>
      <w:r>
        <w:rPr>
          <w:spacing w:val="-2"/>
          <w:sz w:val="24"/>
        </w:rPr>
        <w:t>标项目行政监督部门投诉。</w:t>
      </w:r>
    </w:p>
    <w:p>
      <w:pPr>
        <w:spacing w:after="0" w:line="297" w:lineRule="auto"/>
        <w:jc w:val="left"/>
        <w:rPr>
          <w:sz w:val="22"/>
        </w:rPr>
        <w:sectPr>
          <w:headerReference w:type="default" r:id="rId61"/>
          <w:footerReference w:type="default" r:id="rId62"/>
          <w:pgSz w:w="11910" w:h="16840"/>
          <w:pgMar w:top="1240" w:right="320" w:bottom="1180" w:left="1100" w:header="884" w:footer="991"/>
          <w:pgNumType w:start="26"/>
          <w:cols w:space="708"/>
        </w:sectPr>
      </w:pPr>
    </w:p>
    <w:p>
      <w:pPr>
        <w:pStyle w:val="BodyText"/>
        <w:rPr>
          <w:sz w:val="20"/>
        </w:rPr>
      </w:pPr>
    </w:p>
    <w:p>
      <w:pPr>
        <w:pStyle w:val="Heading2"/>
        <w:tabs>
          <w:tab w:val="left" w:pos="1444"/>
        </w:tabs>
        <w:spacing w:before="82" w:line="240" w:lineRule="auto"/>
        <w:ind w:right="401"/>
      </w:pPr>
      <w:r>
        <w:t>第</w:t>
      </w:r>
      <w:r>
        <w:t>三</w:t>
      </w:r>
      <w:r>
        <w:rPr>
          <w:spacing w:val="-10"/>
        </w:rPr>
        <w:t>章</w:t>
      </w:r>
      <w:r>
        <w:tab/>
        <w:t>招</w:t>
      </w:r>
      <w:r>
        <w:t>标</w:t>
      </w:r>
      <w:r>
        <w:t>内</w:t>
      </w:r>
      <w:r>
        <w:t>容</w:t>
      </w:r>
      <w:r>
        <w:t>及</w:t>
      </w:r>
      <w:r>
        <w:t>要</w:t>
      </w:r>
      <w:r>
        <w:rPr>
          <w:spacing w:val="-10"/>
        </w:rPr>
        <w:t>求</w:t>
      </w:r>
    </w:p>
    <w:p>
      <w:pPr>
        <w:pStyle w:val="BodyText"/>
        <w:spacing w:before="1"/>
        <w:rPr>
          <w:rFonts w:ascii="Microsoft JhengHei"/>
          <w:b/>
          <w:sz w:val="33"/>
        </w:rPr>
      </w:pPr>
    </w:p>
    <w:p>
      <w:pPr>
        <w:spacing w:before="0" w:line="426" w:lineRule="exact"/>
        <w:ind w:left="595" w:right="0" w:firstLine="0"/>
        <w:jc w:val="left"/>
        <w:rPr>
          <w:rFonts w:ascii="Microsoft JhengHei" w:eastAsia="Microsoft JhengHei"/>
          <w:b/>
          <w:sz w:val="24"/>
        </w:rPr>
      </w:pPr>
      <w:r>
        <w:rPr>
          <w:rFonts w:ascii="Microsoft JhengHei" w:eastAsia="Microsoft JhengHei"/>
          <w:b/>
          <w:spacing w:val="-2"/>
          <w:sz w:val="24"/>
        </w:rPr>
        <w:t>一、项目概述</w:t>
      </w:r>
    </w:p>
    <w:p>
      <w:pPr>
        <w:pStyle w:val="BodyText"/>
        <w:spacing w:line="292" w:lineRule="exact"/>
        <w:ind w:left="955"/>
      </w:pPr>
      <w:r>
        <w:rPr>
          <w:spacing w:val="-1"/>
        </w:rPr>
        <w:t>本次招标为福建中医药大学附属第三人民医院后勤服务管理招标，要求投标人根据</w:t>
      </w:r>
    </w:p>
    <w:p>
      <w:pPr>
        <w:pStyle w:val="BodyText"/>
        <w:spacing w:before="160"/>
        <w:ind w:left="475"/>
      </w:pPr>
      <w:r>
        <w:rPr>
          <w:spacing w:val="-1"/>
        </w:rPr>
        <w:t>招标文件要求，负责提供所需的相关服务，基本情况如下：</w:t>
      </w:r>
    </w:p>
    <w:p>
      <w:pPr>
        <w:pStyle w:val="BodyText"/>
        <w:spacing w:before="11"/>
        <w:rPr>
          <w:sz w:val="20"/>
        </w:rPr>
      </w:pPr>
    </w:p>
    <w:p>
      <w:pPr>
        <w:pStyle w:val="BodyText"/>
        <w:tabs>
          <w:tab w:val="left" w:pos="3354"/>
        </w:tabs>
        <w:ind w:left="595"/>
      </w:pPr>
      <w:r>
        <w:t>1、医院规模：现有床</w:t>
      </w:r>
      <w:r>
        <w:rPr>
          <w:spacing w:val="-10"/>
        </w:rPr>
        <w:t>位</w:t>
      </w:r>
      <w:r>
        <w:tab/>
        <w:t>张</w:t>
      </w:r>
      <w:r>
        <w:rPr>
          <w:spacing w:val="-10"/>
        </w:rPr>
        <w:t>。</w:t>
      </w:r>
    </w:p>
    <w:p>
      <w:pPr>
        <w:pStyle w:val="BodyText"/>
        <w:spacing w:before="132"/>
        <w:ind w:left="595"/>
      </w:pPr>
      <w:r>
        <w:t>2</w:t>
      </w:r>
      <w:r>
        <w:rPr>
          <w:spacing w:val="-1"/>
        </w:rPr>
        <w:t>、托管项目：医院保洁、配送、工程。</w:t>
      </w:r>
    </w:p>
    <w:p>
      <w:pPr>
        <w:pStyle w:val="BodyText"/>
        <w:spacing w:before="133"/>
        <w:ind w:left="593"/>
      </w:pPr>
      <w:r>
        <w:t>3</w:t>
      </w:r>
      <w:r>
        <w:rPr>
          <w:spacing w:val="-2"/>
        </w:rPr>
        <w:t>、项目托管年限：</w:t>
      </w:r>
    </w:p>
    <w:p>
      <w:pPr>
        <w:pStyle w:val="BodyText"/>
        <w:spacing w:line="440" w:lineRule="atLeast"/>
        <w:ind w:left="953" w:right="874" w:hanging="360"/>
        <w:jc w:val="both"/>
      </w:pPr>
      <w:r>
        <w:rPr>
          <w:spacing w:val="-2"/>
        </w:rPr>
        <w:t>4、投标价：保洁、配送、工程全年费用总承包，含员工工资、管理费用、福利费用、</w:t>
      </w:r>
      <w:r>
        <w:rPr>
          <w:spacing w:val="-4"/>
        </w:rPr>
        <w:t>设备折旧费、工具费（易耗品与劳保用品等日常用品</w:t>
      </w:r>
      <w:r>
        <w:rPr>
          <w:spacing w:val="-120"/>
        </w:rPr>
        <w:t>）</w:t>
      </w:r>
      <w:r>
        <w:rPr>
          <w:spacing w:val="-4"/>
        </w:rPr>
        <w:t>、清洁剂、税金、员工保险等</w:t>
      </w:r>
      <w:r>
        <w:rPr>
          <w:spacing w:val="-2"/>
        </w:rPr>
        <w:t>费用，医院不另行支付费用。</w:t>
      </w:r>
    </w:p>
    <w:p>
      <w:pPr>
        <w:spacing w:before="0" w:line="386" w:lineRule="exact"/>
        <w:ind w:left="475" w:right="0" w:firstLine="0"/>
        <w:jc w:val="left"/>
        <w:rPr>
          <w:rFonts w:ascii="Microsoft JhengHei" w:eastAsia="Microsoft JhengHei"/>
          <w:b/>
          <w:sz w:val="24"/>
        </w:rPr>
      </w:pPr>
      <w:r>
        <w:rPr>
          <w:rFonts w:ascii="Microsoft JhengHei" w:eastAsia="Microsoft JhengHei"/>
          <w:b/>
          <w:spacing w:val="-1"/>
          <w:sz w:val="24"/>
        </w:rPr>
        <w:t>二、服务范围及具体工作安排</w:t>
      </w:r>
    </w:p>
    <w:p>
      <w:pPr>
        <w:pStyle w:val="ListParagraph"/>
        <w:numPr>
          <w:ilvl w:val="1"/>
          <w:numId w:val="42"/>
        </w:numPr>
        <w:tabs>
          <w:tab w:val="left" w:pos="895"/>
        </w:tabs>
        <w:spacing w:before="105" w:after="0" w:line="240" w:lineRule="auto"/>
        <w:ind w:left="895" w:right="0" w:hanging="420"/>
        <w:jc w:val="left"/>
        <w:rPr>
          <w:sz w:val="24"/>
        </w:rPr>
      </w:pPr>
      <w:r>
        <w:rPr>
          <w:spacing w:val="-2"/>
          <w:sz w:val="24"/>
        </w:rPr>
        <w:t>具体服务范围</w:t>
      </w:r>
    </w:p>
    <w:p>
      <w:pPr>
        <w:pStyle w:val="BodyText"/>
        <w:spacing w:before="1" w:after="1"/>
        <w:rPr>
          <w:sz w:val="12"/>
        </w:rPr>
      </w:pPr>
    </w:p>
    <w:tbl>
      <w:tblPr>
        <w:tblStyle w:val="TableNormal6"/>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0"/>
        <w:gridCol w:w="548"/>
        <w:gridCol w:w="880"/>
        <w:gridCol w:w="1583"/>
        <w:gridCol w:w="1187"/>
        <w:gridCol w:w="900"/>
        <w:gridCol w:w="947"/>
        <w:gridCol w:w="2733"/>
      </w:tblGrid>
      <w:tr>
        <w:tblPrEx>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20"/>
          <w:jc w:val="left"/>
        </w:trPr>
        <w:tc>
          <w:tcPr>
            <w:tcW w:w="480" w:type="dxa"/>
            <w:vMerge w:val="restart"/>
          </w:tcPr>
          <w:p>
            <w:pPr>
              <w:pStyle w:val="TableParagraph"/>
              <w:spacing w:before="6"/>
              <w:rPr>
                <w:sz w:val="14"/>
              </w:rPr>
            </w:pPr>
          </w:p>
          <w:p>
            <w:pPr>
              <w:pStyle w:val="TableParagraph"/>
              <w:spacing w:line="242" w:lineRule="auto"/>
              <w:ind w:left="135" w:right="124"/>
              <w:rPr>
                <w:sz w:val="21"/>
              </w:rPr>
            </w:pPr>
            <w:r>
              <w:rPr>
                <w:spacing w:val="-10"/>
                <w:sz w:val="21"/>
              </w:rPr>
              <w:t>序</w:t>
            </w:r>
            <w:r>
              <w:rPr>
                <w:spacing w:val="-10"/>
                <w:sz w:val="21"/>
              </w:rPr>
              <w:t>号</w:t>
            </w:r>
          </w:p>
        </w:tc>
        <w:tc>
          <w:tcPr>
            <w:tcW w:w="548" w:type="dxa"/>
            <w:vMerge w:val="restart"/>
          </w:tcPr>
          <w:p>
            <w:pPr>
              <w:pStyle w:val="TableParagraph"/>
              <w:spacing w:before="6"/>
              <w:rPr>
                <w:sz w:val="14"/>
              </w:rPr>
            </w:pPr>
          </w:p>
          <w:p>
            <w:pPr>
              <w:pStyle w:val="TableParagraph"/>
              <w:spacing w:line="242" w:lineRule="auto"/>
              <w:ind w:left="169" w:right="158"/>
              <w:rPr>
                <w:sz w:val="21"/>
              </w:rPr>
            </w:pPr>
            <w:r>
              <w:rPr>
                <w:spacing w:val="-10"/>
                <w:sz w:val="21"/>
              </w:rPr>
              <w:t>区</w:t>
            </w:r>
            <w:r>
              <w:rPr>
                <w:spacing w:val="-10"/>
                <w:sz w:val="21"/>
              </w:rPr>
              <w:t>域</w:t>
            </w:r>
          </w:p>
        </w:tc>
        <w:tc>
          <w:tcPr>
            <w:tcW w:w="880" w:type="dxa"/>
            <w:vMerge w:val="restart"/>
          </w:tcPr>
          <w:p>
            <w:pPr>
              <w:pStyle w:val="TableParagraph"/>
              <w:spacing w:before="1"/>
              <w:rPr>
                <w:sz w:val="25"/>
              </w:rPr>
            </w:pPr>
          </w:p>
          <w:p>
            <w:pPr>
              <w:pStyle w:val="TableParagraph"/>
              <w:ind w:left="230"/>
              <w:rPr>
                <w:sz w:val="21"/>
              </w:rPr>
            </w:pPr>
            <w:r>
              <w:rPr>
                <w:spacing w:val="-5"/>
                <w:sz w:val="21"/>
              </w:rPr>
              <w:t>楼层</w:t>
            </w:r>
          </w:p>
        </w:tc>
        <w:tc>
          <w:tcPr>
            <w:tcW w:w="1583" w:type="dxa"/>
            <w:vMerge w:val="restart"/>
          </w:tcPr>
          <w:p>
            <w:pPr>
              <w:pStyle w:val="TableParagraph"/>
              <w:spacing w:before="1"/>
              <w:rPr>
                <w:sz w:val="25"/>
              </w:rPr>
            </w:pPr>
          </w:p>
          <w:p>
            <w:pPr>
              <w:pStyle w:val="TableParagraph"/>
              <w:ind w:left="96" w:right="86"/>
              <w:jc w:val="center"/>
              <w:rPr>
                <w:sz w:val="21"/>
              </w:rPr>
            </w:pPr>
            <w:r>
              <w:rPr>
                <w:spacing w:val="-5"/>
                <w:sz w:val="21"/>
              </w:rPr>
              <w:t>科室</w:t>
            </w:r>
          </w:p>
        </w:tc>
        <w:tc>
          <w:tcPr>
            <w:tcW w:w="1187" w:type="dxa"/>
            <w:vMerge w:val="restart"/>
          </w:tcPr>
          <w:p>
            <w:pPr>
              <w:pStyle w:val="TableParagraph"/>
              <w:spacing w:before="1"/>
              <w:rPr>
                <w:sz w:val="25"/>
              </w:rPr>
            </w:pPr>
          </w:p>
          <w:p>
            <w:pPr>
              <w:pStyle w:val="TableParagraph"/>
              <w:ind w:left="383"/>
              <w:rPr>
                <w:sz w:val="21"/>
              </w:rPr>
            </w:pPr>
            <w:r>
              <w:rPr>
                <w:spacing w:val="-5"/>
                <w:sz w:val="21"/>
              </w:rPr>
              <w:t>面积</w:t>
            </w:r>
          </w:p>
        </w:tc>
        <w:tc>
          <w:tcPr>
            <w:tcW w:w="1847" w:type="dxa"/>
            <w:gridSpan w:val="2"/>
          </w:tcPr>
          <w:p>
            <w:pPr>
              <w:pStyle w:val="TableParagraph"/>
              <w:spacing w:before="77"/>
              <w:ind w:left="608"/>
              <w:rPr>
                <w:sz w:val="21"/>
              </w:rPr>
            </w:pPr>
            <w:r>
              <w:rPr>
                <w:spacing w:val="-4"/>
                <w:sz w:val="21"/>
              </w:rPr>
              <w:t>床位数</w:t>
            </w:r>
          </w:p>
        </w:tc>
        <w:tc>
          <w:tcPr>
            <w:tcW w:w="2733" w:type="dxa"/>
            <w:vMerge w:val="restart"/>
          </w:tcPr>
          <w:p>
            <w:pPr>
              <w:pStyle w:val="TableParagraph"/>
              <w:spacing w:before="1"/>
              <w:rPr>
                <w:sz w:val="25"/>
              </w:rPr>
            </w:pPr>
          </w:p>
          <w:p>
            <w:pPr>
              <w:pStyle w:val="TableParagraph"/>
              <w:ind w:left="1141" w:right="1132"/>
              <w:jc w:val="center"/>
              <w:rPr>
                <w:sz w:val="21"/>
              </w:rPr>
            </w:pPr>
            <w:r>
              <w:rPr>
                <w:spacing w:val="-5"/>
                <w:sz w:val="21"/>
              </w:rPr>
              <w:t>备注</w:t>
            </w:r>
          </w:p>
        </w:tc>
      </w:tr>
      <w:tr>
        <w:tblPrEx>
          <w:tblW w:w="0" w:type="auto"/>
          <w:jc w:val="left"/>
          <w:tblInd w:w="465" w:type="dxa"/>
          <w:tblLayout w:type="fixed"/>
          <w:tblCellMar>
            <w:top w:w="0" w:type="dxa"/>
            <w:left w:w="0" w:type="dxa"/>
            <w:bottom w:w="0" w:type="dxa"/>
            <w:right w:w="0" w:type="dxa"/>
          </w:tblCellMar>
          <w:tblLook w:val="01E0"/>
        </w:tblPrEx>
        <w:trPr>
          <w:trHeight w:val="480"/>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vMerge/>
            <w:tcBorders>
              <w:top w:val="nil"/>
            </w:tcBorders>
          </w:tcPr>
          <w:p>
            <w:pPr>
              <w:rPr>
                <w:sz w:val="2"/>
                <w:szCs w:val="2"/>
              </w:rPr>
            </w:pPr>
          </w:p>
        </w:tc>
        <w:tc>
          <w:tcPr>
            <w:tcW w:w="1187" w:type="dxa"/>
            <w:vMerge/>
            <w:tcBorders>
              <w:top w:val="nil"/>
            </w:tcBorders>
          </w:tcPr>
          <w:p>
            <w:pPr>
              <w:rPr>
                <w:sz w:val="2"/>
                <w:szCs w:val="2"/>
              </w:rPr>
            </w:pPr>
          </w:p>
        </w:tc>
        <w:tc>
          <w:tcPr>
            <w:tcW w:w="900" w:type="dxa"/>
          </w:tcPr>
          <w:p>
            <w:pPr>
              <w:pStyle w:val="TableParagraph"/>
              <w:spacing w:before="107"/>
              <w:ind w:left="224" w:right="215"/>
              <w:jc w:val="center"/>
              <w:rPr>
                <w:sz w:val="21"/>
              </w:rPr>
            </w:pPr>
            <w:r>
              <w:rPr>
                <w:spacing w:val="-5"/>
                <w:sz w:val="21"/>
              </w:rPr>
              <w:t>标准</w:t>
            </w:r>
          </w:p>
        </w:tc>
        <w:tc>
          <w:tcPr>
            <w:tcW w:w="947" w:type="dxa"/>
          </w:tcPr>
          <w:p>
            <w:pPr>
              <w:pStyle w:val="TableParagraph"/>
              <w:spacing w:before="107"/>
              <w:ind w:left="248" w:right="239"/>
              <w:jc w:val="center"/>
              <w:rPr>
                <w:sz w:val="21"/>
              </w:rPr>
            </w:pPr>
            <w:r>
              <w:rPr>
                <w:spacing w:val="-5"/>
                <w:sz w:val="21"/>
              </w:rPr>
              <w:t>实际</w:t>
            </w:r>
          </w:p>
        </w:tc>
        <w:tc>
          <w:tcPr>
            <w:tcW w:w="2733" w:type="dxa"/>
            <w:vMerge/>
            <w:tcBorders>
              <w:top w:val="nil"/>
            </w:tcBorders>
          </w:tcPr>
          <w:p>
            <w:pPr>
              <w:rPr>
                <w:sz w:val="2"/>
                <w:szCs w:val="2"/>
              </w:rPr>
            </w:pPr>
          </w:p>
        </w:tc>
      </w:tr>
      <w:tr>
        <w:tblPrEx>
          <w:tblW w:w="0" w:type="auto"/>
          <w:jc w:val="left"/>
          <w:tblInd w:w="465" w:type="dxa"/>
          <w:tblLayout w:type="fixed"/>
          <w:tblCellMar>
            <w:top w:w="0" w:type="dxa"/>
            <w:left w:w="0" w:type="dxa"/>
            <w:bottom w:w="0" w:type="dxa"/>
            <w:right w:w="0" w:type="dxa"/>
          </w:tblCellMar>
          <w:tblLook w:val="01E0"/>
        </w:tblPrEx>
        <w:trPr>
          <w:trHeight w:val="480"/>
          <w:jc w:val="left"/>
        </w:trPr>
        <w:tc>
          <w:tcPr>
            <w:tcW w:w="480" w:type="dxa"/>
          </w:tcPr>
          <w:p>
            <w:pPr>
              <w:pStyle w:val="TableParagraph"/>
              <w:rPr>
                <w:rFonts w:ascii="Times New Roman"/>
                <w:sz w:val="22"/>
              </w:rPr>
            </w:pPr>
          </w:p>
        </w:tc>
        <w:tc>
          <w:tcPr>
            <w:tcW w:w="548" w:type="dxa"/>
          </w:tcPr>
          <w:p>
            <w:pPr>
              <w:pStyle w:val="TableParagraph"/>
              <w:rPr>
                <w:rFonts w:ascii="Times New Roman"/>
                <w:sz w:val="22"/>
              </w:rPr>
            </w:pPr>
          </w:p>
        </w:tc>
        <w:tc>
          <w:tcPr>
            <w:tcW w:w="880" w:type="dxa"/>
            <w:vMerge w:val="restart"/>
          </w:tcPr>
          <w:p>
            <w:pPr>
              <w:pStyle w:val="TableParagraph"/>
              <w:rPr>
                <w:sz w:val="20"/>
              </w:rPr>
            </w:pPr>
          </w:p>
          <w:p>
            <w:pPr>
              <w:pStyle w:val="TableParagraph"/>
              <w:rPr>
                <w:sz w:val="20"/>
              </w:rPr>
            </w:pPr>
          </w:p>
          <w:p>
            <w:pPr>
              <w:pStyle w:val="TableParagraph"/>
              <w:spacing w:before="1"/>
              <w:rPr>
                <w:sz w:val="16"/>
              </w:rPr>
            </w:pPr>
          </w:p>
          <w:p>
            <w:pPr>
              <w:pStyle w:val="TableParagraph"/>
              <w:spacing w:before="1"/>
              <w:ind w:left="320" w:right="310"/>
              <w:jc w:val="center"/>
              <w:rPr>
                <w:sz w:val="21"/>
              </w:rPr>
            </w:pPr>
            <w:r>
              <w:rPr>
                <w:spacing w:val="-5"/>
                <w:sz w:val="21"/>
              </w:rPr>
              <w:t>1F</w:t>
            </w:r>
          </w:p>
        </w:tc>
        <w:tc>
          <w:tcPr>
            <w:tcW w:w="1583" w:type="dxa"/>
          </w:tcPr>
          <w:p>
            <w:pPr>
              <w:pStyle w:val="TableParagraph"/>
              <w:spacing w:before="107"/>
              <w:ind w:left="96" w:right="86"/>
              <w:jc w:val="center"/>
              <w:rPr>
                <w:sz w:val="21"/>
              </w:rPr>
            </w:pPr>
            <w:r>
              <w:rPr>
                <w:spacing w:val="-5"/>
                <w:sz w:val="21"/>
              </w:rPr>
              <w:t>急诊</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544"/>
          <w:jc w:val="left"/>
        </w:trPr>
        <w:tc>
          <w:tcPr>
            <w:tcW w:w="480" w:type="dxa"/>
          </w:tcPr>
          <w:p>
            <w:pPr>
              <w:pStyle w:val="TableParagraph"/>
              <w:rPr>
                <w:rFonts w:ascii="Times New Roman"/>
                <w:sz w:val="22"/>
              </w:rPr>
            </w:pPr>
          </w:p>
        </w:tc>
        <w:tc>
          <w:tcPr>
            <w:tcW w:w="548" w:type="dxa"/>
          </w:tcPr>
          <w:p>
            <w:pPr>
              <w:pStyle w:val="TableParagraph"/>
              <w:rPr>
                <w:rFonts w:ascii="Times New Roman"/>
                <w:sz w:val="22"/>
              </w:rPr>
            </w:pPr>
          </w:p>
        </w:tc>
        <w:tc>
          <w:tcPr>
            <w:tcW w:w="880" w:type="dxa"/>
            <w:vMerge/>
            <w:tcBorders>
              <w:top w:val="nil"/>
            </w:tcBorders>
          </w:tcPr>
          <w:p>
            <w:pPr>
              <w:rPr>
                <w:sz w:val="2"/>
                <w:szCs w:val="2"/>
              </w:rPr>
            </w:pPr>
          </w:p>
        </w:tc>
        <w:tc>
          <w:tcPr>
            <w:tcW w:w="1583" w:type="dxa"/>
          </w:tcPr>
          <w:p>
            <w:pPr>
              <w:pStyle w:val="TableParagraph"/>
              <w:spacing w:line="270" w:lineRule="atLeast"/>
              <w:ind w:left="686" w:right="95" w:hanging="579"/>
              <w:rPr>
                <w:sz w:val="21"/>
              </w:rPr>
            </w:pPr>
            <w:r>
              <w:rPr>
                <w:spacing w:val="-18"/>
                <w:sz w:val="21"/>
              </w:rPr>
              <w:t>中、西、颗粒药</w:t>
            </w:r>
            <w:r>
              <w:rPr>
                <w:spacing w:val="-10"/>
                <w:sz w:val="21"/>
              </w:rPr>
              <w:t>房</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60"/>
          <w:jc w:val="left"/>
        </w:trPr>
        <w:tc>
          <w:tcPr>
            <w:tcW w:w="480"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6"/>
              <w:rPr>
                <w:sz w:val="28"/>
              </w:rPr>
            </w:pPr>
          </w:p>
          <w:p>
            <w:pPr>
              <w:pStyle w:val="TableParagraph"/>
              <w:ind w:left="10"/>
              <w:jc w:val="center"/>
              <w:rPr>
                <w:sz w:val="21"/>
              </w:rPr>
            </w:pPr>
            <w:r>
              <w:rPr>
                <w:sz w:val="21"/>
              </w:rPr>
              <w:t>1</w:t>
            </w:r>
          </w:p>
        </w:tc>
        <w:tc>
          <w:tcPr>
            <w:tcW w:w="548" w:type="dxa"/>
            <w:vMerge w:val="restart"/>
          </w:tcPr>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rPr>
                <w:sz w:val="20"/>
              </w:rPr>
            </w:pPr>
          </w:p>
          <w:p>
            <w:pPr>
              <w:pStyle w:val="TableParagraph"/>
              <w:spacing w:before="5"/>
              <w:rPr>
                <w:sz w:val="27"/>
              </w:rPr>
            </w:pPr>
          </w:p>
          <w:p>
            <w:pPr>
              <w:pStyle w:val="TableParagraph"/>
              <w:spacing w:line="187" w:lineRule="auto"/>
              <w:ind w:left="197" w:right="128"/>
              <w:jc w:val="both"/>
              <w:rPr>
                <w:sz w:val="21"/>
              </w:rPr>
            </w:pPr>
            <w:r>
              <w:rPr>
                <w:spacing w:val="-10"/>
                <w:sz w:val="21"/>
              </w:rPr>
              <w:t>病</w:t>
            </w:r>
            <w:r>
              <w:rPr>
                <w:spacing w:val="-10"/>
                <w:sz w:val="21"/>
              </w:rPr>
              <w:t>房</w:t>
            </w:r>
            <w:r>
              <w:rPr>
                <w:spacing w:val="-10"/>
                <w:sz w:val="21"/>
              </w:rPr>
              <w:t>大</w:t>
            </w:r>
            <w:r>
              <w:rPr>
                <w:spacing w:val="-10"/>
                <w:sz w:val="21"/>
              </w:rPr>
              <w:t>楼</w:t>
            </w:r>
          </w:p>
        </w:tc>
        <w:tc>
          <w:tcPr>
            <w:tcW w:w="880" w:type="dxa"/>
            <w:vMerge/>
            <w:tcBorders>
              <w:top w:val="nil"/>
            </w:tcBorders>
          </w:tcPr>
          <w:p>
            <w:pPr>
              <w:rPr>
                <w:sz w:val="2"/>
                <w:szCs w:val="2"/>
              </w:rPr>
            </w:pPr>
          </w:p>
        </w:tc>
        <w:tc>
          <w:tcPr>
            <w:tcW w:w="1583" w:type="dxa"/>
          </w:tcPr>
          <w:p>
            <w:pPr>
              <w:pStyle w:val="TableParagraph"/>
              <w:spacing w:before="61" w:line="242" w:lineRule="auto"/>
              <w:ind w:left="476" w:right="95" w:hanging="369"/>
              <w:rPr>
                <w:sz w:val="21"/>
              </w:rPr>
            </w:pPr>
            <w:r>
              <w:rPr>
                <w:spacing w:val="-18"/>
                <w:sz w:val="21"/>
              </w:rPr>
              <w:t>收费、大厅、影</w:t>
            </w:r>
            <w:r>
              <w:rPr>
                <w:spacing w:val="-4"/>
                <w:sz w:val="21"/>
              </w:rPr>
              <w:t>像中心</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60"/>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val="restart"/>
          </w:tcPr>
          <w:p>
            <w:pPr>
              <w:pStyle w:val="TableParagraph"/>
              <w:rPr>
                <w:sz w:val="20"/>
              </w:rPr>
            </w:pPr>
          </w:p>
          <w:p>
            <w:pPr>
              <w:pStyle w:val="TableParagraph"/>
              <w:rPr>
                <w:sz w:val="20"/>
              </w:rPr>
            </w:pPr>
          </w:p>
          <w:p>
            <w:pPr>
              <w:pStyle w:val="TableParagraph"/>
              <w:spacing w:before="2"/>
              <w:rPr>
                <w:sz w:val="23"/>
              </w:rPr>
            </w:pPr>
          </w:p>
          <w:p>
            <w:pPr>
              <w:pStyle w:val="TableParagraph"/>
              <w:ind w:left="320" w:right="310"/>
              <w:jc w:val="center"/>
              <w:rPr>
                <w:sz w:val="21"/>
              </w:rPr>
            </w:pPr>
            <w:r>
              <w:rPr>
                <w:spacing w:val="-5"/>
                <w:sz w:val="21"/>
              </w:rPr>
              <w:t>2F</w:t>
            </w:r>
          </w:p>
        </w:tc>
        <w:tc>
          <w:tcPr>
            <w:tcW w:w="1583" w:type="dxa"/>
          </w:tcPr>
          <w:p>
            <w:pPr>
              <w:pStyle w:val="TableParagraph"/>
              <w:spacing w:before="4"/>
              <w:rPr>
                <w:sz w:val="15"/>
              </w:rPr>
            </w:pPr>
          </w:p>
          <w:p>
            <w:pPr>
              <w:pStyle w:val="TableParagraph"/>
              <w:spacing w:before="1"/>
              <w:ind w:left="96" w:right="86"/>
              <w:jc w:val="center"/>
              <w:rPr>
                <w:sz w:val="21"/>
              </w:rPr>
            </w:pPr>
            <w:r>
              <w:rPr>
                <w:spacing w:val="-4"/>
                <w:sz w:val="21"/>
              </w:rPr>
              <w:t>检验科</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60"/>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61" w:line="242" w:lineRule="auto"/>
              <w:ind w:left="686" w:right="95" w:hanging="579"/>
              <w:rPr>
                <w:sz w:val="21"/>
              </w:rPr>
            </w:pPr>
            <w:r>
              <w:rPr>
                <w:spacing w:val="-18"/>
                <w:sz w:val="21"/>
              </w:rPr>
              <w:t>针灸、保健、超</w:t>
            </w:r>
            <w:r>
              <w:rPr>
                <w:spacing w:val="-10"/>
                <w:sz w:val="21"/>
              </w:rPr>
              <w:t>声</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544"/>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line="270" w:lineRule="atLeast"/>
              <w:ind w:left="581" w:right="95" w:hanging="474"/>
              <w:rPr>
                <w:sz w:val="21"/>
              </w:rPr>
            </w:pPr>
            <w:r>
              <w:rPr>
                <w:spacing w:val="-18"/>
                <w:sz w:val="21"/>
              </w:rPr>
              <w:t>内科、外科、儿</w:t>
            </w:r>
            <w:r>
              <w:rPr>
                <w:spacing w:val="-6"/>
                <w:sz w:val="21"/>
              </w:rPr>
              <w:t>科、</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8"/>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val="restart"/>
          </w:tcPr>
          <w:p>
            <w:pPr>
              <w:pStyle w:val="TableParagraph"/>
              <w:spacing w:before="12"/>
              <w:rPr>
                <w:sz w:val="28"/>
              </w:rPr>
            </w:pPr>
          </w:p>
          <w:p>
            <w:pPr>
              <w:pStyle w:val="TableParagraph"/>
              <w:ind w:left="320" w:right="310"/>
              <w:jc w:val="center"/>
              <w:rPr>
                <w:sz w:val="21"/>
              </w:rPr>
            </w:pPr>
            <w:r>
              <w:rPr>
                <w:spacing w:val="-5"/>
                <w:sz w:val="21"/>
              </w:rPr>
              <w:t>3F</w:t>
            </w:r>
          </w:p>
        </w:tc>
        <w:tc>
          <w:tcPr>
            <w:tcW w:w="1583" w:type="dxa"/>
          </w:tcPr>
          <w:p>
            <w:pPr>
              <w:pStyle w:val="TableParagraph"/>
              <w:spacing w:before="116"/>
              <w:ind w:left="96" w:right="86"/>
              <w:jc w:val="center"/>
              <w:rPr>
                <w:sz w:val="21"/>
              </w:rPr>
            </w:pPr>
            <w:r>
              <w:rPr>
                <w:spacing w:val="-4"/>
                <w:sz w:val="21"/>
              </w:rPr>
              <w:t>行政科</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116"/>
              <w:ind w:left="96" w:right="86"/>
              <w:jc w:val="center"/>
              <w:rPr>
                <w:sz w:val="21"/>
              </w:rPr>
            </w:pPr>
            <w:r>
              <w:rPr>
                <w:spacing w:val="-2"/>
                <w:sz w:val="21"/>
              </w:rPr>
              <w:t>妇科、内科</w:t>
            </w:r>
          </w:p>
        </w:tc>
        <w:tc>
          <w:tcPr>
            <w:tcW w:w="1187" w:type="dxa"/>
          </w:tcPr>
          <w:p>
            <w:pPr>
              <w:pStyle w:val="TableParagraph"/>
              <w:rPr>
                <w:rFonts w:ascii="Times New Roman"/>
                <w:sz w:val="2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val="restart"/>
          </w:tcPr>
          <w:p>
            <w:pPr>
              <w:pStyle w:val="TableParagraph"/>
              <w:spacing w:before="4"/>
              <w:rPr>
                <w:sz w:val="18"/>
              </w:rPr>
            </w:pPr>
          </w:p>
          <w:p>
            <w:pPr>
              <w:pStyle w:val="TableParagraph"/>
              <w:spacing w:line="242" w:lineRule="auto"/>
              <w:ind w:left="230" w:right="114" w:hanging="105"/>
              <w:rPr>
                <w:sz w:val="21"/>
              </w:rPr>
            </w:pPr>
            <w:r>
              <w:rPr>
                <w:spacing w:val="-4"/>
                <w:sz w:val="21"/>
              </w:rPr>
              <w:t>4F（</w:t>
            </w:r>
            <w:r>
              <w:rPr>
                <w:spacing w:val="-4"/>
                <w:sz w:val="21"/>
              </w:rPr>
              <w:t>病</w:t>
            </w:r>
            <w:r>
              <w:rPr>
                <w:spacing w:val="-6"/>
                <w:sz w:val="21"/>
              </w:rPr>
              <w:t>区）</w:t>
            </w:r>
          </w:p>
        </w:tc>
        <w:tc>
          <w:tcPr>
            <w:tcW w:w="1583" w:type="dxa"/>
          </w:tcPr>
          <w:p>
            <w:pPr>
              <w:pStyle w:val="TableParagraph"/>
              <w:rPr>
                <w:rFonts w:ascii="Times New Roman"/>
                <w:sz w:val="22"/>
              </w:rPr>
            </w:pPr>
          </w:p>
        </w:tc>
        <w:tc>
          <w:tcPr>
            <w:tcW w:w="1187" w:type="dxa"/>
          </w:tcPr>
          <w:p>
            <w:pPr>
              <w:pStyle w:val="TableParagraph"/>
              <w:spacing w:before="116"/>
              <w:ind w:left="371" w:right="361"/>
              <w:jc w:val="center"/>
              <w:rPr>
                <w:sz w:val="21"/>
              </w:rPr>
            </w:pPr>
            <w:r>
              <w:rPr>
                <w:spacing w:val="-4"/>
                <w:sz w:val="21"/>
              </w:rPr>
              <w:t>1000</w:t>
            </w:r>
          </w:p>
        </w:tc>
        <w:tc>
          <w:tcPr>
            <w:tcW w:w="900" w:type="dxa"/>
          </w:tcPr>
          <w:p>
            <w:pPr>
              <w:pStyle w:val="TableParagraph"/>
              <w:spacing w:before="116"/>
              <w:ind w:left="224" w:right="215"/>
              <w:jc w:val="center"/>
              <w:rPr>
                <w:sz w:val="21"/>
              </w:rPr>
            </w:pPr>
            <w:r>
              <w:rPr>
                <w:spacing w:val="-5"/>
                <w:sz w:val="21"/>
              </w:rPr>
              <w:t>53</w:t>
            </w:r>
          </w:p>
        </w:tc>
        <w:tc>
          <w:tcPr>
            <w:tcW w:w="947" w:type="dxa"/>
          </w:tcPr>
          <w:p>
            <w:pPr>
              <w:pStyle w:val="TableParagraph"/>
              <w:spacing w:before="116"/>
              <w:ind w:left="248" w:right="239"/>
              <w:jc w:val="center"/>
              <w:rPr>
                <w:sz w:val="21"/>
              </w:rPr>
            </w:pPr>
            <w:r>
              <w:rPr>
                <w:spacing w:val="-5"/>
                <w:sz w:val="21"/>
              </w:rPr>
              <w:t>53</w:t>
            </w: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116"/>
              <w:ind w:left="96" w:right="86"/>
              <w:jc w:val="center"/>
              <w:rPr>
                <w:sz w:val="21"/>
              </w:rPr>
            </w:pPr>
            <w:r>
              <w:rPr>
                <w:spacing w:val="-4"/>
                <w:sz w:val="21"/>
              </w:rPr>
              <w:t>未启用</w:t>
            </w:r>
          </w:p>
        </w:tc>
        <w:tc>
          <w:tcPr>
            <w:tcW w:w="1187" w:type="dxa"/>
          </w:tcPr>
          <w:p>
            <w:pPr>
              <w:pStyle w:val="TableParagraph"/>
              <w:spacing w:before="116"/>
              <w:ind w:left="371" w:right="361"/>
              <w:jc w:val="center"/>
              <w:rPr>
                <w:sz w:val="21"/>
              </w:rPr>
            </w:pPr>
            <w:r>
              <w:rPr>
                <w:spacing w:val="-4"/>
                <w:sz w:val="21"/>
              </w:rPr>
              <w:t>1000</w:t>
            </w: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val="restart"/>
          </w:tcPr>
          <w:p>
            <w:pPr>
              <w:pStyle w:val="TableParagraph"/>
              <w:spacing w:before="4"/>
              <w:rPr>
                <w:sz w:val="18"/>
              </w:rPr>
            </w:pPr>
          </w:p>
          <w:p>
            <w:pPr>
              <w:pStyle w:val="TableParagraph"/>
              <w:spacing w:line="242" w:lineRule="auto"/>
              <w:ind w:left="230" w:right="114" w:hanging="105"/>
              <w:rPr>
                <w:sz w:val="21"/>
              </w:rPr>
            </w:pPr>
            <w:r>
              <w:rPr>
                <w:spacing w:val="-4"/>
                <w:sz w:val="21"/>
              </w:rPr>
              <w:t>5F（</w:t>
            </w:r>
            <w:r>
              <w:rPr>
                <w:spacing w:val="-4"/>
                <w:sz w:val="21"/>
              </w:rPr>
              <w:t>病</w:t>
            </w:r>
            <w:r>
              <w:rPr>
                <w:spacing w:val="-6"/>
                <w:sz w:val="21"/>
              </w:rPr>
              <w:t>区）</w:t>
            </w:r>
          </w:p>
        </w:tc>
        <w:tc>
          <w:tcPr>
            <w:tcW w:w="1583" w:type="dxa"/>
          </w:tcPr>
          <w:p>
            <w:pPr>
              <w:pStyle w:val="TableParagraph"/>
              <w:spacing w:before="116"/>
              <w:ind w:left="96" w:right="86"/>
              <w:jc w:val="center"/>
              <w:rPr>
                <w:sz w:val="21"/>
              </w:rPr>
            </w:pPr>
            <w:r>
              <w:rPr>
                <w:spacing w:val="-17"/>
                <w:sz w:val="21"/>
              </w:rPr>
              <w:t>未装修、未启用</w:t>
            </w:r>
          </w:p>
        </w:tc>
        <w:tc>
          <w:tcPr>
            <w:tcW w:w="1187" w:type="dxa"/>
            <w:vMerge w:val="restart"/>
          </w:tcPr>
          <w:p>
            <w:pPr>
              <w:pStyle w:val="TableParagraph"/>
              <w:spacing w:before="12"/>
              <w:rPr>
                <w:sz w:val="28"/>
              </w:rPr>
            </w:pPr>
          </w:p>
          <w:p>
            <w:pPr>
              <w:pStyle w:val="TableParagraph"/>
              <w:ind w:left="383"/>
              <w:rPr>
                <w:sz w:val="21"/>
              </w:rPr>
            </w:pPr>
            <w:r>
              <w:rPr>
                <w:spacing w:val="-4"/>
                <w:sz w:val="21"/>
              </w:rPr>
              <w:t>2000</w:t>
            </w: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116"/>
              <w:ind w:left="96" w:right="86"/>
              <w:jc w:val="center"/>
              <w:rPr>
                <w:sz w:val="21"/>
              </w:rPr>
            </w:pPr>
            <w:r>
              <w:rPr>
                <w:spacing w:val="-17"/>
                <w:sz w:val="21"/>
              </w:rPr>
              <w:t>未装修、未启用</w:t>
            </w:r>
          </w:p>
        </w:tc>
        <w:tc>
          <w:tcPr>
            <w:tcW w:w="1187" w:type="dxa"/>
            <w:vMerge/>
            <w:tcBorders>
              <w:top w:val="nil"/>
            </w:tcBorders>
          </w:tcPr>
          <w:p>
            <w:pPr>
              <w:rPr>
                <w:sz w:val="2"/>
                <w:szCs w:val="2"/>
              </w:rPr>
            </w:pPr>
          </w:p>
        </w:tc>
        <w:tc>
          <w:tcPr>
            <w:tcW w:w="900" w:type="dxa"/>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bl>
    <w:p>
      <w:pPr>
        <w:spacing w:after="0"/>
        <w:rPr>
          <w:rFonts w:ascii="Times New Roman"/>
          <w:sz w:val="22"/>
        </w:rPr>
        <w:sectPr>
          <w:headerReference w:type="default" r:id="rId63"/>
          <w:footerReference w:type="default" r:id="rId64"/>
          <w:pgSz w:w="11910" w:h="16840"/>
          <w:pgMar w:top="1240" w:right="320" w:bottom="1180" w:left="1100" w:header="884" w:footer="991"/>
          <w:pgNumType w:start="27"/>
          <w:cols w:space="708"/>
        </w:sectPr>
      </w:pPr>
    </w:p>
    <w:p>
      <w:pPr>
        <w:pStyle w:val="BodyText"/>
        <w:spacing w:before="8" w:after="1"/>
        <w:rPr>
          <w:sz w:val="8"/>
        </w:rPr>
      </w:pPr>
    </w:p>
    <w:tbl>
      <w:tblPr>
        <w:tblStyle w:val="TableNormal7"/>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0"/>
        <w:gridCol w:w="548"/>
        <w:gridCol w:w="880"/>
        <w:gridCol w:w="1583"/>
        <w:gridCol w:w="1187"/>
        <w:gridCol w:w="396"/>
        <w:gridCol w:w="504"/>
        <w:gridCol w:w="947"/>
        <w:gridCol w:w="2733"/>
      </w:tblGrid>
      <w:tr>
        <w:tblPrEx>
          <w:tblW w:w="0" w:type="auto"/>
          <w:jc w:val="left"/>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99"/>
          <w:jc w:val="left"/>
        </w:trPr>
        <w:tc>
          <w:tcPr>
            <w:tcW w:w="480" w:type="dxa"/>
            <w:vMerge w:val="restart"/>
            <w:tcBorders>
              <w:top w:val="nil"/>
            </w:tcBorders>
          </w:tcPr>
          <w:p>
            <w:pPr>
              <w:pStyle w:val="TableParagraph"/>
              <w:rPr>
                <w:rFonts w:ascii="Times New Roman"/>
                <w:sz w:val="22"/>
              </w:rPr>
            </w:pPr>
          </w:p>
        </w:tc>
        <w:tc>
          <w:tcPr>
            <w:tcW w:w="548" w:type="dxa"/>
            <w:vMerge w:val="restart"/>
            <w:tcBorders>
              <w:top w:val="nil"/>
            </w:tcBorders>
          </w:tcPr>
          <w:p>
            <w:pPr>
              <w:pStyle w:val="TableParagraph"/>
              <w:rPr>
                <w:rFonts w:ascii="Times New Roman"/>
                <w:sz w:val="22"/>
              </w:rPr>
            </w:pPr>
          </w:p>
        </w:tc>
        <w:tc>
          <w:tcPr>
            <w:tcW w:w="880" w:type="dxa"/>
            <w:vMerge w:val="restart"/>
          </w:tcPr>
          <w:p>
            <w:pPr>
              <w:pStyle w:val="TableParagraph"/>
              <w:spacing w:before="4"/>
              <w:rPr>
                <w:sz w:val="18"/>
              </w:rPr>
            </w:pPr>
          </w:p>
          <w:p>
            <w:pPr>
              <w:pStyle w:val="TableParagraph"/>
              <w:spacing w:line="242" w:lineRule="auto"/>
              <w:ind w:left="230" w:right="114" w:hanging="105"/>
              <w:rPr>
                <w:sz w:val="21"/>
              </w:rPr>
            </w:pPr>
            <w:r>
              <w:rPr>
                <w:spacing w:val="-4"/>
                <w:sz w:val="21"/>
              </w:rPr>
              <w:t>6F（</w:t>
            </w:r>
            <w:r>
              <w:rPr>
                <w:spacing w:val="-4"/>
                <w:sz w:val="21"/>
              </w:rPr>
              <w:t>病</w:t>
            </w:r>
            <w:r>
              <w:rPr>
                <w:spacing w:val="-6"/>
                <w:sz w:val="21"/>
              </w:rPr>
              <w:t>区）</w:t>
            </w:r>
          </w:p>
        </w:tc>
        <w:tc>
          <w:tcPr>
            <w:tcW w:w="1583" w:type="dxa"/>
            <w:tcBorders>
              <w:top w:val="nil"/>
            </w:tcBorders>
          </w:tcPr>
          <w:p>
            <w:pPr>
              <w:pStyle w:val="TableParagraph"/>
              <w:spacing w:before="116"/>
              <w:ind w:left="96" w:right="86"/>
              <w:jc w:val="center"/>
              <w:rPr>
                <w:sz w:val="21"/>
              </w:rPr>
            </w:pPr>
            <w:r>
              <w:rPr>
                <w:spacing w:val="-17"/>
                <w:sz w:val="21"/>
              </w:rPr>
              <w:t>未装修、未启用</w:t>
            </w:r>
          </w:p>
        </w:tc>
        <w:tc>
          <w:tcPr>
            <w:tcW w:w="1187" w:type="dxa"/>
            <w:vMerge w:val="restart"/>
          </w:tcPr>
          <w:p>
            <w:pPr>
              <w:pStyle w:val="TableParagraph"/>
              <w:spacing w:before="12"/>
              <w:rPr>
                <w:sz w:val="28"/>
              </w:rPr>
            </w:pPr>
          </w:p>
          <w:p>
            <w:pPr>
              <w:pStyle w:val="TableParagraph"/>
              <w:ind w:left="383"/>
              <w:rPr>
                <w:sz w:val="21"/>
              </w:rPr>
            </w:pPr>
            <w:r>
              <w:rPr>
                <w:spacing w:val="-4"/>
                <w:sz w:val="21"/>
              </w:rPr>
              <w:t>2000</w:t>
            </w:r>
          </w:p>
        </w:tc>
        <w:tc>
          <w:tcPr>
            <w:tcW w:w="900" w:type="dxa"/>
            <w:gridSpan w:val="2"/>
            <w:tcBorders>
              <w:top w:val="nil"/>
            </w:tcBorders>
          </w:tcPr>
          <w:p>
            <w:pPr>
              <w:pStyle w:val="TableParagraph"/>
              <w:rPr>
                <w:rFonts w:ascii="Times New Roman"/>
                <w:sz w:val="22"/>
              </w:rPr>
            </w:pPr>
          </w:p>
        </w:tc>
        <w:tc>
          <w:tcPr>
            <w:tcW w:w="947" w:type="dxa"/>
            <w:tcBorders>
              <w:top w:val="nil"/>
            </w:tcBorders>
          </w:tcPr>
          <w:p>
            <w:pPr>
              <w:pStyle w:val="TableParagraph"/>
              <w:rPr>
                <w:rFonts w:ascii="Times New Roman"/>
                <w:sz w:val="22"/>
              </w:rPr>
            </w:pPr>
          </w:p>
        </w:tc>
        <w:tc>
          <w:tcPr>
            <w:tcW w:w="2733" w:type="dxa"/>
            <w:tcBorders>
              <w:top w:val="nil"/>
            </w:tcBorders>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116"/>
              <w:ind w:left="96" w:right="86"/>
              <w:jc w:val="center"/>
              <w:rPr>
                <w:sz w:val="21"/>
              </w:rPr>
            </w:pPr>
            <w:r>
              <w:rPr>
                <w:spacing w:val="-17"/>
                <w:sz w:val="21"/>
              </w:rPr>
              <w:t>未装修、未启用</w:t>
            </w:r>
          </w:p>
        </w:tc>
        <w:tc>
          <w:tcPr>
            <w:tcW w:w="1187" w:type="dxa"/>
            <w:vMerge/>
            <w:tcBorders>
              <w:top w:val="nil"/>
            </w:tcBorders>
          </w:tcPr>
          <w:p>
            <w:pPr>
              <w:rPr>
                <w:sz w:val="2"/>
                <w:szCs w:val="2"/>
              </w:rPr>
            </w:pPr>
          </w:p>
        </w:tc>
        <w:tc>
          <w:tcPr>
            <w:tcW w:w="900" w:type="dxa"/>
            <w:gridSpan w:val="2"/>
          </w:tcPr>
          <w:p>
            <w:pPr>
              <w:pStyle w:val="TableParagraph"/>
              <w:rPr>
                <w:rFonts w:ascii="Times New Roman"/>
                <w:sz w:val="22"/>
              </w:rPr>
            </w:pPr>
          </w:p>
        </w:tc>
        <w:tc>
          <w:tcPr>
            <w:tcW w:w="947" w:type="dxa"/>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60"/>
          <w:jc w:val="left"/>
        </w:trPr>
        <w:tc>
          <w:tcPr>
            <w:tcW w:w="480" w:type="dxa"/>
            <w:vMerge w:val="restart"/>
          </w:tcPr>
          <w:p>
            <w:pPr>
              <w:pStyle w:val="TableParagraph"/>
              <w:rPr>
                <w:rFonts w:ascii="Times New Roman"/>
                <w:sz w:val="22"/>
              </w:rPr>
            </w:pPr>
          </w:p>
        </w:tc>
        <w:tc>
          <w:tcPr>
            <w:tcW w:w="548" w:type="dxa"/>
            <w:vMerge w:val="restart"/>
          </w:tcPr>
          <w:p>
            <w:pPr>
              <w:pStyle w:val="TableParagraph"/>
              <w:rPr>
                <w:rFonts w:ascii="Times New Roman"/>
                <w:sz w:val="22"/>
              </w:rPr>
            </w:pPr>
          </w:p>
        </w:tc>
        <w:tc>
          <w:tcPr>
            <w:tcW w:w="880" w:type="dxa"/>
            <w:vMerge w:val="restart"/>
          </w:tcPr>
          <w:p>
            <w:pPr>
              <w:pStyle w:val="TableParagraph"/>
              <w:rPr>
                <w:sz w:val="20"/>
              </w:rPr>
            </w:pPr>
          </w:p>
          <w:p>
            <w:pPr>
              <w:pStyle w:val="TableParagraph"/>
              <w:spacing w:before="6"/>
              <w:rPr>
                <w:sz w:val="21"/>
              </w:rPr>
            </w:pPr>
          </w:p>
          <w:p>
            <w:pPr>
              <w:pStyle w:val="TableParagraph"/>
              <w:ind w:left="230"/>
              <w:rPr>
                <w:sz w:val="21"/>
              </w:rPr>
            </w:pPr>
            <w:r>
              <w:rPr>
                <w:spacing w:val="-5"/>
                <w:sz w:val="21"/>
              </w:rPr>
              <w:t>班外</w:t>
            </w:r>
          </w:p>
        </w:tc>
        <w:tc>
          <w:tcPr>
            <w:tcW w:w="1583" w:type="dxa"/>
          </w:tcPr>
          <w:p>
            <w:pPr>
              <w:pStyle w:val="TableParagraph"/>
              <w:spacing w:before="4"/>
              <w:rPr>
                <w:sz w:val="15"/>
              </w:rPr>
            </w:pPr>
          </w:p>
          <w:p>
            <w:pPr>
              <w:pStyle w:val="TableParagraph"/>
              <w:spacing w:before="1"/>
              <w:ind w:left="96" w:right="86"/>
              <w:jc w:val="center"/>
              <w:rPr>
                <w:sz w:val="21"/>
              </w:rPr>
            </w:pPr>
            <w:r>
              <w:rPr>
                <w:spacing w:val="-4"/>
                <w:sz w:val="21"/>
              </w:rPr>
              <w:t>中午班</w:t>
            </w:r>
          </w:p>
        </w:tc>
        <w:tc>
          <w:tcPr>
            <w:tcW w:w="3034" w:type="dxa"/>
            <w:gridSpan w:val="4"/>
          </w:tcPr>
          <w:p>
            <w:pPr>
              <w:pStyle w:val="TableParagraph"/>
              <w:spacing w:before="4"/>
              <w:rPr>
                <w:sz w:val="15"/>
              </w:rPr>
            </w:pPr>
          </w:p>
          <w:p>
            <w:pPr>
              <w:pStyle w:val="TableParagraph"/>
              <w:spacing w:before="1"/>
              <w:ind w:left="519"/>
              <w:rPr>
                <w:sz w:val="21"/>
              </w:rPr>
            </w:pPr>
            <w:r>
              <w:rPr>
                <w:sz w:val="21"/>
              </w:rPr>
              <w:t>11:30-</w:t>
            </w:r>
            <w:r>
              <w:rPr>
                <w:spacing w:val="-2"/>
                <w:sz w:val="21"/>
              </w:rPr>
              <w:t>14:00（2.5H）</w:t>
            </w: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60"/>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4"/>
              <w:rPr>
                <w:sz w:val="15"/>
              </w:rPr>
            </w:pPr>
          </w:p>
          <w:p>
            <w:pPr>
              <w:pStyle w:val="TableParagraph"/>
              <w:spacing w:before="1"/>
              <w:ind w:left="96" w:right="86"/>
              <w:jc w:val="center"/>
              <w:rPr>
                <w:sz w:val="21"/>
              </w:rPr>
            </w:pPr>
            <w:r>
              <w:rPr>
                <w:spacing w:val="-5"/>
                <w:sz w:val="21"/>
              </w:rPr>
              <w:t>夜班</w:t>
            </w:r>
          </w:p>
        </w:tc>
        <w:tc>
          <w:tcPr>
            <w:tcW w:w="3034" w:type="dxa"/>
            <w:gridSpan w:val="4"/>
          </w:tcPr>
          <w:p>
            <w:pPr>
              <w:pStyle w:val="TableParagraph"/>
              <w:spacing w:before="4"/>
              <w:rPr>
                <w:sz w:val="15"/>
              </w:rPr>
            </w:pPr>
          </w:p>
          <w:p>
            <w:pPr>
              <w:pStyle w:val="TableParagraph"/>
              <w:spacing w:before="1"/>
              <w:ind w:left="125"/>
              <w:rPr>
                <w:sz w:val="21"/>
              </w:rPr>
            </w:pPr>
            <w:r>
              <w:rPr>
                <w:sz w:val="21"/>
              </w:rPr>
              <w:t>17:00</w:t>
            </w:r>
            <w:r>
              <w:rPr>
                <w:spacing w:val="-11"/>
                <w:sz w:val="21"/>
              </w:rPr>
              <w:t xml:space="preserve">-次日早 </w:t>
            </w:r>
            <w:r>
              <w:rPr>
                <w:spacing w:val="-2"/>
                <w:sz w:val="21"/>
              </w:rPr>
              <w:t>6：30（13.5H）</w:t>
            </w: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659"/>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2463" w:type="dxa"/>
            <w:gridSpan w:val="2"/>
          </w:tcPr>
          <w:p>
            <w:pPr>
              <w:pStyle w:val="TableParagraph"/>
              <w:spacing w:before="4"/>
              <w:rPr>
                <w:sz w:val="15"/>
              </w:rPr>
            </w:pPr>
          </w:p>
          <w:p>
            <w:pPr>
              <w:pStyle w:val="TableParagraph"/>
              <w:spacing w:before="1"/>
              <w:ind w:left="496"/>
              <w:rPr>
                <w:sz w:val="21"/>
              </w:rPr>
            </w:pPr>
            <w:r>
              <w:rPr>
                <w:spacing w:val="-2"/>
                <w:sz w:val="21"/>
              </w:rPr>
              <w:t>医疗、生活垃圾</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8"/>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2463" w:type="dxa"/>
            <w:gridSpan w:val="2"/>
          </w:tcPr>
          <w:p>
            <w:pPr>
              <w:pStyle w:val="TableParagraph"/>
              <w:spacing w:before="116"/>
              <w:ind w:left="1006" w:right="996"/>
              <w:jc w:val="center"/>
              <w:rPr>
                <w:sz w:val="21"/>
              </w:rPr>
            </w:pPr>
            <w:r>
              <w:rPr>
                <w:spacing w:val="-5"/>
                <w:sz w:val="21"/>
              </w:rPr>
              <w:t>外围</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8"/>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val="restart"/>
          </w:tcPr>
          <w:p>
            <w:pPr>
              <w:pStyle w:val="TableParagraph"/>
              <w:spacing w:before="12"/>
              <w:rPr>
                <w:sz w:val="28"/>
              </w:rPr>
            </w:pPr>
          </w:p>
          <w:p>
            <w:pPr>
              <w:pStyle w:val="TableParagraph"/>
              <w:ind w:left="230"/>
              <w:rPr>
                <w:sz w:val="21"/>
              </w:rPr>
            </w:pPr>
            <w:r>
              <w:rPr>
                <w:spacing w:val="-5"/>
                <w:sz w:val="21"/>
              </w:rPr>
              <w:t>专项</w:t>
            </w:r>
          </w:p>
        </w:tc>
        <w:tc>
          <w:tcPr>
            <w:tcW w:w="1583" w:type="dxa"/>
          </w:tcPr>
          <w:p>
            <w:pPr>
              <w:pStyle w:val="TableParagraph"/>
              <w:spacing w:before="116"/>
              <w:ind w:left="96" w:right="86"/>
              <w:jc w:val="center"/>
              <w:rPr>
                <w:sz w:val="21"/>
              </w:rPr>
            </w:pPr>
            <w:r>
              <w:rPr>
                <w:spacing w:val="-3"/>
                <w:sz w:val="21"/>
              </w:rPr>
              <w:t>地面保养</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8"/>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880" w:type="dxa"/>
            <w:vMerge/>
            <w:tcBorders>
              <w:top w:val="nil"/>
            </w:tcBorders>
          </w:tcPr>
          <w:p>
            <w:pPr>
              <w:rPr>
                <w:sz w:val="2"/>
                <w:szCs w:val="2"/>
              </w:rPr>
            </w:pPr>
          </w:p>
        </w:tc>
        <w:tc>
          <w:tcPr>
            <w:tcW w:w="1583" w:type="dxa"/>
          </w:tcPr>
          <w:p>
            <w:pPr>
              <w:pStyle w:val="TableParagraph"/>
              <w:spacing w:before="116"/>
              <w:ind w:left="96" w:right="86"/>
              <w:jc w:val="center"/>
              <w:rPr>
                <w:sz w:val="21"/>
              </w:rPr>
            </w:pPr>
            <w:r>
              <w:rPr>
                <w:spacing w:val="-5"/>
                <w:sz w:val="21"/>
              </w:rPr>
              <w:t>玻璃</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8"/>
          <w:jc w:val="left"/>
        </w:trPr>
        <w:tc>
          <w:tcPr>
            <w:tcW w:w="480" w:type="dxa"/>
            <w:vMerge/>
            <w:tcBorders>
              <w:top w:val="nil"/>
            </w:tcBorders>
          </w:tcPr>
          <w:p>
            <w:pPr>
              <w:rPr>
                <w:sz w:val="2"/>
                <w:szCs w:val="2"/>
              </w:rPr>
            </w:pPr>
          </w:p>
        </w:tc>
        <w:tc>
          <w:tcPr>
            <w:tcW w:w="548" w:type="dxa"/>
            <w:vMerge/>
            <w:tcBorders>
              <w:top w:val="nil"/>
            </w:tcBorders>
          </w:tcPr>
          <w:p>
            <w:pPr>
              <w:rPr>
                <w:sz w:val="2"/>
                <w:szCs w:val="2"/>
              </w:rPr>
            </w:pPr>
          </w:p>
        </w:tc>
        <w:tc>
          <w:tcPr>
            <w:tcW w:w="2463" w:type="dxa"/>
            <w:gridSpan w:val="2"/>
          </w:tcPr>
          <w:p>
            <w:pPr>
              <w:pStyle w:val="TableParagraph"/>
              <w:spacing w:before="116"/>
              <w:ind w:left="811"/>
              <w:rPr>
                <w:sz w:val="21"/>
              </w:rPr>
            </w:pPr>
            <w:r>
              <w:rPr>
                <w:spacing w:val="-3"/>
                <w:sz w:val="21"/>
              </w:rPr>
              <w:t>管理干部</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r>
        <w:tblPrEx>
          <w:tblW w:w="0" w:type="auto"/>
          <w:jc w:val="left"/>
          <w:tblInd w:w="465" w:type="dxa"/>
          <w:tblLayout w:type="fixed"/>
          <w:tblCellMar>
            <w:top w:w="0" w:type="dxa"/>
            <w:left w:w="0" w:type="dxa"/>
            <w:bottom w:w="0" w:type="dxa"/>
            <w:right w:w="0" w:type="dxa"/>
          </w:tblCellMar>
          <w:tblLook w:val="01E0"/>
        </w:tblPrEx>
        <w:trPr>
          <w:trHeight w:val="499"/>
          <w:jc w:val="left"/>
        </w:trPr>
        <w:tc>
          <w:tcPr>
            <w:tcW w:w="1028" w:type="dxa"/>
            <w:gridSpan w:val="2"/>
          </w:tcPr>
          <w:p>
            <w:pPr>
              <w:pStyle w:val="TableParagraph"/>
              <w:rPr>
                <w:rFonts w:ascii="Times New Roman"/>
                <w:sz w:val="22"/>
              </w:rPr>
            </w:pPr>
          </w:p>
        </w:tc>
        <w:tc>
          <w:tcPr>
            <w:tcW w:w="2463" w:type="dxa"/>
            <w:gridSpan w:val="2"/>
          </w:tcPr>
          <w:p>
            <w:pPr>
              <w:pStyle w:val="TableParagraph"/>
              <w:spacing w:before="116"/>
              <w:ind w:left="811"/>
              <w:rPr>
                <w:sz w:val="21"/>
              </w:rPr>
            </w:pPr>
            <w:r>
              <w:rPr>
                <w:spacing w:val="-3"/>
                <w:sz w:val="21"/>
              </w:rPr>
              <w:t>绿化人员</w:t>
            </w:r>
          </w:p>
        </w:tc>
        <w:tc>
          <w:tcPr>
            <w:tcW w:w="1187" w:type="dxa"/>
          </w:tcPr>
          <w:p>
            <w:pPr>
              <w:pStyle w:val="TableParagraph"/>
              <w:rPr>
                <w:rFonts w:ascii="Times New Roman"/>
                <w:sz w:val="22"/>
              </w:rPr>
            </w:pPr>
          </w:p>
        </w:tc>
        <w:tc>
          <w:tcPr>
            <w:tcW w:w="396" w:type="dxa"/>
          </w:tcPr>
          <w:p>
            <w:pPr>
              <w:pStyle w:val="TableParagraph"/>
              <w:rPr>
                <w:rFonts w:ascii="Times New Roman"/>
                <w:sz w:val="22"/>
              </w:rPr>
            </w:pPr>
          </w:p>
        </w:tc>
        <w:tc>
          <w:tcPr>
            <w:tcW w:w="1451" w:type="dxa"/>
            <w:gridSpan w:val="2"/>
          </w:tcPr>
          <w:p>
            <w:pPr>
              <w:pStyle w:val="TableParagraph"/>
              <w:rPr>
                <w:rFonts w:ascii="Times New Roman"/>
                <w:sz w:val="22"/>
              </w:rPr>
            </w:pPr>
          </w:p>
        </w:tc>
        <w:tc>
          <w:tcPr>
            <w:tcW w:w="2733" w:type="dxa"/>
          </w:tcPr>
          <w:p>
            <w:pPr>
              <w:pStyle w:val="TableParagraph"/>
              <w:rPr>
                <w:rFonts w:ascii="Times New Roman"/>
                <w:sz w:val="22"/>
              </w:rPr>
            </w:pPr>
          </w:p>
        </w:tc>
      </w:tr>
    </w:tbl>
    <w:p>
      <w:pPr>
        <w:pStyle w:val="BodyText"/>
        <w:rPr>
          <w:sz w:val="20"/>
        </w:rPr>
      </w:pPr>
    </w:p>
    <w:p>
      <w:pPr>
        <w:pStyle w:val="ListParagraph"/>
        <w:numPr>
          <w:ilvl w:val="1"/>
          <w:numId w:val="42"/>
        </w:numPr>
        <w:tabs>
          <w:tab w:val="left" w:pos="898"/>
        </w:tabs>
        <w:spacing w:before="140" w:after="0" w:line="240" w:lineRule="auto"/>
        <w:ind w:left="897" w:right="0" w:hanging="423"/>
        <w:jc w:val="left"/>
        <w:rPr>
          <w:rFonts w:ascii="Microsoft JhengHei" w:eastAsia="Microsoft JhengHei"/>
          <w:b/>
          <w:sz w:val="24"/>
        </w:rPr>
      </w:pPr>
      <w:r>
        <w:rPr>
          <w:rFonts w:ascii="Microsoft JhengHei" w:eastAsia="Microsoft JhengHei"/>
          <w:b/>
          <w:spacing w:val="-1"/>
          <w:sz w:val="24"/>
        </w:rPr>
        <w:t>保洁执行程序及质量标准</w:t>
      </w:r>
    </w:p>
    <w:p>
      <w:pPr>
        <w:pStyle w:val="BodyText"/>
        <w:spacing w:before="105"/>
        <w:ind w:left="475" w:firstLine="480"/>
      </w:pPr>
      <w:r>
        <w:rPr>
          <w:spacing w:val="-1"/>
        </w:rPr>
        <w:t>保洁工作包括日常清洁、消毒工作及专项清洁，以满足医护人员、病人对环境保洁</w:t>
      </w:r>
    </w:p>
    <w:p>
      <w:pPr>
        <w:spacing w:before="26" w:line="466" w:lineRule="exact"/>
        <w:ind w:left="475" w:right="875" w:firstLine="0"/>
        <w:jc w:val="both"/>
        <w:rPr>
          <w:sz w:val="24"/>
        </w:rPr>
      </w:pPr>
      <w:r>
        <w:rPr>
          <w:spacing w:val="-2"/>
          <w:sz w:val="24"/>
        </w:rPr>
        <w:t>的基本需求，而专项清洁则是为更好满足需求而做的进一步服务，同时专项清洁对内建</w:t>
      </w:r>
      <w:r>
        <w:rPr>
          <w:spacing w:val="-18"/>
          <w:sz w:val="24"/>
        </w:rPr>
        <w:t>筑的维护保养，延长其使用寿命方面发挥着重要作用。</w:t>
      </w:r>
      <w:r>
        <w:rPr>
          <w:spacing w:val="-2"/>
          <w:sz w:val="24"/>
        </w:rPr>
        <w:t>（</w:t>
      </w:r>
      <w:r>
        <w:rPr>
          <w:rFonts w:ascii="Microsoft JhengHei" w:eastAsia="Microsoft JhengHei"/>
          <w:b/>
          <w:spacing w:val="-2"/>
          <w:sz w:val="24"/>
        </w:rPr>
        <w:t>生活垃圾袋及医疗垃圾袋不含在</w:t>
      </w:r>
      <w:r>
        <w:rPr>
          <w:rFonts w:ascii="Microsoft JhengHei" w:eastAsia="Microsoft JhengHei"/>
          <w:b/>
          <w:spacing w:val="-2"/>
          <w:sz w:val="24"/>
        </w:rPr>
        <w:t>本次招标报价范围内；医疗器械的浸泡消毒剂由招标人负责，其他消耗均由中标人负责</w:t>
      </w:r>
      <w:r>
        <w:rPr>
          <w:rFonts w:ascii="Microsoft JhengHei" w:eastAsia="Microsoft JhengHei"/>
          <w:b/>
          <w:spacing w:val="-17"/>
          <w:sz w:val="24"/>
        </w:rPr>
        <w:t>并计入报价范围。</w:t>
      </w:r>
      <w:r>
        <w:rPr>
          <w:spacing w:val="-2"/>
          <w:sz w:val="24"/>
        </w:rPr>
        <w:t>）</w:t>
      </w:r>
    </w:p>
    <w:p>
      <w:pPr>
        <w:pStyle w:val="BodyText"/>
      </w:pPr>
    </w:p>
    <w:p>
      <w:pPr>
        <w:pStyle w:val="BodyText"/>
        <w:spacing w:before="1"/>
        <w:rPr>
          <w:sz w:val="23"/>
        </w:rPr>
      </w:pPr>
    </w:p>
    <w:p>
      <w:pPr>
        <w:pStyle w:val="ListParagraph"/>
        <w:numPr>
          <w:ilvl w:val="2"/>
          <w:numId w:val="42"/>
        </w:numPr>
        <w:tabs>
          <w:tab w:val="left" w:pos="1076"/>
        </w:tabs>
        <w:spacing w:before="0" w:after="0" w:line="240" w:lineRule="auto"/>
        <w:ind w:left="1076" w:right="0" w:hanging="601"/>
        <w:jc w:val="left"/>
        <w:rPr>
          <w:sz w:val="24"/>
        </w:rPr>
      </w:pPr>
      <w:r>
        <w:rPr>
          <w:spacing w:val="-2"/>
          <w:sz w:val="24"/>
        </w:rPr>
        <w:t>、日常清洁</w:t>
      </w:r>
    </w:p>
    <w:p>
      <w:pPr>
        <w:pStyle w:val="ListParagraph"/>
        <w:numPr>
          <w:ilvl w:val="3"/>
          <w:numId w:val="42"/>
        </w:numPr>
        <w:tabs>
          <w:tab w:val="left" w:pos="1466"/>
        </w:tabs>
        <w:spacing w:before="181" w:after="0" w:line="240" w:lineRule="auto"/>
        <w:ind w:left="1466" w:right="0" w:hanging="900"/>
        <w:jc w:val="left"/>
        <w:rPr>
          <w:sz w:val="24"/>
        </w:rPr>
      </w:pPr>
      <w:r>
        <w:rPr>
          <w:spacing w:val="-2"/>
          <w:sz w:val="24"/>
        </w:rPr>
        <w:t>行政办公楼</w:t>
      </w:r>
    </w:p>
    <w:p>
      <w:pPr>
        <w:pStyle w:val="BodyText"/>
        <w:spacing w:before="10" w:after="1"/>
        <w:rPr>
          <w:sz w:val="13"/>
        </w:rPr>
      </w:pPr>
    </w:p>
    <w:tbl>
      <w:tblPr>
        <w:tblStyle w:val="TableNormal7"/>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66"/>
          <w:jc w:val="left"/>
        </w:trPr>
        <w:tc>
          <w:tcPr>
            <w:tcW w:w="1280" w:type="dxa"/>
          </w:tcPr>
          <w:p>
            <w:pPr>
              <w:pStyle w:val="TableParagraph"/>
              <w:spacing w:before="3"/>
              <w:ind w:left="400"/>
              <w:rPr>
                <w:sz w:val="24"/>
              </w:rPr>
            </w:pPr>
            <w:r>
              <w:rPr>
                <w:spacing w:val="-5"/>
                <w:sz w:val="24"/>
              </w:rPr>
              <w:t>区域</w:t>
            </w:r>
          </w:p>
        </w:tc>
        <w:tc>
          <w:tcPr>
            <w:tcW w:w="1080" w:type="dxa"/>
          </w:tcPr>
          <w:p>
            <w:pPr>
              <w:pStyle w:val="TableParagraph"/>
              <w:spacing w:before="3"/>
              <w:ind w:left="285" w:right="265"/>
              <w:jc w:val="center"/>
              <w:rPr>
                <w:sz w:val="24"/>
              </w:rPr>
            </w:pPr>
            <w:r>
              <w:rPr>
                <w:spacing w:val="-5"/>
                <w:sz w:val="24"/>
              </w:rPr>
              <w:t>序号</w:t>
            </w:r>
          </w:p>
        </w:tc>
        <w:tc>
          <w:tcPr>
            <w:tcW w:w="5840" w:type="dxa"/>
          </w:tcPr>
          <w:p>
            <w:pPr>
              <w:pStyle w:val="TableParagraph"/>
              <w:spacing w:before="3"/>
              <w:ind w:left="2246" w:right="2227"/>
              <w:jc w:val="center"/>
              <w:rPr>
                <w:sz w:val="24"/>
              </w:rPr>
            </w:pPr>
            <w:r>
              <w:rPr>
                <w:spacing w:val="-3"/>
                <w:sz w:val="24"/>
              </w:rPr>
              <w:t>保洁内容</w:t>
            </w:r>
          </w:p>
        </w:tc>
        <w:tc>
          <w:tcPr>
            <w:tcW w:w="1700" w:type="dxa"/>
          </w:tcPr>
          <w:p>
            <w:pPr>
              <w:pStyle w:val="TableParagraph"/>
              <w:spacing w:before="3"/>
              <w:ind w:right="349"/>
              <w:jc w:val="right"/>
              <w:rPr>
                <w:sz w:val="24"/>
              </w:rPr>
            </w:pPr>
            <w:r>
              <w:rPr>
                <w:spacing w:val="-3"/>
                <w:sz w:val="24"/>
              </w:rPr>
              <w:t>保洁周期</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val="restart"/>
          </w:tcPr>
          <w:p>
            <w:pPr>
              <w:pStyle w:val="TableParagraph"/>
              <w:rPr>
                <w:sz w:val="24"/>
              </w:rPr>
            </w:pPr>
          </w:p>
          <w:p>
            <w:pPr>
              <w:pStyle w:val="TableParagraph"/>
              <w:rPr>
                <w:sz w:val="24"/>
              </w:rPr>
            </w:pPr>
          </w:p>
          <w:p>
            <w:pPr>
              <w:pStyle w:val="TableParagraph"/>
              <w:rPr>
                <w:sz w:val="18"/>
              </w:rPr>
            </w:pPr>
          </w:p>
          <w:p>
            <w:pPr>
              <w:pStyle w:val="TableParagraph"/>
              <w:spacing w:before="1" w:line="187" w:lineRule="auto"/>
              <w:ind w:left="894" w:right="123"/>
              <w:jc w:val="both"/>
              <w:rPr>
                <w:sz w:val="24"/>
              </w:rPr>
            </w:pPr>
            <w:r>
              <w:rPr>
                <w:spacing w:val="-10"/>
                <w:sz w:val="24"/>
              </w:rPr>
              <w:t>行</w:t>
            </w:r>
            <w:r>
              <w:rPr>
                <w:spacing w:val="-10"/>
                <w:sz w:val="24"/>
              </w:rPr>
              <w:t>政</w:t>
            </w:r>
            <w:r>
              <w:rPr>
                <w:spacing w:val="-10"/>
                <w:sz w:val="24"/>
              </w:rPr>
              <w:t>办</w:t>
            </w:r>
            <w:r>
              <w:rPr>
                <w:spacing w:val="-10"/>
                <w:sz w:val="24"/>
              </w:rPr>
              <w:t>公</w:t>
            </w:r>
            <w:r>
              <w:rPr>
                <w:spacing w:val="-10"/>
                <w:sz w:val="24"/>
              </w:rPr>
              <w:t>楼</w:t>
            </w:r>
          </w:p>
        </w:tc>
        <w:tc>
          <w:tcPr>
            <w:tcW w:w="1080" w:type="dxa"/>
          </w:tcPr>
          <w:p>
            <w:pPr>
              <w:pStyle w:val="TableParagraph"/>
              <w:spacing w:before="47"/>
              <w:ind w:left="20"/>
              <w:jc w:val="center"/>
              <w:rPr>
                <w:sz w:val="24"/>
              </w:rPr>
            </w:pPr>
            <w:r>
              <w:rPr>
                <w:sz w:val="24"/>
              </w:rPr>
              <w:t>1</w:t>
            </w:r>
          </w:p>
        </w:tc>
        <w:tc>
          <w:tcPr>
            <w:tcW w:w="5840" w:type="dxa"/>
          </w:tcPr>
          <w:p>
            <w:pPr>
              <w:pStyle w:val="TableParagraph"/>
              <w:spacing w:before="47"/>
              <w:ind w:left="108"/>
              <w:rPr>
                <w:sz w:val="24"/>
              </w:rPr>
            </w:pPr>
            <w:r>
              <w:rPr>
                <w:spacing w:val="-2"/>
                <w:sz w:val="24"/>
              </w:rPr>
              <w:t>地面牵尘、拖擦</w:t>
            </w:r>
          </w:p>
        </w:tc>
        <w:tc>
          <w:tcPr>
            <w:tcW w:w="1700" w:type="dxa"/>
          </w:tcPr>
          <w:p>
            <w:pPr>
              <w:pStyle w:val="TableParagraph"/>
              <w:spacing w:before="47"/>
              <w:ind w:right="349"/>
              <w:jc w:val="right"/>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20"/>
              <w:jc w:val="center"/>
              <w:rPr>
                <w:sz w:val="24"/>
              </w:rPr>
            </w:pPr>
            <w:r>
              <w:rPr>
                <w:sz w:val="24"/>
              </w:rPr>
              <w:t>2</w:t>
            </w:r>
          </w:p>
        </w:tc>
        <w:tc>
          <w:tcPr>
            <w:tcW w:w="5840" w:type="dxa"/>
          </w:tcPr>
          <w:p>
            <w:pPr>
              <w:pStyle w:val="TableParagraph"/>
              <w:spacing w:before="47"/>
              <w:ind w:left="108"/>
              <w:rPr>
                <w:sz w:val="24"/>
              </w:rPr>
            </w:pPr>
            <w:r>
              <w:rPr>
                <w:spacing w:val="-1"/>
                <w:sz w:val="24"/>
              </w:rPr>
              <w:t>楼梯扶手擦拭及步行梯拖擦</w:t>
            </w:r>
          </w:p>
        </w:tc>
        <w:tc>
          <w:tcPr>
            <w:tcW w:w="1700" w:type="dxa"/>
          </w:tcPr>
          <w:p>
            <w:pPr>
              <w:pStyle w:val="TableParagraph"/>
              <w:spacing w:before="47"/>
              <w:ind w:right="349"/>
              <w:jc w:val="right"/>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20"/>
              <w:jc w:val="center"/>
              <w:rPr>
                <w:sz w:val="24"/>
              </w:rPr>
            </w:pPr>
            <w:r>
              <w:rPr>
                <w:sz w:val="24"/>
              </w:rPr>
              <w:t>3</w:t>
            </w:r>
          </w:p>
        </w:tc>
        <w:tc>
          <w:tcPr>
            <w:tcW w:w="5840" w:type="dxa"/>
          </w:tcPr>
          <w:p>
            <w:pPr>
              <w:pStyle w:val="TableParagraph"/>
              <w:spacing w:before="47"/>
              <w:ind w:left="108"/>
              <w:rPr>
                <w:sz w:val="24"/>
              </w:rPr>
            </w:pPr>
            <w:r>
              <w:rPr>
                <w:spacing w:val="-1"/>
                <w:sz w:val="24"/>
              </w:rPr>
              <w:t>洗手间、镜子、玻璃清洁和擦拭</w:t>
            </w:r>
          </w:p>
        </w:tc>
        <w:tc>
          <w:tcPr>
            <w:tcW w:w="1700" w:type="dxa"/>
          </w:tcPr>
          <w:p>
            <w:pPr>
              <w:pStyle w:val="TableParagraph"/>
              <w:spacing w:before="47"/>
              <w:ind w:right="349"/>
              <w:jc w:val="right"/>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20"/>
              <w:jc w:val="center"/>
              <w:rPr>
                <w:sz w:val="24"/>
              </w:rPr>
            </w:pPr>
            <w:r>
              <w:rPr>
                <w:sz w:val="24"/>
              </w:rPr>
              <w:t>4</w:t>
            </w:r>
          </w:p>
        </w:tc>
        <w:tc>
          <w:tcPr>
            <w:tcW w:w="5840" w:type="dxa"/>
          </w:tcPr>
          <w:p>
            <w:pPr>
              <w:pStyle w:val="TableParagraph"/>
              <w:spacing w:before="47"/>
              <w:ind w:left="108"/>
              <w:rPr>
                <w:sz w:val="24"/>
              </w:rPr>
            </w:pPr>
            <w:r>
              <w:rPr>
                <w:spacing w:val="-2"/>
                <w:sz w:val="24"/>
              </w:rPr>
              <w:t>饮水机擦拭</w:t>
            </w:r>
          </w:p>
        </w:tc>
        <w:tc>
          <w:tcPr>
            <w:tcW w:w="1700" w:type="dxa"/>
          </w:tcPr>
          <w:p>
            <w:pPr>
              <w:pStyle w:val="TableParagraph"/>
              <w:spacing w:before="47"/>
              <w:ind w:right="349"/>
              <w:jc w:val="right"/>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20"/>
              <w:jc w:val="center"/>
              <w:rPr>
                <w:sz w:val="24"/>
              </w:rPr>
            </w:pPr>
            <w:r>
              <w:rPr>
                <w:sz w:val="24"/>
              </w:rPr>
              <w:t>5</w:t>
            </w:r>
          </w:p>
        </w:tc>
        <w:tc>
          <w:tcPr>
            <w:tcW w:w="5840" w:type="dxa"/>
          </w:tcPr>
          <w:p>
            <w:pPr>
              <w:pStyle w:val="TableParagraph"/>
              <w:spacing w:before="47"/>
              <w:ind w:left="108"/>
              <w:rPr>
                <w:sz w:val="24"/>
              </w:rPr>
            </w:pPr>
            <w:r>
              <w:rPr>
                <w:spacing w:val="-2"/>
                <w:sz w:val="24"/>
              </w:rPr>
              <w:t>垃圾桶清倒、擦拭</w:t>
            </w:r>
          </w:p>
        </w:tc>
        <w:tc>
          <w:tcPr>
            <w:tcW w:w="1700" w:type="dxa"/>
          </w:tcPr>
          <w:p>
            <w:pPr>
              <w:pStyle w:val="TableParagraph"/>
              <w:spacing w:before="47"/>
              <w:ind w:right="349"/>
              <w:jc w:val="right"/>
              <w:rPr>
                <w:sz w:val="24"/>
              </w:rPr>
            </w:pPr>
            <w:r>
              <w:rPr>
                <w:spacing w:val="-20"/>
                <w:sz w:val="24"/>
              </w:rPr>
              <w:t xml:space="preserve">每日 </w:t>
            </w:r>
            <w:r>
              <w:rPr>
                <w:sz w:val="24"/>
              </w:rPr>
              <w:t>1</w:t>
            </w:r>
            <w:r>
              <w:rPr>
                <w:spacing w:val="-35"/>
                <w:sz w:val="24"/>
              </w:rPr>
              <w:t xml:space="preserve"> 次</w:t>
            </w:r>
          </w:p>
        </w:tc>
      </w:tr>
    </w:tbl>
    <w:p>
      <w:pPr>
        <w:spacing w:after="0"/>
        <w:jc w:val="right"/>
        <w:rPr>
          <w:sz w:val="24"/>
        </w:rPr>
        <w:sectPr>
          <w:headerReference w:type="default" r:id="rId65"/>
          <w:footerReference w:type="default" r:id="rId66"/>
          <w:pgSz w:w="11910" w:h="16840"/>
          <w:pgMar w:top="1240" w:right="320" w:bottom="1180" w:left="1100" w:header="884" w:footer="991"/>
          <w:pgNumType w:start="28"/>
          <w:cols w:space="708"/>
        </w:sectPr>
      </w:pPr>
    </w:p>
    <w:p>
      <w:pPr>
        <w:pStyle w:val="BodyText"/>
        <w:spacing w:before="11"/>
        <w:rPr>
          <w:sz w:val="7"/>
        </w:rPr>
      </w:pPr>
    </w:p>
    <w:tbl>
      <w:tblPr>
        <w:tblStyle w:val="TableNormal8"/>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555"/>
          <w:jc w:val="left"/>
        </w:trPr>
        <w:tc>
          <w:tcPr>
            <w:tcW w:w="1280" w:type="dxa"/>
            <w:vMerge w:val="restart"/>
            <w:tcBorders>
              <w:top w:val="nil"/>
            </w:tcBorders>
          </w:tcPr>
          <w:p>
            <w:pPr>
              <w:pStyle w:val="TableParagraph"/>
              <w:rPr>
                <w:rFonts w:ascii="Times New Roman"/>
                <w:sz w:val="22"/>
              </w:rPr>
            </w:pPr>
          </w:p>
        </w:tc>
        <w:tc>
          <w:tcPr>
            <w:tcW w:w="1080" w:type="dxa"/>
            <w:tcBorders>
              <w:top w:val="nil"/>
            </w:tcBorders>
          </w:tcPr>
          <w:p>
            <w:pPr>
              <w:pStyle w:val="TableParagraph"/>
              <w:spacing w:before="47"/>
              <w:ind w:left="480"/>
              <w:rPr>
                <w:sz w:val="24"/>
              </w:rPr>
            </w:pPr>
            <w:r>
              <w:rPr>
                <w:sz w:val="24"/>
              </w:rPr>
              <w:t>6</w:t>
            </w:r>
          </w:p>
        </w:tc>
        <w:tc>
          <w:tcPr>
            <w:tcW w:w="5840" w:type="dxa"/>
            <w:tcBorders>
              <w:top w:val="nil"/>
            </w:tcBorders>
          </w:tcPr>
          <w:p>
            <w:pPr>
              <w:pStyle w:val="TableParagraph"/>
              <w:spacing w:before="47"/>
              <w:ind w:left="108"/>
              <w:rPr>
                <w:sz w:val="24"/>
              </w:rPr>
            </w:pPr>
            <w:r>
              <w:rPr>
                <w:spacing w:val="-2"/>
                <w:sz w:val="24"/>
              </w:rPr>
              <w:t>走廊墙面低处抹尘</w:t>
            </w:r>
          </w:p>
        </w:tc>
        <w:tc>
          <w:tcPr>
            <w:tcW w:w="1700" w:type="dxa"/>
            <w:tcBorders>
              <w:top w:val="nil"/>
            </w:tcBorders>
          </w:tcPr>
          <w:p>
            <w:pPr>
              <w:pStyle w:val="TableParagraph"/>
              <w:spacing w:before="47"/>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25"/>
          <w:jc w:val="left"/>
        </w:trPr>
        <w:tc>
          <w:tcPr>
            <w:tcW w:w="1280" w:type="dxa"/>
            <w:vMerge/>
            <w:tcBorders>
              <w:top w:val="nil"/>
            </w:tcBorders>
          </w:tcPr>
          <w:p>
            <w:pPr>
              <w:rPr>
                <w:sz w:val="2"/>
                <w:szCs w:val="2"/>
              </w:rPr>
            </w:pPr>
          </w:p>
        </w:tc>
        <w:tc>
          <w:tcPr>
            <w:tcW w:w="1080" w:type="dxa"/>
          </w:tcPr>
          <w:p>
            <w:pPr>
              <w:pStyle w:val="TableParagraph"/>
              <w:spacing w:before="32"/>
              <w:ind w:left="480"/>
              <w:rPr>
                <w:sz w:val="24"/>
              </w:rPr>
            </w:pPr>
            <w:r>
              <w:rPr>
                <w:sz w:val="24"/>
              </w:rPr>
              <w:t>7</w:t>
            </w:r>
          </w:p>
        </w:tc>
        <w:tc>
          <w:tcPr>
            <w:tcW w:w="5840" w:type="dxa"/>
          </w:tcPr>
          <w:p>
            <w:pPr>
              <w:pStyle w:val="TableParagraph"/>
              <w:spacing w:before="32"/>
              <w:ind w:left="108"/>
              <w:rPr>
                <w:sz w:val="24"/>
              </w:rPr>
            </w:pPr>
            <w:r>
              <w:rPr>
                <w:sz w:val="24"/>
              </w:rPr>
              <w:t>家俱等物表清洁（院长、副院长、书记、副书记</w:t>
            </w:r>
            <w:r>
              <w:rPr>
                <w:spacing w:val="-10"/>
                <w:sz w:val="24"/>
              </w:rPr>
              <w:t>）</w:t>
            </w:r>
          </w:p>
        </w:tc>
        <w:tc>
          <w:tcPr>
            <w:tcW w:w="1700" w:type="dxa"/>
          </w:tcPr>
          <w:p>
            <w:pPr>
              <w:pStyle w:val="TableParagraph"/>
              <w:spacing w:before="32"/>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25"/>
          <w:jc w:val="left"/>
        </w:trPr>
        <w:tc>
          <w:tcPr>
            <w:tcW w:w="1280" w:type="dxa"/>
            <w:vMerge/>
            <w:tcBorders>
              <w:top w:val="nil"/>
            </w:tcBorders>
          </w:tcPr>
          <w:p>
            <w:pPr>
              <w:rPr>
                <w:sz w:val="2"/>
                <w:szCs w:val="2"/>
              </w:rPr>
            </w:pPr>
          </w:p>
        </w:tc>
        <w:tc>
          <w:tcPr>
            <w:tcW w:w="1080" w:type="dxa"/>
          </w:tcPr>
          <w:p>
            <w:pPr>
              <w:pStyle w:val="TableParagraph"/>
              <w:spacing w:before="32"/>
              <w:ind w:left="480"/>
              <w:rPr>
                <w:sz w:val="24"/>
              </w:rPr>
            </w:pPr>
            <w:r>
              <w:rPr>
                <w:sz w:val="24"/>
              </w:rPr>
              <w:t>8</w:t>
            </w:r>
          </w:p>
        </w:tc>
        <w:tc>
          <w:tcPr>
            <w:tcW w:w="5840" w:type="dxa"/>
          </w:tcPr>
          <w:p>
            <w:pPr>
              <w:pStyle w:val="TableParagraph"/>
              <w:spacing w:before="32"/>
              <w:ind w:left="108"/>
              <w:rPr>
                <w:sz w:val="24"/>
              </w:rPr>
            </w:pPr>
            <w:r>
              <w:rPr>
                <w:spacing w:val="-2"/>
                <w:sz w:val="24"/>
              </w:rPr>
              <w:t>花盆、花瓶擦拭</w:t>
            </w:r>
          </w:p>
        </w:tc>
        <w:tc>
          <w:tcPr>
            <w:tcW w:w="1700" w:type="dxa"/>
          </w:tcPr>
          <w:p>
            <w:pPr>
              <w:pStyle w:val="TableParagraph"/>
              <w:spacing w:before="32"/>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480"/>
              <w:rPr>
                <w:sz w:val="24"/>
              </w:rPr>
            </w:pPr>
            <w:r>
              <w:rPr>
                <w:sz w:val="24"/>
              </w:rPr>
              <w:t>9</w:t>
            </w:r>
          </w:p>
        </w:tc>
        <w:tc>
          <w:tcPr>
            <w:tcW w:w="5840" w:type="dxa"/>
          </w:tcPr>
          <w:p>
            <w:pPr>
              <w:pStyle w:val="TableParagraph"/>
              <w:spacing w:before="47"/>
              <w:ind w:left="108"/>
              <w:rPr>
                <w:sz w:val="24"/>
              </w:rPr>
            </w:pPr>
            <w:r>
              <w:rPr>
                <w:spacing w:val="-2"/>
                <w:sz w:val="24"/>
              </w:rPr>
              <w:t>地面及步行梯清洗</w:t>
            </w:r>
          </w:p>
        </w:tc>
        <w:tc>
          <w:tcPr>
            <w:tcW w:w="1700" w:type="dxa"/>
          </w:tcPr>
          <w:p>
            <w:pPr>
              <w:pStyle w:val="TableParagraph"/>
              <w:spacing w:before="47"/>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420"/>
              <w:rPr>
                <w:sz w:val="24"/>
              </w:rPr>
            </w:pPr>
            <w:r>
              <w:rPr>
                <w:spacing w:val="-5"/>
                <w:sz w:val="24"/>
              </w:rPr>
              <w:t>10</w:t>
            </w:r>
          </w:p>
        </w:tc>
        <w:tc>
          <w:tcPr>
            <w:tcW w:w="5840" w:type="dxa"/>
          </w:tcPr>
          <w:p>
            <w:pPr>
              <w:pStyle w:val="TableParagraph"/>
              <w:spacing w:before="47"/>
              <w:ind w:left="108"/>
              <w:rPr>
                <w:sz w:val="24"/>
              </w:rPr>
            </w:pPr>
            <w:r>
              <w:rPr>
                <w:spacing w:val="-3"/>
                <w:sz w:val="24"/>
              </w:rPr>
              <w:t>天台清扫</w:t>
            </w:r>
          </w:p>
        </w:tc>
        <w:tc>
          <w:tcPr>
            <w:tcW w:w="1700" w:type="dxa"/>
          </w:tcPr>
          <w:p>
            <w:pPr>
              <w:pStyle w:val="TableParagraph"/>
              <w:spacing w:before="47"/>
              <w:ind w:left="20"/>
              <w:jc w:val="center"/>
              <w:rPr>
                <w:sz w:val="24"/>
              </w:rPr>
            </w:pPr>
            <w:r>
              <w:rPr>
                <w:spacing w:val="-20"/>
                <w:sz w:val="24"/>
              </w:rPr>
              <w:t xml:space="preserve">每月 </w:t>
            </w:r>
            <w:r>
              <w:rPr>
                <w:sz w:val="24"/>
              </w:rPr>
              <w:t>2</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420"/>
              <w:rPr>
                <w:sz w:val="24"/>
              </w:rPr>
            </w:pPr>
            <w:r>
              <w:rPr>
                <w:spacing w:val="-5"/>
                <w:sz w:val="24"/>
              </w:rPr>
              <w:t>11</w:t>
            </w:r>
          </w:p>
        </w:tc>
        <w:tc>
          <w:tcPr>
            <w:tcW w:w="5840" w:type="dxa"/>
          </w:tcPr>
          <w:p>
            <w:pPr>
              <w:pStyle w:val="TableParagraph"/>
              <w:spacing w:before="47"/>
              <w:ind w:left="108"/>
              <w:rPr>
                <w:sz w:val="24"/>
              </w:rPr>
            </w:pPr>
            <w:r>
              <w:rPr>
                <w:spacing w:val="-1"/>
                <w:sz w:val="24"/>
              </w:rPr>
              <w:t>天花板、门、门框、窗户清洁</w:t>
            </w:r>
          </w:p>
        </w:tc>
        <w:tc>
          <w:tcPr>
            <w:tcW w:w="1700" w:type="dxa"/>
          </w:tcPr>
          <w:p>
            <w:pPr>
              <w:pStyle w:val="TableParagraph"/>
              <w:spacing w:before="47"/>
              <w:ind w:left="20"/>
              <w:jc w:val="center"/>
              <w:rPr>
                <w:sz w:val="24"/>
              </w:rPr>
            </w:pPr>
            <w:r>
              <w:rPr>
                <w:spacing w:val="-20"/>
                <w:sz w:val="24"/>
              </w:rPr>
              <w:t xml:space="preserve">每月 </w:t>
            </w:r>
            <w:r>
              <w:rPr>
                <w:sz w:val="24"/>
              </w:rPr>
              <w:t>2</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47"/>
              <w:ind w:left="420"/>
              <w:rPr>
                <w:sz w:val="24"/>
              </w:rPr>
            </w:pPr>
            <w:r>
              <w:rPr>
                <w:spacing w:val="-5"/>
                <w:sz w:val="24"/>
              </w:rPr>
              <w:t>12</w:t>
            </w:r>
          </w:p>
        </w:tc>
        <w:tc>
          <w:tcPr>
            <w:tcW w:w="5840" w:type="dxa"/>
          </w:tcPr>
          <w:p>
            <w:pPr>
              <w:pStyle w:val="TableParagraph"/>
              <w:spacing w:before="47"/>
              <w:ind w:left="108"/>
              <w:rPr>
                <w:sz w:val="24"/>
              </w:rPr>
            </w:pPr>
            <w:r>
              <w:rPr>
                <w:spacing w:val="-1"/>
                <w:sz w:val="24"/>
              </w:rPr>
              <w:t>消防箱、意见箱等擦拭</w:t>
            </w:r>
          </w:p>
        </w:tc>
        <w:tc>
          <w:tcPr>
            <w:tcW w:w="1700" w:type="dxa"/>
          </w:tcPr>
          <w:p>
            <w:pPr>
              <w:pStyle w:val="TableParagraph"/>
              <w:spacing w:before="47"/>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555"/>
          <w:jc w:val="left"/>
        </w:trPr>
        <w:tc>
          <w:tcPr>
            <w:tcW w:w="1280" w:type="dxa"/>
            <w:vMerge/>
            <w:tcBorders>
              <w:top w:val="nil"/>
            </w:tcBorders>
          </w:tcPr>
          <w:p>
            <w:pPr>
              <w:rPr>
                <w:sz w:val="2"/>
                <w:szCs w:val="2"/>
              </w:rPr>
            </w:pPr>
          </w:p>
        </w:tc>
        <w:tc>
          <w:tcPr>
            <w:tcW w:w="1080" w:type="dxa"/>
          </w:tcPr>
          <w:p>
            <w:pPr>
              <w:pStyle w:val="TableParagraph"/>
              <w:spacing w:before="96"/>
              <w:ind w:left="435"/>
              <w:rPr>
                <w:rFonts w:ascii="Times New Roman"/>
                <w:sz w:val="21"/>
              </w:rPr>
            </w:pPr>
            <w:r>
              <w:rPr>
                <w:rFonts w:ascii="Times New Roman"/>
                <w:spacing w:val="-5"/>
                <w:sz w:val="21"/>
              </w:rPr>
              <w:t>13</w:t>
            </w:r>
          </w:p>
        </w:tc>
        <w:tc>
          <w:tcPr>
            <w:tcW w:w="5840" w:type="dxa"/>
          </w:tcPr>
          <w:p>
            <w:pPr>
              <w:pStyle w:val="TableParagraph"/>
              <w:spacing w:before="47"/>
              <w:ind w:left="108"/>
              <w:rPr>
                <w:sz w:val="24"/>
              </w:rPr>
            </w:pPr>
            <w:r>
              <w:rPr>
                <w:spacing w:val="-3"/>
                <w:sz w:val="24"/>
              </w:rPr>
              <w:t>巡视保洁</w:t>
            </w:r>
          </w:p>
        </w:tc>
        <w:tc>
          <w:tcPr>
            <w:tcW w:w="1700" w:type="dxa"/>
          </w:tcPr>
          <w:p>
            <w:pPr>
              <w:pStyle w:val="TableParagraph"/>
              <w:spacing w:before="47"/>
              <w:ind w:left="20"/>
              <w:jc w:val="center"/>
              <w:rPr>
                <w:sz w:val="24"/>
              </w:rPr>
            </w:pPr>
            <w:r>
              <w:rPr>
                <w:spacing w:val="-5"/>
                <w:sz w:val="24"/>
              </w:rPr>
              <w:t>随时</w:t>
            </w:r>
          </w:p>
        </w:tc>
      </w:tr>
    </w:tbl>
    <w:p>
      <w:pPr>
        <w:pStyle w:val="BodyText"/>
        <w:rPr>
          <w:sz w:val="20"/>
        </w:rPr>
      </w:pPr>
    </w:p>
    <w:p>
      <w:pPr>
        <w:pStyle w:val="BodyText"/>
        <w:spacing w:before="6"/>
        <w:rPr>
          <w:sz w:val="17"/>
        </w:rPr>
      </w:pPr>
    </w:p>
    <w:p>
      <w:pPr>
        <w:pStyle w:val="ListParagraph"/>
        <w:numPr>
          <w:ilvl w:val="3"/>
          <w:numId w:val="42"/>
        </w:numPr>
        <w:tabs>
          <w:tab w:val="left" w:pos="1466"/>
        </w:tabs>
        <w:spacing w:before="0" w:after="0" w:line="240" w:lineRule="auto"/>
        <w:ind w:left="1466" w:right="0" w:hanging="900"/>
        <w:jc w:val="left"/>
        <w:rPr>
          <w:sz w:val="24"/>
        </w:rPr>
      </w:pPr>
      <w:r>
        <w:rPr>
          <w:spacing w:val="-5"/>
          <w:sz w:val="24"/>
        </w:rPr>
        <w:t>病区</w:t>
      </w:r>
    </w:p>
    <w:p>
      <w:pPr>
        <w:pStyle w:val="BodyText"/>
        <w:rPr>
          <w:sz w:val="20"/>
        </w:rPr>
      </w:pPr>
    </w:p>
    <w:p>
      <w:pPr>
        <w:pStyle w:val="BodyText"/>
        <w:spacing w:before="8"/>
        <w:rPr>
          <w:sz w:val="28"/>
        </w:rPr>
      </w:pPr>
    </w:p>
    <w:tbl>
      <w:tblPr>
        <w:tblStyle w:val="TableNormal8"/>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66"/>
          <w:jc w:val="left"/>
        </w:trPr>
        <w:tc>
          <w:tcPr>
            <w:tcW w:w="1280" w:type="dxa"/>
            <w:tcBorders>
              <w:bottom w:val="single" w:sz="6" w:space="0" w:color="000000"/>
              <w:right w:val="single" w:sz="6" w:space="0" w:color="000000"/>
            </w:tcBorders>
          </w:tcPr>
          <w:p>
            <w:pPr>
              <w:pStyle w:val="TableParagraph"/>
              <w:spacing w:before="3"/>
              <w:ind w:left="340"/>
              <w:rPr>
                <w:sz w:val="24"/>
              </w:rPr>
            </w:pPr>
            <w:r>
              <w:rPr>
                <w:spacing w:val="-4"/>
                <w:sz w:val="24"/>
              </w:rPr>
              <w:t>区 域</w:t>
            </w:r>
          </w:p>
        </w:tc>
        <w:tc>
          <w:tcPr>
            <w:tcW w:w="1080" w:type="dxa"/>
            <w:tcBorders>
              <w:left w:val="single" w:sz="6" w:space="0" w:color="000000"/>
              <w:bottom w:val="single" w:sz="6" w:space="0" w:color="000000"/>
            </w:tcBorders>
          </w:tcPr>
          <w:p>
            <w:pPr>
              <w:pStyle w:val="TableParagraph"/>
              <w:spacing w:before="3"/>
              <w:ind w:left="227" w:right="207"/>
              <w:jc w:val="center"/>
              <w:rPr>
                <w:sz w:val="24"/>
              </w:rPr>
            </w:pPr>
            <w:r>
              <w:rPr>
                <w:spacing w:val="-4"/>
                <w:sz w:val="24"/>
              </w:rPr>
              <w:t>序 号</w:t>
            </w:r>
          </w:p>
        </w:tc>
        <w:tc>
          <w:tcPr>
            <w:tcW w:w="5840" w:type="dxa"/>
          </w:tcPr>
          <w:p>
            <w:pPr>
              <w:pStyle w:val="TableParagraph"/>
              <w:spacing w:before="3"/>
              <w:ind w:left="2247" w:right="2227"/>
              <w:jc w:val="center"/>
              <w:rPr>
                <w:sz w:val="24"/>
              </w:rPr>
            </w:pPr>
            <w:r>
              <w:rPr>
                <w:spacing w:val="-2"/>
                <w:sz w:val="24"/>
              </w:rPr>
              <w:t>工 作 内 容</w:t>
            </w:r>
          </w:p>
        </w:tc>
        <w:tc>
          <w:tcPr>
            <w:tcW w:w="1700" w:type="dxa"/>
          </w:tcPr>
          <w:p>
            <w:pPr>
              <w:pStyle w:val="TableParagraph"/>
              <w:spacing w:before="3"/>
              <w:ind w:left="20"/>
              <w:jc w:val="center"/>
              <w:rPr>
                <w:sz w:val="24"/>
              </w:rPr>
            </w:pPr>
            <w:r>
              <w:rPr>
                <w:spacing w:val="-4"/>
                <w:sz w:val="24"/>
              </w:rPr>
              <w:t>频 次</w:t>
            </w:r>
          </w:p>
        </w:tc>
      </w:tr>
      <w:tr>
        <w:tblPrEx>
          <w:tblW w:w="0" w:type="auto"/>
          <w:jc w:val="left"/>
          <w:tblInd w:w="467" w:type="dxa"/>
          <w:tblLayout w:type="fixed"/>
          <w:tblCellMar>
            <w:top w:w="0" w:type="dxa"/>
            <w:left w:w="0" w:type="dxa"/>
            <w:bottom w:w="0" w:type="dxa"/>
            <w:right w:w="0" w:type="dxa"/>
          </w:tblCellMar>
          <w:tblLook w:val="01E0"/>
        </w:tblPrEx>
        <w:trPr>
          <w:trHeight w:val="600"/>
          <w:jc w:val="left"/>
        </w:trPr>
        <w:tc>
          <w:tcPr>
            <w:tcW w:w="1280" w:type="dxa"/>
            <w:vMerge w:val="restart"/>
            <w:tcBorders>
              <w:top w:val="single" w:sz="6" w:space="0" w:color="000000"/>
              <w:right w:val="single" w:sz="6" w:space="0" w:color="000000"/>
            </w:tcBorders>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4"/>
              <w:rPr>
                <w:sz w:val="29"/>
              </w:rPr>
            </w:pPr>
          </w:p>
          <w:p>
            <w:pPr>
              <w:pStyle w:val="TableParagraph"/>
              <w:spacing w:line="187" w:lineRule="auto"/>
              <w:ind w:left="894" w:right="123"/>
              <w:jc w:val="right"/>
              <w:rPr>
                <w:sz w:val="24"/>
              </w:rPr>
            </w:pPr>
            <w:r>
              <w:rPr>
                <w:spacing w:val="-10"/>
                <w:sz w:val="24"/>
              </w:rPr>
              <w:t>病</w:t>
            </w:r>
            <w:r>
              <w:rPr>
                <w:spacing w:val="-10"/>
                <w:sz w:val="24"/>
              </w:rPr>
              <w:t>房</w:t>
            </w:r>
          </w:p>
        </w:tc>
        <w:tc>
          <w:tcPr>
            <w:tcW w:w="1080" w:type="dxa"/>
            <w:tcBorders>
              <w:top w:val="single" w:sz="6" w:space="0" w:color="000000"/>
              <w:left w:val="single" w:sz="6" w:space="0" w:color="000000"/>
              <w:bottom w:val="single" w:sz="6" w:space="0" w:color="000000"/>
            </w:tcBorders>
          </w:tcPr>
          <w:p>
            <w:pPr>
              <w:pStyle w:val="TableParagraph"/>
              <w:spacing w:before="70"/>
              <w:ind w:left="20"/>
              <w:jc w:val="center"/>
              <w:rPr>
                <w:sz w:val="24"/>
              </w:rPr>
            </w:pPr>
            <w:r>
              <w:rPr>
                <w:sz w:val="24"/>
              </w:rPr>
              <w:t>1</w:t>
            </w:r>
          </w:p>
        </w:tc>
        <w:tc>
          <w:tcPr>
            <w:tcW w:w="5840" w:type="dxa"/>
          </w:tcPr>
          <w:p>
            <w:pPr>
              <w:pStyle w:val="TableParagraph"/>
              <w:spacing w:before="3"/>
              <w:ind w:left="108"/>
              <w:rPr>
                <w:sz w:val="24"/>
              </w:rPr>
            </w:pPr>
            <w:r>
              <w:rPr>
                <w:spacing w:val="-1"/>
                <w:sz w:val="24"/>
              </w:rPr>
              <w:t>收集区域内垃圾、更换垃圾袋</w:t>
            </w:r>
          </w:p>
        </w:tc>
        <w:tc>
          <w:tcPr>
            <w:tcW w:w="1700" w:type="dxa"/>
          </w:tcPr>
          <w:p>
            <w:pPr>
              <w:pStyle w:val="TableParagraph"/>
              <w:spacing w:before="70"/>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3"/>
              <w:ind w:left="20"/>
              <w:jc w:val="center"/>
              <w:rPr>
                <w:sz w:val="24"/>
              </w:rPr>
            </w:pPr>
            <w:r>
              <w:rPr>
                <w:sz w:val="24"/>
              </w:rPr>
              <w:t>2</w:t>
            </w:r>
          </w:p>
        </w:tc>
        <w:tc>
          <w:tcPr>
            <w:tcW w:w="5840" w:type="dxa"/>
          </w:tcPr>
          <w:p>
            <w:pPr>
              <w:pStyle w:val="TableParagraph"/>
              <w:spacing w:before="3"/>
              <w:ind w:left="108"/>
              <w:rPr>
                <w:sz w:val="24"/>
              </w:rPr>
            </w:pPr>
            <w:r>
              <w:rPr>
                <w:sz w:val="24"/>
              </w:rPr>
              <w:t>区域内地面牵尘（无扬尘干扫</w:t>
            </w:r>
            <w:r>
              <w:rPr>
                <w:spacing w:val="-10"/>
                <w:sz w:val="24"/>
              </w:rPr>
              <w:t>）</w:t>
            </w:r>
          </w:p>
        </w:tc>
        <w:tc>
          <w:tcPr>
            <w:tcW w:w="1700" w:type="dxa"/>
          </w:tcPr>
          <w:p>
            <w:pPr>
              <w:pStyle w:val="TableParagraph"/>
              <w:spacing w:before="3"/>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3"/>
              <w:ind w:left="20"/>
              <w:jc w:val="center"/>
              <w:rPr>
                <w:sz w:val="24"/>
              </w:rPr>
            </w:pPr>
            <w:r>
              <w:rPr>
                <w:sz w:val="24"/>
              </w:rPr>
              <w:t>3</w:t>
            </w:r>
          </w:p>
        </w:tc>
        <w:tc>
          <w:tcPr>
            <w:tcW w:w="5840" w:type="dxa"/>
          </w:tcPr>
          <w:p>
            <w:pPr>
              <w:pStyle w:val="TableParagraph"/>
              <w:spacing w:before="3"/>
              <w:ind w:left="108"/>
              <w:rPr>
                <w:sz w:val="24"/>
              </w:rPr>
            </w:pPr>
            <w:r>
              <w:rPr>
                <w:spacing w:val="-1"/>
                <w:sz w:val="24"/>
              </w:rPr>
              <w:t>区域内地面湿拖、防滑地垫清洁</w:t>
            </w:r>
          </w:p>
        </w:tc>
        <w:tc>
          <w:tcPr>
            <w:tcW w:w="1700" w:type="dxa"/>
          </w:tcPr>
          <w:p>
            <w:pPr>
              <w:pStyle w:val="TableParagraph"/>
              <w:spacing w:before="3"/>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933"/>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6"/>
              <w:rPr>
                <w:sz w:val="18"/>
              </w:rPr>
            </w:pPr>
          </w:p>
          <w:p>
            <w:pPr>
              <w:pStyle w:val="TableParagraph"/>
              <w:ind w:left="20"/>
              <w:jc w:val="center"/>
              <w:rPr>
                <w:sz w:val="24"/>
              </w:rPr>
            </w:pPr>
            <w:r>
              <w:rPr>
                <w:sz w:val="24"/>
              </w:rPr>
              <w:t>4</w:t>
            </w:r>
          </w:p>
        </w:tc>
        <w:tc>
          <w:tcPr>
            <w:tcW w:w="5840" w:type="dxa"/>
          </w:tcPr>
          <w:p>
            <w:pPr>
              <w:pStyle w:val="TableParagraph"/>
              <w:spacing w:before="3"/>
              <w:ind w:left="108" w:right="-44"/>
              <w:rPr>
                <w:sz w:val="24"/>
              </w:rPr>
            </w:pPr>
            <w:r>
              <w:rPr>
                <w:spacing w:val="-8"/>
                <w:sz w:val="24"/>
              </w:rPr>
              <w:t>区域内家具（桌椅、橱柜等</w:t>
            </w:r>
            <w:r>
              <w:rPr>
                <w:spacing w:val="-60"/>
                <w:sz w:val="24"/>
              </w:rPr>
              <w:t>）</w:t>
            </w:r>
            <w:r>
              <w:rPr>
                <w:spacing w:val="-8"/>
                <w:sz w:val="24"/>
              </w:rPr>
              <w:t>、办公用品（含病历牌</w:t>
            </w:r>
            <w:r>
              <w:rPr>
                <w:spacing w:val="-60"/>
                <w:sz w:val="24"/>
              </w:rPr>
              <w:t>）</w:t>
            </w:r>
            <w:r>
              <w:rPr>
                <w:spacing w:val="-10"/>
                <w:sz w:val="24"/>
              </w:rPr>
              <w:t>、</w:t>
            </w:r>
          </w:p>
          <w:p>
            <w:pPr>
              <w:pStyle w:val="TableParagraph"/>
              <w:spacing w:before="160"/>
              <w:ind w:left="108"/>
              <w:rPr>
                <w:sz w:val="24"/>
              </w:rPr>
            </w:pPr>
            <w:r>
              <w:rPr>
                <w:spacing w:val="-3"/>
                <w:sz w:val="24"/>
              </w:rPr>
              <w:t>台面擦拭</w:t>
            </w:r>
          </w:p>
        </w:tc>
        <w:tc>
          <w:tcPr>
            <w:tcW w:w="1700" w:type="dxa"/>
          </w:tcPr>
          <w:p>
            <w:pPr>
              <w:pStyle w:val="TableParagraph"/>
              <w:spacing w:before="6"/>
              <w:rPr>
                <w:sz w:val="18"/>
              </w:rPr>
            </w:pPr>
          </w:p>
          <w:p>
            <w:pPr>
              <w:pStyle w:val="TableParagraph"/>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1400"/>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rPr>
                <w:sz w:val="24"/>
              </w:rPr>
            </w:pPr>
          </w:p>
          <w:p>
            <w:pPr>
              <w:pStyle w:val="TableParagraph"/>
              <w:spacing w:before="163"/>
              <w:ind w:left="20"/>
              <w:jc w:val="center"/>
              <w:rPr>
                <w:sz w:val="24"/>
              </w:rPr>
            </w:pPr>
            <w:r>
              <w:rPr>
                <w:sz w:val="24"/>
              </w:rPr>
              <w:t>5</w:t>
            </w:r>
          </w:p>
        </w:tc>
        <w:tc>
          <w:tcPr>
            <w:tcW w:w="5840" w:type="dxa"/>
          </w:tcPr>
          <w:p>
            <w:pPr>
              <w:pStyle w:val="TableParagraph"/>
              <w:spacing w:before="3"/>
              <w:ind w:left="108"/>
              <w:rPr>
                <w:sz w:val="24"/>
              </w:rPr>
            </w:pPr>
            <w:r>
              <w:rPr>
                <w:spacing w:val="-20"/>
                <w:sz w:val="24"/>
              </w:rPr>
              <w:t>区域内电脑、电话、仪器</w:t>
            </w:r>
            <w:r>
              <w:rPr>
                <w:sz w:val="24"/>
              </w:rPr>
              <w:t>（含各种医用器材</w:t>
            </w:r>
            <w:r>
              <w:rPr>
                <w:spacing w:val="-60"/>
                <w:sz w:val="24"/>
              </w:rPr>
              <w:t>）</w:t>
            </w:r>
            <w:r>
              <w:rPr>
                <w:spacing w:val="-43"/>
                <w:sz w:val="24"/>
              </w:rPr>
              <w:t>、器械</w:t>
            </w:r>
            <w:r>
              <w:rPr>
                <w:sz w:val="24"/>
              </w:rPr>
              <w:t>（</w:t>
            </w:r>
            <w:r>
              <w:rPr>
                <w:spacing w:val="-10"/>
                <w:sz w:val="24"/>
              </w:rPr>
              <w:t>治</w:t>
            </w:r>
          </w:p>
          <w:p>
            <w:pPr>
              <w:pStyle w:val="TableParagraph"/>
              <w:spacing w:before="7" w:line="460" w:lineRule="atLeast"/>
              <w:ind w:left="108" w:right="86"/>
              <w:rPr>
                <w:sz w:val="24"/>
              </w:rPr>
            </w:pPr>
            <w:r>
              <w:rPr>
                <w:spacing w:val="-2"/>
                <w:sz w:val="24"/>
              </w:rPr>
              <w:t>疗车、病历架等）、床单位、低处电器表面的清洗或</w:t>
            </w:r>
            <w:r>
              <w:rPr>
                <w:spacing w:val="-6"/>
                <w:sz w:val="24"/>
              </w:rPr>
              <w:t>擦拭</w:t>
            </w:r>
          </w:p>
        </w:tc>
        <w:tc>
          <w:tcPr>
            <w:tcW w:w="1700" w:type="dxa"/>
          </w:tcPr>
          <w:p>
            <w:pPr>
              <w:pStyle w:val="TableParagraph"/>
              <w:rPr>
                <w:sz w:val="24"/>
              </w:rPr>
            </w:pPr>
          </w:p>
          <w:p>
            <w:pPr>
              <w:pStyle w:val="TableParagraph"/>
              <w:spacing w:before="163"/>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3"/>
              <w:ind w:left="20"/>
              <w:jc w:val="center"/>
              <w:rPr>
                <w:sz w:val="24"/>
              </w:rPr>
            </w:pPr>
            <w:r>
              <w:rPr>
                <w:sz w:val="24"/>
              </w:rPr>
              <w:t>6</w:t>
            </w:r>
          </w:p>
        </w:tc>
        <w:tc>
          <w:tcPr>
            <w:tcW w:w="5840" w:type="dxa"/>
          </w:tcPr>
          <w:p>
            <w:pPr>
              <w:pStyle w:val="TableParagraph"/>
              <w:spacing w:before="3"/>
              <w:ind w:left="108"/>
              <w:rPr>
                <w:sz w:val="24"/>
              </w:rPr>
            </w:pPr>
            <w:r>
              <w:rPr>
                <w:spacing w:val="-1"/>
                <w:sz w:val="24"/>
              </w:rPr>
              <w:t>区域内洗手池、水池、水龙头、皂盒清洗、擦拭</w:t>
            </w:r>
          </w:p>
        </w:tc>
        <w:tc>
          <w:tcPr>
            <w:tcW w:w="1700" w:type="dxa"/>
          </w:tcPr>
          <w:p>
            <w:pPr>
              <w:pStyle w:val="TableParagraph"/>
              <w:spacing w:before="3"/>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933"/>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6"/>
              <w:rPr>
                <w:sz w:val="18"/>
              </w:rPr>
            </w:pPr>
          </w:p>
          <w:p>
            <w:pPr>
              <w:pStyle w:val="TableParagraph"/>
              <w:ind w:left="20"/>
              <w:jc w:val="center"/>
              <w:rPr>
                <w:sz w:val="24"/>
              </w:rPr>
            </w:pPr>
            <w:r>
              <w:rPr>
                <w:sz w:val="24"/>
              </w:rPr>
              <w:t>7</w:t>
            </w:r>
          </w:p>
        </w:tc>
        <w:tc>
          <w:tcPr>
            <w:tcW w:w="5840" w:type="dxa"/>
          </w:tcPr>
          <w:p>
            <w:pPr>
              <w:pStyle w:val="TableParagraph"/>
              <w:spacing w:before="3"/>
              <w:ind w:left="108"/>
              <w:rPr>
                <w:sz w:val="24"/>
              </w:rPr>
            </w:pPr>
            <w:r>
              <w:rPr>
                <w:sz w:val="24"/>
              </w:rPr>
              <w:t>卫生间（</w:t>
            </w:r>
            <w:r>
              <w:rPr>
                <w:spacing w:val="-1"/>
                <w:sz w:val="24"/>
              </w:rPr>
              <w:t>含镜子、水龙头、台面、马桶、沐浴器、地</w:t>
            </w:r>
          </w:p>
          <w:p>
            <w:pPr>
              <w:pStyle w:val="TableParagraph"/>
              <w:spacing w:before="160"/>
              <w:ind w:left="108"/>
              <w:rPr>
                <w:sz w:val="24"/>
              </w:rPr>
            </w:pPr>
            <w:r>
              <w:rPr>
                <w:sz w:val="24"/>
              </w:rPr>
              <w:t>面）</w:t>
            </w:r>
            <w:r>
              <w:rPr>
                <w:spacing w:val="-1"/>
                <w:sz w:val="24"/>
              </w:rPr>
              <w:t>、开水间冲洗、擦拭、消毒</w:t>
            </w:r>
          </w:p>
        </w:tc>
        <w:tc>
          <w:tcPr>
            <w:tcW w:w="1700" w:type="dxa"/>
          </w:tcPr>
          <w:p>
            <w:pPr>
              <w:pStyle w:val="TableParagraph"/>
              <w:spacing w:before="6"/>
              <w:rPr>
                <w:sz w:val="18"/>
              </w:rPr>
            </w:pPr>
          </w:p>
          <w:p>
            <w:pPr>
              <w:pStyle w:val="TableParagraph"/>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933"/>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6"/>
              <w:rPr>
                <w:sz w:val="18"/>
              </w:rPr>
            </w:pPr>
          </w:p>
          <w:p>
            <w:pPr>
              <w:pStyle w:val="TableParagraph"/>
              <w:ind w:left="20"/>
              <w:jc w:val="center"/>
              <w:rPr>
                <w:sz w:val="24"/>
              </w:rPr>
            </w:pPr>
            <w:r>
              <w:rPr>
                <w:sz w:val="24"/>
              </w:rPr>
              <w:t>8</w:t>
            </w:r>
          </w:p>
        </w:tc>
        <w:tc>
          <w:tcPr>
            <w:tcW w:w="5840" w:type="dxa"/>
          </w:tcPr>
          <w:p>
            <w:pPr>
              <w:pStyle w:val="TableParagraph"/>
              <w:spacing w:before="3"/>
              <w:ind w:left="108"/>
              <w:rPr>
                <w:sz w:val="24"/>
              </w:rPr>
            </w:pPr>
            <w:r>
              <w:rPr>
                <w:spacing w:val="-1"/>
                <w:sz w:val="24"/>
              </w:rPr>
              <w:t>区域内窗台、阳台、把手、栏杆、花瓶、花盆、开关</w:t>
            </w:r>
          </w:p>
          <w:p>
            <w:pPr>
              <w:pStyle w:val="TableParagraph"/>
              <w:spacing w:before="160"/>
              <w:ind w:left="108"/>
              <w:rPr>
                <w:sz w:val="24"/>
              </w:rPr>
            </w:pPr>
            <w:r>
              <w:rPr>
                <w:spacing w:val="-1"/>
                <w:sz w:val="24"/>
              </w:rPr>
              <w:t>盒、接线盒、各类低处标牌、垃圾桶擦拭</w:t>
            </w:r>
          </w:p>
        </w:tc>
        <w:tc>
          <w:tcPr>
            <w:tcW w:w="1700" w:type="dxa"/>
          </w:tcPr>
          <w:p>
            <w:pPr>
              <w:pStyle w:val="TableParagraph"/>
              <w:spacing w:before="6"/>
              <w:rPr>
                <w:sz w:val="18"/>
              </w:rPr>
            </w:pPr>
          </w:p>
          <w:p>
            <w:pPr>
              <w:pStyle w:val="TableParagraph"/>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3"/>
              <w:ind w:left="20"/>
              <w:jc w:val="center"/>
              <w:rPr>
                <w:sz w:val="24"/>
              </w:rPr>
            </w:pPr>
            <w:r>
              <w:rPr>
                <w:sz w:val="24"/>
              </w:rPr>
              <w:t>9</w:t>
            </w:r>
          </w:p>
        </w:tc>
        <w:tc>
          <w:tcPr>
            <w:tcW w:w="5840" w:type="dxa"/>
          </w:tcPr>
          <w:p>
            <w:pPr>
              <w:pStyle w:val="TableParagraph"/>
              <w:spacing w:before="3"/>
              <w:ind w:left="108"/>
              <w:rPr>
                <w:sz w:val="24"/>
              </w:rPr>
            </w:pPr>
            <w:r>
              <w:rPr>
                <w:spacing w:val="-1"/>
                <w:sz w:val="24"/>
              </w:rPr>
              <w:t>拔火罐彻底消毒、清洗</w:t>
            </w:r>
          </w:p>
        </w:tc>
        <w:tc>
          <w:tcPr>
            <w:tcW w:w="1700" w:type="dxa"/>
          </w:tcPr>
          <w:p>
            <w:pPr>
              <w:pStyle w:val="TableParagraph"/>
              <w:spacing w:before="3"/>
              <w:ind w:left="20"/>
              <w:jc w:val="center"/>
              <w:rPr>
                <w:sz w:val="24"/>
              </w:rPr>
            </w:pPr>
            <w:r>
              <w:rPr>
                <w:spacing w:val="-20"/>
                <w:sz w:val="24"/>
              </w:rPr>
              <w:t xml:space="preserve">每日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95"/>
          <w:jc w:val="left"/>
        </w:trPr>
        <w:tc>
          <w:tcPr>
            <w:tcW w:w="1280" w:type="dxa"/>
            <w:vMerge/>
            <w:tcBorders>
              <w:top w:val="nil"/>
              <w:right w:val="single" w:sz="6" w:space="0" w:color="000000"/>
            </w:tcBorders>
          </w:tcPr>
          <w:p>
            <w:pPr>
              <w:rPr>
                <w:sz w:val="2"/>
                <w:szCs w:val="2"/>
              </w:rPr>
            </w:pPr>
          </w:p>
        </w:tc>
        <w:tc>
          <w:tcPr>
            <w:tcW w:w="1080" w:type="dxa"/>
            <w:tcBorders>
              <w:top w:val="single" w:sz="6" w:space="0" w:color="000000"/>
              <w:left w:val="single" w:sz="6" w:space="0" w:color="000000"/>
              <w:bottom w:val="single" w:sz="6" w:space="0" w:color="000000"/>
            </w:tcBorders>
          </w:tcPr>
          <w:p>
            <w:pPr>
              <w:pStyle w:val="TableParagraph"/>
              <w:spacing w:before="17"/>
              <w:ind w:left="227" w:right="207"/>
              <w:jc w:val="center"/>
              <w:rPr>
                <w:sz w:val="24"/>
              </w:rPr>
            </w:pPr>
            <w:r>
              <w:rPr>
                <w:spacing w:val="-5"/>
                <w:sz w:val="24"/>
              </w:rPr>
              <w:t>10</w:t>
            </w:r>
          </w:p>
        </w:tc>
        <w:tc>
          <w:tcPr>
            <w:tcW w:w="5840" w:type="dxa"/>
          </w:tcPr>
          <w:p>
            <w:pPr>
              <w:pStyle w:val="TableParagraph"/>
              <w:spacing w:before="3"/>
              <w:ind w:left="108"/>
              <w:rPr>
                <w:sz w:val="24"/>
              </w:rPr>
            </w:pPr>
            <w:r>
              <w:rPr>
                <w:spacing w:val="-2"/>
                <w:sz w:val="24"/>
              </w:rPr>
              <w:t>床单位终末消毒</w:t>
            </w:r>
          </w:p>
        </w:tc>
        <w:tc>
          <w:tcPr>
            <w:tcW w:w="1700" w:type="dxa"/>
          </w:tcPr>
          <w:p>
            <w:pPr>
              <w:pStyle w:val="TableParagraph"/>
              <w:tabs>
                <w:tab w:val="left" w:pos="499"/>
              </w:tabs>
              <w:spacing w:before="17"/>
              <w:ind w:left="20"/>
              <w:jc w:val="center"/>
              <w:rPr>
                <w:sz w:val="24"/>
              </w:rPr>
            </w:pPr>
            <w:r>
              <w:rPr>
                <w:spacing w:val="-10"/>
                <w:sz w:val="24"/>
              </w:rPr>
              <w:t>随</w:t>
            </w:r>
            <w:r>
              <w:rPr>
                <w:sz w:val="24"/>
              </w:rPr>
              <w:tab/>
            </w:r>
            <w:r>
              <w:rPr>
                <w:spacing w:val="-10"/>
                <w:sz w:val="24"/>
              </w:rPr>
              <w:t>时</w:t>
            </w:r>
          </w:p>
        </w:tc>
      </w:tr>
    </w:tbl>
    <w:p>
      <w:pPr>
        <w:spacing w:after="0"/>
        <w:jc w:val="center"/>
        <w:rPr>
          <w:sz w:val="24"/>
        </w:rPr>
        <w:sectPr>
          <w:headerReference w:type="default" r:id="rId67"/>
          <w:footerReference w:type="default" r:id="rId68"/>
          <w:pgSz w:w="11910" w:h="16840"/>
          <w:pgMar w:top="1240" w:right="320" w:bottom="1180" w:left="1100" w:header="884" w:footer="991"/>
          <w:pgNumType w:start="29"/>
          <w:cols w:space="708"/>
        </w:sectPr>
      </w:pPr>
    </w:p>
    <w:p>
      <w:pPr>
        <w:pStyle w:val="BodyText"/>
        <w:spacing w:before="6"/>
        <w:rPr>
          <w:sz w:val="8"/>
        </w:rPr>
      </w:pPr>
    </w:p>
    <w:tbl>
      <w:tblPr>
        <w:tblStyle w:val="TableNormal9"/>
        <w:tblW w:w="0" w:type="auto"/>
        <w:jc w:val="left"/>
        <w:tblInd w:w="4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466"/>
          <w:jc w:val="left"/>
        </w:trPr>
        <w:tc>
          <w:tcPr>
            <w:tcW w:w="1280" w:type="dxa"/>
            <w:vMerge w:val="restart"/>
            <w:tcBorders>
              <w:left w:val="single" w:sz="8" w:space="0" w:color="000000"/>
              <w:bottom w:val="single" w:sz="8" w:space="0" w:color="000000"/>
            </w:tcBorders>
          </w:tcPr>
          <w:p>
            <w:pPr>
              <w:pStyle w:val="TableParagraph"/>
              <w:rPr>
                <w:rFonts w:ascii="Times New Roman"/>
                <w:sz w:val="22"/>
              </w:rPr>
            </w:pPr>
          </w:p>
        </w:tc>
        <w:tc>
          <w:tcPr>
            <w:tcW w:w="1080" w:type="dxa"/>
            <w:tcBorders>
              <w:right w:val="single" w:sz="8" w:space="0" w:color="000000"/>
            </w:tcBorders>
          </w:tcPr>
          <w:p>
            <w:pPr>
              <w:pStyle w:val="TableParagraph"/>
              <w:spacing w:before="3"/>
              <w:ind w:right="399"/>
              <w:jc w:val="right"/>
              <w:rPr>
                <w:sz w:val="24"/>
              </w:rPr>
            </w:pPr>
            <w:r>
              <w:rPr>
                <w:spacing w:val="-5"/>
                <w:sz w:val="24"/>
              </w:rPr>
              <w:t>11</w:t>
            </w:r>
          </w:p>
        </w:tc>
        <w:tc>
          <w:tcPr>
            <w:tcW w:w="5840" w:type="dxa"/>
            <w:tcBorders>
              <w:top w:val="nil"/>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消防栓、消防器擦拭、开水机、</w:t>
            </w:r>
          </w:p>
        </w:tc>
        <w:tc>
          <w:tcPr>
            <w:tcW w:w="1700" w:type="dxa"/>
            <w:tcBorders>
              <w:top w:val="nil"/>
              <w:left w:val="single" w:sz="8" w:space="0" w:color="000000"/>
              <w:bottom w:val="single" w:sz="8" w:space="0" w:color="000000"/>
              <w:right w:val="single" w:sz="8" w:space="0" w:color="000000"/>
            </w:tcBorders>
          </w:tcPr>
          <w:p>
            <w:pPr>
              <w:pStyle w:val="TableParagraph"/>
              <w:spacing w:before="3"/>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3"/>
              <w:ind w:right="399"/>
              <w:jc w:val="right"/>
              <w:rPr>
                <w:sz w:val="24"/>
              </w:rPr>
            </w:pPr>
            <w:r>
              <w:rPr>
                <w:spacing w:val="-5"/>
                <w:sz w:val="24"/>
              </w:rPr>
              <w:t>12</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门、门框、窗框、玻璃</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933"/>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6"/>
              <w:rPr>
                <w:sz w:val="18"/>
              </w:rPr>
            </w:pPr>
          </w:p>
          <w:p>
            <w:pPr>
              <w:pStyle w:val="TableParagraph"/>
              <w:ind w:right="399"/>
              <w:jc w:val="right"/>
              <w:rPr>
                <w:sz w:val="24"/>
              </w:rPr>
            </w:pPr>
            <w:r>
              <w:rPr>
                <w:spacing w:val="-5"/>
                <w:sz w:val="24"/>
              </w:rPr>
              <w:t>13</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低处墙面静电除尘、落地瓷砖、踢脚板、地角、低处</w:t>
            </w:r>
          </w:p>
          <w:p>
            <w:pPr>
              <w:pStyle w:val="TableParagraph"/>
              <w:spacing w:before="160"/>
              <w:ind w:left="108"/>
              <w:rPr>
                <w:sz w:val="24"/>
              </w:rPr>
            </w:pPr>
            <w:r>
              <w:rPr>
                <w:spacing w:val="-3"/>
                <w:sz w:val="24"/>
              </w:rPr>
              <w:t>管道擦拭</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6"/>
              <w:rPr>
                <w:sz w:val="18"/>
              </w:rPr>
            </w:pPr>
          </w:p>
          <w:p>
            <w:pPr>
              <w:pStyle w:val="TableParagraph"/>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3"/>
              <w:ind w:right="399"/>
              <w:jc w:val="right"/>
              <w:rPr>
                <w:sz w:val="24"/>
              </w:rPr>
            </w:pPr>
            <w:r>
              <w:rPr>
                <w:spacing w:val="-5"/>
                <w:sz w:val="24"/>
              </w:rPr>
              <w:t>14</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非医疗不锈钢物体表面闪钢保养</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3"/>
              <w:ind w:right="399"/>
              <w:jc w:val="right"/>
              <w:rPr>
                <w:sz w:val="24"/>
              </w:rPr>
            </w:pPr>
            <w:r>
              <w:rPr>
                <w:spacing w:val="-5"/>
                <w:sz w:val="24"/>
              </w:rPr>
              <w:t>15</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高处标牌、壁挂物擦拭</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20"/>
                <w:sz w:val="24"/>
              </w:rPr>
              <w:t xml:space="preserve">每周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75"/>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107"/>
              <w:ind w:right="399"/>
              <w:jc w:val="right"/>
              <w:rPr>
                <w:sz w:val="24"/>
              </w:rPr>
            </w:pPr>
            <w:r>
              <w:rPr>
                <w:spacing w:val="-5"/>
                <w:sz w:val="24"/>
              </w:rPr>
              <w:t>16</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107"/>
              <w:ind w:left="108"/>
              <w:rPr>
                <w:sz w:val="24"/>
              </w:rPr>
            </w:pPr>
            <w:r>
              <w:rPr>
                <w:sz w:val="24"/>
              </w:rPr>
              <w:t>高处（含天花板、高处墙面、梁、窗帘及架等）</w:t>
            </w:r>
            <w:r>
              <w:rPr>
                <w:spacing w:val="-5"/>
                <w:sz w:val="24"/>
              </w:rPr>
              <w:t>除尘</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107"/>
              <w:ind w:left="20"/>
              <w:jc w:val="center"/>
              <w:rPr>
                <w:sz w:val="24"/>
              </w:rPr>
            </w:pPr>
            <w:r>
              <w:rPr>
                <w:spacing w:val="-20"/>
                <w:sz w:val="24"/>
              </w:rPr>
              <w:t xml:space="preserve">每月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933"/>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6"/>
              <w:rPr>
                <w:sz w:val="18"/>
              </w:rPr>
            </w:pPr>
          </w:p>
          <w:p>
            <w:pPr>
              <w:pStyle w:val="TableParagraph"/>
              <w:ind w:right="399"/>
              <w:jc w:val="right"/>
              <w:rPr>
                <w:sz w:val="24"/>
              </w:rPr>
            </w:pPr>
            <w:r>
              <w:rPr>
                <w:spacing w:val="-5"/>
                <w:sz w:val="24"/>
              </w:rPr>
              <w:t>17</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灯具、监视器、通风口、排气扇、风扇等高处设备擦</w:t>
            </w:r>
          </w:p>
          <w:p>
            <w:pPr>
              <w:pStyle w:val="TableParagraph"/>
              <w:spacing w:before="160"/>
              <w:ind w:left="108"/>
              <w:rPr>
                <w:sz w:val="24"/>
              </w:rPr>
            </w:pPr>
            <w:r>
              <w:rPr>
                <w:sz w:val="24"/>
              </w:rPr>
              <w:t>洗</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6"/>
              <w:rPr>
                <w:sz w:val="18"/>
              </w:rPr>
            </w:pPr>
          </w:p>
          <w:p>
            <w:pPr>
              <w:pStyle w:val="TableParagraph"/>
              <w:ind w:left="20"/>
              <w:jc w:val="center"/>
              <w:rPr>
                <w:sz w:val="24"/>
              </w:rPr>
            </w:pPr>
            <w:r>
              <w:rPr>
                <w:spacing w:val="-20"/>
                <w:sz w:val="24"/>
              </w:rPr>
              <w:t xml:space="preserve">每月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80"/>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10"/>
              <w:ind w:right="399"/>
              <w:jc w:val="right"/>
              <w:rPr>
                <w:sz w:val="24"/>
              </w:rPr>
            </w:pPr>
            <w:r>
              <w:rPr>
                <w:spacing w:val="-5"/>
                <w:sz w:val="24"/>
              </w:rPr>
              <w:t>18</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地面机洗、打蜡处理或保养</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10"/>
              <w:ind w:left="20"/>
              <w:jc w:val="center"/>
              <w:rPr>
                <w:sz w:val="24"/>
              </w:rPr>
            </w:pPr>
            <w:r>
              <w:rPr>
                <w:spacing w:val="-30"/>
                <w:sz w:val="24"/>
              </w:rPr>
              <w:t xml:space="preserve">每 </w:t>
            </w:r>
            <w:r>
              <w:rPr>
                <w:sz w:val="24"/>
              </w:rPr>
              <w:t>3</w:t>
            </w:r>
            <w:r>
              <w:rPr>
                <w:spacing w:val="-40"/>
                <w:sz w:val="24"/>
              </w:rPr>
              <w:t xml:space="preserve"> 月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3"/>
              <w:ind w:right="399"/>
              <w:jc w:val="right"/>
              <w:rPr>
                <w:sz w:val="24"/>
              </w:rPr>
            </w:pPr>
            <w:r>
              <w:rPr>
                <w:spacing w:val="-5"/>
                <w:sz w:val="24"/>
              </w:rPr>
              <w:t>19</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巡视保洁、小手巾清洗、晾晒、收、发家属陪伴椅</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4"/>
                <w:sz w:val="24"/>
              </w:rPr>
              <w:t>随 时</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right w:val="single" w:sz="8" w:space="0" w:color="000000"/>
            </w:tcBorders>
          </w:tcPr>
          <w:p>
            <w:pPr>
              <w:pStyle w:val="TableParagraph"/>
              <w:spacing w:before="3"/>
              <w:ind w:right="399"/>
              <w:jc w:val="right"/>
              <w:rPr>
                <w:sz w:val="24"/>
              </w:rPr>
            </w:pPr>
            <w:r>
              <w:rPr>
                <w:spacing w:val="-5"/>
                <w:sz w:val="24"/>
              </w:rPr>
              <w:t>20</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1"/>
                <w:sz w:val="24"/>
              </w:rPr>
              <w:t>平车上布类整理、更换，床上用品拆换</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4"/>
                <w:sz w:val="24"/>
              </w:rPr>
              <w:t>随 时</w:t>
            </w:r>
          </w:p>
        </w:tc>
      </w:tr>
      <w:tr>
        <w:tblPrEx>
          <w:tblW w:w="0" w:type="auto"/>
          <w:jc w:val="left"/>
          <w:tblInd w:w="467" w:type="dxa"/>
          <w:tblLayout w:type="fixed"/>
          <w:tblCellMar>
            <w:top w:w="0" w:type="dxa"/>
            <w:left w:w="0" w:type="dxa"/>
            <w:bottom w:w="0" w:type="dxa"/>
            <w:right w:w="0" w:type="dxa"/>
          </w:tblCellMar>
          <w:tblLook w:val="01E0"/>
        </w:tblPrEx>
        <w:trPr>
          <w:trHeight w:val="466"/>
          <w:jc w:val="left"/>
        </w:trPr>
        <w:tc>
          <w:tcPr>
            <w:tcW w:w="1280" w:type="dxa"/>
            <w:vMerge/>
            <w:tcBorders>
              <w:top w:val="nil"/>
              <w:left w:val="single" w:sz="8" w:space="0" w:color="000000"/>
              <w:bottom w:val="single" w:sz="8" w:space="0" w:color="000000"/>
            </w:tcBorders>
          </w:tcPr>
          <w:p>
            <w:pPr>
              <w:rPr>
                <w:sz w:val="2"/>
                <w:szCs w:val="2"/>
              </w:rPr>
            </w:pPr>
          </w:p>
        </w:tc>
        <w:tc>
          <w:tcPr>
            <w:tcW w:w="1080" w:type="dxa"/>
            <w:tcBorders>
              <w:bottom w:val="single" w:sz="8" w:space="0" w:color="000000"/>
              <w:right w:val="single" w:sz="8" w:space="0" w:color="000000"/>
            </w:tcBorders>
          </w:tcPr>
          <w:p>
            <w:pPr>
              <w:pStyle w:val="TableParagraph"/>
              <w:spacing w:before="3"/>
              <w:ind w:right="399"/>
              <w:jc w:val="right"/>
              <w:rPr>
                <w:sz w:val="24"/>
              </w:rPr>
            </w:pPr>
            <w:r>
              <w:rPr>
                <w:spacing w:val="-5"/>
                <w:sz w:val="24"/>
              </w:rPr>
              <w:t>21</w:t>
            </w:r>
          </w:p>
        </w:tc>
        <w:tc>
          <w:tcPr>
            <w:tcW w:w="5840" w:type="dxa"/>
            <w:tcBorders>
              <w:top w:val="single" w:sz="8" w:space="0" w:color="000000"/>
              <w:left w:val="single" w:sz="8" w:space="0" w:color="000000"/>
              <w:bottom w:val="single" w:sz="8" w:space="0" w:color="000000"/>
              <w:right w:val="single" w:sz="8" w:space="0" w:color="000000"/>
            </w:tcBorders>
          </w:tcPr>
          <w:p>
            <w:pPr>
              <w:pStyle w:val="TableParagraph"/>
              <w:spacing w:before="3"/>
              <w:ind w:left="108"/>
              <w:rPr>
                <w:sz w:val="24"/>
              </w:rPr>
            </w:pPr>
            <w:r>
              <w:rPr>
                <w:spacing w:val="-2"/>
                <w:sz w:val="24"/>
              </w:rPr>
              <w:t>电梯间地面等处擦拭</w:t>
            </w:r>
          </w:p>
        </w:tc>
        <w:tc>
          <w:tcPr>
            <w:tcW w:w="1700" w:type="dxa"/>
            <w:tcBorders>
              <w:top w:val="single" w:sz="8" w:space="0" w:color="000000"/>
              <w:left w:val="single" w:sz="8" w:space="0" w:color="000000"/>
              <w:bottom w:val="single" w:sz="8" w:space="0" w:color="000000"/>
              <w:right w:val="single" w:sz="8" w:space="0" w:color="000000"/>
            </w:tcBorders>
          </w:tcPr>
          <w:p>
            <w:pPr>
              <w:pStyle w:val="TableParagraph"/>
              <w:spacing w:before="3"/>
              <w:ind w:left="20"/>
              <w:jc w:val="center"/>
              <w:rPr>
                <w:sz w:val="24"/>
              </w:rPr>
            </w:pPr>
            <w:r>
              <w:rPr>
                <w:spacing w:val="-4"/>
                <w:sz w:val="24"/>
              </w:rPr>
              <w:t>随 时</w:t>
            </w:r>
          </w:p>
        </w:tc>
      </w:tr>
    </w:tbl>
    <w:p>
      <w:pPr>
        <w:pStyle w:val="BodyText"/>
        <w:rPr>
          <w:sz w:val="20"/>
        </w:rPr>
      </w:pPr>
    </w:p>
    <w:p>
      <w:pPr>
        <w:pStyle w:val="BodyText"/>
        <w:spacing w:before="6"/>
        <w:rPr>
          <w:sz w:val="17"/>
        </w:rPr>
      </w:pPr>
    </w:p>
    <w:p>
      <w:pPr>
        <w:pStyle w:val="BodyText"/>
        <w:ind w:left="566"/>
      </w:pPr>
      <w:r>
        <w:t>其它（网络中心、影像科、检验科、中药煎药室</w:t>
      </w:r>
      <w:r>
        <w:rPr>
          <w:spacing w:val="-10"/>
        </w:rPr>
        <w:t>）</w:t>
      </w:r>
    </w:p>
    <w:p>
      <w:pPr>
        <w:pStyle w:val="BodyText"/>
        <w:spacing w:before="2"/>
        <w:rPr>
          <w:sz w:val="12"/>
        </w:rPr>
      </w:pPr>
    </w:p>
    <w:tbl>
      <w:tblPr>
        <w:tblStyle w:val="TableNormal9"/>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66"/>
          <w:jc w:val="left"/>
        </w:trPr>
        <w:tc>
          <w:tcPr>
            <w:tcW w:w="1280" w:type="dxa"/>
          </w:tcPr>
          <w:p>
            <w:pPr>
              <w:pStyle w:val="TableParagraph"/>
              <w:spacing w:before="3"/>
              <w:ind w:left="400"/>
              <w:rPr>
                <w:sz w:val="24"/>
              </w:rPr>
            </w:pPr>
            <w:r>
              <w:rPr>
                <w:spacing w:val="-5"/>
                <w:sz w:val="24"/>
              </w:rPr>
              <w:t>区域</w:t>
            </w:r>
          </w:p>
        </w:tc>
        <w:tc>
          <w:tcPr>
            <w:tcW w:w="1080" w:type="dxa"/>
          </w:tcPr>
          <w:p>
            <w:pPr>
              <w:pStyle w:val="TableParagraph"/>
              <w:spacing w:before="3"/>
              <w:ind w:left="285" w:right="265"/>
              <w:jc w:val="center"/>
              <w:rPr>
                <w:sz w:val="24"/>
              </w:rPr>
            </w:pPr>
            <w:r>
              <w:rPr>
                <w:spacing w:val="-5"/>
                <w:sz w:val="24"/>
              </w:rPr>
              <w:t>序号</w:t>
            </w:r>
          </w:p>
        </w:tc>
        <w:tc>
          <w:tcPr>
            <w:tcW w:w="5840" w:type="dxa"/>
          </w:tcPr>
          <w:p>
            <w:pPr>
              <w:pStyle w:val="TableParagraph"/>
              <w:spacing w:before="3"/>
              <w:ind w:left="2246" w:right="2227"/>
              <w:jc w:val="center"/>
              <w:rPr>
                <w:sz w:val="24"/>
              </w:rPr>
            </w:pPr>
            <w:r>
              <w:rPr>
                <w:spacing w:val="-3"/>
                <w:sz w:val="24"/>
              </w:rPr>
              <w:t>工作内容</w:t>
            </w:r>
          </w:p>
        </w:tc>
        <w:tc>
          <w:tcPr>
            <w:tcW w:w="1700" w:type="dxa"/>
          </w:tcPr>
          <w:p>
            <w:pPr>
              <w:pStyle w:val="TableParagraph"/>
              <w:spacing w:before="3"/>
              <w:ind w:left="20"/>
              <w:jc w:val="center"/>
              <w:rPr>
                <w:sz w:val="24"/>
              </w:rPr>
            </w:pPr>
            <w:r>
              <w:rPr>
                <w:spacing w:val="-5"/>
                <w:sz w:val="24"/>
              </w:rPr>
              <w:t>频率</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val="restart"/>
          </w:tcPr>
          <w:p>
            <w:pPr>
              <w:pStyle w:val="TableParagraph"/>
              <w:spacing w:before="52" w:line="187" w:lineRule="auto"/>
              <w:ind w:left="894" w:right="123"/>
              <w:rPr>
                <w:sz w:val="24"/>
              </w:rPr>
            </w:pPr>
            <w:r>
              <w:rPr>
                <w:spacing w:val="-10"/>
                <w:sz w:val="24"/>
              </w:rPr>
              <w:t>其</w:t>
            </w:r>
            <w:r>
              <w:rPr>
                <w:spacing w:val="-10"/>
                <w:sz w:val="24"/>
              </w:rPr>
              <w:t>它</w:t>
            </w:r>
          </w:p>
          <w:p>
            <w:pPr>
              <w:pStyle w:val="TableParagraph"/>
              <w:spacing w:before="1" w:line="187" w:lineRule="auto"/>
              <w:ind w:left="894" w:right="123"/>
              <w:jc w:val="both"/>
              <w:rPr>
                <w:sz w:val="24"/>
              </w:rPr>
            </w:pPr>
            <w:r>
              <w:rPr>
                <w:spacing w:val="-10"/>
                <w:sz w:val="24"/>
              </w:rPr>
              <w:t>（</w:t>
            </w:r>
            <w:r>
              <w:rPr>
                <w:spacing w:val="-10"/>
                <w:sz w:val="24"/>
              </w:rPr>
              <w:t>网</w:t>
            </w:r>
            <w:r>
              <w:rPr>
                <w:spacing w:val="-10"/>
                <w:sz w:val="24"/>
              </w:rPr>
              <w:t>络</w:t>
            </w:r>
            <w:r>
              <w:rPr>
                <w:spacing w:val="-10"/>
                <w:sz w:val="24"/>
              </w:rPr>
              <w:t>中</w:t>
            </w:r>
            <w:r>
              <w:rPr>
                <w:spacing w:val="-10"/>
                <w:sz w:val="24"/>
              </w:rPr>
              <w:t>心</w:t>
            </w:r>
          </w:p>
          <w:p>
            <w:pPr>
              <w:pStyle w:val="TableParagraph"/>
              <w:spacing w:before="1" w:line="187" w:lineRule="auto"/>
              <w:ind w:left="894" w:right="123"/>
              <w:jc w:val="both"/>
              <w:rPr>
                <w:sz w:val="24"/>
              </w:rPr>
            </w:pPr>
            <w:r>
              <w:rPr>
                <w:spacing w:val="-10"/>
                <w:sz w:val="24"/>
              </w:rPr>
              <w:t>、</w:t>
            </w:r>
            <w:r>
              <w:rPr>
                <w:spacing w:val="-10"/>
                <w:sz w:val="24"/>
              </w:rPr>
              <w:t>影</w:t>
            </w:r>
            <w:r>
              <w:rPr>
                <w:spacing w:val="-10"/>
                <w:sz w:val="24"/>
              </w:rPr>
              <w:t>像</w:t>
            </w:r>
            <w:r>
              <w:rPr>
                <w:spacing w:val="-10"/>
                <w:sz w:val="24"/>
              </w:rPr>
              <w:t>科</w:t>
            </w:r>
          </w:p>
          <w:p>
            <w:pPr>
              <w:pStyle w:val="TableParagraph"/>
              <w:spacing w:line="187" w:lineRule="auto"/>
              <w:ind w:left="894" w:right="123"/>
              <w:jc w:val="both"/>
              <w:rPr>
                <w:sz w:val="24"/>
              </w:rPr>
            </w:pPr>
            <w:r>
              <w:rPr>
                <w:spacing w:val="-10"/>
                <w:sz w:val="24"/>
              </w:rPr>
              <w:t>、</w:t>
            </w:r>
            <w:r>
              <w:rPr>
                <w:spacing w:val="-10"/>
                <w:sz w:val="24"/>
              </w:rPr>
              <w:t>检</w:t>
            </w:r>
            <w:r>
              <w:rPr>
                <w:spacing w:val="-10"/>
                <w:sz w:val="24"/>
              </w:rPr>
              <w:t>验</w:t>
            </w:r>
            <w:r>
              <w:rPr>
                <w:spacing w:val="-10"/>
                <w:sz w:val="24"/>
              </w:rPr>
              <w:t>科</w:t>
            </w:r>
          </w:p>
          <w:p>
            <w:pPr>
              <w:pStyle w:val="TableParagraph"/>
              <w:spacing w:before="1" w:line="187" w:lineRule="auto"/>
              <w:ind w:left="894" w:right="123"/>
              <w:jc w:val="both"/>
              <w:rPr>
                <w:sz w:val="24"/>
              </w:rPr>
            </w:pPr>
            <w:r>
              <w:rPr>
                <w:spacing w:val="-10"/>
                <w:sz w:val="24"/>
              </w:rPr>
              <w:t>、</w:t>
            </w:r>
            <w:r>
              <w:rPr>
                <w:spacing w:val="-10"/>
                <w:sz w:val="24"/>
              </w:rPr>
              <w:t>中</w:t>
            </w:r>
            <w:r>
              <w:rPr>
                <w:spacing w:val="-10"/>
                <w:sz w:val="24"/>
              </w:rPr>
              <w:t>药</w:t>
            </w:r>
            <w:r>
              <w:rPr>
                <w:spacing w:val="-10"/>
                <w:sz w:val="24"/>
              </w:rPr>
              <w:t>房</w:t>
            </w:r>
          </w:p>
          <w:p>
            <w:pPr>
              <w:pStyle w:val="TableParagraph"/>
              <w:spacing w:line="187" w:lineRule="auto"/>
              <w:ind w:left="894" w:right="123"/>
              <w:jc w:val="both"/>
              <w:rPr>
                <w:sz w:val="24"/>
              </w:rPr>
            </w:pPr>
            <w:r>
              <w:rPr>
                <w:spacing w:val="-10"/>
                <w:sz w:val="24"/>
              </w:rPr>
              <w:t>、</w:t>
            </w:r>
            <w:r>
              <w:rPr>
                <w:spacing w:val="-10"/>
                <w:sz w:val="24"/>
              </w:rPr>
              <w:t>煎</w:t>
            </w:r>
            <w:r>
              <w:rPr>
                <w:spacing w:val="-10"/>
                <w:sz w:val="24"/>
              </w:rPr>
              <w:t>药</w:t>
            </w:r>
            <w:r>
              <w:rPr>
                <w:spacing w:val="-10"/>
                <w:sz w:val="24"/>
              </w:rPr>
              <w:t>房</w:t>
            </w:r>
            <w:r>
              <w:rPr>
                <w:spacing w:val="-10"/>
                <w:sz w:val="24"/>
              </w:rPr>
              <w:t>等</w:t>
            </w:r>
          </w:p>
          <w:p>
            <w:pPr>
              <w:pStyle w:val="TableParagraph"/>
              <w:spacing w:line="115" w:lineRule="exact"/>
              <w:ind w:left="894"/>
              <w:rPr>
                <w:sz w:val="24"/>
              </w:rPr>
            </w:pPr>
            <w:r>
              <w:rPr>
                <w:sz w:val="24"/>
              </w:rPr>
              <w:t>）</w:t>
            </w:r>
          </w:p>
        </w:tc>
        <w:tc>
          <w:tcPr>
            <w:tcW w:w="1080" w:type="dxa"/>
          </w:tcPr>
          <w:p>
            <w:pPr>
              <w:pStyle w:val="TableParagraph"/>
              <w:spacing w:before="100"/>
              <w:ind w:left="20"/>
              <w:jc w:val="center"/>
              <w:rPr>
                <w:sz w:val="24"/>
              </w:rPr>
            </w:pPr>
            <w:r>
              <w:rPr>
                <w:sz w:val="24"/>
              </w:rPr>
              <w:t>1</w:t>
            </w:r>
          </w:p>
        </w:tc>
        <w:tc>
          <w:tcPr>
            <w:tcW w:w="5840" w:type="dxa"/>
          </w:tcPr>
          <w:p>
            <w:pPr>
              <w:pStyle w:val="TableParagraph"/>
              <w:spacing w:before="100"/>
              <w:ind w:left="108"/>
              <w:rPr>
                <w:sz w:val="24"/>
              </w:rPr>
            </w:pPr>
            <w:r>
              <w:rPr>
                <w:spacing w:val="-1"/>
                <w:sz w:val="24"/>
              </w:rPr>
              <w:t>检验科医疗废物高压处理</w:t>
            </w:r>
          </w:p>
        </w:tc>
        <w:tc>
          <w:tcPr>
            <w:tcW w:w="1700" w:type="dxa"/>
          </w:tcPr>
          <w:p>
            <w:pPr>
              <w:pStyle w:val="TableParagraph"/>
              <w:spacing w:before="100"/>
              <w:ind w:left="20"/>
              <w:jc w:val="center"/>
              <w:rPr>
                <w:sz w:val="24"/>
              </w:rPr>
            </w:pPr>
            <w:r>
              <w:rPr>
                <w:spacing w:val="-5"/>
                <w:sz w:val="24"/>
              </w:rPr>
              <w:t>按需</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left="20"/>
              <w:jc w:val="center"/>
              <w:rPr>
                <w:sz w:val="24"/>
              </w:rPr>
            </w:pPr>
            <w:r>
              <w:rPr>
                <w:sz w:val="24"/>
              </w:rPr>
              <w:t>2</w:t>
            </w:r>
          </w:p>
        </w:tc>
        <w:tc>
          <w:tcPr>
            <w:tcW w:w="5840" w:type="dxa"/>
          </w:tcPr>
          <w:p>
            <w:pPr>
              <w:pStyle w:val="TableParagraph"/>
              <w:spacing w:before="100"/>
              <w:ind w:left="108"/>
              <w:rPr>
                <w:sz w:val="24"/>
              </w:rPr>
            </w:pPr>
            <w:r>
              <w:rPr>
                <w:sz w:val="24"/>
              </w:rPr>
              <w:t>清理区域垃圾并清洁垃圾筒（篓）</w:t>
            </w:r>
            <w:r>
              <w:rPr>
                <w:spacing w:val="-2"/>
                <w:sz w:val="24"/>
              </w:rPr>
              <w:t>、地面牵尘</w:t>
            </w:r>
          </w:p>
        </w:tc>
        <w:tc>
          <w:tcPr>
            <w:tcW w:w="1700" w:type="dxa"/>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left="20"/>
              <w:jc w:val="center"/>
              <w:rPr>
                <w:sz w:val="24"/>
              </w:rPr>
            </w:pPr>
            <w:r>
              <w:rPr>
                <w:sz w:val="24"/>
              </w:rPr>
              <w:t>3</w:t>
            </w:r>
          </w:p>
        </w:tc>
        <w:tc>
          <w:tcPr>
            <w:tcW w:w="5840" w:type="dxa"/>
          </w:tcPr>
          <w:p>
            <w:pPr>
              <w:pStyle w:val="TableParagraph"/>
              <w:spacing w:before="100"/>
              <w:ind w:left="108"/>
              <w:rPr>
                <w:sz w:val="24"/>
              </w:rPr>
            </w:pPr>
            <w:r>
              <w:rPr>
                <w:spacing w:val="-1"/>
                <w:sz w:val="24"/>
              </w:rPr>
              <w:t>清扫湿拖附属用房、大厅、前后楼梯</w:t>
            </w:r>
          </w:p>
        </w:tc>
        <w:tc>
          <w:tcPr>
            <w:tcW w:w="1700" w:type="dxa"/>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left="20"/>
              <w:jc w:val="center"/>
              <w:rPr>
                <w:sz w:val="24"/>
              </w:rPr>
            </w:pPr>
            <w:r>
              <w:rPr>
                <w:sz w:val="24"/>
              </w:rPr>
              <w:t>4</w:t>
            </w:r>
          </w:p>
        </w:tc>
        <w:tc>
          <w:tcPr>
            <w:tcW w:w="5840" w:type="dxa"/>
          </w:tcPr>
          <w:p>
            <w:pPr>
              <w:pStyle w:val="TableParagraph"/>
              <w:spacing w:before="100"/>
              <w:ind w:left="108"/>
              <w:rPr>
                <w:sz w:val="24"/>
              </w:rPr>
            </w:pPr>
            <w:r>
              <w:rPr>
                <w:spacing w:val="-1"/>
                <w:sz w:val="24"/>
              </w:rPr>
              <w:t>洗手间全面冲洗、清洁</w:t>
            </w:r>
          </w:p>
        </w:tc>
        <w:tc>
          <w:tcPr>
            <w:tcW w:w="1700" w:type="dxa"/>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left="20"/>
              <w:jc w:val="center"/>
              <w:rPr>
                <w:sz w:val="24"/>
              </w:rPr>
            </w:pPr>
            <w:r>
              <w:rPr>
                <w:sz w:val="24"/>
              </w:rPr>
              <w:t>7</w:t>
            </w:r>
          </w:p>
        </w:tc>
        <w:tc>
          <w:tcPr>
            <w:tcW w:w="5840" w:type="dxa"/>
          </w:tcPr>
          <w:p>
            <w:pPr>
              <w:pStyle w:val="TableParagraph"/>
              <w:spacing w:before="100"/>
              <w:ind w:left="108"/>
              <w:rPr>
                <w:sz w:val="24"/>
              </w:rPr>
            </w:pPr>
            <w:r>
              <w:rPr>
                <w:spacing w:val="-1"/>
                <w:sz w:val="24"/>
              </w:rPr>
              <w:t>室内墙面、厅柱低处抹尘</w:t>
            </w:r>
          </w:p>
        </w:tc>
        <w:tc>
          <w:tcPr>
            <w:tcW w:w="1700" w:type="dxa"/>
          </w:tcPr>
          <w:p>
            <w:pPr>
              <w:pStyle w:val="TableParagraph"/>
              <w:spacing w:before="100"/>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left="20"/>
              <w:jc w:val="center"/>
              <w:rPr>
                <w:sz w:val="24"/>
              </w:rPr>
            </w:pPr>
            <w:r>
              <w:rPr>
                <w:sz w:val="24"/>
              </w:rPr>
              <w:t>8</w:t>
            </w:r>
          </w:p>
        </w:tc>
        <w:tc>
          <w:tcPr>
            <w:tcW w:w="5840" w:type="dxa"/>
          </w:tcPr>
          <w:p>
            <w:pPr>
              <w:pStyle w:val="TableParagraph"/>
              <w:spacing w:before="100"/>
              <w:ind w:left="108"/>
              <w:rPr>
                <w:sz w:val="24"/>
              </w:rPr>
            </w:pPr>
            <w:r>
              <w:rPr>
                <w:spacing w:val="-2"/>
                <w:sz w:val="24"/>
              </w:rPr>
              <w:t>所有室内家俱擦拭</w:t>
            </w:r>
          </w:p>
        </w:tc>
        <w:tc>
          <w:tcPr>
            <w:tcW w:w="1700" w:type="dxa"/>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1867"/>
          <w:jc w:val="left"/>
        </w:trPr>
        <w:tc>
          <w:tcPr>
            <w:tcW w:w="1280" w:type="dxa"/>
            <w:vMerge/>
            <w:tcBorders>
              <w:top w:val="nil"/>
            </w:tcBorders>
          </w:tcPr>
          <w:p>
            <w:pPr>
              <w:rPr>
                <w:sz w:val="2"/>
                <w:szCs w:val="2"/>
              </w:rPr>
            </w:pPr>
          </w:p>
        </w:tc>
        <w:tc>
          <w:tcPr>
            <w:tcW w:w="1080" w:type="dxa"/>
          </w:tcPr>
          <w:p>
            <w:pPr>
              <w:pStyle w:val="TableParagraph"/>
              <w:rPr>
                <w:sz w:val="24"/>
              </w:rPr>
            </w:pPr>
          </w:p>
          <w:p>
            <w:pPr>
              <w:pStyle w:val="TableParagraph"/>
              <w:spacing w:before="12"/>
              <w:rPr>
                <w:sz w:val="30"/>
              </w:rPr>
            </w:pPr>
          </w:p>
          <w:p>
            <w:pPr>
              <w:pStyle w:val="TableParagraph"/>
              <w:ind w:left="20"/>
              <w:jc w:val="center"/>
              <w:rPr>
                <w:sz w:val="24"/>
              </w:rPr>
            </w:pPr>
            <w:r>
              <w:rPr>
                <w:sz w:val="24"/>
              </w:rPr>
              <w:t>9</w:t>
            </w:r>
          </w:p>
        </w:tc>
        <w:tc>
          <w:tcPr>
            <w:tcW w:w="5840" w:type="dxa"/>
          </w:tcPr>
          <w:p>
            <w:pPr>
              <w:pStyle w:val="TableParagraph"/>
              <w:spacing w:before="3" w:line="364" w:lineRule="auto"/>
              <w:ind w:left="108" w:right="86"/>
              <w:rPr>
                <w:sz w:val="24"/>
              </w:rPr>
            </w:pPr>
            <w:r>
              <w:rPr>
                <w:spacing w:val="-2"/>
                <w:sz w:val="24"/>
              </w:rPr>
              <w:t>室内墙面清洁、中药煎药室室内墙面、水槽、排水沟</w:t>
            </w:r>
            <w:r>
              <w:rPr>
                <w:spacing w:val="-5"/>
                <w:sz w:val="24"/>
              </w:rPr>
              <w:t xml:space="preserve">清洁每天 </w:t>
            </w:r>
            <w:r>
              <w:rPr>
                <w:sz w:val="24"/>
              </w:rPr>
              <w:t>1</w:t>
            </w:r>
            <w:r>
              <w:rPr>
                <w:spacing w:val="-11"/>
                <w:sz w:val="24"/>
              </w:rPr>
              <w:t xml:space="preserve"> 次</w:t>
            </w:r>
          </w:p>
          <w:p>
            <w:pPr>
              <w:pStyle w:val="TableParagraph"/>
              <w:spacing w:line="306" w:lineRule="exact"/>
              <w:ind w:left="108"/>
              <w:rPr>
                <w:sz w:val="24"/>
              </w:rPr>
            </w:pPr>
            <w:r>
              <w:rPr>
                <w:spacing w:val="-8"/>
                <w:sz w:val="24"/>
              </w:rPr>
              <w:t xml:space="preserve">中药渣清运每天 </w:t>
            </w:r>
            <w:r>
              <w:rPr>
                <w:sz w:val="24"/>
              </w:rPr>
              <w:t>1</w:t>
            </w:r>
            <w:r>
              <w:rPr>
                <w:spacing w:val="-13"/>
                <w:sz w:val="24"/>
              </w:rPr>
              <w:t xml:space="preserve"> 次、下水道疏通每两周 </w:t>
            </w:r>
            <w:r>
              <w:rPr>
                <w:sz w:val="24"/>
              </w:rPr>
              <w:t>1</w:t>
            </w:r>
            <w:r>
              <w:rPr>
                <w:spacing w:val="-35"/>
                <w:sz w:val="24"/>
              </w:rPr>
              <w:t xml:space="preserve"> 次</w:t>
            </w:r>
          </w:p>
          <w:p>
            <w:pPr>
              <w:pStyle w:val="TableParagraph"/>
              <w:spacing w:before="160"/>
              <w:ind w:left="108"/>
              <w:rPr>
                <w:sz w:val="24"/>
              </w:rPr>
            </w:pPr>
            <w:r>
              <w:rPr>
                <w:spacing w:val="-4"/>
                <w:sz w:val="24"/>
              </w:rPr>
              <w:t xml:space="preserve">天花板、吊扇、排气扇每月保洁 </w:t>
            </w:r>
            <w:r>
              <w:rPr>
                <w:sz w:val="24"/>
              </w:rPr>
              <w:t>1</w:t>
            </w:r>
            <w:r>
              <w:rPr>
                <w:spacing w:val="-35"/>
                <w:sz w:val="24"/>
              </w:rPr>
              <w:t xml:space="preserve"> 次</w:t>
            </w:r>
          </w:p>
        </w:tc>
        <w:tc>
          <w:tcPr>
            <w:tcW w:w="1700" w:type="dxa"/>
          </w:tcPr>
          <w:p>
            <w:pPr>
              <w:pStyle w:val="TableParagraph"/>
              <w:rPr>
                <w:rFonts w:ascii="Times New Roman"/>
                <w:sz w:val="22"/>
              </w:rPr>
            </w:pPr>
          </w:p>
        </w:tc>
      </w:tr>
    </w:tbl>
    <w:p>
      <w:pPr>
        <w:spacing w:after="0"/>
        <w:rPr>
          <w:rFonts w:ascii="Times New Roman"/>
          <w:sz w:val="22"/>
        </w:rPr>
        <w:sectPr>
          <w:headerReference w:type="default" r:id="rId69"/>
          <w:footerReference w:type="default" r:id="rId70"/>
          <w:pgSz w:w="11910" w:h="16840"/>
          <w:pgMar w:top="1240" w:right="320" w:bottom="1180" w:left="1100" w:header="884" w:footer="991"/>
          <w:pgNumType w:start="30"/>
          <w:cols w:space="708"/>
        </w:sectPr>
      </w:pPr>
    </w:p>
    <w:p>
      <w:pPr>
        <w:pStyle w:val="BodyText"/>
        <w:spacing w:before="11"/>
        <w:rPr>
          <w:sz w:val="7"/>
        </w:rPr>
      </w:pPr>
    </w:p>
    <w:tbl>
      <w:tblPr>
        <w:tblStyle w:val="TableNormal10"/>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660"/>
          <w:jc w:val="left"/>
        </w:trPr>
        <w:tc>
          <w:tcPr>
            <w:tcW w:w="1280" w:type="dxa"/>
            <w:vMerge w:val="restart"/>
            <w:tcBorders>
              <w:top w:val="nil"/>
            </w:tcBorders>
          </w:tcPr>
          <w:p>
            <w:pPr>
              <w:pStyle w:val="TableParagraph"/>
              <w:rPr>
                <w:rFonts w:ascii="Times New Roman"/>
                <w:sz w:val="22"/>
              </w:rPr>
            </w:pPr>
          </w:p>
        </w:tc>
        <w:tc>
          <w:tcPr>
            <w:tcW w:w="1080" w:type="dxa"/>
            <w:tcBorders>
              <w:top w:val="nil"/>
            </w:tcBorders>
          </w:tcPr>
          <w:p>
            <w:pPr>
              <w:pStyle w:val="TableParagraph"/>
              <w:spacing w:before="100"/>
              <w:ind w:right="399"/>
              <w:jc w:val="right"/>
              <w:rPr>
                <w:sz w:val="24"/>
              </w:rPr>
            </w:pPr>
            <w:r>
              <w:rPr>
                <w:spacing w:val="-5"/>
                <w:sz w:val="24"/>
              </w:rPr>
              <w:t>10</w:t>
            </w:r>
          </w:p>
        </w:tc>
        <w:tc>
          <w:tcPr>
            <w:tcW w:w="5840" w:type="dxa"/>
            <w:tcBorders>
              <w:top w:val="nil"/>
            </w:tcBorders>
          </w:tcPr>
          <w:p>
            <w:pPr>
              <w:pStyle w:val="TableParagraph"/>
              <w:spacing w:before="100"/>
              <w:ind w:left="108"/>
              <w:rPr>
                <w:sz w:val="24"/>
              </w:rPr>
            </w:pPr>
            <w:r>
              <w:rPr>
                <w:spacing w:val="-1"/>
                <w:sz w:val="24"/>
              </w:rPr>
              <w:t>大厅、走廊墙面低处抹尘</w:t>
            </w:r>
          </w:p>
        </w:tc>
        <w:tc>
          <w:tcPr>
            <w:tcW w:w="1700" w:type="dxa"/>
            <w:tcBorders>
              <w:top w:val="nil"/>
            </w:tcBorders>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11</w:t>
            </w:r>
          </w:p>
        </w:tc>
        <w:tc>
          <w:tcPr>
            <w:tcW w:w="5840" w:type="dxa"/>
          </w:tcPr>
          <w:p>
            <w:pPr>
              <w:pStyle w:val="TableParagraph"/>
              <w:spacing w:before="100"/>
              <w:ind w:left="108"/>
              <w:rPr>
                <w:sz w:val="24"/>
              </w:rPr>
            </w:pPr>
            <w:r>
              <w:rPr>
                <w:spacing w:val="-2"/>
                <w:sz w:val="24"/>
              </w:rPr>
              <w:t>区域巡视保洁</w:t>
            </w:r>
          </w:p>
        </w:tc>
        <w:tc>
          <w:tcPr>
            <w:tcW w:w="1700" w:type="dxa"/>
          </w:tcPr>
          <w:p>
            <w:pPr>
              <w:pStyle w:val="TableParagraph"/>
              <w:spacing w:before="100"/>
              <w:ind w:left="20"/>
              <w:jc w:val="center"/>
              <w:rPr>
                <w:sz w:val="24"/>
              </w:rPr>
            </w:pPr>
            <w:r>
              <w:rPr>
                <w:spacing w:val="-5"/>
                <w:sz w:val="24"/>
              </w:rPr>
              <w:t>随时</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12</w:t>
            </w:r>
          </w:p>
        </w:tc>
        <w:tc>
          <w:tcPr>
            <w:tcW w:w="5840" w:type="dxa"/>
          </w:tcPr>
          <w:p>
            <w:pPr>
              <w:pStyle w:val="TableParagraph"/>
              <w:spacing w:before="100"/>
              <w:ind w:left="108"/>
              <w:rPr>
                <w:sz w:val="24"/>
              </w:rPr>
            </w:pPr>
            <w:r>
              <w:rPr>
                <w:spacing w:val="-1"/>
                <w:sz w:val="24"/>
              </w:rPr>
              <w:t>擦空调机外壳，使用期间清洗过滤网</w:t>
            </w:r>
          </w:p>
        </w:tc>
        <w:tc>
          <w:tcPr>
            <w:tcW w:w="1700" w:type="dxa"/>
          </w:tcPr>
          <w:p>
            <w:pPr>
              <w:pStyle w:val="TableParagraph"/>
              <w:spacing w:before="100"/>
              <w:ind w:left="20"/>
              <w:jc w:val="center"/>
              <w:rPr>
                <w:sz w:val="24"/>
              </w:rPr>
            </w:pPr>
            <w:r>
              <w:rPr>
                <w:sz w:val="24"/>
              </w:rPr>
              <w:t>1</w:t>
            </w:r>
            <w:r>
              <w:rPr>
                <w:spacing w:val="-40"/>
                <w:sz w:val="24"/>
              </w:rPr>
              <w:t xml:space="preserve"> 月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13</w:t>
            </w:r>
          </w:p>
        </w:tc>
        <w:tc>
          <w:tcPr>
            <w:tcW w:w="5840" w:type="dxa"/>
          </w:tcPr>
          <w:p>
            <w:pPr>
              <w:pStyle w:val="TableParagraph"/>
              <w:spacing w:before="100"/>
              <w:ind w:left="108"/>
              <w:rPr>
                <w:sz w:val="24"/>
              </w:rPr>
            </w:pPr>
            <w:r>
              <w:rPr>
                <w:spacing w:val="-1"/>
                <w:sz w:val="24"/>
              </w:rPr>
              <w:t>各种玻璃、窗、门及边框擦洗</w:t>
            </w:r>
          </w:p>
        </w:tc>
        <w:tc>
          <w:tcPr>
            <w:tcW w:w="1700" w:type="dxa"/>
          </w:tcPr>
          <w:p>
            <w:pPr>
              <w:pStyle w:val="TableParagraph"/>
              <w:spacing w:before="100"/>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14</w:t>
            </w:r>
          </w:p>
        </w:tc>
        <w:tc>
          <w:tcPr>
            <w:tcW w:w="5840" w:type="dxa"/>
          </w:tcPr>
          <w:p>
            <w:pPr>
              <w:pStyle w:val="TableParagraph"/>
              <w:spacing w:before="100"/>
              <w:ind w:left="108"/>
              <w:rPr>
                <w:sz w:val="24"/>
              </w:rPr>
            </w:pPr>
            <w:r>
              <w:rPr>
                <w:spacing w:val="-1"/>
                <w:sz w:val="24"/>
              </w:rPr>
              <w:t>消防箱、管道、意见箱抹尘</w:t>
            </w:r>
          </w:p>
        </w:tc>
        <w:tc>
          <w:tcPr>
            <w:tcW w:w="1700" w:type="dxa"/>
          </w:tcPr>
          <w:p>
            <w:pPr>
              <w:pStyle w:val="TableParagraph"/>
              <w:spacing w:before="100"/>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15</w:t>
            </w:r>
          </w:p>
        </w:tc>
        <w:tc>
          <w:tcPr>
            <w:tcW w:w="5840" w:type="dxa"/>
          </w:tcPr>
          <w:p>
            <w:pPr>
              <w:pStyle w:val="TableParagraph"/>
              <w:spacing w:before="100"/>
              <w:ind w:left="108"/>
              <w:rPr>
                <w:sz w:val="24"/>
              </w:rPr>
            </w:pPr>
            <w:r>
              <w:rPr>
                <w:spacing w:val="-2"/>
                <w:sz w:val="24"/>
              </w:rPr>
              <w:t>楼梯扶手擦拭</w:t>
            </w:r>
          </w:p>
        </w:tc>
        <w:tc>
          <w:tcPr>
            <w:tcW w:w="1700" w:type="dxa"/>
          </w:tcPr>
          <w:p>
            <w:pPr>
              <w:pStyle w:val="TableParagraph"/>
              <w:spacing w:before="100"/>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660"/>
          <w:jc w:val="left"/>
        </w:trPr>
        <w:tc>
          <w:tcPr>
            <w:tcW w:w="1280" w:type="dxa"/>
            <w:vMerge/>
            <w:tcBorders>
              <w:top w:val="nil"/>
            </w:tcBorders>
          </w:tcPr>
          <w:p>
            <w:pPr>
              <w:rPr>
                <w:sz w:val="2"/>
                <w:szCs w:val="2"/>
              </w:rPr>
            </w:pPr>
          </w:p>
        </w:tc>
        <w:tc>
          <w:tcPr>
            <w:tcW w:w="1080" w:type="dxa"/>
          </w:tcPr>
          <w:p>
            <w:pPr>
              <w:pStyle w:val="TableParagraph"/>
              <w:spacing w:before="100"/>
              <w:ind w:right="399"/>
              <w:jc w:val="right"/>
              <w:rPr>
                <w:sz w:val="24"/>
              </w:rPr>
            </w:pPr>
            <w:r>
              <w:rPr>
                <w:spacing w:val="-5"/>
                <w:sz w:val="24"/>
              </w:rPr>
              <w:t>16</w:t>
            </w:r>
          </w:p>
        </w:tc>
        <w:tc>
          <w:tcPr>
            <w:tcW w:w="5840" w:type="dxa"/>
          </w:tcPr>
          <w:p>
            <w:pPr>
              <w:pStyle w:val="TableParagraph"/>
              <w:spacing w:before="100"/>
              <w:ind w:left="108"/>
              <w:rPr>
                <w:sz w:val="24"/>
              </w:rPr>
            </w:pPr>
            <w:r>
              <w:rPr>
                <w:spacing w:val="-1"/>
                <w:sz w:val="24"/>
              </w:rPr>
              <w:t>标志牌、墙壁饰物、风口、日光灯架等</w:t>
            </w:r>
          </w:p>
        </w:tc>
        <w:tc>
          <w:tcPr>
            <w:tcW w:w="1700" w:type="dxa"/>
          </w:tcPr>
          <w:p>
            <w:pPr>
              <w:pStyle w:val="TableParagraph"/>
              <w:spacing w:before="100"/>
              <w:ind w:left="20"/>
              <w:jc w:val="center"/>
              <w:rPr>
                <w:sz w:val="24"/>
              </w:rPr>
            </w:pPr>
            <w:r>
              <w:rPr>
                <w:sz w:val="24"/>
              </w:rPr>
              <w:t>1</w:t>
            </w:r>
            <w:r>
              <w:rPr>
                <w:spacing w:val="-40"/>
                <w:sz w:val="24"/>
              </w:rPr>
              <w:t xml:space="preserve"> 月 </w:t>
            </w:r>
            <w:r>
              <w:rPr>
                <w:sz w:val="24"/>
              </w:rPr>
              <w:t>1</w:t>
            </w:r>
            <w:r>
              <w:rPr>
                <w:spacing w:val="-35"/>
                <w:sz w:val="24"/>
              </w:rPr>
              <w:t xml:space="preserve"> 次</w:t>
            </w:r>
          </w:p>
        </w:tc>
      </w:tr>
    </w:tbl>
    <w:p>
      <w:pPr>
        <w:pStyle w:val="ListParagraph"/>
        <w:numPr>
          <w:ilvl w:val="3"/>
          <w:numId w:val="42"/>
        </w:numPr>
        <w:tabs>
          <w:tab w:val="left" w:pos="1466"/>
        </w:tabs>
        <w:spacing w:before="80" w:after="0" w:line="240" w:lineRule="auto"/>
        <w:ind w:left="1466" w:right="0" w:hanging="900"/>
        <w:jc w:val="left"/>
        <w:rPr>
          <w:sz w:val="24"/>
        </w:rPr>
      </w:pPr>
      <w:r>
        <w:rPr>
          <w:spacing w:val="-4"/>
          <w:sz w:val="24"/>
        </w:rPr>
        <w:t>供应室</w:t>
      </w:r>
    </w:p>
    <w:p>
      <w:pPr>
        <w:pStyle w:val="BodyText"/>
        <w:spacing w:before="4"/>
        <w:rPr>
          <w:sz w:val="17"/>
        </w:rPr>
      </w:pPr>
    </w:p>
    <w:tbl>
      <w:tblPr>
        <w:tblStyle w:val="TableNormal10"/>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466"/>
          <w:jc w:val="left"/>
        </w:trPr>
        <w:tc>
          <w:tcPr>
            <w:tcW w:w="1280" w:type="dxa"/>
          </w:tcPr>
          <w:p>
            <w:pPr>
              <w:pStyle w:val="TableParagraph"/>
              <w:spacing w:before="3"/>
              <w:ind w:left="400"/>
              <w:rPr>
                <w:sz w:val="24"/>
              </w:rPr>
            </w:pPr>
            <w:r>
              <w:rPr>
                <w:spacing w:val="-5"/>
                <w:sz w:val="24"/>
              </w:rPr>
              <w:t>区域</w:t>
            </w:r>
          </w:p>
        </w:tc>
        <w:tc>
          <w:tcPr>
            <w:tcW w:w="1080" w:type="dxa"/>
          </w:tcPr>
          <w:p>
            <w:pPr>
              <w:pStyle w:val="TableParagraph"/>
              <w:spacing w:before="3"/>
              <w:ind w:left="285" w:right="265"/>
              <w:jc w:val="center"/>
              <w:rPr>
                <w:sz w:val="24"/>
              </w:rPr>
            </w:pPr>
            <w:r>
              <w:rPr>
                <w:spacing w:val="-5"/>
                <w:sz w:val="24"/>
              </w:rPr>
              <w:t>序号</w:t>
            </w:r>
          </w:p>
        </w:tc>
        <w:tc>
          <w:tcPr>
            <w:tcW w:w="5840" w:type="dxa"/>
          </w:tcPr>
          <w:p>
            <w:pPr>
              <w:pStyle w:val="TableParagraph"/>
              <w:spacing w:before="3"/>
              <w:ind w:left="2246" w:right="2227"/>
              <w:jc w:val="center"/>
              <w:rPr>
                <w:sz w:val="24"/>
              </w:rPr>
            </w:pPr>
            <w:r>
              <w:rPr>
                <w:spacing w:val="-3"/>
                <w:sz w:val="24"/>
              </w:rPr>
              <w:t>工作内容</w:t>
            </w:r>
          </w:p>
        </w:tc>
        <w:tc>
          <w:tcPr>
            <w:tcW w:w="1700" w:type="dxa"/>
          </w:tcPr>
          <w:p>
            <w:pPr>
              <w:pStyle w:val="TableParagraph"/>
              <w:spacing w:before="3"/>
              <w:ind w:left="20"/>
              <w:jc w:val="center"/>
              <w:rPr>
                <w:sz w:val="24"/>
              </w:rPr>
            </w:pPr>
            <w:r>
              <w:rPr>
                <w:spacing w:val="-5"/>
                <w:sz w:val="24"/>
              </w:rPr>
              <w:t>频率</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val="restart"/>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3"/>
              <w:rPr>
                <w:sz w:val="27"/>
              </w:rPr>
            </w:pPr>
          </w:p>
          <w:p>
            <w:pPr>
              <w:pStyle w:val="TableParagraph"/>
              <w:spacing w:line="187" w:lineRule="auto"/>
              <w:ind w:left="894" w:right="123"/>
              <w:jc w:val="both"/>
              <w:rPr>
                <w:sz w:val="24"/>
              </w:rPr>
            </w:pPr>
            <w:r>
              <w:rPr>
                <w:spacing w:val="-10"/>
                <w:sz w:val="24"/>
              </w:rPr>
              <w:t>供</w:t>
            </w:r>
            <w:r>
              <w:rPr>
                <w:spacing w:val="-10"/>
                <w:sz w:val="24"/>
              </w:rPr>
              <w:t>应</w:t>
            </w:r>
            <w:r>
              <w:rPr>
                <w:spacing w:val="-10"/>
                <w:sz w:val="24"/>
              </w:rPr>
              <w:t>室</w:t>
            </w:r>
          </w:p>
        </w:tc>
        <w:tc>
          <w:tcPr>
            <w:tcW w:w="1080" w:type="dxa"/>
          </w:tcPr>
          <w:p>
            <w:pPr>
              <w:pStyle w:val="TableParagraph"/>
              <w:spacing w:before="137"/>
              <w:ind w:left="20"/>
              <w:jc w:val="center"/>
              <w:rPr>
                <w:sz w:val="24"/>
              </w:rPr>
            </w:pPr>
            <w:r>
              <w:rPr>
                <w:sz w:val="24"/>
              </w:rPr>
              <w:t>1</w:t>
            </w:r>
          </w:p>
        </w:tc>
        <w:tc>
          <w:tcPr>
            <w:tcW w:w="5840" w:type="dxa"/>
          </w:tcPr>
          <w:p>
            <w:pPr>
              <w:pStyle w:val="TableParagraph"/>
              <w:spacing w:before="137"/>
              <w:ind w:left="108"/>
              <w:rPr>
                <w:sz w:val="24"/>
              </w:rPr>
            </w:pPr>
            <w:r>
              <w:rPr>
                <w:spacing w:val="-1"/>
                <w:sz w:val="24"/>
              </w:rPr>
              <w:t>培养皿清洁消毒、压力蒸气灭菌器使用清洁</w:t>
            </w:r>
          </w:p>
        </w:tc>
        <w:tc>
          <w:tcPr>
            <w:tcW w:w="1700" w:type="dxa"/>
          </w:tcPr>
          <w:p>
            <w:pPr>
              <w:pStyle w:val="TableParagraph"/>
              <w:spacing w:before="137"/>
              <w:ind w:left="20"/>
              <w:jc w:val="center"/>
              <w:rPr>
                <w:sz w:val="24"/>
              </w:rPr>
            </w:pPr>
            <w:r>
              <w:rPr>
                <w:spacing w:val="-5"/>
                <w:sz w:val="24"/>
              </w:rPr>
              <w:t>按需</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2</w:t>
            </w:r>
          </w:p>
        </w:tc>
        <w:tc>
          <w:tcPr>
            <w:tcW w:w="5840" w:type="dxa"/>
          </w:tcPr>
          <w:p>
            <w:pPr>
              <w:pStyle w:val="TableParagraph"/>
              <w:spacing w:before="137"/>
              <w:ind w:left="108"/>
              <w:rPr>
                <w:sz w:val="24"/>
              </w:rPr>
            </w:pPr>
            <w:r>
              <w:rPr>
                <w:sz w:val="24"/>
              </w:rPr>
              <w:t>清理区域垃圾并清洁垃圾筒（篓）</w:t>
            </w:r>
            <w:r>
              <w:rPr>
                <w:spacing w:val="-2"/>
                <w:sz w:val="24"/>
              </w:rPr>
              <w:t>、地面牵尘</w:t>
            </w:r>
          </w:p>
        </w:tc>
        <w:tc>
          <w:tcPr>
            <w:tcW w:w="1700" w:type="dxa"/>
          </w:tcPr>
          <w:p>
            <w:pPr>
              <w:pStyle w:val="TableParagraph"/>
              <w:spacing w:before="137"/>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3</w:t>
            </w:r>
          </w:p>
        </w:tc>
        <w:tc>
          <w:tcPr>
            <w:tcW w:w="5840" w:type="dxa"/>
          </w:tcPr>
          <w:p>
            <w:pPr>
              <w:pStyle w:val="TableParagraph"/>
              <w:spacing w:before="137"/>
              <w:ind w:left="108"/>
              <w:rPr>
                <w:sz w:val="24"/>
              </w:rPr>
            </w:pPr>
            <w:r>
              <w:rPr>
                <w:spacing w:val="-1"/>
                <w:sz w:val="24"/>
              </w:rPr>
              <w:t>清扫湿拖附属用房、大厅、前后楼梯</w:t>
            </w:r>
          </w:p>
        </w:tc>
        <w:tc>
          <w:tcPr>
            <w:tcW w:w="1700" w:type="dxa"/>
          </w:tcPr>
          <w:p>
            <w:pPr>
              <w:pStyle w:val="TableParagraph"/>
              <w:spacing w:before="137"/>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4</w:t>
            </w:r>
          </w:p>
        </w:tc>
        <w:tc>
          <w:tcPr>
            <w:tcW w:w="5840" w:type="dxa"/>
          </w:tcPr>
          <w:p>
            <w:pPr>
              <w:pStyle w:val="TableParagraph"/>
              <w:spacing w:before="137"/>
              <w:ind w:left="108"/>
              <w:rPr>
                <w:sz w:val="24"/>
              </w:rPr>
            </w:pPr>
            <w:r>
              <w:rPr>
                <w:spacing w:val="-1"/>
                <w:sz w:val="24"/>
              </w:rPr>
              <w:t>室内墙面、厅柱低处抹尘</w:t>
            </w:r>
          </w:p>
        </w:tc>
        <w:tc>
          <w:tcPr>
            <w:tcW w:w="1700" w:type="dxa"/>
          </w:tcPr>
          <w:p>
            <w:pPr>
              <w:pStyle w:val="TableParagraph"/>
              <w:spacing w:before="137"/>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5</w:t>
            </w:r>
          </w:p>
        </w:tc>
        <w:tc>
          <w:tcPr>
            <w:tcW w:w="5840" w:type="dxa"/>
          </w:tcPr>
          <w:p>
            <w:pPr>
              <w:pStyle w:val="TableParagraph"/>
              <w:spacing w:before="137"/>
              <w:ind w:left="108"/>
              <w:rPr>
                <w:sz w:val="24"/>
              </w:rPr>
            </w:pPr>
            <w:r>
              <w:rPr>
                <w:spacing w:val="-2"/>
                <w:sz w:val="24"/>
              </w:rPr>
              <w:t>所有室内家俱擦拭</w:t>
            </w:r>
          </w:p>
        </w:tc>
        <w:tc>
          <w:tcPr>
            <w:tcW w:w="1700" w:type="dxa"/>
          </w:tcPr>
          <w:p>
            <w:pPr>
              <w:pStyle w:val="TableParagraph"/>
              <w:spacing w:before="137"/>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6</w:t>
            </w:r>
          </w:p>
        </w:tc>
        <w:tc>
          <w:tcPr>
            <w:tcW w:w="5840" w:type="dxa"/>
          </w:tcPr>
          <w:p>
            <w:pPr>
              <w:pStyle w:val="TableParagraph"/>
              <w:spacing w:before="137"/>
              <w:ind w:left="108"/>
              <w:rPr>
                <w:sz w:val="24"/>
              </w:rPr>
            </w:pPr>
            <w:r>
              <w:rPr>
                <w:spacing w:val="-2"/>
                <w:sz w:val="24"/>
              </w:rPr>
              <w:t>室内墙面清洁</w:t>
            </w:r>
          </w:p>
        </w:tc>
        <w:tc>
          <w:tcPr>
            <w:tcW w:w="1700" w:type="dxa"/>
          </w:tcPr>
          <w:p>
            <w:pPr>
              <w:pStyle w:val="TableParagraph"/>
              <w:spacing w:before="137"/>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7</w:t>
            </w:r>
          </w:p>
        </w:tc>
        <w:tc>
          <w:tcPr>
            <w:tcW w:w="5840" w:type="dxa"/>
          </w:tcPr>
          <w:p>
            <w:pPr>
              <w:pStyle w:val="TableParagraph"/>
              <w:spacing w:before="137"/>
              <w:ind w:left="108"/>
              <w:rPr>
                <w:sz w:val="24"/>
              </w:rPr>
            </w:pPr>
            <w:r>
              <w:rPr>
                <w:spacing w:val="-1"/>
                <w:sz w:val="24"/>
              </w:rPr>
              <w:t>大厅、走廊墙面低处抹尘</w:t>
            </w:r>
          </w:p>
        </w:tc>
        <w:tc>
          <w:tcPr>
            <w:tcW w:w="1700" w:type="dxa"/>
          </w:tcPr>
          <w:p>
            <w:pPr>
              <w:pStyle w:val="TableParagraph"/>
              <w:spacing w:before="137"/>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8</w:t>
            </w:r>
          </w:p>
        </w:tc>
        <w:tc>
          <w:tcPr>
            <w:tcW w:w="5840" w:type="dxa"/>
          </w:tcPr>
          <w:p>
            <w:pPr>
              <w:pStyle w:val="TableParagraph"/>
              <w:spacing w:before="137"/>
              <w:ind w:left="108"/>
              <w:rPr>
                <w:sz w:val="24"/>
              </w:rPr>
            </w:pPr>
            <w:r>
              <w:rPr>
                <w:spacing w:val="-2"/>
                <w:sz w:val="24"/>
              </w:rPr>
              <w:t>区域巡视保洁</w:t>
            </w:r>
          </w:p>
        </w:tc>
        <w:tc>
          <w:tcPr>
            <w:tcW w:w="1700" w:type="dxa"/>
          </w:tcPr>
          <w:p>
            <w:pPr>
              <w:pStyle w:val="TableParagraph"/>
              <w:spacing w:before="137"/>
              <w:ind w:left="20"/>
              <w:jc w:val="center"/>
              <w:rPr>
                <w:sz w:val="24"/>
              </w:rPr>
            </w:pPr>
            <w:r>
              <w:rPr>
                <w:spacing w:val="-5"/>
                <w:sz w:val="24"/>
              </w:rPr>
              <w:t>随时</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0"/>
              <w:jc w:val="center"/>
              <w:rPr>
                <w:sz w:val="24"/>
              </w:rPr>
            </w:pPr>
            <w:r>
              <w:rPr>
                <w:sz w:val="24"/>
              </w:rPr>
              <w:t>9</w:t>
            </w:r>
          </w:p>
        </w:tc>
        <w:tc>
          <w:tcPr>
            <w:tcW w:w="5840" w:type="dxa"/>
          </w:tcPr>
          <w:p>
            <w:pPr>
              <w:pStyle w:val="TableParagraph"/>
              <w:spacing w:before="137"/>
              <w:ind w:left="108"/>
              <w:rPr>
                <w:sz w:val="24"/>
              </w:rPr>
            </w:pPr>
            <w:r>
              <w:rPr>
                <w:spacing w:val="-1"/>
                <w:sz w:val="24"/>
              </w:rPr>
              <w:t>擦空调机外壳，使用期间清洗过滤网</w:t>
            </w:r>
          </w:p>
        </w:tc>
        <w:tc>
          <w:tcPr>
            <w:tcW w:w="1700" w:type="dxa"/>
          </w:tcPr>
          <w:p>
            <w:pPr>
              <w:pStyle w:val="TableParagraph"/>
              <w:spacing w:before="137"/>
              <w:ind w:left="20"/>
              <w:jc w:val="center"/>
              <w:rPr>
                <w:sz w:val="24"/>
              </w:rPr>
            </w:pPr>
            <w:r>
              <w:rPr>
                <w:sz w:val="24"/>
              </w:rPr>
              <w:t>1</w:t>
            </w:r>
            <w:r>
              <w:rPr>
                <w:spacing w:val="-40"/>
                <w:sz w:val="24"/>
              </w:rPr>
              <w:t xml:space="preserve"> 月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left="285" w:right="265"/>
              <w:jc w:val="center"/>
              <w:rPr>
                <w:sz w:val="24"/>
              </w:rPr>
            </w:pPr>
            <w:r>
              <w:rPr>
                <w:spacing w:val="-5"/>
                <w:sz w:val="24"/>
              </w:rPr>
              <w:t>10</w:t>
            </w:r>
          </w:p>
        </w:tc>
        <w:tc>
          <w:tcPr>
            <w:tcW w:w="5840" w:type="dxa"/>
          </w:tcPr>
          <w:p>
            <w:pPr>
              <w:pStyle w:val="TableParagraph"/>
              <w:spacing w:before="137"/>
              <w:ind w:left="108"/>
              <w:rPr>
                <w:sz w:val="24"/>
              </w:rPr>
            </w:pPr>
            <w:r>
              <w:rPr>
                <w:spacing w:val="-1"/>
                <w:sz w:val="24"/>
              </w:rPr>
              <w:t>各种玻璃、窗、门及边框擦洗</w:t>
            </w:r>
          </w:p>
        </w:tc>
        <w:tc>
          <w:tcPr>
            <w:tcW w:w="1700" w:type="dxa"/>
          </w:tcPr>
          <w:p>
            <w:pPr>
              <w:pStyle w:val="TableParagraph"/>
              <w:spacing w:before="137"/>
              <w:ind w:left="20"/>
              <w:jc w:val="center"/>
              <w:rPr>
                <w:sz w:val="24"/>
              </w:rPr>
            </w:pPr>
            <w:r>
              <w:rPr>
                <w:sz w:val="24"/>
              </w:rPr>
              <w:t>1</w:t>
            </w:r>
            <w:r>
              <w:rPr>
                <w:spacing w:val="-40"/>
                <w:sz w:val="24"/>
              </w:rPr>
              <w:t xml:space="preserve"> 周 </w:t>
            </w:r>
            <w:r>
              <w:rPr>
                <w:sz w:val="24"/>
              </w:rPr>
              <w:t>1</w:t>
            </w:r>
            <w:r>
              <w:rPr>
                <w:spacing w:val="-35"/>
                <w:sz w:val="24"/>
              </w:rPr>
              <w:t xml:space="preserve"> 次</w:t>
            </w:r>
          </w:p>
        </w:tc>
      </w:tr>
    </w:tbl>
    <w:p>
      <w:pPr>
        <w:spacing w:after="0"/>
        <w:jc w:val="center"/>
        <w:rPr>
          <w:sz w:val="24"/>
        </w:rPr>
        <w:sectPr>
          <w:headerReference w:type="default" r:id="rId71"/>
          <w:footerReference w:type="default" r:id="rId72"/>
          <w:pgSz w:w="11910" w:h="16840"/>
          <w:pgMar w:top="1240" w:right="320" w:bottom="1180" w:left="1100" w:header="884" w:footer="991"/>
          <w:pgNumType w:start="31"/>
          <w:cols w:space="708"/>
        </w:sectPr>
      </w:pPr>
    </w:p>
    <w:p>
      <w:pPr>
        <w:pStyle w:val="BodyText"/>
        <w:spacing w:before="11"/>
        <w:rPr>
          <w:sz w:val="7"/>
        </w:rPr>
      </w:pPr>
    </w:p>
    <w:tbl>
      <w:tblPr>
        <w:tblStyle w:val="TableNormal11"/>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280"/>
        <w:gridCol w:w="1080"/>
        <w:gridCol w:w="5840"/>
        <w:gridCol w:w="1700"/>
      </w:tblGrid>
      <w:tr>
        <w:tblPrEx>
          <w:tblW w:w="0" w:type="auto"/>
          <w:jc w:val="left"/>
          <w:tblInd w:w="4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Ex>
        <w:trPr>
          <w:trHeight w:val="735"/>
          <w:jc w:val="left"/>
        </w:trPr>
        <w:tc>
          <w:tcPr>
            <w:tcW w:w="1280" w:type="dxa"/>
            <w:vMerge w:val="restart"/>
            <w:tcBorders>
              <w:top w:val="nil"/>
            </w:tcBorders>
          </w:tcPr>
          <w:p>
            <w:pPr>
              <w:pStyle w:val="TableParagraph"/>
              <w:rPr>
                <w:rFonts w:ascii="Times New Roman"/>
                <w:sz w:val="22"/>
              </w:rPr>
            </w:pPr>
          </w:p>
        </w:tc>
        <w:tc>
          <w:tcPr>
            <w:tcW w:w="1080" w:type="dxa"/>
            <w:tcBorders>
              <w:top w:val="nil"/>
            </w:tcBorders>
          </w:tcPr>
          <w:p>
            <w:pPr>
              <w:pStyle w:val="TableParagraph"/>
              <w:spacing w:before="137"/>
              <w:ind w:right="399"/>
              <w:jc w:val="right"/>
              <w:rPr>
                <w:sz w:val="24"/>
              </w:rPr>
            </w:pPr>
            <w:r>
              <w:rPr>
                <w:spacing w:val="-5"/>
                <w:sz w:val="24"/>
              </w:rPr>
              <w:t>11</w:t>
            </w:r>
          </w:p>
        </w:tc>
        <w:tc>
          <w:tcPr>
            <w:tcW w:w="5840" w:type="dxa"/>
            <w:tcBorders>
              <w:top w:val="nil"/>
            </w:tcBorders>
          </w:tcPr>
          <w:p>
            <w:pPr>
              <w:pStyle w:val="TableParagraph"/>
              <w:spacing w:before="137"/>
              <w:ind w:left="108"/>
              <w:rPr>
                <w:sz w:val="24"/>
              </w:rPr>
            </w:pPr>
            <w:r>
              <w:rPr>
                <w:spacing w:val="-1"/>
                <w:sz w:val="24"/>
              </w:rPr>
              <w:t>消防箱、管道、意见箱等抹尘</w:t>
            </w:r>
          </w:p>
        </w:tc>
        <w:tc>
          <w:tcPr>
            <w:tcW w:w="1700" w:type="dxa"/>
            <w:tcBorders>
              <w:top w:val="nil"/>
            </w:tcBorders>
          </w:tcPr>
          <w:p>
            <w:pPr>
              <w:pStyle w:val="TableParagraph"/>
              <w:spacing w:before="137"/>
              <w:ind w:left="20"/>
              <w:jc w:val="center"/>
              <w:rPr>
                <w:sz w:val="24"/>
              </w:rPr>
            </w:pPr>
            <w:r>
              <w:rPr>
                <w:sz w:val="24"/>
              </w:rPr>
              <w:t>1</w:t>
            </w:r>
            <w:r>
              <w:rPr>
                <w:spacing w:val="-40"/>
                <w:sz w:val="24"/>
              </w:rPr>
              <w:t xml:space="preserve"> 周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right="399"/>
              <w:jc w:val="right"/>
              <w:rPr>
                <w:sz w:val="24"/>
              </w:rPr>
            </w:pPr>
            <w:r>
              <w:rPr>
                <w:spacing w:val="-5"/>
                <w:sz w:val="24"/>
              </w:rPr>
              <w:t>12</w:t>
            </w:r>
          </w:p>
        </w:tc>
        <w:tc>
          <w:tcPr>
            <w:tcW w:w="5840" w:type="dxa"/>
          </w:tcPr>
          <w:p>
            <w:pPr>
              <w:pStyle w:val="TableParagraph"/>
              <w:spacing w:before="137"/>
              <w:ind w:left="108"/>
              <w:rPr>
                <w:sz w:val="24"/>
              </w:rPr>
            </w:pPr>
            <w:r>
              <w:rPr>
                <w:spacing w:val="-2"/>
                <w:sz w:val="24"/>
              </w:rPr>
              <w:t>楼梯扶手擦拭</w:t>
            </w:r>
          </w:p>
        </w:tc>
        <w:tc>
          <w:tcPr>
            <w:tcW w:w="1700" w:type="dxa"/>
          </w:tcPr>
          <w:p>
            <w:pPr>
              <w:pStyle w:val="TableParagraph"/>
              <w:spacing w:before="137"/>
              <w:ind w:left="20"/>
              <w:jc w:val="center"/>
              <w:rPr>
                <w:sz w:val="24"/>
              </w:rPr>
            </w:pPr>
            <w:r>
              <w:rPr>
                <w:sz w:val="24"/>
              </w:rPr>
              <w:t>1</w:t>
            </w:r>
            <w:r>
              <w:rPr>
                <w:spacing w:val="-40"/>
                <w:sz w:val="24"/>
              </w:rPr>
              <w:t xml:space="preserve"> 天 </w:t>
            </w:r>
            <w:r>
              <w:rPr>
                <w:sz w:val="24"/>
              </w:rPr>
              <w:t>1</w:t>
            </w:r>
            <w:r>
              <w:rPr>
                <w:spacing w:val="-35"/>
                <w:sz w:val="24"/>
              </w:rPr>
              <w:t xml:space="preserve"> 次</w:t>
            </w:r>
          </w:p>
        </w:tc>
      </w:tr>
      <w:tr>
        <w:tblPrEx>
          <w:tblW w:w="0" w:type="auto"/>
          <w:jc w:val="left"/>
          <w:tblInd w:w="467" w:type="dxa"/>
          <w:tblLayout w:type="fixed"/>
          <w:tblCellMar>
            <w:top w:w="0" w:type="dxa"/>
            <w:left w:w="0" w:type="dxa"/>
            <w:bottom w:w="0" w:type="dxa"/>
            <w:right w:w="0" w:type="dxa"/>
          </w:tblCellMar>
          <w:tblLook w:val="01E0"/>
        </w:tblPrEx>
        <w:trPr>
          <w:trHeight w:val="735"/>
          <w:jc w:val="left"/>
        </w:trPr>
        <w:tc>
          <w:tcPr>
            <w:tcW w:w="1280" w:type="dxa"/>
            <w:vMerge/>
            <w:tcBorders>
              <w:top w:val="nil"/>
            </w:tcBorders>
          </w:tcPr>
          <w:p>
            <w:pPr>
              <w:rPr>
                <w:sz w:val="2"/>
                <w:szCs w:val="2"/>
              </w:rPr>
            </w:pPr>
          </w:p>
        </w:tc>
        <w:tc>
          <w:tcPr>
            <w:tcW w:w="1080" w:type="dxa"/>
          </w:tcPr>
          <w:p>
            <w:pPr>
              <w:pStyle w:val="TableParagraph"/>
              <w:spacing w:before="137"/>
              <w:ind w:right="399"/>
              <w:jc w:val="right"/>
              <w:rPr>
                <w:sz w:val="24"/>
              </w:rPr>
            </w:pPr>
            <w:r>
              <w:rPr>
                <w:spacing w:val="-5"/>
                <w:sz w:val="24"/>
              </w:rPr>
              <w:t>13</w:t>
            </w:r>
          </w:p>
        </w:tc>
        <w:tc>
          <w:tcPr>
            <w:tcW w:w="5840" w:type="dxa"/>
          </w:tcPr>
          <w:p>
            <w:pPr>
              <w:pStyle w:val="TableParagraph"/>
              <w:spacing w:before="137"/>
              <w:ind w:left="108"/>
              <w:rPr>
                <w:sz w:val="24"/>
              </w:rPr>
            </w:pPr>
            <w:r>
              <w:rPr>
                <w:spacing w:val="-1"/>
                <w:sz w:val="24"/>
              </w:rPr>
              <w:t>标志牌、墙壁饰物、风口、日光灯架等</w:t>
            </w:r>
          </w:p>
        </w:tc>
        <w:tc>
          <w:tcPr>
            <w:tcW w:w="1700" w:type="dxa"/>
          </w:tcPr>
          <w:p>
            <w:pPr>
              <w:pStyle w:val="TableParagraph"/>
              <w:spacing w:before="137"/>
              <w:ind w:left="20"/>
              <w:jc w:val="center"/>
              <w:rPr>
                <w:sz w:val="24"/>
              </w:rPr>
            </w:pPr>
            <w:r>
              <w:rPr>
                <w:sz w:val="24"/>
              </w:rPr>
              <w:t>1</w:t>
            </w:r>
            <w:r>
              <w:rPr>
                <w:spacing w:val="-40"/>
                <w:sz w:val="24"/>
              </w:rPr>
              <w:t xml:space="preserve"> 月 </w:t>
            </w:r>
            <w:r>
              <w:rPr>
                <w:sz w:val="24"/>
              </w:rPr>
              <w:t>1</w:t>
            </w:r>
            <w:r>
              <w:rPr>
                <w:spacing w:val="-35"/>
                <w:sz w:val="24"/>
              </w:rPr>
              <w:t xml:space="preserve"> 次</w:t>
            </w:r>
          </w:p>
        </w:tc>
      </w:tr>
    </w:tbl>
    <w:p>
      <w:pPr>
        <w:pStyle w:val="BodyText"/>
        <w:spacing w:before="13" w:line="364" w:lineRule="auto"/>
        <w:ind w:left="475" w:right="716" w:firstLine="480"/>
      </w:pPr>
      <w:r>
        <w:rPr>
          <w:spacing w:val="-5"/>
        </w:rPr>
        <w:t xml:space="preserve">以上巡视保洁频率：每 </w:t>
      </w:r>
      <w:r>
        <w:t>30</w:t>
      </w:r>
      <w:r>
        <w:rPr>
          <w:spacing w:val="-11"/>
        </w:rPr>
        <w:t xml:space="preserve"> 分钟必须公共区域及卫生间巡视保洁 </w:t>
      </w:r>
      <w:r>
        <w:t>1</w:t>
      </w:r>
      <w:r>
        <w:rPr>
          <w:spacing w:val="-8"/>
        </w:rPr>
        <w:t xml:space="preserve"> 次；对我院托管范</w:t>
      </w:r>
      <w:r>
        <w:rPr>
          <w:spacing w:val="-2"/>
        </w:rPr>
        <w:t>围内突发性保洁需求，应及时响应并处理。</w:t>
      </w:r>
    </w:p>
    <w:p>
      <w:pPr>
        <w:pStyle w:val="BodyText"/>
        <w:spacing w:line="306" w:lineRule="exact"/>
        <w:ind w:left="475"/>
      </w:pPr>
      <w:r>
        <w:t>1</w:t>
      </w:r>
      <w:r>
        <w:rPr>
          <w:spacing w:val="-2"/>
        </w:rPr>
        <w:t>、重点清洁</w:t>
      </w:r>
    </w:p>
    <w:p>
      <w:pPr>
        <w:pStyle w:val="BodyText"/>
        <w:spacing w:before="160" w:line="364" w:lineRule="auto"/>
        <w:ind w:left="475" w:right="597"/>
      </w:pPr>
      <w:r>
        <w:rPr>
          <w:spacing w:val="-19"/>
        </w:rPr>
        <w:t xml:space="preserve">▲ 每日 </w:t>
      </w:r>
      <w:r>
        <w:rPr>
          <w:spacing w:val="-2"/>
        </w:rPr>
        <w:t>1</w:t>
      </w:r>
      <w:r>
        <w:rPr>
          <w:spacing w:val="-10"/>
        </w:rPr>
        <w:t xml:space="preserve"> 次用清水或全能清洁剂对物体表面进行擦拭，除去浮尘，如床单位：床、床架、</w:t>
      </w:r>
      <w:r>
        <w:rPr>
          <w:spacing w:val="-2"/>
        </w:rPr>
        <w:t>桌、椅、台面、窗台等物表擦拭（除医用精密仪器治疗机外，如麻醉机、床边拍片机、吸</w:t>
      </w:r>
      <w:r>
        <w:rPr>
          <w:spacing w:val="-2"/>
        </w:rPr>
        <w:t>痰器等；治疗室指定存放药品的药柜、抽屉内部除外</w:t>
      </w:r>
      <w:r>
        <w:rPr>
          <w:spacing w:val="-120"/>
        </w:rPr>
        <w:t>）</w:t>
      </w:r>
      <w:r>
        <w:rPr>
          <w:spacing w:val="-2"/>
        </w:rPr>
        <w:t>。</w:t>
      </w:r>
    </w:p>
    <w:p>
      <w:pPr>
        <w:pStyle w:val="BodyText"/>
        <w:spacing w:line="364" w:lineRule="auto"/>
        <w:ind w:left="475" w:right="651"/>
      </w:pPr>
      <w:r>
        <w:rPr>
          <w:spacing w:val="-12"/>
        </w:rPr>
        <w:t xml:space="preserve">▲每日 </w:t>
      </w:r>
      <w:r>
        <w:rPr>
          <w:spacing w:val="-2"/>
        </w:rPr>
        <w:t>1</w:t>
      </w:r>
      <w:r>
        <w:rPr>
          <w:spacing w:val="-8"/>
        </w:rPr>
        <w:t xml:space="preserve"> 次用清水或全能清洁剂对墙壁、门和门框进行重点清洁，及时擦掉手印和污迹。</w:t>
      </w:r>
      <w:r>
        <w:rPr>
          <w:spacing w:val="-2"/>
        </w:rPr>
        <w:t xml:space="preserve"> 2、地面清洁</w:t>
      </w:r>
    </w:p>
    <w:p>
      <w:pPr>
        <w:pStyle w:val="BodyText"/>
        <w:spacing w:line="306" w:lineRule="exact"/>
        <w:ind w:left="475"/>
      </w:pPr>
      <w:r>
        <w:rPr>
          <w:spacing w:val="-15"/>
        </w:rPr>
        <w:t xml:space="preserve">▲每日 </w:t>
      </w:r>
      <w:r>
        <w:t>2</w:t>
      </w:r>
      <w:r>
        <w:rPr>
          <w:spacing w:val="-9"/>
        </w:rPr>
        <w:t xml:space="preserve"> 次用牵尘液处理过的尘推布头除去地面的垃圾、尘土、沙粒。</w:t>
      </w:r>
    </w:p>
    <w:p>
      <w:pPr>
        <w:pStyle w:val="BodyText"/>
        <w:spacing w:before="158"/>
        <w:ind w:left="475"/>
      </w:pPr>
      <w:r>
        <w:rPr>
          <w:spacing w:val="-15"/>
        </w:rPr>
        <w:t xml:space="preserve">▲每日 </w:t>
      </w:r>
      <w:r>
        <w:t>1</w:t>
      </w:r>
      <w:r>
        <w:rPr>
          <w:spacing w:val="-9"/>
        </w:rPr>
        <w:t xml:space="preserve"> 次用清水或清洁剂及干净的、消毒剂处理过的布头湿拖地板，除去地面的污渍。</w:t>
      </w:r>
    </w:p>
    <w:p>
      <w:pPr>
        <w:pStyle w:val="BodyText"/>
      </w:pPr>
    </w:p>
    <w:p>
      <w:pPr>
        <w:pStyle w:val="BodyText"/>
        <w:spacing w:before="11"/>
      </w:pPr>
    </w:p>
    <w:p>
      <w:pPr>
        <w:pStyle w:val="BodyText"/>
        <w:ind w:left="475"/>
      </w:pPr>
      <w:r>
        <w:rPr>
          <w:spacing w:val="-1"/>
        </w:rPr>
        <w:t>▲对地面难处理的污渍进行局部处理。</w:t>
      </w:r>
    </w:p>
    <w:p>
      <w:pPr>
        <w:pStyle w:val="BodyText"/>
        <w:spacing w:before="159"/>
        <w:ind w:left="475"/>
      </w:pPr>
      <w:r>
        <w:t>3</w:t>
      </w:r>
      <w:r>
        <w:rPr>
          <w:spacing w:val="-1"/>
        </w:rPr>
        <w:t>、清洁垃圾桶和烟灰缸</w:t>
      </w:r>
    </w:p>
    <w:p>
      <w:pPr>
        <w:pStyle w:val="BodyText"/>
        <w:spacing w:before="159"/>
        <w:ind w:left="475"/>
      </w:pPr>
      <w:r>
        <w:rPr>
          <w:spacing w:val="-5"/>
        </w:rPr>
        <w:t xml:space="preserve">▲垃圾桶和烟灰缸，室内每日 </w:t>
      </w:r>
      <w:r>
        <w:t>2</w:t>
      </w:r>
      <w:r>
        <w:rPr>
          <w:spacing w:val="-9"/>
        </w:rPr>
        <w:t xml:space="preserve"> 次；公共区域及时倒净。</w:t>
      </w:r>
    </w:p>
    <w:p>
      <w:pPr>
        <w:pStyle w:val="BodyText"/>
        <w:spacing w:before="160"/>
        <w:ind w:left="475"/>
      </w:pPr>
      <w:r>
        <w:rPr>
          <w:spacing w:val="-1"/>
        </w:rPr>
        <w:t>▲用全能清洁剂擦拭垃圾桶及烟灰缸的表面，做到表面清洁、无污渍、光亮。</w:t>
      </w:r>
    </w:p>
    <w:p>
      <w:pPr>
        <w:pStyle w:val="BodyText"/>
        <w:spacing w:before="159"/>
        <w:ind w:left="475"/>
      </w:pPr>
      <w:r>
        <w:rPr>
          <w:spacing w:val="-1"/>
        </w:rPr>
        <w:t>▲必要时换掉垃圾桶的衬里，并对垃圾桶的内部进行清洁。</w:t>
      </w:r>
    </w:p>
    <w:p>
      <w:pPr>
        <w:pStyle w:val="BodyText"/>
        <w:spacing w:before="160"/>
        <w:ind w:left="475"/>
      </w:pPr>
      <w:r>
        <w:t>4</w:t>
      </w:r>
      <w:r>
        <w:rPr>
          <w:spacing w:val="-2"/>
        </w:rPr>
        <w:t>、清洁卫生间及浴室</w:t>
      </w:r>
    </w:p>
    <w:p>
      <w:pPr>
        <w:pStyle w:val="BodyText"/>
        <w:spacing w:before="159"/>
        <w:ind w:left="475"/>
      </w:pPr>
      <w:r>
        <w:rPr>
          <w:spacing w:val="-15"/>
        </w:rPr>
        <w:t xml:space="preserve">▲每日 </w:t>
      </w:r>
      <w:r>
        <w:t>1</w:t>
      </w:r>
      <w:r>
        <w:rPr>
          <w:spacing w:val="-9"/>
        </w:rPr>
        <w:t xml:space="preserve"> 次对水池和马桶的内外侧进行清洁和消毒。</w:t>
      </w:r>
    </w:p>
    <w:p>
      <w:pPr>
        <w:pStyle w:val="BodyText"/>
        <w:spacing w:before="159"/>
        <w:ind w:left="475"/>
      </w:pPr>
      <w:r>
        <w:rPr>
          <w:spacing w:val="-15"/>
        </w:rPr>
        <w:t xml:space="preserve">▲每日 </w:t>
      </w:r>
      <w:r>
        <w:t>1</w:t>
      </w:r>
      <w:r>
        <w:rPr>
          <w:spacing w:val="-9"/>
        </w:rPr>
        <w:t xml:space="preserve"> 次擦拭卫生间的镜子、五金件及台面，保证其清洁度和光亮度。</w:t>
      </w:r>
    </w:p>
    <w:p>
      <w:pPr>
        <w:pStyle w:val="BodyText"/>
        <w:spacing w:before="160"/>
        <w:ind w:left="475"/>
      </w:pPr>
      <w:r>
        <w:rPr>
          <w:spacing w:val="-15"/>
        </w:rPr>
        <w:t xml:space="preserve">▲每日 </w:t>
      </w:r>
      <w:r>
        <w:t>1</w:t>
      </w:r>
      <w:r>
        <w:rPr>
          <w:spacing w:val="-9"/>
        </w:rPr>
        <w:t xml:space="preserve"> 次对卫生间的地面进行湿拖、刷洗。</w:t>
      </w:r>
    </w:p>
    <w:p>
      <w:pPr>
        <w:pStyle w:val="BodyText"/>
        <w:spacing w:before="159" w:line="364" w:lineRule="auto"/>
        <w:ind w:left="475" w:right="5691"/>
      </w:pPr>
      <w:r>
        <w:rPr>
          <w:spacing w:val="-17"/>
        </w:rPr>
        <w:t xml:space="preserve">▲每日 </w:t>
      </w:r>
      <w:r>
        <w:rPr>
          <w:spacing w:val="-2"/>
        </w:rPr>
        <w:t>1</w:t>
      </w:r>
      <w:r>
        <w:rPr>
          <w:spacing w:val="-10"/>
        </w:rPr>
        <w:t xml:space="preserve"> 次对卫生间门及门框进行清洁。</w:t>
      </w:r>
      <w:r>
        <w:rPr>
          <w:spacing w:val="-2"/>
        </w:rPr>
        <w:t xml:space="preserve"> 5、清洁风口</w:t>
      </w:r>
    </w:p>
    <w:p>
      <w:pPr>
        <w:pStyle w:val="BodyText"/>
        <w:spacing w:line="364" w:lineRule="auto"/>
        <w:ind w:left="475" w:right="5511"/>
      </w:pPr>
      <w:r>
        <w:rPr>
          <w:spacing w:val="-17"/>
        </w:rPr>
        <w:t xml:space="preserve">▲每周 </w:t>
      </w:r>
      <w:r>
        <w:rPr>
          <w:spacing w:val="-2"/>
        </w:rPr>
        <w:t>1</w:t>
      </w:r>
      <w:r>
        <w:rPr>
          <w:spacing w:val="-11"/>
        </w:rPr>
        <w:t xml:space="preserve"> 次各手术间、</w:t>
      </w:r>
      <w:r>
        <w:rPr>
          <w:spacing w:val="-2"/>
        </w:rPr>
        <w:t>ICU</w:t>
      </w:r>
      <w:r>
        <w:rPr>
          <w:spacing w:val="-10"/>
        </w:rPr>
        <w:t xml:space="preserve"> 的送风口擦拭。</w:t>
      </w:r>
      <w:r>
        <w:rPr>
          <w:spacing w:val="-2"/>
        </w:rPr>
        <w:t xml:space="preserve"> 6、使用毛巾、洁具</w:t>
      </w:r>
    </w:p>
    <w:p>
      <w:pPr>
        <w:pStyle w:val="BodyText"/>
        <w:spacing w:line="306" w:lineRule="exact"/>
        <w:ind w:left="475"/>
      </w:pPr>
      <w:r>
        <w:rPr>
          <w:spacing w:val="-3"/>
        </w:rPr>
        <w:t>▲不同区域的毛巾分类使用及其他洁具如拖把、水桶等分开使用。同一区域的毛巾使用一</w:t>
      </w:r>
    </w:p>
    <w:p>
      <w:pPr>
        <w:spacing w:after="0" w:line="306" w:lineRule="exact"/>
        <w:sectPr>
          <w:headerReference w:type="default" r:id="rId73"/>
          <w:footerReference w:type="default" r:id="rId74"/>
          <w:pgSz w:w="11910" w:h="16840"/>
          <w:pgMar w:top="1240" w:right="320" w:bottom="1180" w:left="1100" w:header="884" w:footer="991"/>
          <w:pgNumType w:start="32"/>
          <w:cols w:space="708"/>
        </w:sectPr>
      </w:pPr>
    </w:p>
    <w:p>
      <w:pPr>
        <w:pStyle w:val="BodyText"/>
        <w:spacing w:before="115"/>
        <w:ind w:left="475"/>
      </w:pPr>
      <w:r>
        <w:rPr>
          <w:spacing w:val="-2"/>
        </w:rPr>
        <w:t>床一巾；一房一巾。</w:t>
      </w:r>
    </w:p>
    <w:p>
      <w:pPr>
        <w:pStyle w:val="BodyText"/>
        <w:spacing w:before="159"/>
        <w:ind w:left="475"/>
      </w:pPr>
      <w:r>
        <w:t>7</w:t>
      </w:r>
      <w:r>
        <w:rPr>
          <w:spacing w:val="-1"/>
        </w:rPr>
        <w:t>、完成医院临时性要求的有关保障工作。遇到特殊活动或检查时应完成突击保洁任务。</w:t>
      </w:r>
    </w:p>
    <w:p>
      <w:pPr>
        <w:pStyle w:val="ListParagraph"/>
        <w:numPr>
          <w:ilvl w:val="2"/>
          <w:numId w:val="35"/>
        </w:numPr>
        <w:tabs>
          <w:tab w:val="left" w:pos="1319"/>
          <w:tab w:val="left" w:pos="1320"/>
        </w:tabs>
        <w:spacing w:before="80" w:after="0" w:line="240" w:lineRule="auto"/>
        <w:ind w:left="1319" w:right="0" w:hanging="845"/>
        <w:jc w:val="left"/>
        <w:rPr>
          <w:rFonts w:ascii="Microsoft JhengHei" w:eastAsia="Microsoft JhengHei"/>
          <w:b/>
          <w:sz w:val="24"/>
        </w:rPr>
      </w:pPr>
      <w:r>
        <w:rPr>
          <w:rFonts w:ascii="Microsoft JhengHei" w:eastAsia="Microsoft JhengHei"/>
          <w:b/>
          <w:spacing w:val="-3"/>
          <w:sz w:val="24"/>
        </w:rPr>
        <w:t>消毒工作</w:t>
      </w:r>
    </w:p>
    <w:p>
      <w:pPr>
        <w:pStyle w:val="BodyText"/>
        <w:spacing w:before="105"/>
        <w:ind w:left="475"/>
      </w:pPr>
      <w:r>
        <w:rPr>
          <w:spacing w:val="-1"/>
        </w:rPr>
        <w:t>具体要求和技术规范如下：</w:t>
      </w:r>
    </w:p>
    <w:p>
      <w:pPr>
        <w:pStyle w:val="ListParagraph"/>
        <w:numPr>
          <w:ilvl w:val="0"/>
          <w:numId w:val="34"/>
        </w:numPr>
        <w:tabs>
          <w:tab w:val="left" w:pos="1079"/>
        </w:tabs>
        <w:spacing w:before="159" w:after="0" w:line="364" w:lineRule="auto"/>
        <w:ind w:left="475" w:right="717" w:firstLine="0"/>
        <w:jc w:val="both"/>
        <w:rPr>
          <w:sz w:val="24"/>
        </w:rPr>
      </w:pPr>
      <w:r>
        <w:rPr>
          <w:spacing w:val="-2"/>
          <w:sz w:val="24"/>
        </w:rPr>
        <w:t>对各换药室、出院病人床单位及隔离病房，1</w:t>
      </w:r>
      <w:r>
        <w:rPr>
          <w:spacing w:val="-20"/>
          <w:sz w:val="24"/>
        </w:rPr>
        <w:t xml:space="preserve"> 日 </w:t>
      </w:r>
      <w:r>
        <w:rPr>
          <w:spacing w:val="-2"/>
          <w:sz w:val="24"/>
        </w:rPr>
        <w:t>1</w:t>
      </w:r>
      <w:r>
        <w:rPr>
          <w:spacing w:val="-13"/>
          <w:sz w:val="24"/>
        </w:rPr>
        <w:t xml:space="preserve"> 次使用 </w:t>
      </w:r>
      <w:r>
        <w:rPr>
          <w:spacing w:val="-2"/>
          <w:sz w:val="24"/>
        </w:rPr>
        <w:t>0.05%（500mg/L）过氧乙</w:t>
      </w:r>
      <w:r>
        <w:rPr>
          <w:spacing w:val="-12"/>
          <w:sz w:val="24"/>
        </w:rPr>
        <w:t xml:space="preserve">酸或 </w:t>
      </w:r>
      <w:r>
        <w:rPr>
          <w:spacing w:val="-4"/>
          <w:sz w:val="24"/>
        </w:rPr>
        <w:t>500mg/L</w:t>
      </w:r>
      <w:r>
        <w:rPr>
          <w:spacing w:val="-9"/>
          <w:sz w:val="24"/>
        </w:rPr>
        <w:t xml:space="preserve"> 含氯消毒剂对物表、地面进行拖擦。出现污染时应随时清洁，具体消毒方法</w:t>
      </w:r>
      <w:r>
        <w:rPr>
          <w:spacing w:val="-2"/>
          <w:sz w:val="24"/>
        </w:rPr>
        <w:t>参照（3）进行。</w:t>
      </w:r>
    </w:p>
    <w:p>
      <w:pPr>
        <w:pStyle w:val="ListParagraph"/>
        <w:numPr>
          <w:ilvl w:val="0"/>
          <w:numId w:val="34"/>
        </w:numPr>
        <w:tabs>
          <w:tab w:val="left" w:pos="1079"/>
        </w:tabs>
        <w:spacing w:before="0" w:after="0" w:line="364" w:lineRule="auto"/>
        <w:ind w:left="475" w:right="717" w:firstLine="0"/>
        <w:jc w:val="both"/>
        <w:rPr>
          <w:sz w:val="24"/>
        </w:rPr>
      </w:pPr>
      <w:r>
        <w:rPr>
          <w:spacing w:val="-2"/>
          <w:sz w:val="24"/>
        </w:rPr>
        <w:t>有多重耐药菌感染患者区域的洁具专用，1</w:t>
      </w:r>
      <w:r>
        <w:rPr>
          <w:spacing w:val="-20"/>
          <w:sz w:val="24"/>
        </w:rPr>
        <w:t xml:space="preserve"> 日 </w:t>
      </w:r>
      <w:r>
        <w:rPr>
          <w:spacing w:val="-2"/>
          <w:sz w:val="24"/>
        </w:rPr>
        <w:t>1</w:t>
      </w:r>
      <w:r>
        <w:rPr>
          <w:spacing w:val="-13"/>
          <w:sz w:val="24"/>
        </w:rPr>
        <w:t xml:space="preserve"> 次使用 </w:t>
      </w:r>
      <w:r>
        <w:rPr>
          <w:spacing w:val="-2"/>
          <w:sz w:val="24"/>
        </w:rPr>
        <w:t>0.1%（1000mg/L）过氧乙酸</w:t>
      </w:r>
      <w:r>
        <w:rPr>
          <w:spacing w:val="-6"/>
          <w:sz w:val="24"/>
        </w:rPr>
        <w:t xml:space="preserve">或 </w:t>
      </w:r>
      <w:r>
        <w:rPr>
          <w:spacing w:val="-2"/>
          <w:sz w:val="24"/>
        </w:rPr>
        <w:t>1000mg/L</w:t>
      </w:r>
      <w:r>
        <w:rPr>
          <w:spacing w:val="-5"/>
          <w:sz w:val="24"/>
        </w:rPr>
        <w:t xml:space="preserve"> 含氯消毒剂对物表、地面进行拖擦</w:t>
      </w:r>
      <w:r>
        <w:rPr>
          <w:spacing w:val="-2"/>
          <w:sz w:val="24"/>
        </w:rPr>
        <w:t>（每人次使用的平车、轮椅由运送专人负责</w:t>
      </w:r>
      <w:r>
        <w:rPr>
          <w:spacing w:val="-120"/>
          <w:sz w:val="24"/>
        </w:rPr>
        <w:t>）</w:t>
      </w:r>
      <w:r>
        <w:rPr>
          <w:spacing w:val="-2"/>
          <w:sz w:val="24"/>
        </w:rPr>
        <w:t>。有呕吐物、排泄物、血液等体液污染时，具体消毒方法参照（3）进行。</w:t>
      </w:r>
    </w:p>
    <w:p>
      <w:pPr>
        <w:pStyle w:val="ListParagraph"/>
        <w:numPr>
          <w:ilvl w:val="0"/>
          <w:numId w:val="34"/>
        </w:numPr>
        <w:tabs>
          <w:tab w:val="left" w:pos="1078"/>
        </w:tabs>
        <w:spacing w:before="0" w:after="0" w:line="364" w:lineRule="auto"/>
        <w:ind w:left="475" w:right="717" w:firstLine="0"/>
        <w:jc w:val="both"/>
        <w:rPr>
          <w:sz w:val="24"/>
        </w:rPr>
      </w:pPr>
      <w:r>
        <w:rPr>
          <w:spacing w:val="-2"/>
          <w:sz w:val="24"/>
        </w:rPr>
        <w:t>当各科室用品表面或地面受到病人呕吐物、排泄物、血液等体液明显污染时，应立</w:t>
      </w:r>
      <w:r>
        <w:rPr>
          <w:spacing w:val="-10"/>
          <w:sz w:val="24"/>
        </w:rPr>
        <w:t xml:space="preserve">即采用 </w:t>
      </w:r>
      <w:r>
        <w:rPr>
          <w:spacing w:val="-4"/>
          <w:sz w:val="24"/>
        </w:rPr>
        <w:t>0.2％（2000mg/L）</w:t>
      </w:r>
      <w:r>
        <w:rPr>
          <w:spacing w:val="-8"/>
          <w:sz w:val="24"/>
        </w:rPr>
        <w:t xml:space="preserve">过氧乙酸或 </w:t>
      </w:r>
      <w:r>
        <w:rPr>
          <w:spacing w:val="-4"/>
          <w:sz w:val="24"/>
        </w:rPr>
        <w:t>2000mg/L</w:t>
      </w:r>
      <w:r>
        <w:rPr>
          <w:spacing w:val="-11"/>
          <w:sz w:val="24"/>
        </w:rPr>
        <w:t xml:space="preserve"> 含氯消毒剂作用 </w:t>
      </w:r>
      <w:r>
        <w:rPr>
          <w:spacing w:val="-4"/>
          <w:sz w:val="24"/>
        </w:rPr>
        <w:t>30</w:t>
      </w:r>
      <w:r>
        <w:rPr>
          <w:spacing w:val="-9"/>
          <w:sz w:val="24"/>
        </w:rPr>
        <w:t xml:space="preserve"> 分钟进行消毒，作用</w:t>
      </w:r>
      <w:r>
        <w:rPr>
          <w:spacing w:val="-2"/>
          <w:sz w:val="24"/>
        </w:rPr>
        <w:t>后用清水擦拭，应严格执行一床一巾的程序。</w:t>
      </w:r>
    </w:p>
    <w:p>
      <w:pPr>
        <w:pStyle w:val="ListParagraph"/>
        <w:numPr>
          <w:ilvl w:val="0"/>
          <w:numId w:val="34"/>
        </w:numPr>
        <w:tabs>
          <w:tab w:val="left" w:pos="1078"/>
        </w:tabs>
        <w:spacing w:before="0" w:after="0" w:line="364" w:lineRule="auto"/>
        <w:ind w:left="475" w:right="597" w:firstLine="0"/>
        <w:jc w:val="left"/>
        <w:rPr>
          <w:sz w:val="24"/>
        </w:rPr>
      </w:pPr>
      <w:r>
        <w:rPr>
          <w:sz w:val="24"/>
        </w:rPr>
        <w:t>对于实验环境下的消毒，如检验科、抽血室、同位素、各研究所室的日常消毒，物</w:t>
      </w:r>
      <w:r>
        <w:rPr>
          <w:spacing w:val="-17"/>
          <w:sz w:val="24"/>
        </w:rPr>
        <w:t xml:space="preserve">表、地面采用 </w:t>
      </w:r>
      <w:r>
        <w:rPr>
          <w:sz w:val="24"/>
        </w:rPr>
        <w:t>0.05％（500mg/L</w:t>
      </w:r>
      <w:r>
        <w:rPr>
          <w:spacing w:val="-42"/>
          <w:sz w:val="24"/>
        </w:rPr>
        <w:t>）</w:t>
      </w:r>
      <w:r>
        <w:rPr>
          <w:spacing w:val="-10"/>
          <w:sz w:val="24"/>
        </w:rPr>
        <w:t xml:space="preserve">过氧乙酸或 </w:t>
      </w:r>
      <w:r>
        <w:rPr>
          <w:sz w:val="24"/>
        </w:rPr>
        <w:t>500mg/L</w:t>
      </w:r>
      <w:r>
        <w:rPr>
          <w:spacing w:val="-11"/>
          <w:sz w:val="24"/>
        </w:rPr>
        <w:t xml:space="preserve"> 含氯消毒剂擦拭，若有明确的污染，</w:t>
      </w:r>
      <w:r>
        <w:rPr>
          <w:spacing w:val="-1"/>
          <w:sz w:val="24"/>
        </w:rPr>
        <w:t xml:space="preserve">如标本外溢或器皿打破，应立即用 </w:t>
      </w:r>
      <w:r>
        <w:rPr>
          <w:sz w:val="24"/>
        </w:rPr>
        <w:t>0.2</w:t>
      </w:r>
      <w:r>
        <w:rPr>
          <w:spacing w:val="4"/>
          <w:sz w:val="24"/>
        </w:rPr>
        <w:t>％（</w:t>
      </w:r>
      <w:r>
        <w:rPr>
          <w:sz w:val="24"/>
        </w:rPr>
        <w:t>2000mg/L</w:t>
      </w:r>
      <w:r>
        <w:rPr>
          <w:spacing w:val="4"/>
          <w:sz w:val="24"/>
        </w:rPr>
        <w:t>）</w:t>
      </w:r>
      <w:r>
        <w:rPr>
          <w:spacing w:val="-7"/>
          <w:sz w:val="24"/>
        </w:rPr>
        <w:t xml:space="preserve">过氧乙酸或 </w:t>
      </w:r>
      <w:r>
        <w:rPr>
          <w:sz w:val="24"/>
        </w:rPr>
        <w:t>2000mg/L</w:t>
      </w:r>
      <w:r>
        <w:rPr>
          <w:spacing w:val="-9"/>
          <w:sz w:val="24"/>
        </w:rPr>
        <w:t xml:space="preserve"> 含氯消毒剂</w:t>
      </w:r>
      <w:r>
        <w:rPr>
          <w:spacing w:val="-20"/>
          <w:sz w:val="24"/>
        </w:rPr>
        <w:t xml:space="preserve">喷洒作用 </w:t>
      </w:r>
      <w:r>
        <w:rPr>
          <w:sz w:val="24"/>
        </w:rPr>
        <w:t>30</w:t>
      </w:r>
      <w:r>
        <w:rPr>
          <w:spacing w:val="-8"/>
          <w:sz w:val="24"/>
        </w:rPr>
        <w:t xml:space="preserve"> 分钟，再行清水擦拭处理。</w:t>
      </w:r>
    </w:p>
    <w:p>
      <w:pPr>
        <w:pStyle w:val="ListParagraph"/>
        <w:numPr>
          <w:ilvl w:val="0"/>
          <w:numId w:val="34"/>
        </w:numPr>
        <w:tabs>
          <w:tab w:val="left" w:pos="1076"/>
        </w:tabs>
        <w:spacing w:before="0" w:after="0" w:line="364" w:lineRule="auto"/>
        <w:ind w:left="475" w:right="717" w:firstLine="0"/>
        <w:jc w:val="left"/>
        <w:rPr>
          <w:sz w:val="24"/>
        </w:rPr>
      </w:pPr>
      <w:r>
        <w:rPr>
          <w:spacing w:val="-18"/>
          <w:sz w:val="24"/>
        </w:rPr>
        <w:t xml:space="preserve">每周 </w:t>
      </w:r>
      <w:r>
        <w:rPr>
          <w:spacing w:val="-2"/>
          <w:sz w:val="24"/>
        </w:rPr>
        <w:t>1</w:t>
      </w:r>
      <w:r>
        <w:rPr>
          <w:spacing w:val="-26"/>
          <w:sz w:val="24"/>
        </w:rPr>
        <w:t xml:space="preserve"> 次用 </w:t>
      </w:r>
      <w:r>
        <w:rPr>
          <w:spacing w:val="-2"/>
          <w:sz w:val="24"/>
        </w:rPr>
        <w:t>95%</w:t>
      </w:r>
      <w:r>
        <w:rPr>
          <w:spacing w:val="-8"/>
          <w:sz w:val="24"/>
        </w:rPr>
        <w:t>酒精擦拭紫外线灯管，用清水擦拭紫外线灯罩外壳。</w:t>
      </w:r>
      <w:r>
        <w:rPr>
          <w:spacing w:val="-2"/>
          <w:sz w:val="24"/>
        </w:rPr>
        <w:t>（紫外线灯在低</w:t>
      </w:r>
      <w:r>
        <w:rPr>
          <w:spacing w:val="-2"/>
          <w:sz w:val="24"/>
        </w:rPr>
        <w:t>处由保洁员完成，高处由运送员完成）每天一次病区消毒机清洁工作。</w:t>
      </w:r>
    </w:p>
    <w:p>
      <w:pPr>
        <w:pStyle w:val="BodyText"/>
        <w:spacing w:line="306" w:lineRule="exact"/>
        <w:ind w:left="475"/>
      </w:pPr>
      <w:r>
        <w:rPr>
          <w:spacing w:val="-1"/>
        </w:rPr>
        <w:t>备注：工作人员注意个人防护穿戴措施。</w:t>
      </w:r>
    </w:p>
    <w:p>
      <w:pPr>
        <w:pStyle w:val="ListParagraph"/>
        <w:numPr>
          <w:ilvl w:val="2"/>
          <w:numId w:val="35"/>
        </w:numPr>
        <w:tabs>
          <w:tab w:val="left" w:pos="1200"/>
        </w:tabs>
        <w:spacing w:before="74" w:after="0" w:line="240" w:lineRule="auto"/>
        <w:ind w:left="1199" w:right="0" w:hanging="725"/>
        <w:jc w:val="left"/>
        <w:rPr>
          <w:rFonts w:ascii="Microsoft JhengHei" w:eastAsia="Microsoft JhengHei"/>
          <w:b/>
          <w:sz w:val="24"/>
        </w:rPr>
      </w:pPr>
      <w:r>
        <w:rPr>
          <w:rFonts w:ascii="Microsoft JhengHei" w:eastAsia="Microsoft JhengHei"/>
          <w:b/>
          <w:spacing w:val="-3"/>
          <w:sz w:val="24"/>
        </w:rPr>
        <w:t>专项清洁</w:t>
      </w:r>
    </w:p>
    <w:p>
      <w:pPr>
        <w:pStyle w:val="ListParagraph"/>
        <w:numPr>
          <w:ilvl w:val="3"/>
          <w:numId w:val="35"/>
        </w:numPr>
        <w:tabs>
          <w:tab w:val="left" w:pos="1855"/>
        </w:tabs>
        <w:spacing w:before="104" w:after="0" w:line="240" w:lineRule="auto"/>
        <w:ind w:left="1855" w:right="0" w:hanging="900"/>
        <w:jc w:val="left"/>
        <w:rPr>
          <w:sz w:val="24"/>
        </w:rPr>
      </w:pPr>
      <w:r>
        <w:rPr>
          <w:spacing w:val="-1"/>
          <w:sz w:val="24"/>
        </w:rPr>
        <w:t>墙面清洁：使用专业工具每季度一次对通道及室内墙面进行彻底的清洁。</w:t>
      </w:r>
    </w:p>
    <w:p>
      <w:pPr>
        <w:pStyle w:val="ListParagraph"/>
        <w:numPr>
          <w:ilvl w:val="3"/>
          <w:numId w:val="35"/>
        </w:numPr>
        <w:tabs>
          <w:tab w:val="left" w:pos="1855"/>
        </w:tabs>
        <w:spacing w:before="160" w:after="0" w:line="364" w:lineRule="auto"/>
        <w:ind w:left="475" w:right="717" w:firstLine="480"/>
        <w:jc w:val="left"/>
        <w:rPr>
          <w:sz w:val="24"/>
        </w:rPr>
      </w:pPr>
      <w:r>
        <w:rPr>
          <w:spacing w:val="-8"/>
          <w:sz w:val="24"/>
        </w:rPr>
        <w:t xml:space="preserve">灯具、风口、超过 </w:t>
      </w:r>
      <w:r>
        <w:rPr>
          <w:spacing w:val="-2"/>
          <w:sz w:val="24"/>
        </w:rPr>
        <w:t>2.5</w:t>
      </w:r>
      <w:r>
        <w:rPr>
          <w:spacing w:val="-9"/>
          <w:sz w:val="24"/>
        </w:rPr>
        <w:t xml:space="preserve"> 米的墙面、天花板的清洁：每月一次风口保洁，其它</w:t>
      </w:r>
      <w:r>
        <w:rPr>
          <w:spacing w:val="-2"/>
          <w:sz w:val="24"/>
        </w:rPr>
        <w:t>月份每季度一次对灯具、风口、天花进行彻底的清洁。</w:t>
      </w:r>
    </w:p>
    <w:p>
      <w:pPr>
        <w:pStyle w:val="ListParagraph"/>
        <w:numPr>
          <w:ilvl w:val="3"/>
          <w:numId w:val="35"/>
        </w:numPr>
        <w:tabs>
          <w:tab w:val="left" w:pos="1855"/>
        </w:tabs>
        <w:spacing w:before="0" w:after="0" w:line="364" w:lineRule="auto"/>
        <w:ind w:left="475" w:right="717" w:firstLine="480"/>
        <w:jc w:val="left"/>
        <w:rPr>
          <w:sz w:val="24"/>
        </w:rPr>
      </w:pPr>
      <w:r>
        <w:rPr>
          <w:spacing w:val="-2"/>
          <w:sz w:val="24"/>
        </w:rPr>
        <w:t>玻璃清洁：使用专业玻璃清洁工具、药剂，对门厅玻璃每周一次，病房及其</w:t>
      </w:r>
      <w:r>
        <w:rPr>
          <w:spacing w:val="-2"/>
          <w:sz w:val="24"/>
        </w:rPr>
        <w:t>它区域每月一次的频率进行玻璃清洁，以保证玻璃洁净、透亮。</w:t>
      </w:r>
    </w:p>
    <w:p>
      <w:pPr>
        <w:pStyle w:val="ListParagraph"/>
        <w:numPr>
          <w:ilvl w:val="3"/>
          <w:numId w:val="35"/>
        </w:numPr>
        <w:tabs>
          <w:tab w:val="left" w:pos="1855"/>
        </w:tabs>
        <w:spacing w:before="0" w:after="0" w:line="364" w:lineRule="auto"/>
        <w:ind w:left="475" w:right="717" w:firstLine="480"/>
        <w:jc w:val="both"/>
        <w:rPr>
          <w:sz w:val="24"/>
        </w:rPr>
      </w:pPr>
      <w:r>
        <w:rPr>
          <w:spacing w:val="-2"/>
          <w:sz w:val="24"/>
        </w:rPr>
        <w:t>不锈钢制品的清洁、保养：对所有不锈钢制品（包括电梯门）以每天一次除</w:t>
      </w:r>
      <w:r>
        <w:rPr>
          <w:spacing w:val="-2"/>
          <w:sz w:val="24"/>
        </w:rPr>
        <w:t>尘和重点清洁，每周一次抛光除渍，每半月一次上不锈钢油保养的方式进行清洁保养。以</w:t>
      </w:r>
      <w:r>
        <w:rPr>
          <w:spacing w:val="-2"/>
          <w:sz w:val="24"/>
        </w:rPr>
        <w:t>防止不锈钢氧化、生锈，保证不锈钢的清洁度和光亮度。</w:t>
      </w:r>
    </w:p>
    <w:p>
      <w:pPr>
        <w:pStyle w:val="ListParagraph"/>
        <w:numPr>
          <w:ilvl w:val="3"/>
          <w:numId w:val="35"/>
        </w:numPr>
        <w:tabs>
          <w:tab w:val="left" w:pos="1855"/>
        </w:tabs>
        <w:spacing w:before="0" w:after="0" w:line="306" w:lineRule="exact"/>
        <w:ind w:left="1855" w:right="0" w:hanging="900"/>
        <w:jc w:val="left"/>
        <w:rPr>
          <w:sz w:val="24"/>
        </w:rPr>
      </w:pPr>
      <w:r>
        <w:rPr>
          <w:spacing w:val="-1"/>
          <w:sz w:val="24"/>
        </w:rPr>
        <w:t>硬地面的清洁、维护：</w:t>
      </w:r>
    </w:p>
    <w:p>
      <w:pPr>
        <w:spacing w:after="0" w:line="306" w:lineRule="exact"/>
        <w:jc w:val="left"/>
        <w:rPr>
          <w:sz w:val="24"/>
        </w:rPr>
        <w:sectPr>
          <w:headerReference w:type="default" r:id="rId75"/>
          <w:footerReference w:type="default" r:id="rId76"/>
          <w:pgSz w:w="11910" w:h="16840"/>
          <w:pgMar w:top="1240" w:right="320" w:bottom="1180" w:left="1100" w:header="884" w:footer="991"/>
          <w:pgNumType w:start="33"/>
          <w:cols w:space="708"/>
        </w:sectPr>
      </w:pPr>
    </w:p>
    <w:p>
      <w:pPr>
        <w:pStyle w:val="BodyText"/>
        <w:spacing w:before="115" w:line="364" w:lineRule="auto"/>
        <w:ind w:left="475" w:right="597" w:firstLine="480"/>
      </w:pPr>
      <w:r>
        <w:t>▲PVC</w:t>
      </w:r>
      <w:r>
        <w:rPr>
          <w:spacing w:val="-7"/>
        </w:rPr>
        <w:t xml:space="preserve"> 地面：使用专业机器和地板抛光液，以每周一次的频率进行抛光，除去人力难</w:t>
      </w:r>
      <w:r>
        <w:t>以除掉的污渍（已经渗透、损伤等除外），</w:t>
      </w:r>
      <w:r>
        <w:rPr>
          <w:spacing w:val="-2"/>
        </w:rPr>
        <w:t xml:space="preserve">恢复地板的光亮并消毒。每 </w:t>
      </w:r>
      <w:r>
        <w:t>90</w:t>
      </w:r>
      <w:r>
        <w:rPr>
          <w:spacing w:val="-5"/>
        </w:rPr>
        <w:t xml:space="preserve"> 天一次刷洗补</w:t>
      </w:r>
      <w:r>
        <w:rPr>
          <w:spacing w:val="-9"/>
        </w:rPr>
        <w:t xml:space="preserve">蜡，彻底清除表面的污渍、细菌，并及时为 </w:t>
      </w:r>
      <w:r>
        <w:rPr>
          <w:spacing w:val="-6"/>
        </w:rPr>
        <w:t>PVC</w:t>
      </w:r>
      <w:r>
        <w:rPr>
          <w:spacing w:val="-13"/>
        </w:rPr>
        <w:t xml:space="preserve"> 地面覆盖保护层，防止地面被划伤或磨损，</w:t>
      </w:r>
      <w:r>
        <w:rPr>
          <w:spacing w:val="-2"/>
        </w:rPr>
        <w:t>同时提高地面的光亮度。</w:t>
      </w:r>
    </w:p>
    <w:p>
      <w:pPr>
        <w:pStyle w:val="BodyText"/>
        <w:spacing w:line="364" w:lineRule="auto"/>
        <w:ind w:left="475" w:right="717" w:firstLine="480"/>
        <w:jc w:val="both"/>
      </w:pPr>
      <w:r>
        <w:rPr>
          <w:spacing w:val="-2"/>
        </w:rPr>
        <w:t>▲水磨石、花岗岩、大理石地面：使用专业机器和地面翻新、晶化药剂，对地面进行</w:t>
      </w:r>
      <w:r>
        <w:rPr>
          <w:spacing w:val="-2"/>
        </w:rPr>
        <w:t>翻新处理，以每两周一次的频率进行晶化保养（已经渗透、损伤等除外），恢复和保持地</w:t>
      </w:r>
      <w:r>
        <w:rPr>
          <w:spacing w:val="-4"/>
        </w:rPr>
        <w:t>面光亮。</w:t>
      </w:r>
    </w:p>
    <w:p>
      <w:pPr>
        <w:pStyle w:val="BodyText"/>
        <w:spacing w:line="364" w:lineRule="auto"/>
        <w:ind w:left="475" w:right="717" w:firstLine="480"/>
        <w:jc w:val="both"/>
      </w:pPr>
      <w:r>
        <w:rPr>
          <w:spacing w:val="-2"/>
        </w:rPr>
        <w:t>▲地砖地面：使用专业洗地机和清洁剂（针对洗地机能到达和方便使用的区域），以</w:t>
      </w:r>
      <w:r>
        <w:rPr>
          <w:spacing w:val="-11"/>
        </w:rPr>
        <w:t xml:space="preserve">每 </w:t>
      </w:r>
      <w:r>
        <w:t>2</w:t>
      </w:r>
      <w:r>
        <w:rPr>
          <w:spacing w:val="-5"/>
        </w:rPr>
        <w:t xml:space="preserve"> 周一次的频率对地面进行全面清洗和消毒。</w:t>
      </w:r>
    </w:p>
    <w:p>
      <w:pPr>
        <w:pStyle w:val="ListParagraph"/>
        <w:numPr>
          <w:ilvl w:val="3"/>
          <w:numId w:val="35"/>
        </w:numPr>
        <w:tabs>
          <w:tab w:val="left" w:pos="1915"/>
        </w:tabs>
        <w:spacing w:before="0" w:after="0" w:line="364" w:lineRule="auto"/>
        <w:ind w:left="475" w:right="717" w:firstLine="480"/>
        <w:jc w:val="both"/>
        <w:rPr>
          <w:sz w:val="24"/>
        </w:rPr>
      </w:pPr>
      <w:r>
        <w:rPr>
          <w:spacing w:val="-4"/>
          <w:sz w:val="24"/>
        </w:rPr>
        <w:t>属于保洁区域专项服务：每季度院内灯具外壳清洁、院内天花板清洁。空调</w:t>
      </w:r>
      <w:r>
        <w:rPr>
          <w:spacing w:val="-8"/>
          <w:sz w:val="24"/>
        </w:rPr>
        <w:t xml:space="preserve">过滤网、风扇在使用季节每月 </w:t>
      </w:r>
      <w:r>
        <w:rPr>
          <w:spacing w:val="-6"/>
          <w:sz w:val="24"/>
        </w:rPr>
        <w:t>1</w:t>
      </w:r>
      <w:r>
        <w:rPr>
          <w:spacing w:val="-12"/>
          <w:sz w:val="24"/>
        </w:rPr>
        <w:t xml:space="preserve"> 次清洁。每年 </w:t>
      </w:r>
      <w:r>
        <w:rPr>
          <w:spacing w:val="-6"/>
          <w:sz w:val="24"/>
        </w:rPr>
        <w:t>2</w:t>
      </w:r>
      <w:r>
        <w:rPr>
          <w:spacing w:val="-10"/>
          <w:sz w:val="24"/>
        </w:rPr>
        <w:t xml:space="preserve"> 次窗帘、椅套拆换和安装，每月一次纱窗</w:t>
      </w:r>
      <w:r>
        <w:rPr>
          <w:spacing w:val="-4"/>
          <w:sz w:val="24"/>
        </w:rPr>
        <w:t>清洁。</w:t>
      </w:r>
    </w:p>
    <w:p>
      <w:pPr>
        <w:pStyle w:val="ListParagraph"/>
        <w:numPr>
          <w:ilvl w:val="3"/>
          <w:numId w:val="35"/>
        </w:numPr>
        <w:tabs>
          <w:tab w:val="left" w:pos="1855"/>
        </w:tabs>
        <w:spacing w:before="0" w:after="0" w:line="306" w:lineRule="exact"/>
        <w:ind w:left="1855" w:right="0" w:hanging="900"/>
        <w:jc w:val="both"/>
        <w:rPr>
          <w:sz w:val="24"/>
        </w:rPr>
      </w:pPr>
      <w:r>
        <w:rPr>
          <w:spacing w:val="-16"/>
          <w:sz w:val="24"/>
        </w:rPr>
        <w:t xml:space="preserve">其它：院内各个区域的物体表面清洁、每周 </w:t>
      </w:r>
      <w:r>
        <w:rPr>
          <w:spacing w:val="-2"/>
          <w:sz w:val="24"/>
        </w:rPr>
        <w:t>3</w:t>
      </w:r>
      <w:r>
        <w:rPr>
          <w:spacing w:val="-15"/>
          <w:sz w:val="24"/>
        </w:rPr>
        <w:t xml:space="preserve"> 次雨遮、每月 </w:t>
      </w:r>
      <w:r>
        <w:rPr>
          <w:spacing w:val="-2"/>
          <w:sz w:val="24"/>
        </w:rPr>
        <w:t>1</w:t>
      </w:r>
      <w:r>
        <w:rPr>
          <w:spacing w:val="-10"/>
          <w:sz w:val="24"/>
        </w:rPr>
        <w:t xml:space="preserve"> 次屋顶的清扫。</w:t>
      </w:r>
    </w:p>
    <w:p>
      <w:pPr>
        <w:pStyle w:val="ListParagraph"/>
        <w:numPr>
          <w:ilvl w:val="1"/>
          <w:numId w:val="35"/>
        </w:numPr>
        <w:tabs>
          <w:tab w:val="left" w:pos="898"/>
        </w:tabs>
        <w:spacing w:before="75" w:after="0" w:line="240" w:lineRule="auto"/>
        <w:ind w:left="897" w:right="0" w:hanging="423"/>
        <w:jc w:val="left"/>
        <w:rPr>
          <w:rFonts w:ascii="Microsoft JhengHei" w:eastAsia="Microsoft JhengHei"/>
          <w:b/>
          <w:sz w:val="24"/>
        </w:rPr>
      </w:pPr>
      <w:r>
        <w:rPr>
          <w:rFonts w:ascii="Microsoft JhengHei" w:eastAsia="Microsoft JhengHei"/>
          <w:b/>
          <w:spacing w:val="-2"/>
          <w:sz w:val="24"/>
        </w:rPr>
        <w:t>中央运送服务</w:t>
      </w:r>
    </w:p>
    <w:p>
      <w:pPr>
        <w:pStyle w:val="ListParagraph"/>
        <w:numPr>
          <w:ilvl w:val="2"/>
          <w:numId w:val="33"/>
        </w:numPr>
        <w:tabs>
          <w:tab w:val="left" w:pos="1620"/>
        </w:tabs>
        <w:spacing w:before="26" w:after="0" w:line="297" w:lineRule="auto"/>
        <w:ind w:left="475" w:right="875" w:firstLine="480"/>
        <w:jc w:val="left"/>
        <w:rPr>
          <w:sz w:val="24"/>
        </w:rPr>
      </w:pPr>
      <w:r>
        <w:rPr>
          <w:spacing w:val="-2"/>
          <w:sz w:val="24"/>
        </w:rPr>
        <w:t>物业管理公司在福建中医药大学附属第三人民医院建立二十四小时的中央调</w:t>
      </w:r>
      <w:r>
        <w:rPr>
          <w:spacing w:val="-2"/>
          <w:sz w:val="24"/>
        </w:rPr>
        <w:t>度中心，对运送员工和运送工作进行科学的分工，通过对全体员工进行运送方式的分工</w:t>
      </w:r>
    </w:p>
    <w:p>
      <w:pPr>
        <w:pStyle w:val="BodyText"/>
        <w:spacing w:before="84" w:line="364" w:lineRule="auto"/>
        <w:ind w:left="475" w:right="875"/>
      </w:pPr>
      <w:r>
        <w:rPr>
          <w:spacing w:val="-2"/>
        </w:rPr>
        <w:t>为全院的病人、检查单、标本、文件、单据、药品等医疗物资和物品提供二十四小时的</w:t>
      </w:r>
      <w:r>
        <w:rPr>
          <w:spacing w:val="-4"/>
        </w:rPr>
        <w:t>服务。</w:t>
      </w:r>
    </w:p>
    <w:p>
      <w:pPr>
        <w:pStyle w:val="ListParagraph"/>
        <w:numPr>
          <w:ilvl w:val="2"/>
          <w:numId w:val="33"/>
        </w:numPr>
        <w:tabs>
          <w:tab w:val="left" w:pos="1620"/>
        </w:tabs>
        <w:spacing w:before="0" w:after="0" w:line="361" w:lineRule="exact"/>
        <w:ind w:left="1619" w:right="0" w:hanging="665"/>
        <w:jc w:val="both"/>
        <w:rPr>
          <w:rFonts w:ascii="Microsoft JhengHei" w:eastAsia="Microsoft JhengHei"/>
          <w:b/>
          <w:sz w:val="24"/>
        </w:rPr>
      </w:pPr>
      <w:r>
        <w:rPr>
          <w:rFonts w:ascii="Microsoft JhengHei" w:eastAsia="Microsoft JhengHei"/>
          <w:b/>
          <w:spacing w:val="-1"/>
          <w:sz w:val="24"/>
        </w:rPr>
        <w:t>运送部服务范围的说明</w:t>
      </w:r>
    </w:p>
    <w:p>
      <w:pPr>
        <w:pStyle w:val="BodyText"/>
        <w:spacing w:before="9"/>
        <w:rPr>
          <w:rFonts w:ascii="Microsoft JhengHei"/>
          <w:b/>
          <w:sz w:val="5"/>
        </w:rPr>
      </w:pPr>
    </w:p>
    <w:tbl>
      <w:tblPr>
        <w:tblStyle w:val="TableNormal12"/>
        <w:tblW w:w="0" w:type="auto"/>
        <w:jc w:val="left"/>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96"/>
        <w:gridCol w:w="5512"/>
        <w:gridCol w:w="1800"/>
        <w:gridCol w:w="1260"/>
      </w:tblGrid>
      <w:tr>
        <w:tblPrEx>
          <w:tblW w:w="0" w:type="auto"/>
          <w:jc w:val="left"/>
          <w:tblInd w:w="3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3"/>
          <w:jc w:val="left"/>
        </w:trPr>
        <w:tc>
          <w:tcPr>
            <w:tcW w:w="896" w:type="dxa"/>
          </w:tcPr>
          <w:p>
            <w:pPr>
              <w:pStyle w:val="TableParagraph"/>
              <w:spacing w:before="158"/>
              <w:ind w:left="192" w:right="183"/>
              <w:jc w:val="center"/>
              <w:rPr>
                <w:rFonts w:ascii="Microsoft JhengHei" w:eastAsia="Microsoft JhengHei"/>
                <w:b/>
                <w:sz w:val="24"/>
              </w:rPr>
            </w:pPr>
            <w:r>
              <w:rPr>
                <w:rFonts w:ascii="Microsoft JhengHei" w:eastAsia="Microsoft JhengHei"/>
                <w:b/>
                <w:spacing w:val="-5"/>
                <w:sz w:val="24"/>
              </w:rPr>
              <w:t>区域</w:t>
            </w:r>
          </w:p>
        </w:tc>
        <w:tc>
          <w:tcPr>
            <w:tcW w:w="5512" w:type="dxa"/>
          </w:tcPr>
          <w:p>
            <w:pPr>
              <w:pStyle w:val="TableParagraph"/>
              <w:spacing w:before="158"/>
              <w:ind w:left="2021" w:right="2012"/>
              <w:jc w:val="center"/>
              <w:rPr>
                <w:rFonts w:ascii="Microsoft JhengHei" w:eastAsia="Microsoft JhengHei"/>
                <w:b/>
                <w:sz w:val="24"/>
              </w:rPr>
            </w:pPr>
            <w:r>
              <w:rPr>
                <w:rFonts w:ascii="Microsoft JhengHei" w:eastAsia="Microsoft JhengHei"/>
                <w:b/>
                <w:spacing w:val="-2"/>
                <w:sz w:val="24"/>
              </w:rPr>
              <w:t>运送服务范围</w:t>
            </w:r>
          </w:p>
        </w:tc>
        <w:tc>
          <w:tcPr>
            <w:tcW w:w="1800" w:type="dxa"/>
          </w:tcPr>
          <w:p>
            <w:pPr>
              <w:pStyle w:val="TableParagraph"/>
              <w:spacing w:line="366" w:lineRule="exact"/>
              <w:ind w:left="165" w:right="156"/>
              <w:jc w:val="center"/>
              <w:rPr>
                <w:rFonts w:ascii="Microsoft JhengHei" w:eastAsia="Microsoft JhengHei"/>
                <w:b/>
                <w:sz w:val="24"/>
              </w:rPr>
            </w:pPr>
            <w:r>
              <w:rPr>
                <w:rFonts w:ascii="Microsoft JhengHei" w:eastAsia="Microsoft JhengHei"/>
                <w:b/>
                <w:spacing w:val="-2"/>
                <w:sz w:val="24"/>
              </w:rPr>
              <w:t>非运送服务范</w:t>
            </w:r>
          </w:p>
          <w:p>
            <w:pPr>
              <w:pStyle w:val="TableParagraph"/>
              <w:spacing w:before="25"/>
              <w:ind w:left="9"/>
              <w:jc w:val="center"/>
              <w:rPr>
                <w:rFonts w:ascii="Microsoft JhengHei" w:eastAsia="Microsoft JhengHei"/>
                <w:b/>
                <w:sz w:val="24"/>
              </w:rPr>
            </w:pPr>
            <w:r>
              <w:rPr>
                <w:rFonts w:ascii="Microsoft JhengHei" w:eastAsia="Microsoft JhengHei"/>
                <w:b/>
                <w:sz w:val="24"/>
              </w:rPr>
              <w:t>围</w:t>
            </w:r>
          </w:p>
        </w:tc>
        <w:tc>
          <w:tcPr>
            <w:tcW w:w="1260" w:type="dxa"/>
          </w:tcPr>
          <w:p>
            <w:pPr>
              <w:pStyle w:val="TableParagraph"/>
              <w:spacing w:before="158"/>
              <w:ind w:left="389"/>
              <w:rPr>
                <w:rFonts w:ascii="Microsoft JhengHei" w:eastAsia="Microsoft JhengHei"/>
                <w:b/>
                <w:sz w:val="24"/>
              </w:rPr>
            </w:pPr>
            <w:r>
              <w:rPr>
                <w:rFonts w:ascii="Microsoft JhengHei" w:eastAsia="Microsoft JhengHei"/>
                <w:b/>
                <w:spacing w:val="-5"/>
                <w:sz w:val="24"/>
              </w:rPr>
              <w:t>备注</w:t>
            </w:r>
          </w:p>
        </w:tc>
      </w:tr>
      <w:tr>
        <w:tblPrEx>
          <w:tblW w:w="0" w:type="auto"/>
          <w:jc w:val="left"/>
          <w:tblInd w:w="372" w:type="dxa"/>
          <w:tblLayout w:type="fixed"/>
          <w:tblCellMar>
            <w:top w:w="0" w:type="dxa"/>
            <w:left w:w="0" w:type="dxa"/>
            <w:bottom w:w="0" w:type="dxa"/>
            <w:right w:w="0" w:type="dxa"/>
          </w:tblCellMar>
          <w:tblLook w:val="01E0"/>
        </w:tblPrEx>
        <w:trPr>
          <w:trHeight w:val="385"/>
          <w:jc w:val="left"/>
        </w:trPr>
        <w:tc>
          <w:tcPr>
            <w:tcW w:w="896" w:type="dxa"/>
            <w:tcBorders>
              <w:bottom w:val="nil"/>
            </w:tcBorders>
          </w:tcPr>
          <w:p>
            <w:pPr>
              <w:pStyle w:val="TableParagraph"/>
              <w:rPr>
                <w:rFonts w:ascii="Times New Roman"/>
                <w:sz w:val="22"/>
              </w:rPr>
            </w:pPr>
          </w:p>
        </w:tc>
        <w:tc>
          <w:tcPr>
            <w:tcW w:w="5512" w:type="dxa"/>
            <w:tcBorders>
              <w:bottom w:val="nil"/>
            </w:tcBorders>
          </w:tcPr>
          <w:p>
            <w:pPr>
              <w:pStyle w:val="TableParagraph"/>
              <w:spacing w:before="3"/>
              <w:ind w:left="107"/>
              <w:rPr>
                <w:sz w:val="24"/>
              </w:rPr>
            </w:pPr>
            <w:r>
              <w:rPr>
                <w:spacing w:val="-2"/>
                <w:sz w:val="24"/>
              </w:rPr>
              <w:t>常规收送化验标本</w:t>
            </w:r>
          </w:p>
        </w:tc>
        <w:tc>
          <w:tcPr>
            <w:tcW w:w="1800" w:type="dxa"/>
            <w:tcBorders>
              <w:bottom w:val="nil"/>
            </w:tcBorders>
          </w:tcPr>
          <w:p>
            <w:pPr>
              <w:pStyle w:val="TableParagraph"/>
              <w:spacing w:before="3"/>
              <w:ind w:left="107"/>
              <w:rPr>
                <w:sz w:val="24"/>
              </w:rPr>
            </w:pPr>
            <w:r>
              <w:rPr>
                <w:sz w:val="24"/>
              </w:rPr>
              <w:t>1</w:t>
            </w:r>
            <w:r>
              <w:rPr>
                <w:spacing w:val="-2"/>
                <w:sz w:val="24"/>
              </w:rPr>
              <w:t>、领麻醉药</w:t>
            </w:r>
          </w:p>
        </w:tc>
        <w:tc>
          <w:tcPr>
            <w:tcW w:w="1260" w:type="dxa"/>
            <w:vMerge w:val="restart"/>
          </w:tcPr>
          <w:p>
            <w:pPr>
              <w:pStyle w:val="TableParagraph"/>
              <w:rPr>
                <w:rFonts w:ascii="Times New Roman"/>
                <w:sz w:val="2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z w:val="24"/>
              </w:rPr>
              <w:t>（临时）</w:t>
            </w:r>
            <w:r>
              <w:rPr>
                <w:spacing w:val="-2"/>
                <w:sz w:val="24"/>
              </w:rPr>
              <w:t>收送化验标本</w:t>
            </w:r>
          </w:p>
        </w:tc>
        <w:tc>
          <w:tcPr>
            <w:tcW w:w="1800" w:type="dxa"/>
            <w:tcBorders>
              <w:top w:val="nil"/>
              <w:bottom w:val="nil"/>
            </w:tcBorders>
          </w:tcPr>
          <w:p>
            <w:pPr>
              <w:pStyle w:val="TableParagraph"/>
              <w:spacing w:before="74"/>
              <w:ind w:left="107"/>
              <w:rPr>
                <w:sz w:val="24"/>
              </w:rPr>
            </w:pPr>
            <w:r>
              <w:rPr>
                <w:sz w:val="24"/>
              </w:rPr>
              <w:t>2</w:t>
            </w:r>
            <w:r>
              <w:rPr>
                <w:spacing w:val="-2"/>
                <w:sz w:val="24"/>
              </w:rPr>
              <w:t>、领贵重药品</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pacing w:val="-2"/>
                <w:sz w:val="24"/>
              </w:rPr>
              <w:t>收送会诊单</w:t>
            </w:r>
          </w:p>
        </w:tc>
        <w:tc>
          <w:tcPr>
            <w:tcW w:w="1800" w:type="dxa"/>
            <w:tcBorders>
              <w:top w:val="nil"/>
              <w:bottom w:val="nil"/>
            </w:tcBorders>
          </w:tcPr>
          <w:p>
            <w:pPr>
              <w:pStyle w:val="TableParagraph"/>
              <w:spacing w:before="74"/>
              <w:ind w:left="107"/>
              <w:rPr>
                <w:sz w:val="24"/>
              </w:rPr>
            </w:pPr>
            <w:r>
              <w:rPr>
                <w:sz w:val="24"/>
              </w:rPr>
              <w:t>3</w:t>
            </w:r>
            <w:r>
              <w:rPr>
                <w:spacing w:val="-2"/>
                <w:sz w:val="24"/>
              </w:rPr>
              <w:t>、无医护人员</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pacing w:val="-2"/>
                <w:sz w:val="24"/>
              </w:rPr>
              <w:t>领取信件和报纸</w:t>
            </w:r>
          </w:p>
        </w:tc>
        <w:tc>
          <w:tcPr>
            <w:tcW w:w="1800" w:type="dxa"/>
            <w:tcBorders>
              <w:top w:val="nil"/>
              <w:bottom w:val="nil"/>
            </w:tcBorders>
          </w:tcPr>
          <w:p>
            <w:pPr>
              <w:pStyle w:val="TableParagraph"/>
              <w:tabs>
                <w:tab w:val="left" w:pos="1451"/>
              </w:tabs>
              <w:spacing w:before="74"/>
              <w:ind w:left="107"/>
              <w:rPr>
                <w:sz w:val="24"/>
              </w:rPr>
            </w:pPr>
            <w:r>
              <w:rPr>
                <w:spacing w:val="24"/>
                <w:sz w:val="24"/>
              </w:rPr>
              <w:t>指导独</w:t>
            </w:r>
            <w:r>
              <w:rPr>
                <w:spacing w:val="-10"/>
                <w:sz w:val="24"/>
              </w:rPr>
              <w:t>立</w:t>
            </w:r>
            <w:r>
              <w:rPr>
                <w:sz w:val="24"/>
              </w:rPr>
              <w:tab/>
            </w:r>
            <w:r>
              <w:rPr>
                <w:spacing w:val="-10"/>
                <w:sz w:val="24"/>
              </w:rPr>
              <w:t>运</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spacing w:before="74"/>
              <w:ind w:left="192" w:right="182"/>
              <w:jc w:val="center"/>
              <w:rPr>
                <w:sz w:val="24"/>
              </w:rPr>
            </w:pPr>
            <w:r>
              <w:rPr>
                <w:spacing w:val="-5"/>
                <w:sz w:val="24"/>
              </w:rPr>
              <w:t>病区</w:t>
            </w:r>
          </w:p>
        </w:tc>
        <w:tc>
          <w:tcPr>
            <w:tcW w:w="5512" w:type="dxa"/>
            <w:tcBorders>
              <w:top w:val="nil"/>
              <w:bottom w:val="nil"/>
            </w:tcBorders>
          </w:tcPr>
          <w:p>
            <w:pPr>
              <w:pStyle w:val="TableParagraph"/>
              <w:spacing w:before="74"/>
              <w:ind w:left="107"/>
              <w:rPr>
                <w:sz w:val="24"/>
              </w:rPr>
            </w:pPr>
            <w:r>
              <w:rPr>
                <w:spacing w:val="-3"/>
                <w:sz w:val="24"/>
              </w:rPr>
              <w:t>送资料等</w:t>
            </w:r>
          </w:p>
        </w:tc>
        <w:tc>
          <w:tcPr>
            <w:tcW w:w="1800" w:type="dxa"/>
            <w:tcBorders>
              <w:top w:val="nil"/>
              <w:bottom w:val="nil"/>
            </w:tcBorders>
          </w:tcPr>
          <w:p>
            <w:pPr>
              <w:pStyle w:val="TableParagraph"/>
              <w:spacing w:before="74"/>
              <w:ind w:left="107"/>
              <w:rPr>
                <w:sz w:val="24"/>
              </w:rPr>
            </w:pPr>
            <w:r>
              <w:rPr>
                <w:spacing w:val="-2"/>
                <w:sz w:val="24"/>
              </w:rPr>
              <w:t>送术后病人</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pacing w:val="-2"/>
                <w:sz w:val="24"/>
              </w:rPr>
              <w:t>取化验结果</w:t>
            </w:r>
          </w:p>
        </w:tc>
        <w:tc>
          <w:tcPr>
            <w:tcW w:w="1800" w:type="dxa"/>
            <w:tcBorders>
              <w:top w:val="nil"/>
              <w:bottom w:val="nil"/>
            </w:tcBorders>
          </w:tcPr>
          <w:p>
            <w:pPr>
              <w:pStyle w:val="TableParagraph"/>
              <w:spacing w:before="74"/>
              <w:ind w:left="107"/>
              <w:rPr>
                <w:sz w:val="24"/>
              </w:rPr>
            </w:pPr>
            <w:r>
              <w:rPr>
                <w:sz w:val="24"/>
              </w:rPr>
              <w:t>4</w:t>
            </w:r>
            <w:r>
              <w:rPr>
                <w:spacing w:val="-4"/>
                <w:sz w:val="24"/>
              </w:rPr>
              <w:t>、退药</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pacing w:val="-2"/>
                <w:sz w:val="24"/>
              </w:rPr>
              <w:t>送病人院内检查</w:t>
            </w:r>
          </w:p>
        </w:tc>
        <w:tc>
          <w:tcPr>
            <w:tcW w:w="1800" w:type="dxa"/>
            <w:tcBorders>
              <w:top w:val="nil"/>
              <w:bottom w:val="nil"/>
            </w:tcBorders>
          </w:tcPr>
          <w:p>
            <w:pPr>
              <w:pStyle w:val="TableParagraph"/>
              <w:spacing w:before="74"/>
              <w:ind w:left="107"/>
              <w:rPr>
                <w:sz w:val="24"/>
              </w:rPr>
            </w:pPr>
            <w:r>
              <w:rPr>
                <w:sz w:val="24"/>
              </w:rPr>
              <w:t>5</w:t>
            </w:r>
            <w:r>
              <w:rPr>
                <w:spacing w:val="-2"/>
                <w:sz w:val="24"/>
              </w:rPr>
              <w:t>、为医护人员</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456"/>
          <w:jc w:val="left"/>
        </w:trPr>
        <w:tc>
          <w:tcPr>
            <w:tcW w:w="896" w:type="dxa"/>
            <w:tcBorders>
              <w:top w:val="nil"/>
              <w:bottom w:val="nil"/>
            </w:tcBorders>
          </w:tcPr>
          <w:p>
            <w:pPr>
              <w:pStyle w:val="TableParagraph"/>
              <w:rPr>
                <w:rFonts w:ascii="Times New Roman"/>
                <w:sz w:val="22"/>
              </w:rPr>
            </w:pPr>
          </w:p>
        </w:tc>
        <w:tc>
          <w:tcPr>
            <w:tcW w:w="5512" w:type="dxa"/>
            <w:tcBorders>
              <w:top w:val="nil"/>
              <w:bottom w:val="nil"/>
            </w:tcBorders>
          </w:tcPr>
          <w:p>
            <w:pPr>
              <w:pStyle w:val="TableParagraph"/>
              <w:spacing w:before="74"/>
              <w:ind w:left="107"/>
              <w:rPr>
                <w:sz w:val="24"/>
              </w:rPr>
            </w:pPr>
            <w:r>
              <w:rPr>
                <w:spacing w:val="-1"/>
                <w:sz w:val="24"/>
              </w:rPr>
              <w:t>协助护士为病人转科、转床</w:t>
            </w:r>
          </w:p>
        </w:tc>
        <w:tc>
          <w:tcPr>
            <w:tcW w:w="1800" w:type="dxa"/>
            <w:tcBorders>
              <w:top w:val="nil"/>
              <w:bottom w:val="nil"/>
            </w:tcBorders>
          </w:tcPr>
          <w:p>
            <w:pPr>
              <w:pStyle w:val="TableParagraph"/>
              <w:spacing w:before="74"/>
              <w:ind w:left="107"/>
              <w:rPr>
                <w:sz w:val="24"/>
              </w:rPr>
            </w:pPr>
            <w:r>
              <w:rPr>
                <w:spacing w:val="-4"/>
                <w:sz w:val="24"/>
              </w:rPr>
              <w:t>办私事</w:t>
            </w:r>
          </w:p>
        </w:tc>
        <w:tc>
          <w:tcPr>
            <w:tcW w:w="1260" w:type="dxa"/>
            <w:vMerge/>
            <w:tcBorders>
              <w:top w:val="nil"/>
            </w:tcBorders>
          </w:tcPr>
          <w:p>
            <w:pPr>
              <w:rPr>
                <w:sz w:val="2"/>
                <w:szCs w:val="2"/>
              </w:rPr>
            </w:pPr>
          </w:p>
        </w:tc>
      </w:tr>
      <w:tr>
        <w:tblPrEx>
          <w:tblW w:w="0" w:type="auto"/>
          <w:jc w:val="left"/>
          <w:tblInd w:w="372" w:type="dxa"/>
          <w:tblLayout w:type="fixed"/>
          <w:tblCellMar>
            <w:top w:w="0" w:type="dxa"/>
            <w:left w:w="0" w:type="dxa"/>
            <w:bottom w:w="0" w:type="dxa"/>
            <w:right w:w="0" w:type="dxa"/>
          </w:tblCellMar>
          <w:tblLook w:val="01E0"/>
        </w:tblPrEx>
        <w:trPr>
          <w:trHeight w:val="537"/>
          <w:jc w:val="left"/>
        </w:trPr>
        <w:tc>
          <w:tcPr>
            <w:tcW w:w="896" w:type="dxa"/>
            <w:tcBorders>
              <w:top w:val="nil"/>
            </w:tcBorders>
          </w:tcPr>
          <w:p>
            <w:pPr>
              <w:pStyle w:val="TableParagraph"/>
              <w:rPr>
                <w:rFonts w:ascii="Times New Roman"/>
                <w:sz w:val="22"/>
              </w:rPr>
            </w:pPr>
          </w:p>
        </w:tc>
        <w:tc>
          <w:tcPr>
            <w:tcW w:w="5512" w:type="dxa"/>
            <w:tcBorders>
              <w:top w:val="nil"/>
            </w:tcBorders>
          </w:tcPr>
          <w:p>
            <w:pPr>
              <w:pStyle w:val="TableParagraph"/>
              <w:spacing w:before="74"/>
              <w:ind w:left="107"/>
              <w:rPr>
                <w:sz w:val="24"/>
              </w:rPr>
            </w:pPr>
            <w:r>
              <w:rPr>
                <w:spacing w:val="-1"/>
                <w:sz w:val="24"/>
              </w:rPr>
              <w:t>领办公用品、医疗消耗品</w:t>
            </w:r>
          </w:p>
        </w:tc>
        <w:tc>
          <w:tcPr>
            <w:tcW w:w="1800" w:type="dxa"/>
            <w:tcBorders>
              <w:top w:val="nil"/>
            </w:tcBorders>
          </w:tcPr>
          <w:p>
            <w:pPr>
              <w:pStyle w:val="TableParagraph"/>
              <w:rPr>
                <w:rFonts w:ascii="Times New Roman"/>
                <w:sz w:val="22"/>
              </w:rPr>
            </w:pPr>
          </w:p>
        </w:tc>
        <w:tc>
          <w:tcPr>
            <w:tcW w:w="1260" w:type="dxa"/>
            <w:vMerge/>
            <w:tcBorders>
              <w:top w:val="nil"/>
            </w:tcBorders>
          </w:tcPr>
          <w:p>
            <w:pPr>
              <w:rPr>
                <w:sz w:val="2"/>
                <w:szCs w:val="2"/>
              </w:rPr>
            </w:pPr>
          </w:p>
        </w:tc>
      </w:tr>
    </w:tbl>
    <w:p>
      <w:pPr>
        <w:spacing w:after="0"/>
        <w:rPr>
          <w:sz w:val="2"/>
          <w:szCs w:val="2"/>
        </w:rPr>
      </w:pPr>
      <w:r>
        <w:rPr>
          <w:sz w:val="2"/>
          <w:szCs w:val="2"/>
        </w:rPr>
        <w:br/>
      </w:r>
      <w:r>
        <w:rPr>
          <w:sz w:val="2"/>
          <w:szCs w:val="2"/>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7" w:history="1">
        <w:r>
          <w:rPr>
            <w:rFonts w:ascii="SimSun" w:eastAsia="SimSun" w:hAnsi="SimSun" w:cs="SimSun"/>
            <w:b/>
            <w:bCs/>
            <w:color w:val="0000EE"/>
            <w:sz w:val="30"/>
            <w:szCs w:val="30"/>
            <w:u w:val="single" w:color="0000EE"/>
          </w:rPr>
          <w:t>https://d.book118.com/585334214320011120</w:t>
        </w:r>
      </w:hyperlink>
    </w:p>
    <w:p>
      <w:pPr>
        <w:spacing w:after="0"/>
        <w:rPr>
          <w:sz w:val="2"/>
          <w:szCs w:val="2"/>
        </w:rPr>
      </w:pPr>
    </w:p>
    <w:sectPr>
      <w:headerReference w:type="default" r:id="rId78"/>
      <w:footerReference w:type="default" r:id="rId79"/>
      <w:pgSz w:w="11910" w:h="16840"/>
      <w:pgMar w:top="1240" w:right="320" w:bottom="1180" w:left="1100" w:header="884" w:footer="991"/>
      <w:pgNumType w:start="3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6.5pt;height:12pt;margin-top:781.33pt;margin-left:294.4pt;mso-position-horizontal-relative:page;mso-position-vertical-relative:page;position:absolute;z-index:-251658240" filled="f" stroked="f">
          <v:textbox inset="0,0,0,0">
            <w:txbxContent>
              <w:p>
                <w:pPr>
                  <w:spacing w:before="12"/>
                  <w:ind w:left="20" w:right="0" w:firstLine="0"/>
                  <w:jc w:val="left"/>
                  <w:rPr>
                    <w:rFonts w:ascii="Times New Roman"/>
                    <w:sz w:val="18"/>
                  </w:rPr>
                </w:pPr>
                <w:r>
                  <w:rPr>
                    <w:rFonts w:ascii="Times New Roman"/>
                    <w:sz w:val="18"/>
                  </w:rPr>
                  <w:t>0</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1.5pt;height:12pt;margin-top:781.33pt;margin-left:292.4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z w:val="18"/>
                  </w:rPr>
                  <w:fldChar w:fldCharType="begin"/>
                </w:r>
                <w:r>
                  <w:rPr>
                    <w:rFonts w:ascii="Times New Roman"/>
                    <w:sz w:val="18"/>
                  </w:rPr>
                  <w:instrText xml:space="preserve"> PAGE </w:instrText>
                </w:r>
                <w:r>
                  <w:rPr>
                    <w:rFonts w:ascii="Times New Roman"/>
                    <w:sz w:val="18"/>
                  </w:rPr>
                  <w:fldChar w:fldCharType="separate"/>
                </w:r>
                <w:r>
                  <w:rPr>
                    <w:rFonts w:ascii="Times New Roman"/>
                    <w:sz w:val="18"/>
                  </w:rPr>
                  <w:t>1</w:t>
                </w:r>
                <w:r>
                  <w:rPr>
                    <w:rFonts w:ascii="Times New Roman"/>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43pt;margin-left:299.62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43pt;margin-left:299.62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pt;height:12pt;margin-top:781.43pt;margin-left:299.62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pt;height:12pt;margin-top:781.43pt;margin-left:299.62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pt;height:12pt;margin-top:781.43pt;margin-left:299.62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pt;height:12pt;margin-top:781.43pt;margin-left:299.62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pt;height:12pt;margin-top:781.43pt;margin-left:299.62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pt;height:12pt;margin-top:781.43pt;margin-left:299.62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pt;height:12pt;margin-top:781.43pt;margin-left:299.62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pt;height:12pt;margin-top:781.43pt;margin-left:299.62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1" type="#_x0000_t202" style="width:16pt;height:12pt;margin-top:781.43pt;margin-left:299.62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6pt;height:12pt;margin-top:781.43pt;margin-left:299.62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97" type="#_x0000_t202" style="width:16pt;height:12pt;margin-top:781.43pt;margin-left:299.62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16pt;height:12pt;margin-top:781.43pt;margin-left:299.62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3" type="#_x0000_t202" style="width:16pt;height:12pt;margin-top:781.43pt;margin-left:299.62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16pt;height:12pt;margin-top:781.43pt;margin-left:299.62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17</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09" type="#_x0000_t202" style="width:16pt;height:12pt;margin-top:781.43pt;margin-left:299.62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16pt;height:12pt;margin-top:781.43pt;margin-left:299.62pt;mso-position-horizontal-relative:page;mso-position-vertical-relative:page;position:absolute;z-index:-25163878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19</w:t>
                </w:r>
                <w:r>
                  <w:rPr>
                    <w:rFonts w:ascii="Times New Roman"/>
                    <w:spacing w:val="-5"/>
                    <w:sz w:val="18"/>
                  </w:rPr>
                  <w:fldChar w:fldCharType="end"/>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5" type="#_x0000_t202" style="width:16pt;height:12pt;margin-top:781.43pt;margin-left:299.62pt;mso-position-horizontal-relative:page;mso-position-vertical-relative:page;position:absolute;z-index:-25163776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16pt;height:12pt;margin-top:781.43pt;margin-left:299.62pt;mso-position-horizontal-relative:page;mso-position-vertical-relative:page;position:absolute;z-index:-25163673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21</w:t>
                </w:r>
                <w:r>
                  <w:rPr>
                    <w:rFonts w:ascii="Times New Roman"/>
                    <w:spacing w:val="-5"/>
                    <w:sz w:val="18"/>
                  </w:rPr>
                  <w:fldChar w:fldCharType="end"/>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1" type="#_x0000_t202" style="width:16pt;height:12pt;margin-top:781.43pt;margin-left:299.62pt;mso-position-horizontal-relative:page;mso-position-vertical-relative:page;position:absolute;z-index:-25163571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4" type="#_x0000_t202" style="width:16pt;height:12pt;margin-top:781.43pt;margin-left:299.62pt;mso-position-horizontal-relative:page;mso-position-vertical-relative:page;position:absolute;z-index:-25163468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51</w:t>
                </w:r>
                <w:r>
                  <w:rPr>
                    <w:rFonts w:ascii="Times New Roman"/>
                    <w:spacing w:val="-5"/>
                    <w:sz w:val="18"/>
                  </w:rPr>
                  <w:fldChar w:fldCharType="end"/>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27" type="#_x0000_t202" style="width:16pt;height:12pt;margin-top:781.43pt;margin-left:299.62pt;mso-position-horizontal-relative:page;mso-position-vertical-relative:page;position:absolute;z-index:-25163366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24</w:t>
                </w:r>
                <w:r>
                  <w:rPr>
                    <w:rFonts w:ascii="Times New Roman"/>
                    <w:spacing w:val="-5"/>
                    <w:sz w:val="18"/>
                  </w:rPr>
                  <w:fldChar w:fldCharType="end"/>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0" type="#_x0000_t202" style="width:16pt;height:12pt;margin-top:781.43pt;margin-left:299.62pt;mso-position-horizontal-relative:page;mso-position-vertical-relative:page;position:absolute;z-index:-2516326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25</w:t>
                </w:r>
                <w:r>
                  <w:rPr>
                    <w:rFonts w:ascii="Times New Roman"/>
                    <w:spacing w:val="-5"/>
                    <w:sz w:val="18"/>
                  </w:rPr>
                  <w:fldChar w:fldCharType="end"/>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3" type="#_x0000_t202" style="width:16pt;height:12pt;margin-top:781.43pt;margin-left:299.62pt;mso-position-horizontal-relative:page;mso-position-vertical-relative:page;position:absolute;z-index:-2516316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26</w:t>
                </w:r>
                <w:r>
                  <w:rPr>
                    <w:rFonts w:ascii="Times New Roman"/>
                    <w:spacing w:val="-5"/>
                    <w:sz w:val="18"/>
                  </w:rPr>
                  <w:fldChar w:fldCharType="end"/>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6" type="#_x0000_t202" style="width:16pt;height:12pt;margin-top:781.43pt;margin-left:299.62pt;mso-position-horizontal-relative:page;mso-position-vertical-relative:page;position:absolute;z-index:-2516305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27</w:t>
                </w:r>
                <w:r>
                  <w:rPr>
                    <w:rFonts w:ascii="Times New Roman"/>
                    <w:spacing w:val="-5"/>
                    <w:sz w:val="18"/>
                  </w:rPr>
                  <w:fldChar w:fldCharType="end"/>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39" type="#_x0000_t202" style="width:16pt;height:12pt;margin-top:781.43pt;margin-left:299.62pt;mso-position-horizontal-relative:page;mso-position-vertical-relative:page;position:absolute;z-index:-2516295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28</w:t>
                </w:r>
                <w:r>
                  <w:rPr>
                    <w:rFonts w:ascii="Times New Roman"/>
                    <w:spacing w:val="-5"/>
                    <w:sz w:val="18"/>
                  </w:rPr>
                  <w:fldChar w:fldCharType="end"/>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2" type="#_x0000_t202" style="width:16pt;height:12pt;margin-top:781.43pt;margin-left:299.62pt;mso-position-horizontal-relative:page;mso-position-vertical-relative:page;position:absolute;z-index:-2516285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29</w:t>
                </w:r>
                <w:r>
                  <w:rPr>
                    <w:rFonts w:ascii="Times New Roman"/>
                    <w:spacing w:val="-5"/>
                    <w:sz w:val="18"/>
                  </w:rPr>
                  <w:fldChar w:fldCharType="end"/>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5" type="#_x0000_t202" style="width:16pt;height:12pt;margin-top:781.43pt;margin-left:299.62pt;mso-position-horizontal-relative:page;mso-position-vertical-relative:page;position:absolute;z-index:-2516275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30</w:t>
                </w:r>
                <w:r>
                  <w:rPr>
                    <w:rFonts w:ascii="Times New Roman"/>
                    <w:spacing w:val="-5"/>
                    <w:sz w:val="18"/>
                  </w:rPr>
                  <w:fldChar w:fldCharType="end"/>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48" type="#_x0000_t202" style="width:16pt;height:12pt;margin-top:781.43pt;margin-left:299.62pt;mso-position-horizontal-relative:page;mso-position-vertical-relative:page;position:absolute;z-index:-2516264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31</w:t>
                </w:r>
                <w:r>
                  <w:rPr>
                    <w:rFonts w:ascii="Times New Roman"/>
                    <w:spacing w:val="-5"/>
                    <w:sz w:val="18"/>
                  </w:rPr>
                  <w:fldChar w:fldCharType="end"/>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1" type="#_x0000_t202" style="width:16pt;height:12pt;margin-top:781.43pt;margin-left:299.62pt;mso-position-horizontal-relative:page;mso-position-vertical-relative:page;position:absolute;z-index:-2516254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32</w:t>
                </w:r>
                <w:r>
                  <w:rPr>
                    <w:rFonts w:ascii="Times New Roman"/>
                    <w:spacing w:val="-5"/>
                    <w:sz w:val="18"/>
                  </w:rPr>
                  <w:fldChar w:fldCharType="end"/>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4" type="#_x0000_t202" style="width:16pt;height:12pt;margin-top:781.43pt;margin-left:299.62pt;mso-position-horizontal-relative:page;mso-position-vertical-relative:page;position:absolute;z-index:-2516244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33</w:t>
                </w:r>
                <w:r>
                  <w:rPr>
                    <w:rFonts w:ascii="Times New Roman"/>
                    <w:spacing w:val="-5"/>
                    <w:sz w:val="18"/>
                  </w:rPr>
                  <w:fldChar w:fldCharType="end"/>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157" type="#_x0000_t202" style="width:16pt;height:12pt;margin-top:781.43pt;margin-left:299.62pt;mso-position-horizontal-relative:page;mso-position-vertical-relative:page;position:absolute;z-index:-2516234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34</w:t>
                </w:r>
                <w:r>
                  <w:rPr>
                    <w:rFonts w:ascii="Times New Roman"/>
                    <w:spacing w:val="-5"/>
                    <w:sz w:val="18"/>
                  </w:rPr>
                  <w:fldChar w:fldCharType="end"/>
                </w:r>
              </w:p>
            </w:txbxContent>
          </v:textbox>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49" style="mso-position-horizontal-relative:page;mso-position-vertical-relative:page;position:absolute;z-index:-251658240" from="88.55pt,57.55pt" to="506.75pt,57.55pt" stroked="t" strokecolor="black" strokeweight="0.75pt">
          <v:stroke dashstyle="solid"/>
        </v:line>
      </w:pict>
    </w:r>
    <w:r>
      <w:pict>
        <v:shapetype id="_x0000_t202" coordsize="21600,21600" o:spt="202" path="m,l,21600r21600,l21600,xe">
          <v:stroke joinstyle="miter"/>
          <v:path gradientshapeok="t" o:connecttype="rect"/>
        </v:shapetype>
        <v:shape id="_x0000_s2050" type="#_x0000_t202" style="width:112.25pt;height:12.5pt;margin-top:43.19pt;margin-left:89pt;mso-position-horizontal-relative:page;mso-position-vertical-relative:page;position:absolute;z-index:-25165721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1" style="mso-position-horizontal-relative:page;mso-position-vertical-relative:page;position:absolute;z-index:-251656192" from="88.55pt,57.55pt" to="506.75pt,57.55pt" stroked="t" strokecolor="black" strokeweight="0.75pt">
          <v:stroke dashstyle="solid"/>
        </v:line>
      </w:pict>
    </w:r>
    <w:r>
      <w:pict>
        <v:shapetype id="_x0000_t202" coordsize="21600,21600" o:spt="202" path="m,l,21600r21600,l21600,xe">
          <v:stroke joinstyle="miter"/>
          <v:path gradientshapeok="t" o:connecttype="rect"/>
        </v:shapetype>
        <v:shape id="_x0000_s2052" type="#_x0000_t202" style="width:112.25pt;height:12.5pt;margin-top:43.19pt;margin-left:89pt;mso-position-horizontal-relative:page;mso-position-vertical-relative:page;position:absolute;z-index:-25165516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3" style="mso-position-horizontal-relative:page;mso-position-vertical-relative:page;position:absolute;z-index:-251654144" from="88.55pt,57.55pt" to="506.75pt,57.55pt" stroked="t" strokecolor="black" strokeweight="0.75pt">
          <v:stroke dashstyle="solid"/>
        </v:line>
      </w:pict>
    </w:r>
    <w:r>
      <w:pict>
        <v:shapetype id="_x0000_t202" coordsize="21600,21600" o:spt="202" path="m,l,21600r21600,l21600,xe">
          <v:stroke joinstyle="miter"/>
          <v:path gradientshapeok="t" o:connecttype="rect"/>
        </v:shapetype>
        <v:shape id="_x0000_s2054" type="#_x0000_t202" style="width:112.25pt;height:12.5pt;margin-top:43.19pt;margin-left:89pt;mso-position-horizontal-relative:page;mso-position-vertical-relative:page;position:absolute;z-index:-25165312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6" style="mso-position-horizontal-relative:page;mso-position-vertical-relative:page;position:absolute;z-index:-251652096" from="88.55pt,57.55pt" to="506.75pt,57.55pt" stroked="t" strokecolor="black" strokeweight="0.75pt">
          <v:stroke dashstyle="solid"/>
        </v:line>
      </w:pict>
    </w:r>
    <w:r>
      <w:pict>
        <v:shapetype id="_x0000_t202" coordsize="21600,21600" o:spt="202" path="m,l,21600r21600,l21600,xe">
          <v:stroke joinstyle="miter"/>
          <v:path gradientshapeok="t" o:connecttype="rect"/>
        </v:shapetype>
        <v:shape id="_x0000_s2057" type="#_x0000_t202" style="width:112.25pt;height:12.5pt;margin-top:43.19pt;margin-left:89pt;mso-position-horizontal-relative:page;mso-position-vertical-relative:page;position:absolute;z-index:-25165107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59" style="mso-position-horizontal-relative:page;mso-position-vertical-relative:page;position:absolute;z-index:-25165004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60" type="#_x0000_t202" style="width:112.25pt;height:12.5pt;margin-top:43.19pt;margin-left:77.75pt;mso-position-horizontal-relative:page;mso-position-vertical-relative:page;position:absolute;z-index:-25164902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2" style="mso-position-horizontal-relative:page;mso-position-vertical-relative:page;position:absolute;z-index:-25164800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63" type="#_x0000_t202" style="width:112.25pt;height:12.5pt;margin-top:43.19pt;margin-left:77.75pt;mso-position-horizontal-relative:page;mso-position-vertical-relative:page;position:absolute;z-index:-25164697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5" style="mso-position-horizontal-relative:page;mso-position-vertical-relative:page;position:absolute;z-index:-25164595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66" type="#_x0000_t202" style="width:112.25pt;height:12.5pt;margin-top:43.19pt;margin-left:77.75pt;mso-position-horizontal-relative:page;mso-position-vertical-relative:page;position:absolute;z-index:-25164492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68" style="mso-position-horizontal-relative:page;mso-position-vertical-relative:page;position:absolute;z-index:-25164390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69" type="#_x0000_t202" style="width:112.25pt;height:12.5pt;margin-top:43.19pt;margin-left:77.75pt;mso-position-horizontal-relative:page;mso-position-vertical-relative:page;position:absolute;z-index:-25164288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1" style="mso-position-horizontal-relative:page;mso-position-vertical-relative:page;position:absolute;z-index:-25164185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72" type="#_x0000_t202" style="width:112.25pt;height:12.5pt;margin-top:43.19pt;margin-left:77.75pt;mso-position-horizontal-relative:page;mso-position-vertical-relative:page;position:absolute;z-index:-25164083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4" style="mso-position-horizontal-relative:page;mso-position-vertical-relative:page;position:absolute;z-index:-25163980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75" type="#_x0000_t202" style="width:112.25pt;height:12.5pt;margin-top:43.19pt;margin-left:77.75pt;mso-position-horizontal-relative:page;mso-position-vertical-relative:page;position:absolute;z-index:-25163878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77" style="mso-position-horizontal-relative:page;mso-position-vertical-relative:page;position:absolute;z-index:-25163776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78" type="#_x0000_t202" style="width:112.25pt;height:12.5pt;margin-top:43.19pt;margin-left:77.75pt;mso-position-horizontal-relative:page;mso-position-vertical-relative:page;position:absolute;z-index:-25163673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0" style="mso-position-horizontal-relative:page;mso-position-vertical-relative:page;position:absolute;z-index:-25163571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81" type="#_x0000_t202" style="width:112.25pt;height:12.5pt;margin-top:43.19pt;margin-left:77.75pt;mso-position-horizontal-relative:page;mso-position-vertical-relative:page;position:absolute;z-index:-25163468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3" style="mso-position-horizontal-relative:page;mso-position-vertical-relative:page;position:absolute;z-index:-25163366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84" type="#_x0000_t202" style="width:112.25pt;height:12.5pt;margin-top:43.19pt;margin-left:77.75pt;mso-position-horizontal-relative:page;mso-position-vertical-relative:page;position:absolute;z-index:-25163264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6" style="mso-position-horizontal-relative:page;mso-position-vertical-relative:page;position:absolute;z-index:-25163161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87" type="#_x0000_t202" style="width:112.25pt;height:12.5pt;margin-top:43.19pt;margin-left:77.75pt;mso-position-horizontal-relative:page;mso-position-vertical-relative:page;position:absolute;z-index:-25163059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89" style="mso-position-horizontal-relative:page;mso-position-vertical-relative:page;position:absolute;z-index:-25162956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90" type="#_x0000_t202" style="width:112.25pt;height:12.5pt;margin-top:43.19pt;margin-left:77.75pt;mso-position-horizontal-relative:page;mso-position-vertical-relative:page;position:absolute;z-index:-25162854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2" style="mso-position-horizontal-relative:page;mso-position-vertical-relative:page;position:absolute;z-index:-25162752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93" type="#_x0000_t202" style="width:112.25pt;height:12.5pt;margin-top:43.19pt;margin-left:77.75pt;mso-position-horizontal-relative:page;mso-position-vertical-relative:page;position:absolute;z-index:-25162649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5" style="mso-position-horizontal-relative:page;mso-position-vertical-relative:page;position:absolute;z-index:-25162547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96" type="#_x0000_t202" style="width:112.25pt;height:12.5pt;margin-top:43.19pt;margin-left:77.75pt;mso-position-horizontal-relative:page;mso-position-vertical-relative:page;position:absolute;z-index:-25162444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098" style="mso-position-horizontal-relative:page;mso-position-vertical-relative:page;position:absolute;z-index:-25162342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099" type="#_x0000_t202" style="width:112.25pt;height:12.5pt;margin-top:43.19pt;margin-left:77.75pt;mso-position-horizontal-relative:page;mso-position-vertical-relative:page;position:absolute;z-index:-25162240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1" style="mso-position-horizontal-relative:page;mso-position-vertical-relative:page;position:absolute;z-index:-25162137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02" type="#_x0000_t202" style="width:112.25pt;height:12.5pt;margin-top:43.19pt;margin-left:77.75pt;mso-position-horizontal-relative:page;mso-position-vertical-relative:page;position:absolute;z-index:-25162035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4" style="mso-position-horizontal-relative:page;mso-position-vertical-relative:page;position:absolute;z-index:-25161932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05" type="#_x0000_t202" style="width:112.25pt;height:12.5pt;margin-top:43.19pt;margin-left:77.75pt;mso-position-horizontal-relative:page;mso-position-vertical-relative:page;position:absolute;z-index:-25161830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07" style="mso-position-horizontal-relative:page;mso-position-vertical-relative:page;position:absolute;z-index:-25161728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08" type="#_x0000_t202" style="width:112.25pt;height:12.5pt;margin-top:43.19pt;margin-left:77.75pt;mso-position-horizontal-relative:page;mso-position-vertical-relative:page;position:absolute;z-index:-25161625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0" style="mso-position-horizontal-relative:page;mso-position-vertical-relative:page;position:absolute;z-index:-25161523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11" type="#_x0000_t202" style="width:112.25pt;height:12.5pt;margin-top:43.19pt;margin-left:77.75pt;mso-position-horizontal-relative:page;mso-position-vertical-relative:page;position:absolute;z-index:-25161420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3" style="mso-position-horizontal-relative:page;mso-position-vertical-relative:page;position:absolute;z-index:-25161318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14" type="#_x0000_t202" style="width:112.25pt;height:12.5pt;margin-top:43.19pt;margin-left:77.75pt;mso-position-horizontal-relative:page;mso-position-vertical-relative:page;position:absolute;z-index:-25161216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6" style="mso-position-horizontal-relative:page;mso-position-vertical-relative:page;position:absolute;z-index:-25161113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17" type="#_x0000_t202" style="width:112.25pt;height:12.5pt;margin-top:43.19pt;margin-left:77.75pt;mso-position-horizontal-relative:page;mso-position-vertical-relative:page;position:absolute;z-index:-25161011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19" style="mso-position-horizontal-relative:page;mso-position-vertical-relative:page;position:absolute;z-index:-25160908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20" type="#_x0000_t202" style="width:112.25pt;height:12.5pt;margin-top:43.19pt;margin-left:77.75pt;mso-position-horizontal-relative:page;mso-position-vertical-relative:page;position:absolute;z-index:-25160806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2" style="mso-position-horizontal-relative:page;mso-position-vertical-relative:page;position:absolute;z-index:-25160704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23" type="#_x0000_t202" style="width:112.25pt;height:12.5pt;margin-top:43.19pt;margin-left:77.75pt;mso-position-horizontal-relative:page;mso-position-vertical-relative:page;position:absolute;z-index:-25160601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5" style="mso-position-horizontal-relative:page;mso-position-vertical-relative:page;position:absolute;z-index:-25160499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26" type="#_x0000_t202" style="width:112.25pt;height:12.5pt;margin-top:43.19pt;margin-left:77.75pt;mso-position-horizontal-relative:page;mso-position-vertical-relative:page;position:absolute;z-index:-25160396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28" style="mso-position-horizontal-relative:page;mso-position-vertical-relative:page;position:absolute;z-index:-25160294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29" type="#_x0000_t202" style="width:112.25pt;height:12.5pt;margin-top:43.19pt;margin-left:77.75pt;mso-position-horizontal-relative:page;mso-position-vertical-relative:page;position:absolute;z-index:-25160192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1" style="mso-position-horizontal-relative:page;mso-position-vertical-relative:page;position:absolute;z-index:-25160089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32" type="#_x0000_t202" style="width:112.25pt;height:12.5pt;margin-top:43.19pt;margin-left:77.75pt;mso-position-horizontal-relative:page;mso-position-vertical-relative:page;position:absolute;z-index:-25159987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4" style="mso-position-horizontal-relative:page;mso-position-vertical-relative:page;position:absolute;z-index:-25159884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35" type="#_x0000_t202" style="width:112.25pt;height:12.5pt;margin-top:43.19pt;margin-left:77.75pt;mso-position-horizontal-relative:page;mso-position-vertical-relative:page;position:absolute;z-index:-25159782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37" style="mso-position-horizontal-relative:page;mso-position-vertical-relative:page;position:absolute;z-index:-25159680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38" type="#_x0000_t202" style="width:112.25pt;height:12.5pt;margin-top:43.19pt;margin-left:77.75pt;mso-position-horizontal-relative:page;mso-position-vertical-relative:page;position:absolute;z-index:-25159577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0" style="mso-position-horizontal-relative:page;mso-position-vertical-relative:page;position:absolute;z-index:-25159475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41" type="#_x0000_t202" style="width:112.25pt;height:12.5pt;margin-top:43.19pt;margin-left:77.75pt;mso-position-horizontal-relative:page;mso-position-vertical-relative:page;position:absolute;z-index:-25159372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3" style="mso-position-horizontal-relative:page;mso-position-vertical-relative:page;position:absolute;z-index:-251592704"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44" type="#_x0000_t202" style="width:112.25pt;height:12.5pt;margin-top:43.19pt;margin-left:77.75pt;mso-position-horizontal-relative:page;mso-position-vertical-relative:page;position:absolute;z-index:-251591680"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6" style="mso-position-horizontal-relative:page;mso-position-vertical-relative:page;position:absolute;z-index:-251590656"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47" type="#_x0000_t202" style="width:112.25pt;height:12.5pt;margin-top:43.19pt;margin-left:77.75pt;mso-position-horizontal-relative:page;mso-position-vertical-relative:page;position:absolute;z-index:-251589632"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49" style="mso-position-horizontal-relative:page;mso-position-vertical-relative:page;position:absolute;z-index:-251588608"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50" type="#_x0000_t202" style="width:112.25pt;height:12.5pt;margin-top:43.19pt;margin-left:77.75pt;mso-position-horizontal-relative:page;mso-position-vertical-relative:page;position:absolute;z-index:-251587584"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2" style="mso-position-horizontal-relative:page;mso-position-vertical-relative:page;position:absolute;z-index:-251586560"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53" type="#_x0000_t202" style="width:112.25pt;height:12.5pt;margin-top:43.19pt;margin-left:77.75pt;mso-position-horizontal-relative:page;mso-position-vertical-relative:page;position:absolute;z-index:-251585536"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line id="_x0000_s2155" style="mso-position-horizontal-relative:page;mso-position-vertical-relative:page;position:absolute;z-index:-251584512" from="77.3pt,57.55pt" to="536.95pt,57.55pt" stroked="t" strokecolor="black" strokeweight="0.75pt">
          <v:stroke dashstyle="solid"/>
        </v:line>
      </w:pict>
    </w:r>
    <w:r>
      <w:pict>
        <v:shapetype id="_x0000_t202" coordsize="21600,21600" o:spt="202" path="m,l,21600r21600,l21600,xe">
          <v:stroke joinstyle="miter"/>
          <v:path gradientshapeok="t" o:connecttype="rect"/>
        </v:shapetype>
        <v:shape id="_x0000_s2156" type="#_x0000_t202" style="width:112.25pt;height:12.5pt;margin-top:43.19pt;margin-left:77.75pt;mso-position-horizontal-relative:page;mso-position-vertical-relative:page;position:absolute;z-index:-251583488" filled="f" stroked="f">
          <v:textbox inset="0,0,0,0">
            <w:txbxContent>
              <w:p>
                <w:pPr>
                  <w:spacing w:before="0" w:line="250" w:lineRule="exact"/>
                  <w:ind w:left="20" w:right="0" w:firstLine="0"/>
                  <w:jc w:val="left"/>
                  <w:rPr>
                    <w:rFonts w:ascii="新宋体" w:eastAsia="新宋体" w:hint="eastAsia"/>
                    <w:sz w:val="21"/>
                  </w:rPr>
                </w:pPr>
                <w:r>
                  <w:rPr>
                    <w:rFonts w:ascii="新宋体" w:eastAsia="新宋体" w:hint="eastAsia"/>
                    <w:sz w:val="21"/>
                  </w:rPr>
                  <w:t>招标编号</w:t>
                </w:r>
                <w:r>
                  <w:rPr>
                    <w:rFonts w:ascii="新宋体" w:eastAsia="新宋体" w:hint="eastAsia"/>
                    <w:spacing w:val="-2"/>
                    <w:sz w:val="21"/>
                  </w:rPr>
                  <w:t>：FJXW2014030</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EBCA9"/>
    <w:multiLevelType w:val="hybridMultilevel"/>
    <w:tmpl w:val="00000000"/>
    <w:lvl w:ilvl="0">
      <w:start w:val="1"/>
      <w:numFmt w:val="decimal"/>
      <w:lvlText w:val="%1"/>
      <w:lvlJc w:val="left"/>
      <w:pPr>
        <w:ind w:left="1319" w:hanging="845"/>
        <w:jc w:val="left"/>
      </w:pPr>
      <w:rPr>
        <w:rFonts w:hint="default"/>
        <w:lang w:val="en-US" w:eastAsia="zh-CN" w:bidi="ar-SA"/>
      </w:rPr>
    </w:lvl>
    <w:lvl w:ilvl="1">
      <w:start w:val="3"/>
      <w:numFmt w:val="decimal"/>
      <w:lvlText w:val="%1.%2"/>
      <w:lvlJc w:val="left"/>
      <w:pPr>
        <w:ind w:left="1319" w:hanging="845"/>
        <w:jc w:val="left"/>
      </w:pPr>
      <w:rPr>
        <w:rFonts w:hint="default"/>
        <w:lang w:val="en-US" w:eastAsia="zh-CN" w:bidi="ar-SA"/>
      </w:rPr>
    </w:lvl>
    <w:lvl w:ilvl="2">
      <w:start w:val="2"/>
      <w:numFmt w:val="decimal"/>
      <w:lvlText w:val="%1.%2.%3"/>
      <w:lvlJc w:val="left"/>
      <w:pPr>
        <w:ind w:left="1319" w:hanging="845"/>
        <w:jc w:val="left"/>
      </w:pPr>
      <w:rPr>
        <w:rFonts w:ascii="Microsoft JhengHei" w:eastAsia="Microsoft JhengHei" w:hAnsi="Microsoft JhengHei" w:cs="Microsoft JhengHei" w:hint="default"/>
        <w:b/>
        <w:bCs/>
        <w:i w:val="0"/>
        <w:iCs w:val="0"/>
        <w:w w:val="83"/>
        <w:sz w:val="24"/>
        <w:szCs w:val="24"/>
        <w:lang w:val="en-US" w:eastAsia="zh-CN" w:bidi="ar-SA"/>
      </w:rPr>
    </w:lvl>
    <w:lvl w:ilvl="3">
      <w:start w:val="1"/>
      <w:numFmt w:val="decimal"/>
      <w:lvlText w:val="%1.%2.%3.%4"/>
      <w:lvlJc w:val="left"/>
      <w:pPr>
        <w:ind w:left="1855" w:hanging="90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4735" w:hanging="900"/>
      </w:pPr>
      <w:rPr>
        <w:rFonts w:hint="default"/>
        <w:lang w:val="en-US" w:eastAsia="zh-CN" w:bidi="ar-SA"/>
      </w:rPr>
    </w:lvl>
    <w:lvl w:ilvl="5">
      <w:start w:val="0"/>
      <w:numFmt w:val="bullet"/>
      <w:lvlText w:val="•"/>
      <w:lvlJc w:val="left"/>
      <w:pPr>
        <w:ind w:left="5694" w:hanging="900"/>
      </w:pPr>
      <w:rPr>
        <w:rFonts w:hint="default"/>
        <w:lang w:val="en-US" w:eastAsia="zh-CN" w:bidi="ar-SA"/>
      </w:rPr>
    </w:lvl>
    <w:lvl w:ilvl="6">
      <w:start w:val="0"/>
      <w:numFmt w:val="bullet"/>
      <w:lvlText w:val="•"/>
      <w:lvlJc w:val="left"/>
      <w:pPr>
        <w:ind w:left="6652" w:hanging="900"/>
      </w:pPr>
      <w:rPr>
        <w:rFonts w:hint="default"/>
        <w:lang w:val="en-US" w:eastAsia="zh-CN" w:bidi="ar-SA"/>
      </w:rPr>
    </w:lvl>
    <w:lvl w:ilvl="7">
      <w:start w:val="0"/>
      <w:numFmt w:val="bullet"/>
      <w:lvlText w:val="•"/>
      <w:lvlJc w:val="left"/>
      <w:pPr>
        <w:ind w:left="7611" w:hanging="900"/>
      </w:pPr>
      <w:rPr>
        <w:rFonts w:hint="default"/>
        <w:lang w:val="en-US" w:eastAsia="zh-CN" w:bidi="ar-SA"/>
      </w:rPr>
    </w:lvl>
    <w:lvl w:ilvl="8">
      <w:start w:val="0"/>
      <w:numFmt w:val="bullet"/>
      <w:lvlText w:val="•"/>
      <w:lvlJc w:val="left"/>
      <w:pPr>
        <w:ind w:left="8569" w:hanging="900"/>
      </w:pPr>
      <w:rPr>
        <w:rFonts w:hint="default"/>
        <w:lang w:val="en-US" w:eastAsia="zh-CN" w:bidi="ar-SA"/>
      </w:rPr>
    </w:lvl>
  </w:abstractNum>
  <w:abstractNum w:abstractNumId="1">
    <w:nsid w:val="07FEDFB8"/>
    <w:multiLevelType w:val="hybridMultilevel"/>
    <w:tmpl w:val="00000000"/>
    <w:lvl w:ilvl="0">
      <w:start w:val="4"/>
      <w:numFmt w:val="decimal"/>
      <w:lvlText w:val="%1"/>
      <w:lvlJc w:val="left"/>
      <w:pPr>
        <w:ind w:left="475" w:hanging="420"/>
        <w:jc w:val="left"/>
      </w:pPr>
      <w:rPr>
        <w:rFonts w:hint="default"/>
        <w:lang w:val="en-US" w:eastAsia="zh-CN" w:bidi="ar-SA"/>
      </w:rPr>
    </w:lvl>
    <w:lvl w:ilvl="1">
      <w:start w:val="1"/>
      <w:numFmt w:val="decimal"/>
      <w:lvlText w:val="%1.%2"/>
      <w:lvlJc w:val="left"/>
      <w:pPr>
        <w:ind w:left="475" w:hanging="420"/>
        <w:jc w:val="left"/>
      </w:pPr>
      <w:rPr>
        <w:rFonts w:ascii="宋体" w:eastAsia="宋体" w:hAnsi="宋体" w:cs="宋体" w:hint="default"/>
        <w:b w:val="0"/>
        <w:bCs w:val="0"/>
        <w:i w:val="0"/>
        <w:iCs w:val="0"/>
        <w:w w:val="100"/>
        <w:sz w:val="24"/>
        <w:szCs w:val="24"/>
        <w:lang w:val="en-US" w:eastAsia="zh-CN" w:bidi="ar-SA"/>
      </w:rPr>
    </w:lvl>
    <w:lvl w:ilvl="2">
      <w:start w:val="0"/>
      <w:numFmt w:val="bullet"/>
      <w:lvlText w:val="•"/>
      <w:lvlJc w:val="left"/>
      <w:pPr>
        <w:ind w:left="2481" w:hanging="420"/>
      </w:pPr>
      <w:rPr>
        <w:rFonts w:hint="default"/>
        <w:lang w:val="en-US" w:eastAsia="zh-CN" w:bidi="ar-SA"/>
      </w:rPr>
    </w:lvl>
    <w:lvl w:ilvl="3">
      <w:start w:val="0"/>
      <w:numFmt w:val="bullet"/>
      <w:lvlText w:val="•"/>
      <w:lvlJc w:val="left"/>
      <w:pPr>
        <w:ind w:left="3482" w:hanging="420"/>
      </w:pPr>
      <w:rPr>
        <w:rFonts w:hint="default"/>
        <w:lang w:val="en-US" w:eastAsia="zh-CN" w:bidi="ar-SA"/>
      </w:rPr>
    </w:lvl>
    <w:lvl w:ilvl="4">
      <w:start w:val="0"/>
      <w:numFmt w:val="bullet"/>
      <w:lvlText w:val="•"/>
      <w:lvlJc w:val="left"/>
      <w:pPr>
        <w:ind w:left="4482" w:hanging="420"/>
      </w:pPr>
      <w:rPr>
        <w:rFonts w:hint="default"/>
        <w:lang w:val="en-US" w:eastAsia="zh-CN" w:bidi="ar-SA"/>
      </w:rPr>
    </w:lvl>
    <w:lvl w:ilvl="5">
      <w:start w:val="0"/>
      <w:numFmt w:val="bullet"/>
      <w:lvlText w:val="•"/>
      <w:lvlJc w:val="left"/>
      <w:pPr>
        <w:ind w:left="5483" w:hanging="420"/>
      </w:pPr>
      <w:rPr>
        <w:rFonts w:hint="default"/>
        <w:lang w:val="en-US" w:eastAsia="zh-CN" w:bidi="ar-SA"/>
      </w:rPr>
    </w:lvl>
    <w:lvl w:ilvl="6">
      <w:start w:val="0"/>
      <w:numFmt w:val="bullet"/>
      <w:lvlText w:val="•"/>
      <w:lvlJc w:val="left"/>
      <w:pPr>
        <w:ind w:left="6484" w:hanging="420"/>
      </w:pPr>
      <w:rPr>
        <w:rFonts w:hint="default"/>
        <w:lang w:val="en-US" w:eastAsia="zh-CN" w:bidi="ar-SA"/>
      </w:rPr>
    </w:lvl>
    <w:lvl w:ilvl="7">
      <w:start w:val="0"/>
      <w:numFmt w:val="bullet"/>
      <w:lvlText w:val="•"/>
      <w:lvlJc w:val="left"/>
      <w:pPr>
        <w:ind w:left="7484" w:hanging="420"/>
      </w:pPr>
      <w:rPr>
        <w:rFonts w:hint="default"/>
        <w:lang w:val="en-US" w:eastAsia="zh-CN" w:bidi="ar-SA"/>
      </w:rPr>
    </w:lvl>
    <w:lvl w:ilvl="8">
      <w:start w:val="0"/>
      <w:numFmt w:val="bullet"/>
      <w:lvlText w:val="•"/>
      <w:lvlJc w:val="left"/>
      <w:pPr>
        <w:ind w:left="8485" w:hanging="420"/>
      </w:pPr>
      <w:rPr>
        <w:rFonts w:hint="default"/>
        <w:lang w:val="en-US" w:eastAsia="zh-CN" w:bidi="ar-SA"/>
      </w:rPr>
    </w:lvl>
  </w:abstractNum>
  <w:abstractNum w:abstractNumId="2">
    <w:nsid w:val="0986808E"/>
    <w:multiLevelType w:val="hybridMultilevel"/>
    <w:tmpl w:val="00000000"/>
    <w:lvl w:ilvl="0">
      <w:start w:val="1"/>
      <w:numFmt w:val="decimal"/>
      <w:lvlText w:val="%1."/>
      <w:lvlJc w:val="left"/>
      <w:pPr>
        <w:ind w:left="897" w:hanging="423"/>
        <w:jc w:val="left"/>
      </w:pPr>
      <w:rPr>
        <w:rFonts w:hint="default"/>
        <w:spacing w:val="1"/>
        <w:w w:val="81"/>
        <w:lang w:val="en-US" w:eastAsia="zh-CN" w:bidi="ar-SA"/>
      </w:rPr>
    </w:lvl>
    <w:lvl w:ilvl="1">
      <w:start w:val="1"/>
      <w:numFmt w:val="decimal"/>
      <w:lvlText w:val="%1.%2"/>
      <w:lvlJc w:val="left"/>
      <w:pPr>
        <w:ind w:left="1436" w:hanging="481"/>
        <w:jc w:val="left"/>
      </w:pPr>
      <w:rPr>
        <w:rFonts w:hint="default"/>
        <w:w w:val="100"/>
        <w:lang w:val="en-US" w:eastAsia="zh-CN" w:bidi="ar-SA"/>
      </w:rPr>
    </w:lvl>
    <w:lvl w:ilvl="2">
      <w:start w:val="1"/>
      <w:numFmt w:val="decimal"/>
      <w:lvlText w:val="%1.%2.%3"/>
      <w:lvlJc w:val="left"/>
      <w:pPr>
        <w:ind w:left="475" w:hanging="481"/>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1380" w:hanging="481"/>
      </w:pPr>
      <w:rPr>
        <w:rFonts w:hint="default"/>
        <w:lang w:val="en-US" w:eastAsia="zh-CN" w:bidi="ar-SA"/>
      </w:rPr>
    </w:lvl>
    <w:lvl w:ilvl="4">
      <w:start w:val="0"/>
      <w:numFmt w:val="bullet"/>
      <w:lvlText w:val="•"/>
      <w:lvlJc w:val="left"/>
      <w:pPr>
        <w:ind w:left="1440" w:hanging="481"/>
      </w:pPr>
      <w:rPr>
        <w:rFonts w:hint="default"/>
        <w:lang w:val="en-US" w:eastAsia="zh-CN" w:bidi="ar-SA"/>
      </w:rPr>
    </w:lvl>
    <w:lvl w:ilvl="5">
      <w:start w:val="0"/>
      <w:numFmt w:val="bullet"/>
      <w:lvlText w:val="•"/>
      <w:lvlJc w:val="left"/>
      <w:pPr>
        <w:ind w:left="1560" w:hanging="481"/>
      </w:pPr>
      <w:rPr>
        <w:rFonts w:hint="default"/>
        <w:lang w:val="en-US" w:eastAsia="zh-CN" w:bidi="ar-SA"/>
      </w:rPr>
    </w:lvl>
    <w:lvl w:ilvl="6">
      <w:start w:val="0"/>
      <w:numFmt w:val="bullet"/>
      <w:lvlText w:val="•"/>
      <w:lvlJc w:val="left"/>
      <w:pPr>
        <w:ind w:left="3345" w:hanging="481"/>
      </w:pPr>
      <w:rPr>
        <w:rFonts w:hint="default"/>
        <w:lang w:val="en-US" w:eastAsia="zh-CN" w:bidi="ar-SA"/>
      </w:rPr>
    </w:lvl>
    <w:lvl w:ilvl="7">
      <w:start w:val="0"/>
      <w:numFmt w:val="bullet"/>
      <w:lvlText w:val="•"/>
      <w:lvlJc w:val="left"/>
      <w:pPr>
        <w:ind w:left="5130" w:hanging="481"/>
      </w:pPr>
      <w:rPr>
        <w:rFonts w:hint="default"/>
        <w:lang w:val="en-US" w:eastAsia="zh-CN" w:bidi="ar-SA"/>
      </w:rPr>
    </w:lvl>
    <w:lvl w:ilvl="8">
      <w:start w:val="0"/>
      <w:numFmt w:val="bullet"/>
      <w:lvlText w:val="•"/>
      <w:lvlJc w:val="left"/>
      <w:pPr>
        <w:ind w:left="6916" w:hanging="481"/>
      </w:pPr>
      <w:rPr>
        <w:rFonts w:hint="default"/>
        <w:lang w:val="en-US" w:eastAsia="zh-CN" w:bidi="ar-SA"/>
      </w:rPr>
    </w:lvl>
  </w:abstractNum>
  <w:abstractNum w:abstractNumId="3">
    <w:nsid w:val="0A885FF9"/>
    <w:multiLevelType w:val="hybridMultilevel"/>
    <w:tmpl w:val="00000000"/>
    <w:lvl w:ilvl="0">
      <w:start w:val="1"/>
      <w:numFmt w:val="decimal"/>
      <w:lvlText w:val="%1."/>
      <w:lvlJc w:val="left"/>
      <w:pPr>
        <w:ind w:left="900" w:hanging="426"/>
        <w:jc w:val="left"/>
      </w:pPr>
      <w:rPr>
        <w:rFonts w:ascii="宋体" w:eastAsia="宋体" w:hAnsi="宋体" w:cs="宋体" w:hint="default"/>
        <w:b w:val="0"/>
        <w:bCs w:val="0"/>
        <w:i w:val="0"/>
        <w:iCs w:val="0"/>
        <w:w w:val="100"/>
        <w:sz w:val="24"/>
        <w:szCs w:val="24"/>
        <w:lang w:val="en-US" w:eastAsia="zh-CN" w:bidi="ar-SA"/>
      </w:rPr>
    </w:lvl>
    <w:lvl w:ilvl="1">
      <w:start w:val="1"/>
      <w:numFmt w:val="decimal"/>
      <w:lvlText w:val="%1.%2"/>
      <w:lvlJc w:val="left"/>
      <w:pPr>
        <w:ind w:left="895" w:hanging="420"/>
        <w:jc w:val="left"/>
      </w:pPr>
      <w:rPr>
        <w:rFonts w:hint="default"/>
        <w:w w:val="100"/>
        <w:lang w:val="en-US" w:eastAsia="zh-CN" w:bidi="ar-SA"/>
      </w:rPr>
    </w:lvl>
    <w:lvl w:ilvl="2">
      <w:start w:val="1"/>
      <w:numFmt w:val="decimal"/>
      <w:lvlText w:val="%1.%2.%3"/>
      <w:lvlJc w:val="left"/>
      <w:pPr>
        <w:ind w:left="1076" w:hanging="601"/>
        <w:jc w:val="left"/>
      </w:pPr>
      <w:rPr>
        <w:rFonts w:ascii="宋体" w:eastAsia="宋体" w:hAnsi="宋体" w:cs="宋体" w:hint="default"/>
        <w:b w:val="0"/>
        <w:bCs w:val="0"/>
        <w:i w:val="0"/>
        <w:iCs w:val="0"/>
        <w:w w:val="100"/>
        <w:sz w:val="22"/>
        <w:szCs w:val="22"/>
        <w:lang w:val="en-US" w:eastAsia="zh-CN" w:bidi="ar-SA"/>
      </w:rPr>
    </w:lvl>
    <w:lvl w:ilvl="3">
      <w:start w:val="1"/>
      <w:numFmt w:val="decimal"/>
      <w:lvlText w:val="%1.%2.%3.%4"/>
      <w:lvlJc w:val="left"/>
      <w:pPr>
        <w:ind w:left="1466" w:hanging="900"/>
        <w:jc w:val="left"/>
      </w:pPr>
      <w:rPr>
        <w:rFonts w:ascii="宋体" w:eastAsia="宋体" w:hAnsi="宋体" w:cs="宋体" w:hint="default"/>
        <w:b w:val="0"/>
        <w:bCs w:val="0"/>
        <w:i w:val="0"/>
        <w:iCs w:val="0"/>
        <w:w w:val="100"/>
        <w:sz w:val="24"/>
        <w:szCs w:val="24"/>
        <w:lang w:val="en-US" w:eastAsia="zh-CN" w:bidi="ar-SA"/>
      </w:rPr>
    </w:lvl>
    <w:lvl w:ilvl="4">
      <w:start w:val="0"/>
      <w:numFmt w:val="bullet"/>
      <w:lvlText w:val="•"/>
      <w:lvlJc w:val="left"/>
      <w:pPr>
        <w:ind w:left="3716" w:hanging="900"/>
      </w:pPr>
      <w:rPr>
        <w:rFonts w:hint="default"/>
        <w:lang w:val="en-US" w:eastAsia="zh-CN" w:bidi="ar-SA"/>
      </w:rPr>
    </w:lvl>
    <w:lvl w:ilvl="5">
      <w:start w:val="0"/>
      <w:numFmt w:val="bullet"/>
      <w:lvlText w:val="•"/>
      <w:lvlJc w:val="left"/>
      <w:pPr>
        <w:ind w:left="4845" w:hanging="900"/>
      </w:pPr>
      <w:rPr>
        <w:rFonts w:hint="default"/>
        <w:lang w:val="en-US" w:eastAsia="zh-CN" w:bidi="ar-SA"/>
      </w:rPr>
    </w:lvl>
    <w:lvl w:ilvl="6">
      <w:start w:val="0"/>
      <w:numFmt w:val="bullet"/>
      <w:lvlText w:val="•"/>
      <w:lvlJc w:val="left"/>
      <w:pPr>
        <w:ind w:left="5973" w:hanging="900"/>
      </w:pPr>
      <w:rPr>
        <w:rFonts w:hint="default"/>
        <w:lang w:val="en-US" w:eastAsia="zh-CN" w:bidi="ar-SA"/>
      </w:rPr>
    </w:lvl>
    <w:lvl w:ilvl="7">
      <w:start w:val="0"/>
      <w:numFmt w:val="bullet"/>
      <w:lvlText w:val="•"/>
      <w:lvlJc w:val="left"/>
      <w:pPr>
        <w:ind w:left="7101" w:hanging="900"/>
      </w:pPr>
      <w:rPr>
        <w:rFonts w:hint="default"/>
        <w:lang w:val="en-US" w:eastAsia="zh-CN" w:bidi="ar-SA"/>
      </w:rPr>
    </w:lvl>
    <w:lvl w:ilvl="8">
      <w:start w:val="0"/>
      <w:numFmt w:val="bullet"/>
      <w:lvlText w:val="•"/>
      <w:lvlJc w:val="left"/>
      <w:pPr>
        <w:ind w:left="8230" w:hanging="900"/>
      </w:pPr>
      <w:rPr>
        <w:rFonts w:hint="default"/>
        <w:lang w:val="en-US" w:eastAsia="zh-CN" w:bidi="ar-SA"/>
      </w:rPr>
    </w:lvl>
  </w:abstractNum>
  <w:abstractNum w:abstractNumId="4">
    <w:nsid w:val="0A9C4DFF"/>
    <w:multiLevelType w:val="hybridMultilevel"/>
    <w:tmpl w:val="00000000"/>
    <w:lvl w:ilvl="0">
      <w:start w:val="1"/>
      <w:numFmt w:val="decimal"/>
      <w:lvlText w:val="%1"/>
      <w:lvlJc w:val="left"/>
      <w:pPr>
        <w:ind w:left="475" w:hanging="665"/>
        <w:jc w:val="left"/>
      </w:pPr>
      <w:rPr>
        <w:rFonts w:hint="default"/>
        <w:lang w:val="en-US" w:eastAsia="zh-CN" w:bidi="ar-SA"/>
      </w:rPr>
    </w:lvl>
    <w:lvl w:ilvl="1">
      <w:start w:val="4"/>
      <w:numFmt w:val="decimal"/>
      <w:lvlText w:val="%1.%2"/>
      <w:lvlJc w:val="left"/>
      <w:pPr>
        <w:ind w:left="475" w:hanging="665"/>
        <w:jc w:val="left"/>
      </w:pPr>
      <w:rPr>
        <w:rFonts w:hint="default"/>
        <w:lang w:val="en-US" w:eastAsia="zh-CN" w:bidi="ar-SA"/>
      </w:rPr>
    </w:lvl>
    <w:lvl w:ilvl="2">
      <w:start w:val="1"/>
      <w:numFmt w:val="decimal"/>
      <w:lvlText w:val="%1.%2.%3"/>
      <w:lvlJc w:val="left"/>
      <w:pPr>
        <w:ind w:left="475" w:hanging="665"/>
        <w:jc w:val="left"/>
      </w:pPr>
      <w:rPr>
        <w:rFonts w:ascii="Microsoft JhengHei" w:eastAsia="Microsoft JhengHei" w:hAnsi="Microsoft JhengHei" w:cs="Microsoft JhengHei" w:hint="default"/>
        <w:b/>
        <w:bCs/>
        <w:i w:val="0"/>
        <w:iCs w:val="0"/>
        <w:w w:val="83"/>
        <w:sz w:val="24"/>
        <w:szCs w:val="24"/>
        <w:lang w:val="en-US" w:eastAsia="zh-CN" w:bidi="ar-SA"/>
      </w:rPr>
    </w:lvl>
    <w:lvl w:ilvl="3">
      <w:start w:val="0"/>
      <w:numFmt w:val="bullet"/>
      <w:lvlText w:val="•"/>
      <w:lvlJc w:val="left"/>
      <w:pPr>
        <w:ind w:left="3482" w:hanging="665"/>
      </w:pPr>
      <w:rPr>
        <w:rFonts w:hint="default"/>
        <w:lang w:val="en-US" w:eastAsia="zh-CN" w:bidi="ar-SA"/>
      </w:rPr>
    </w:lvl>
    <w:lvl w:ilvl="4">
      <w:start w:val="0"/>
      <w:numFmt w:val="bullet"/>
      <w:lvlText w:val="•"/>
      <w:lvlJc w:val="left"/>
      <w:pPr>
        <w:ind w:left="4482" w:hanging="665"/>
      </w:pPr>
      <w:rPr>
        <w:rFonts w:hint="default"/>
        <w:lang w:val="en-US" w:eastAsia="zh-CN" w:bidi="ar-SA"/>
      </w:rPr>
    </w:lvl>
    <w:lvl w:ilvl="5">
      <w:start w:val="0"/>
      <w:numFmt w:val="bullet"/>
      <w:lvlText w:val="•"/>
      <w:lvlJc w:val="left"/>
      <w:pPr>
        <w:ind w:left="5483" w:hanging="665"/>
      </w:pPr>
      <w:rPr>
        <w:rFonts w:hint="default"/>
        <w:lang w:val="en-US" w:eastAsia="zh-CN" w:bidi="ar-SA"/>
      </w:rPr>
    </w:lvl>
    <w:lvl w:ilvl="6">
      <w:start w:val="0"/>
      <w:numFmt w:val="bullet"/>
      <w:lvlText w:val="•"/>
      <w:lvlJc w:val="left"/>
      <w:pPr>
        <w:ind w:left="6484" w:hanging="665"/>
      </w:pPr>
      <w:rPr>
        <w:rFonts w:hint="default"/>
        <w:lang w:val="en-US" w:eastAsia="zh-CN" w:bidi="ar-SA"/>
      </w:rPr>
    </w:lvl>
    <w:lvl w:ilvl="7">
      <w:start w:val="0"/>
      <w:numFmt w:val="bullet"/>
      <w:lvlText w:val="•"/>
      <w:lvlJc w:val="left"/>
      <w:pPr>
        <w:ind w:left="7484" w:hanging="665"/>
      </w:pPr>
      <w:rPr>
        <w:rFonts w:hint="default"/>
        <w:lang w:val="en-US" w:eastAsia="zh-CN" w:bidi="ar-SA"/>
      </w:rPr>
    </w:lvl>
    <w:lvl w:ilvl="8">
      <w:start w:val="0"/>
      <w:numFmt w:val="bullet"/>
      <w:lvlText w:val="•"/>
      <w:lvlJc w:val="left"/>
      <w:pPr>
        <w:ind w:left="8485" w:hanging="665"/>
      </w:pPr>
      <w:rPr>
        <w:rFonts w:hint="default"/>
        <w:lang w:val="en-US" w:eastAsia="zh-CN" w:bidi="ar-SA"/>
      </w:rPr>
    </w:lvl>
  </w:abstractNum>
  <w:abstractNum w:abstractNumId="5">
    <w:nsid w:val="0B045D6F"/>
    <w:multiLevelType w:val="hybridMultilevel"/>
    <w:tmpl w:val="00000000"/>
    <w:lvl w:ilvl="0">
      <w:start w:val="1"/>
      <w:numFmt w:val="decimal"/>
      <w:lvlText w:val="%1."/>
      <w:lvlJc w:val="left"/>
      <w:pPr>
        <w:ind w:left="900" w:hanging="426"/>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1858" w:hanging="426"/>
      </w:pPr>
      <w:rPr>
        <w:rFonts w:hint="default"/>
        <w:lang w:val="en-US" w:eastAsia="zh-CN" w:bidi="ar-SA"/>
      </w:rPr>
    </w:lvl>
    <w:lvl w:ilvl="2">
      <w:start w:val="0"/>
      <w:numFmt w:val="bullet"/>
      <w:lvlText w:val="•"/>
      <w:lvlJc w:val="left"/>
      <w:pPr>
        <w:ind w:left="2817" w:hanging="426"/>
      </w:pPr>
      <w:rPr>
        <w:rFonts w:hint="default"/>
        <w:lang w:val="en-US" w:eastAsia="zh-CN" w:bidi="ar-SA"/>
      </w:rPr>
    </w:lvl>
    <w:lvl w:ilvl="3">
      <w:start w:val="0"/>
      <w:numFmt w:val="bullet"/>
      <w:lvlText w:val="•"/>
      <w:lvlJc w:val="left"/>
      <w:pPr>
        <w:ind w:left="3776" w:hanging="426"/>
      </w:pPr>
      <w:rPr>
        <w:rFonts w:hint="default"/>
        <w:lang w:val="en-US" w:eastAsia="zh-CN" w:bidi="ar-SA"/>
      </w:rPr>
    </w:lvl>
    <w:lvl w:ilvl="4">
      <w:start w:val="0"/>
      <w:numFmt w:val="bullet"/>
      <w:lvlText w:val="•"/>
      <w:lvlJc w:val="left"/>
      <w:pPr>
        <w:ind w:left="4734" w:hanging="426"/>
      </w:pPr>
      <w:rPr>
        <w:rFonts w:hint="default"/>
        <w:lang w:val="en-US" w:eastAsia="zh-CN" w:bidi="ar-SA"/>
      </w:rPr>
    </w:lvl>
    <w:lvl w:ilvl="5">
      <w:start w:val="0"/>
      <w:numFmt w:val="bullet"/>
      <w:lvlText w:val="•"/>
      <w:lvlJc w:val="left"/>
      <w:pPr>
        <w:ind w:left="5693" w:hanging="426"/>
      </w:pPr>
      <w:rPr>
        <w:rFonts w:hint="default"/>
        <w:lang w:val="en-US" w:eastAsia="zh-CN" w:bidi="ar-SA"/>
      </w:rPr>
    </w:lvl>
    <w:lvl w:ilvl="6">
      <w:start w:val="0"/>
      <w:numFmt w:val="bullet"/>
      <w:lvlText w:val="•"/>
      <w:lvlJc w:val="left"/>
      <w:pPr>
        <w:ind w:left="6652" w:hanging="426"/>
      </w:pPr>
      <w:rPr>
        <w:rFonts w:hint="default"/>
        <w:lang w:val="en-US" w:eastAsia="zh-CN" w:bidi="ar-SA"/>
      </w:rPr>
    </w:lvl>
    <w:lvl w:ilvl="7">
      <w:start w:val="0"/>
      <w:numFmt w:val="bullet"/>
      <w:lvlText w:val="•"/>
      <w:lvlJc w:val="left"/>
      <w:pPr>
        <w:ind w:left="7610" w:hanging="426"/>
      </w:pPr>
      <w:rPr>
        <w:rFonts w:hint="default"/>
        <w:lang w:val="en-US" w:eastAsia="zh-CN" w:bidi="ar-SA"/>
      </w:rPr>
    </w:lvl>
    <w:lvl w:ilvl="8">
      <w:start w:val="0"/>
      <w:numFmt w:val="bullet"/>
      <w:lvlText w:val="•"/>
      <w:lvlJc w:val="left"/>
      <w:pPr>
        <w:ind w:left="8569" w:hanging="426"/>
      </w:pPr>
      <w:rPr>
        <w:rFonts w:hint="default"/>
        <w:lang w:val="en-US" w:eastAsia="zh-CN" w:bidi="ar-SA"/>
      </w:rPr>
    </w:lvl>
  </w:abstractNum>
  <w:abstractNum w:abstractNumId="6">
    <w:nsid w:val="11AF2997"/>
    <w:multiLevelType w:val="hybridMultilevel"/>
    <w:tmpl w:val="00000000"/>
    <w:lvl w:ilvl="0">
      <w:start w:val="1"/>
      <w:numFmt w:val="decimal"/>
      <w:lvlText w:val="（%1）"/>
      <w:lvlJc w:val="left"/>
      <w:pPr>
        <w:ind w:left="475" w:hanging="604"/>
        <w:jc w:val="left"/>
      </w:pPr>
      <w:rPr>
        <w:rFonts w:ascii="宋体" w:eastAsia="宋体" w:hAnsi="宋体" w:cs="宋体" w:hint="default"/>
        <w:b w:val="0"/>
        <w:bCs w:val="0"/>
        <w:i w:val="0"/>
        <w:iCs w:val="0"/>
        <w:spacing w:val="0"/>
        <w:w w:val="100"/>
        <w:sz w:val="22"/>
        <w:szCs w:val="22"/>
        <w:lang w:val="en-US" w:eastAsia="zh-CN" w:bidi="ar-SA"/>
      </w:rPr>
    </w:lvl>
    <w:lvl w:ilvl="1">
      <w:start w:val="0"/>
      <w:numFmt w:val="bullet"/>
      <w:lvlText w:val="•"/>
      <w:lvlJc w:val="left"/>
      <w:pPr>
        <w:ind w:left="1480" w:hanging="604"/>
      </w:pPr>
      <w:rPr>
        <w:rFonts w:hint="default"/>
        <w:lang w:val="en-US" w:eastAsia="zh-CN" w:bidi="ar-SA"/>
      </w:rPr>
    </w:lvl>
    <w:lvl w:ilvl="2">
      <w:start w:val="0"/>
      <w:numFmt w:val="bullet"/>
      <w:lvlText w:val="•"/>
      <w:lvlJc w:val="left"/>
      <w:pPr>
        <w:ind w:left="2481" w:hanging="604"/>
      </w:pPr>
      <w:rPr>
        <w:rFonts w:hint="default"/>
        <w:lang w:val="en-US" w:eastAsia="zh-CN" w:bidi="ar-SA"/>
      </w:rPr>
    </w:lvl>
    <w:lvl w:ilvl="3">
      <w:start w:val="0"/>
      <w:numFmt w:val="bullet"/>
      <w:lvlText w:val="•"/>
      <w:lvlJc w:val="left"/>
      <w:pPr>
        <w:ind w:left="3482" w:hanging="604"/>
      </w:pPr>
      <w:rPr>
        <w:rFonts w:hint="default"/>
        <w:lang w:val="en-US" w:eastAsia="zh-CN" w:bidi="ar-SA"/>
      </w:rPr>
    </w:lvl>
    <w:lvl w:ilvl="4">
      <w:start w:val="0"/>
      <w:numFmt w:val="bullet"/>
      <w:lvlText w:val="•"/>
      <w:lvlJc w:val="left"/>
      <w:pPr>
        <w:ind w:left="4482" w:hanging="604"/>
      </w:pPr>
      <w:rPr>
        <w:rFonts w:hint="default"/>
        <w:lang w:val="en-US" w:eastAsia="zh-CN" w:bidi="ar-SA"/>
      </w:rPr>
    </w:lvl>
    <w:lvl w:ilvl="5">
      <w:start w:val="0"/>
      <w:numFmt w:val="bullet"/>
      <w:lvlText w:val="•"/>
      <w:lvlJc w:val="left"/>
      <w:pPr>
        <w:ind w:left="5483" w:hanging="604"/>
      </w:pPr>
      <w:rPr>
        <w:rFonts w:hint="default"/>
        <w:lang w:val="en-US" w:eastAsia="zh-CN" w:bidi="ar-SA"/>
      </w:rPr>
    </w:lvl>
    <w:lvl w:ilvl="6">
      <w:start w:val="0"/>
      <w:numFmt w:val="bullet"/>
      <w:lvlText w:val="•"/>
      <w:lvlJc w:val="left"/>
      <w:pPr>
        <w:ind w:left="6484" w:hanging="604"/>
      </w:pPr>
      <w:rPr>
        <w:rFonts w:hint="default"/>
        <w:lang w:val="en-US" w:eastAsia="zh-CN" w:bidi="ar-SA"/>
      </w:rPr>
    </w:lvl>
    <w:lvl w:ilvl="7">
      <w:start w:val="0"/>
      <w:numFmt w:val="bullet"/>
      <w:lvlText w:val="•"/>
      <w:lvlJc w:val="left"/>
      <w:pPr>
        <w:ind w:left="7484" w:hanging="604"/>
      </w:pPr>
      <w:rPr>
        <w:rFonts w:hint="default"/>
        <w:lang w:val="en-US" w:eastAsia="zh-CN" w:bidi="ar-SA"/>
      </w:rPr>
    </w:lvl>
    <w:lvl w:ilvl="8">
      <w:start w:val="0"/>
      <w:numFmt w:val="bullet"/>
      <w:lvlText w:val="•"/>
      <w:lvlJc w:val="left"/>
      <w:pPr>
        <w:ind w:left="8485" w:hanging="604"/>
      </w:pPr>
      <w:rPr>
        <w:rFonts w:hint="default"/>
        <w:lang w:val="en-US" w:eastAsia="zh-CN" w:bidi="ar-SA"/>
      </w:rPr>
    </w:lvl>
  </w:abstractNum>
  <w:abstractNum w:abstractNumId="7">
    <w:nsid w:val="12C49443"/>
    <w:multiLevelType w:val="hybridMultilevel"/>
    <w:tmpl w:val="00000000"/>
    <w:lvl w:ilvl="0">
      <w:start w:val="1"/>
      <w:numFmt w:val="decimal"/>
      <w:lvlText w:val="%1."/>
      <w:lvlJc w:val="left"/>
      <w:pPr>
        <w:ind w:left="1119"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056" w:hanging="361"/>
      </w:pPr>
      <w:rPr>
        <w:rFonts w:hint="default"/>
        <w:lang w:val="en-US" w:eastAsia="zh-CN" w:bidi="ar-SA"/>
      </w:rPr>
    </w:lvl>
    <w:lvl w:ilvl="2">
      <w:start w:val="0"/>
      <w:numFmt w:val="bullet"/>
      <w:lvlText w:val="•"/>
      <w:lvlJc w:val="left"/>
      <w:pPr>
        <w:ind w:left="2993" w:hanging="361"/>
      </w:pPr>
      <w:rPr>
        <w:rFonts w:hint="default"/>
        <w:lang w:val="en-US" w:eastAsia="zh-CN" w:bidi="ar-SA"/>
      </w:rPr>
    </w:lvl>
    <w:lvl w:ilvl="3">
      <w:start w:val="0"/>
      <w:numFmt w:val="bullet"/>
      <w:lvlText w:val="•"/>
      <w:lvlJc w:val="left"/>
      <w:pPr>
        <w:ind w:left="3930" w:hanging="361"/>
      </w:pPr>
      <w:rPr>
        <w:rFonts w:hint="default"/>
        <w:lang w:val="en-US" w:eastAsia="zh-CN" w:bidi="ar-SA"/>
      </w:rPr>
    </w:lvl>
    <w:lvl w:ilvl="4">
      <w:start w:val="0"/>
      <w:numFmt w:val="bullet"/>
      <w:lvlText w:val="•"/>
      <w:lvlJc w:val="left"/>
      <w:pPr>
        <w:ind w:left="4866" w:hanging="361"/>
      </w:pPr>
      <w:rPr>
        <w:rFonts w:hint="default"/>
        <w:lang w:val="en-US" w:eastAsia="zh-CN" w:bidi="ar-SA"/>
      </w:rPr>
    </w:lvl>
    <w:lvl w:ilvl="5">
      <w:start w:val="0"/>
      <w:numFmt w:val="bullet"/>
      <w:lvlText w:val="•"/>
      <w:lvlJc w:val="left"/>
      <w:pPr>
        <w:ind w:left="5803" w:hanging="361"/>
      </w:pPr>
      <w:rPr>
        <w:rFonts w:hint="default"/>
        <w:lang w:val="en-US" w:eastAsia="zh-CN" w:bidi="ar-SA"/>
      </w:rPr>
    </w:lvl>
    <w:lvl w:ilvl="6">
      <w:start w:val="0"/>
      <w:numFmt w:val="bullet"/>
      <w:lvlText w:val="•"/>
      <w:lvlJc w:val="left"/>
      <w:pPr>
        <w:ind w:left="6740" w:hanging="361"/>
      </w:pPr>
      <w:rPr>
        <w:rFonts w:hint="default"/>
        <w:lang w:val="en-US" w:eastAsia="zh-CN" w:bidi="ar-SA"/>
      </w:rPr>
    </w:lvl>
    <w:lvl w:ilvl="7">
      <w:start w:val="0"/>
      <w:numFmt w:val="bullet"/>
      <w:lvlText w:val="•"/>
      <w:lvlJc w:val="left"/>
      <w:pPr>
        <w:ind w:left="7676" w:hanging="361"/>
      </w:pPr>
      <w:rPr>
        <w:rFonts w:hint="default"/>
        <w:lang w:val="en-US" w:eastAsia="zh-CN" w:bidi="ar-SA"/>
      </w:rPr>
    </w:lvl>
    <w:lvl w:ilvl="8">
      <w:start w:val="0"/>
      <w:numFmt w:val="bullet"/>
      <w:lvlText w:val="•"/>
      <w:lvlJc w:val="left"/>
      <w:pPr>
        <w:ind w:left="8613" w:hanging="361"/>
      </w:pPr>
      <w:rPr>
        <w:rFonts w:hint="default"/>
        <w:lang w:val="en-US" w:eastAsia="zh-CN" w:bidi="ar-SA"/>
      </w:rPr>
    </w:lvl>
  </w:abstractNum>
  <w:abstractNum w:abstractNumId="8">
    <w:nsid w:val="131EB96A"/>
    <w:multiLevelType w:val="hybridMultilevel"/>
    <w:tmpl w:val="00000000"/>
    <w:lvl w:ilvl="0">
      <w:start w:val="1"/>
      <w:numFmt w:val="decimal"/>
      <w:lvlText w:val="%1."/>
      <w:lvlJc w:val="left"/>
      <w:pPr>
        <w:ind w:left="110"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557" w:hanging="300"/>
      </w:pPr>
      <w:rPr>
        <w:rFonts w:hint="default"/>
        <w:lang w:val="en-US" w:eastAsia="zh-CN" w:bidi="ar-SA"/>
      </w:rPr>
    </w:lvl>
    <w:lvl w:ilvl="2">
      <w:start w:val="0"/>
      <w:numFmt w:val="bullet"/>
      <w:lvlText w:val="•"/>
      <w:lvlJc w:val="left"/>
      <w:pPr>
        <w:ind w:left="994" w:hanging="300"/>
      </w:pPr>
      <w:rPr>
        <w:rFonts w:hint="default"/>
        <w:lang w:val="en-US" w:eastAsia="zh-CN" w:bidi="ar-SA"/>
      </w:rPr>
    </w:lvl>
    <w:lvl w:ilvl="3">
      <w:start w:val="0"/>
      <w:numFmt w:val="bullet"/>
      <w:lvlText w:val="•"/>
      <w:lvlJc w:val="left"/>
      <w:pPr>
        <w:ind w:left="1431" w:hanging="300"/>
      </w:pPr>
      <w:rPr>
        <w:rFonts w:hint="default"/>
        <w:lang w:val="en-US" w:eastAsia="zh-CN" w:bidi="ar-SA"/>
      </w:rPr>
    </w:lvl>
    <w:lvl w:ilvl="4">
      <w:start w:val="0"/>
      <w:numFmt w:val="bullet"/>
      <w:lvlText w:val="•"/>
      <w:lvlJc w:val="left"/>
      <w:pPr>
        <w:ind w:left="1868" w:hanging="300"/>
      </w:pPr>
      <w:rPr>
        <w:rFonts w:hint="default"/>
        <w:lang w:val="en-US" w:eastAsia="zh-CN" w:bidi="ar-SA"/>
      </w:rPr>
    </w:lvl>
    <w:lvl w:ilvl="5">
      <w:start w:val="0"/>
      <w:numFmt w:val="bullet"/>
      <w:lvlText w:val="•"/>
      <w:lvlJc w:val="left"/>
      <w:pPr>
        <w:ind w:left="2305" w:hanging="300"/>
      </w:pPr>
      <w:rPr>
        <w:rFonts w:hint="default"/>
        <w:lang w:val="en-US" w:eastAsia="zh-CN" w:bidi="ar-SA"/>
      </w:rPr>
    </w:lvl>
    <w:lvl w:ilvl="6">
      <w:start w:val="0"/>
      <w:numFmt w:val="bullet"/>
      <w:lvlText w:val="•"/>
      <w:lvlJc w:val="left"/>
      <w:pPr>
        <w:ind w:left="2742" w:hanging="300"/>
      </w:pPr>
      <w:rPr>
        <w:rFonts w:hint="default"/>
        <w:lang w:val="en-US" w:eastAsia="zh-CN" w:bidi="ar-SA"/>
      </w:rPr>
    </w:lvl>
    <w:lvl w:ilvl="7">
      <w:start w:val="0"/>
      <w:numFmt w:val="bullet"/>
      <w:lvlText w:val="•"/>
      <w:lvlJc w:val="left"/>
      <w:pPr>
        <w:ind w:left="3179" w:hanging="300"/>
      </w:pPr>
      <w:rPr>
        <w:rFonts w:hint="default"/>
        <w:lang w:val="en-US" w:eastAsia="zh-CN" w:bidi="ar-SA"/>
      </w:rPr>
    </w:lvl>
    <w:lvl w:ilvl="8">
      <w:start w:val="0"/>
      <w:numFmt w:val="bullet"/>
      <w:lvlText w:val="•"/>
      <w:lvlJc w:val="left"/>
      <w:pPr>
        <w:ind w:left="3616" w:hanging="300"/>
      </w:pPr>
      <w:rPr>
        <w:rFonts w:hint="default"/>
        <w:lang w:val="en-US" w:eastAsia="zh-CN" w:bidi="ar-SA"/>
      </w:rPr>
    </w:lvl>
  </w:abstractNum>
  <w:abstractNum w:abstractNumId="9">
    <w:nsid w:val="14129339"/>
    <w:multiLevelType w:val="hybridMultilevel"/>
    <w:tmpl w:val="00000000"/>
    <w:lvl w:ilvl="0">
      <w:start w:val="1"/>
      <w:numFmt w:val="decimal"/>
      <w:lvlText w:val="%1."/>
      <w:lvlJc w:val="left"/>
      <w:pPr>
        <w:ind w:left="897" w:hanging="423"/>
        <w:jc w:val="left"/>
      </w:pPr>
      <w:rPr>
        <w:rFonts w:hint="default"/>
        <w:spacing w:val="1"/>
        <w:w w:val="81"/>
        <w:lang w:val="en-US" w:eastAsia="zh-CN" w:bidi="ar-SA"/>
      </w:rPr>
    </w:lvl>
    <w:lvl w:ilvl="1">
      <w:start w:val="1"/>
      <w:numFmt w:val="decimal"/>
      <w:lvlText w:val="%1.%2"/>
      <w:lvlJc w:val="left"/>
      <w:pPr>
        <w:ind w:left="1436" w:hanging="481"/>
        <w:jc w:val="left"/>
      </w:pPr>
      <w:rPr>
        <w:rFonts w:hint="default"/>
        <w:w w:val="100"/>
        <w:lang w:val="en-US" w:eastAsia="zh-CN" w:bidi="ar-SA"/>
      </w:rPr>
    </w:lvl>
    <w:lvl w:ilvl="2">
      <w:start w:val="1"/>
      <w:numFmt w:val="decimal"/>
      <w:lvlText w:val="%1.%2.%3"/>
      <w:lvlJc w:val="left"/>
      <w:pPr>
        <w:ind w:left="475" w:hanging="481"/>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1380" w:hanging="481"/>
      </w:pPr>
      <w:rPr>
        <w:rFonts w:hint="default"/>
        <w:lang w:val="en-US" w:eastAsia="zh-CN" w:bidi="ar-SA"/>
      </w:rPr>
    </w:lvl>
    <w:lvl w:ilvl="4">
      <w:start w:val="0"/>
      <w:numFmt w:val="bullet"/>
      <w:lvlText w:val="•"/>
      <w:lvlJc w:val="left"/>
      <w:pPr>
        <w:ind w:left="1440" w:hanging="481"/>
      </w:pPr>
      <w:rPr>
        <w:rFonts w:hint="default"/>
        <w:lang w:val="en-US" w:eastAsia="zh-CN" w:bidi="ar-SA"/>
      </w:rPr>
    </w:lvl>
    <w:lvl w:ilvl="5">
      <w:start w:val="0"/>
      <w:numFmt w:val="bullet"/>
      <w:lvlText w:val="•"/>
      <w:lvlJc w:val="left"/>
      <w:pPr>
        <w:ind w:left="1560" w:hanging="481"/>
      </w:pPr>
      <w:rPr>
        <w:rFonts w:hint="default"/>
        <w:lang w:val="en-US" w:eastAsia="zh-CN" w:bidi="ar-SA"/>
      </w:rPr>
    </w:lvl>
    <w:lvl w:ilvl="6">
      <w:start w:val="0"/>
      <w:numFmt w:val="bullet"/>
      <w:lvlText w:val="•"/>
      <w:lvlJc w:val="left"/>
      <w:pPr>
        <w:ind w:left="3345" w:hanging="481"/>
      </w:pPr>
      <w:rPr>
        <w:rFonts w:hint="default"/>
        <w:lang w:val="en-US" w:eastAsia="zh-CN" w:bidi="ar-SA"/>
      </w:rPr>
    </w:lvl>
    <w:lvl w:ilvl="7">
      <w:start w:val="0"/>
      <w:numFmt w:val="bullet"/>
      <w:lvlText w:val="•"/>
      <w:lvlJc w:val="left"/>
      <w:pPr>
        <w:ind w:left="5130" w:hanging="481"/>
      </w:pPr>
      <w:rPr>
        <w:rFonts w:hint="default"/>
        <w:lang w:val="en-US" w:eastAsia="zh-CN" w:bidi="ar-SA"/>
      </w:rPr>
    </w:lvl>
    <w:lvl w:ilvl="8">
      <w:start w:val="0"/>
      <w:numFmt w:val="bullet"/>
      <w:lvlText w:val="•"/>
      <w:lvlJc w:val="left"/>
      <w:pPr>
        <w:ind w:left="6916" w:hanging="481"/>
      </w:pPr>
      <w:rPr>
        <w:rFonts w:hint="default"/>
        <w:lang w:val="en-US" w:eastAsia="zh-CN" w:bidi="ar-SA"/>
      </w:rPr>
    </w:lvl>
  </w:abstractNum>
  <w:abstractNum w:abstractNumId="10">
    <w:nsid w:val="159C79EF"/>
    <w:multiLevelType w:val="hybridMultilevel"/>
    <w:tmpl w:val="00000000"/>
    <w:lvl w:ilvl="0">
      <w:start w:val="1"/>
      <w:numFmt w:val="decimal"/>
      <w:lvlText w:val="（%1）"/>
      <w:lvlJc w:val="left"/>
      <w:pPr>
        <w:ind w:left="107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020" w:hanging="601"/>
      </w:pPr>
      <w:rPr>
        <w:rFonts w:hint="default"/>
        <w:lang w:val="en-US" w:eastAsia="zh-CN" w:bidi="ar-SA"/>
      </w:rPr>
    </w:lvl>
    <w:lvl w:ilvl="2">
      <w:start w:val="0"/>
      <w:numFmt w:val="bullet"/>
      <w:lvlText w:val="•"/>
      <w:lvlJc w:val="left"/>
      <w:pPr>
        <w:ind w:left="2961" w:hanging="601"/>
      </w:pPr>
      <w:rPr>
        <w:rFonts w:hint="default"/>
        <w:lang w:val="en-US" w:eastAsia="zh-CN" w:bidi="ar-SA"/>
      </w:rPr>
    </w:lvl>
    <w:lvl w:ilvl="3">
      <w:start w:val="0"/>
      <w:numFmt w:val="bullet"/>
      <w:lvlText w:val="•"/>
      <w:lvlJc w:val="left"/>
      <w:pPr>
        <w:ind w:left="3902" w:hanging="601"/>
      </w:pPr>
      <w:rPr>
        <w:rFonts w:hint="default"/>
        <w:lang w:val="en-US" w:eastAsia="zh-CN" w:bidi="ar-SA"/>
      </w:rPr>
    </w:lvl>
    <w:lvl w:ilvl="4">
      <w:start w:val="0"/>
      <w:numFmt w:val="bullet"/>
      <w:lvlText w:val="•"/>
      <w:lvlJc w:val="left"/>
      <w:pPr>
        <w:ind w:left="4842" w:hanging="601"/>
      </w:pPr>
      <w:rPr>
        <w:rFonts w:hint="default"/>
        <w:lang w:val="en-US" w:eastAsia="zh-CN" w:bidi="ar-SA"/>
      </w:rPr>
    </w:lvl>
    <w:lvl w:ilvl="5">
      <w:start w:val="0"/>
      <w:numFmt w:val="bullet"/>
      <w:lvlText w:val="•"/>
      <w:lvlJc w:val="left"/>
      <w:pPr>
        <w:ind w:left="5783" w:hanging="601"/>
      </w:pPr>
      <w:rPr>
        <w:rFonts w:hint="default"/>
        <w:lang w:val="en-US" w:eastAsia="zh-CN" w:bidi="ar-SA"/>
      </w:rPr>
    </w:lvl>
    <w:lvl w:ilvl="6">
      <w:start w:val="0"/>
      <w:numFmt w:val="bullet"/>
      <w:lvlText w:val="•"/>
      <w:lvlJc w:val="left"/>
      <w:pPr>
        <w:ind w:left="6724" w:hanging="601"/>
      </w:pPr>
      <w:rPr>
        <w:rFonts w:hint="default"/>
        <w:lang w:val="en-US" w:eastAsia="zh-CN" w:bidi="ar-SA"/>
      </w:rPr>
    </w:lvl>
    <w:lvl w:ilvl="7">
      <w:start w:val="0"/>
      <w:numFmt w:val="bullet"/>
      <w:lvlText w:val="•"/>
      <w:lvlJc w:val="left"/>
      <w:pPr>
        <w:ind w:left="7664" w:hanging="601"/>
      </w:pPr>
      <w:rPr>
        <w:rFonts w:hint="default"/>
        <w:lang w:val="en-US" w:eastAsia="zh-CN" w:bidi="ar-SA"/>
      </w:rPr>
    </w:lvl>
    <w:lvl w:ilvl="8">
      <w:start w:val="0"/>
      <w:numFmt w:val="bullet"/>
      <w:lvlText w:val="•"/>
      <w:lvlJc w:val="left"/>
      <w:pPr>
        <w:ind w:left="8605" w:hanging="601"/>
      </w:pPr>
      <w:rPr>
        <w:rFonts w:hint="default"/>
        <w:lang w:val="en-US" w:eastAsia="zh-CN" w:bidi="ar-SA"/>
      </w:rPr>
    </w:lvl>
  </w:abstractNum>
  <w:abstractNum w:abstractNumId="11">
    <w:nsid w:val="16579237"/>
    <w:multiLevelType w:val="hybridMultilevel"/>
    <w:tmpl w:val="00000000"/>
    <w:lvl w:ilvl="0">
      <w:start w:val="1"/>
      <w:numFmt w:val="decimal"/>
      <w:lvlText w:val="%1."/>
      <w:lvlJc w:val="left"/>
      <w:pPr>
        <w:ind w:left="1182" w:hanging="361"/>
        <w:jc w:val="left"/>
      </w:pPr>
      <w:rPr>
        <w:rFonts w:ascii="宋体" w:eastAsia="宋体" w:hAnsi="宋体" w:cs="宋体" w:hint="default"/>
        <w:b w:val="0"/>
        <w:bCs w:val="0"/>
        <w:i w:val="0"/>
        <w:iCs w:val="0"/>
        <w:spacing w:val="-7"/>
        <w:w w:val="100"/>
        <w:sz w:val="22"/>
        <w:szCs w:val="22"/>
        <w:lang w:val="en-US" w:eastAsia="zh-CN" w:bidi="ar-SA"/>
      </w:rPr>
    </w:lvl>
    <w:lvl w:ilvl="1">
      <w:start w:val="0"/>
      <w:numFmt w:val="bullet"/>
      <w:lvlText w:val="•"/>
      <w:lvlJc w:val="left"/>
      <w:pPr>
        <w:ind w:left="2110" w:hanging="361"/>
      </w:pPr>
      <w:rPr>
        <w:rFonts w:hint="default"/>
        <w:lang w:val="en-US" w:eastAsia="zh-CN" w:bidi="ar-SA"/>
      </w:rPr>
    </w:lvl>
    <w:lvl w:ilvl="2">
      <w:start w:val="0"/>
      <w:numFmt w:val="bullet"/>
      <w:lvlText w:val="•"/>
      <w:lvlJc w:val="left"/>
      <w:pPr>
        <w:ind w:left="3041" w:hanging="361"/>
      </w:pPr>
      <w:rPr>
        <w:rFonts w:hint="default"/>
        <w:lang w:val="en-US" w:eastAsia="zh-CN" w:bidi="ar-SA"/>
      </w:rPr>
    </w:lvl>
    <w:lvl w:ilvl="3">
      <w:start w:val="0"/>
      <w:numFmt w:val="bullet"/>
      <w:lvlText w:val="•"/>
      <w:lvlJc w:val="left"/>
      <w:pPr>
        <w:ind w:left="3972" w:hanging="361"/>
      </w:pPr>
      <w:rPr>
        <w:rFonts w:hint="default"/>
        <w:lang w:val="en-US" w:eastAsia="zh-CN" w:bidi="ar-SA"/>
      </w:rPr>
    </w:lvl>
    <w:lvl w:ilvl="4">
      <w:start w:val="0"/>
      <w:numFmt w:val="bullet"/>
      <w:lvlText w:val="•"/>
      <w:lvlJc w:val="left"/>
      <w:pPr>
        <w:ind w:left="4902" w:hanging="361"/>
      </w:pPr>
      <w:rPr>
        <w:rFonts w:hint="default"/>
        <w:lang w:val="en-US" w:eastAsia="zh-CN" w:bidi="ar-SA"/>
      </w:rPr>
    </w:lvl>
    <w:lvl w:ilvl="5">
      <w:start w:val="0"/>
      <w:numFmt w:val="bullet"/>
      <w:lvlText w:val="•"/>
      <w:lvlJc w:val="left"/>
      <w:pPr>
        <w:ind w:left="5833" w:hanging="361"/>
      </w:pPr>
      <w:rPr>
        <w:rFonts w:hint="default"/>
        <w:lang w:val="en-US" w:eastAsia="zh-CN" w:bidi="ar-SA"/>
      </w:rPr>
    </w:lvl>
    <w:lvl w:ilvl="6">
      <w:start w:val="0"/>
      <w:numFmt w:val="bullet"/>
      <w:lvlText w:val="•"/>
      <w:lvlJc w:val="left"/>
      <w:pPr>
        <w:ind w:left="6764" w:hanging="361"/>
      </w:pPr>
      <w:rPr>
        <w:rFonts w:hint="default"/>
        <w:lang w:val="en-US" w:eastAsia="zh-CN" w:bidi="ar-SA"/>
      </w:rPr>
    </w:lvl>
    <w:lvl w:ilvl="7">
      <w:start w:val="0"/>
      <w:numFmt w:val="bullet"/>
      <w:lvlText w:val="•"/>
      <w:lvlJc w:val="left"/>
      <w:pPr>
        <w:ind w:left="7694" w:hanging="361"/>
      </w:pPr>
      <w:rPr>
        <w:rFonts w:hint="default"/>
        <w:lang w:val="en-US" w:eastAsia="zh-CN" w:bidi="ar-SA"/>
      </w:rPr>
    </w:lvl>
    <w:lvl w:ilvl="8">
      <w:start w:val="0"/>
      <w:numFmt w:val="bullet"/>
      <w:lvlText w:val="•"/>
      <w:lvlJc w:val="left"/>
      <w:pPr>
        <w:ind w:left="8625" w:hanging="361"/>
      </w:pPr>
      <w:rPr>
        <w:rFonts w:hint="default"/>
        <w:lang w:val="en-US" w:eastAsia="zh-CN" w:bidi="ar-SA"/>
      </w:rPr>
    </w:lvl>
  </w:abstractNum>
  <w:abstractNum w:abstractNumId="12">
    <w:nsid w:val="16604845"/>
    <w:multiLevelType w:val="hybridMultilevel"/>
    <w:tmpl w:val="00000000"/>
    <w:lvl w:ilvl="0">
      <w:start w:val="1"/>
      <w:numFmt w:val="decimal"/>
      <w:lvlText w:val="%1."/>
      <w:lvlJc w:val="left"/>
      <w:pPr>
        <w:ind w:left="468"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32" w:hanging="360"/>
      </w:pPr>
      <w:rPr>
        <w:rFonts w:hint="default"/>
        <w:lang w:val="en-US" w:eastAsia="zh-CN" w:bidi="ar-SA"/>
      </w:rPr>
    </w:lvl>
    <w:lvl w:ilvl="2">
      <w:start w:val="0"/>
      <w:numFmt w:val="bullet"/>
      <w:lvlText w:val="•"/>
      <w:lvlJc w:val="left"/>
      <w:pPr>
        <w:ind w:left="1205" w:hanging="360"/>
      </w:pPr>
      <w:rPr>
        <w:rFonts w:hint="default"/>
        <w:lang w:val="en-US" w:eastAsia="zh-CN" w:bidi="ar-SA"/>
      </w:rPr>
    </w:lvl>
    <w:lvl w:ilvl="3">
      <w:start w:val="0"/>
      <w:numFmt w:val="bullet"/>
      <w:lvlText w:val="•"/>
      <w:lvlJc w:val="left"/>
      <w:pPr>
        <w:ind w:left="1578" w:hanging="360"/>
      </w:pPr>
      <w:rPr>
        <w:rFonts w:hint="default"/>
        <w:lang w:val="en-US" w:eastAsia="zh-CN" w:bidi="ar-SA"/>
      </w:rPr>
    </w:lvl>
    <w:lvl w:ilvl="4">
      <w:start w:val="0"/>
      <w:numFmt w:val="bullet"/>
      <w:lvlText w:val="•"/>
      <w:lvlJc w:val="left"/>
      <w:pPr>
        <w:ind w:left="1951" w:hanging="360"/>
      </w:pPr>
      <w:rPr>
        <w:rFonts w:hint="default"/>
        <w:lang w:val="en-US" w:eastAsia="zh-CN" w:bidi="ar-SA"/>
      </w:rPr>
    </w:lvl>
    <w:lvl w:ilvl="5">
      <w:start w:val="0"/>
      <w:numFmt w:val="bullet"/>
      <w:lvlText w:val="•"/>
      <w:lvlJc w:val="left"/>
      <w:pPr>
        <w:ind w:left="2324" w:hanging="360"/>
      </w:pPr>
      <w:rPr>
        <w:rFonts w:hint="default"/>
        <w:lang w:val="en-US" w:eastAsia="zh-CN" w:bidi="ar-SA"/>
      </w:rPr>
    </w:lvl>
    <w:lvl w:ilvl="6">
      <w:start w:val="0"/>
      <w:numFmt w:val="bullet"/>
      <w:lvlText w:val="•"/>
      <w:lvlJc w:val="left"/>
      <w:pPr>
        <w:ind w:left="2696" w:hanging="360"/>
      </w:pPr>
      <w:rPr>
        <w:rFonts w:hint="default"/>
        <w:lang w:val="en-US" w:eastAsia="zh-CN" w:bidi="ar-SA"/>
      </w:rPr>
    </w:lvl>
    <w:lvl w:ilvl="7">
      <w:start w:val="0"/>
      <w:numFmt w:val="bullet"/>
      <w:lvlText w:val="•"/>
      <w:lvlJc w:val="left"/>
      <w:pPr>
        <w:ind w:left="3069" w:hanging="360"/>
      </w:pPr>
      <w:rPr>
        <w:rFonts w:hint="default"/>
        <w:lang w:val="en-US" w:eastAsia="zh-CN" w:bidi="ar-SA"/>
      </w:rPr>
    </w:lvl>
    <w:lvl w:ilvl="8">
      <w:start w:val="0"/>
      <w:numFmt w:val="bullet"/>
      <w:lvlText w:val="•"/>
      <w:lvlJc w:val="left"/>
      <w:pPr>
        <w:ind w:left="3442" w:hanging="360"/>
      </w:pPr>
      <w:rPr>
        <w:rFonts w:hint="default"/>
        <w:lang w:val="en-US" w:eastAsia="zh-CN" w:bidi="ar-SA"/>
      </w:rPr>
    </w:lvl>
  </w:abstractNum>
  <w:abstractNum w:abstractNumId="13">
    <w:nsid w:val="18267069"/>
    <w:multiLevelType w:val="hybridMultilevel"/>
    <w:tmpl w:val="00000000"/>
    <w:lvl w:ilvl="0">
      <w:start w:val="1"/>
      <w:numFmt w:val="decimal"/>
      <w:lvlText w:val="%1"/>
      <w:lvlJc w:val="left"/>
      <w:pPr>
        <w:ind w:left="1139" w:hanging="665"/>
        <w:jc w:val="left"/>
      </w:pPr>
      <w:rPr>
        <w:rFonts w:hint="default"/>
        <w:lang w:val="en-US" w:eastAsia="zh-CN" w:bidi="ar-SA"/>
      </w:rPr>
    </w:lvl>
    <w:lvl w:ilvl="1">
      <w:start w:val="5"/>
      <w:numFmt w:val="decimal"/>
      <w:lvlText w:val="%1.%2"/>
      <w:lvlJc w:val="left"/>
      <w:pPr>
        <w:ind w:left="1139" w:hanging="665"/>
        <w:jc w:val="left"/>
      </w:pPr>
      <w:rPr>
        <w:rFonts w:hint="default"/>
        <w:lang w:val="en-US" w:eastAsia="zh-CN" w:bidi="ar-SA"/>
      </w:rPr>
    </w:lvl>
    <w:lvl w:ilvl="2">
      <w:start w:val="1"/>
      <w:numFmt w:val="decimal"/>
      <w:lvlText w:val="%1.%2.%3"/>
      <w:lvlJc w:val="left"/>
      <w:pPr>
        <w:ind w:left="1139" w:hanging="665"/>
        <w:jc w:val="left"/>
      </w:pPr>
      <w:rPr>
        <w:rFonts w:ascii="Microsoft JhengHei" w:eastAsia="Microsoft JhengHei" w:hAnsi="Microsoft JhengHei" w:cs="Microsoft JhengHei" w:hint="default"/>
        <w:b/>
        <w:bCs/>
        <w:i w:val="0"/>
        <w:iCs w:val="0"/>
        <w:w w:val="83"/>
        <w:sz w:val="24"/>
        <w:szCs w:val="24"/>
        <w:lang w:val="en-US" w:eastAsia="zh-CN" w:bidi="ar-SA"/>
      </w:rPr>
    </w:lvl>
    <w:lvl w:ilvl="3">
      <w:start w:val="0"/>
      <w:numFmt w:val="bullet"/>
      <w:lvlText w:val="•"/>
      <w:lvlJc w:val="left"/>
      <w:pPr>
        <w:ind w:left="3944" w:hanging="665"/>
      </w:pPr>
      <w:rPr>
        <w:rFonts w:hint="default"/>
        <w:lang w:val="en-US" w:eastAsia="zh-CN" w:bidi="ar-SA"/>
      </w:rPr>
    </w:lvl>
    <w:lvl w:ilvl="4">
      <w:start w:val="0"/>
      <w:numFmt w:val="bullet"/>
      <w:lvlText w:val="•"/>
      <w:lvlJc w:val="left"/>
      <w:pPr>
        <w:ind w:left="4878" w:hanging="665"/>
      </w:pPr>
      <w:rPr>
        <w:rFonts w:hint="default"/>
        <w:lang w:val="en-US" w:eastAsia="zh-CN" w:bidi="ar-SA"/>
      </w:rPr>
    </w:lvl>
    <w:lvl w:ilvl="5">
      <w:start w:val="0"/>
      <w:numFmt w:val="bullet"/>
      <w:lvlText w:val="•"/>
      <w:lvlJc w:val="left"/>
      <w:pPr>
        <w:ind w:left="5813" w:hanging="665"/>
      </w:pPr>
      <w:rPr>
        <w:rFonts w:hint="default"/>
        <w:lang w:val="en-US" w:eastAsia="zh-CN" w:bidi="ar-SA"/>
      </w:rPr>
    </w:lvl>
    <w:lvl w:ilvl="6">
      <w:start w:val="0"/>
      <w:numFmt w:val="bullet"/>
      <w:lvlText w:val="•"/>
      <w:lvlJc w:val="left"/>
      <w:pPr>
        <w:ind w:left="6748" w:hanging="665"/>
      </w:pPr>
      <w:rPr>
        <w:rFonts w:hint="default"/>
        <w:lang w:val="en-US" w:eastAsia="zh-CN" w:bidi="ar-SA"/>
      </w:rPr>
    </w:lvl>
    <w:lvl w:ilvl="7">
      <w:start w:val="0"/>
      <w:numFmt w:val="bullet"/>
      <w:lvlText w:val="•"/>
      <w:lvlJc w:val="left"/>
      <w:pPr>
        <w:ind w:left="7682" w:hanging="665"/>
      </w:pPr>
      <w:rPr>
        <w:rFonts w:hint="default"/>
        <w:lang w:val="en-US" w:eastAsia="zh-CN" w:bidi="ar-SA"/>
      </w:rPr>
    </w:lvl>
    <w:lvl w:ilvl="8">
      <w:start w:val="0"/>
      <w:numFmt w:val="bullet"/>
      <w:lvlText w:val="•"/>
      <w:lvlJc w:val="left"/>
      <w:pPr>
        <w:ind w:left="8617" w:hanging="665"/>
      </w:pPr>
      <w:rPr>
        <w:rFonts w:hint="default"/>
        <w:lang w:val="en-US" w:eastAsia="zh-CN" w:bidi="ar-SA"/>
      </w:rPr>
    </w:lvl>
  </w:abstractNum>
  <w:abstractNum w:abstractNumId="14">
    <w:nsid w:val="1A9B046B"/>
    <w:multiLevelType w:val="hybridMultilevel"/>
    <w:tmpl w:val="00000000"/>
    <w:lvl w:ilvl="0">
      <w:start w:val="1"/>
      <w:numFmt w:val="decimal"/>
      <w:lvlText w:val="（%1）"/>
      <w:lvlJc w:val="left"/>
      <w:pPr>
        <w:ind w:left="1076" w:hanging="601"/>
        <w:jc w:val="right"/>
      </w:pPr>
      <w:rPr>
        <w:rFonts w:hint="default"/>
        <w:w w:val="98"/>
        <w:lang w:val="en-US" w:eastAsia="zh-CN" w:bidi="ar-SA"/>
      </w:rPr>
    </w:lvl>
    <w:lvl w:ilvl="1">
      <w:start w:val="0"/>
      <w:numFmt w:val="bullet"/>
      <w:lvlText w:val="•"/>
      <w:lvlJc w:val="left"/>
      <w:pPr>
        <w:ind w:left="2020" w:hanging="601"/>
      </w:pPr>
      <w:rPr>
        <w:rFonts w:hint="default"/>
        <w:lang w:val="en-US" w:eastAsia="zh-CN" w:bidi="ar-SA"/>
      </w:rPr>
    </w:lvl>
    <w:lvl w:ilvl="2">
      <w:start w:val="0"/>
      <w:numFmt w:val="bullet"/>
      <w:lvlText w:val="•"/>
      <w:lvlJc w:val="left"/>
      <w:pPr>
        <w:ind w:left="2961" w:hanging="601"/>
      </w:pPr>
      <w:rPr>
        <w:rFonts w:hint="default"/>
        <w:lang w:val="en-US" w:eastAsia="zh-CN" w:bidi="ar-SA"/>
      </w:rPr>
    </w:lvl>
    <w:lvl w:ilvl="3">
      <w:start w:val="0"/>
      <w:numFmt w:val="bullet"/>
      <w:lvlText w:val="•"/>
      <w:lvlJc w:val="left"/>
      <w:pPr>
        <w:ind w:left="3902" w:hanging="601"/>
      </w:pPr>
      <w:rPr>
        <w:rFonts w:hint="default"/>
        <w:lang w:val="en-US" w:eastAsia="zh-CN" w:bidi="ar-SA"/>
      </w:rPr>
    </w:lvl>
    <w:lvl w:ilvl="4">
      <w:start w:val="0"/>
      <w:numFmt w:val="bullet"/>
      <w:lvlText w:val="•"/>
      <w:lvlJc w:val="left"/>
      <w:pPr>
        <w:ind w:left="4842" w:hanging="601"/>
      </w:pPr>
      <w:rPr>
        <w:rFonts w:hint="default"/>
        <w:lang w:val="en-US" w:eastAsia="zh-CN" w:bidi="ar-SA"/>
      </w:rPr>
    </w:lvl>
    <w:lvl w:ilvl="5">
      <w:start w:val="0"/>
      <w:numFmt w:val="bullet"/>
      <w:lvlText w:val="•"/>
      <w:lvlJc w:val="left"/>
      <w:pPr>
        <w:ind w:left="5783" w:hanging="601"/>
      </w:pPr>
      <w:rPr>
        <w:rFonts w:hint="default"/>
        <w:lang w:val="en-US" w:eastAsia="zh-CN" w:bidi="ar-SA"/>
      </w:rPr>
    </w:lvl>
    <w:lvl w:ilvl="6">
      <w:start w:val="0"/>
      <w:numFmt w:val="bullet"/>
      <w:lvlText w:val="•"/>
      <w:lvlJc w:val="left"/>
      <w:pPr>
        <w:ind w:left="6724" w:hanging="601"/>
      </w:pPr>
      <w:rPr>
        <w:rFonts w:hint="default"/>
        <w:lang w:val="en-US" w:eastAsia="zh-CN" w:bidi="ar-SA"/>
      </w:rPr>
    </w:lvl>
    <w:lvl w:ilvl="7">
      <w:start w:val="0"/>
      <w:numFmt w:val="bullet"/>
      <w:lvlText w:val="•"/>
      <w:lvlJc w:val="left"/>
      <w:pPr>
        <w:ind w:left="7664" w:hanging="601"/>
      </w:pPr>
      <w:rPr>
        <w:rFonts w:hint="default"/>
        <w:lang w:val="en-US" w:eastAsia="zh-CN" w:bidi="ar-SA"/>
      </w:rPr>
    </w:lvl>
    <w:lvl w:ilvl="8">
      <w:start w:val="0"/>
      <w:numFmt w:val="bullet"/>
      <w:lvlText w:val="•"/>
      <w:lvlJc w:val="left"/>
      <w:pPr>
        <w:ind w:left="8605" w:hanging="601"/>
      </w:pPr>
      <w:rPr>
        <w:rFonts w:hint="default"/>
        <w:lang w:val="en-US" w:eastAsia="zh-CN" w:bidi="ar-SA"/>
      </w:rPr>
    </w:lvl>
  </w:abstractNum>
  <w:abstractNum w:abstractNumId="15">
    <w:nsid w:val="1B06C230"/>
    <w:multiLevelType w:val="hybridMultilevel"/>
    <w:tmpl w:val="00000000"/>
    <w:lvl w:ilvl="0">
      <w:start w:val="1"/>
      <w:numFmt w:val="decimal"/>
      <w:lvlText w:val="%1."/>
      <w:lvlJc w:val="left"/>
      <w:pPr>
        <w:ind w:left="406" w:hanging="299"/>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778" w:hanging="299"/>
      </w:pPr>
      <w:rPr>
        <w:rFonts w:hint="default"/>
        <w:lang w:val="en-US" w:eastAsia="zh-CN" w:bidi="ar-SA"/>
      </w:rPr>
    </w:lvl>
    <w:lvl w:ilvl="2">
      <w:start w:val="0"/>
      <w:numFmt w:val="bullet"/>
      <w:lvlText w:val="•"/>
      <w:lvlJc w:val="left"/>
      <w:pPr>
        <w:ind w:left="1157" w:hanging="299"/>
      </w:pPr>
      <w:rPr>
        <w:rFonts w:hint="default"/>
        <w:lang w:val="en-US" w:eastAsia="zh-CN" w:bidi="ar-SA"/>
      </w:rPr>
    </w:lvl>
    <w:lvl w:ilvl="3">
      <w:start w:val="0"/>
      <w:numFmt w:val="bullet"/>
      <w:lvlText w:val="•"/>
      <w:lvlJc w:val="left"/>
      <w:pPr>
        <w:ind w:left="1536" w:hanging="299"/>
      </w:pPr>
      <w:rPr>
        <w:rFonts w:hint="default"/>
        <w:lang w:val="en-US" w:eastAsia="zh-CN" w:bidi="ar-SA"/>
      </w:rPr>
    </w:lvl>
    <w:lvl w:ilvl="4">
      <w:start w:val="0"/>
      <w:numFmt w:val="bullet"/>
      <w:lvlText w:val="•"/>
      <w:lvlJc w:val="left"/>
      <w:pPr>
        <w:ind w:left="1915" w:hanging="299"/>
      </w:pPr>
      <w:rPr>
        <w:rFonts w:hint="default"/>
        <w:lang w:val="en-US" w:eastAsia="zh-CN" w:bidi="ar-SA"/>
      </w:rPr>
    </w:lvl>
    <w:lvl w:ilvl="5">
      <w:start w:val="0"/>
      <w:numFmt w:val="bullet"/>
      <w:lvlText w:val="•"/>
      <w:lvlJc w:val="left"/>
      <w:pPr>
        <w:ind w:left="2294" w:hanging="299"/>
      </w:pPr>
      <w:rPr>
        <w:rFonts w:hint="default"/>
        <w:lang w:val="en-US" w:eastAsia="zh-CN" w:bidi="ar-SA"/>
      </w:rPr>
    </w:lvl>
    <w:lvl w:ilvl="6">
      <w:start w:val="0"/>
      <w:numFmt w:val="bullet"/>
      <w:lvlText w:val="•"/>
      <w:lvlJc w:val="left"/>
      <w:pPr>
        <w:ind w:left="2672" w:hanging="299"/>
      </w:pPr>
      <w:rPr>
        <w:rFonts w:hint="default"/>
        <w:lang w:val="en-US" w:eastAsia="zh-CN" w:bidi="ar-SA"/>
      </w:rPr>
    </w:lvl>
    <w:lvl w:ilvl="7">
      <w:start w:val="0"/>
      <w:numFmt w:val="bullet"/>
      <w:lvlText w:val="•"/>
      <w:lvlJc w:val="left"/>
      <w:pPr>
        <w:ind w:left="3051" w:hanging="299"/>
      </w:pPr>
      <w:rPr>
        <w:rFonts w:hint="default"/>
        <w:lang w:val="en-US" w:eastAsia="zh-CN" w:bidi="ar-SA"/>
      </w:rPr>
    </w:lvl>
    <w:lvl w:ilvl="8">
      <w:start w:val="0"/>
      <w:numFmt w:val="bullet"/>
      <w:lvlText w:val="•"/>
      <w:lvlJc w:val="left"/>
      <w:pPr>
        <w:ind w:left="3430" w:hanging="299"/>
      </w:pPr>
      <w:rPr>
        <w:rFonts w:hint="default"/>
        <w:lang w:val="en-US" w:eastAsia="zh-CN" w:bidi="ar-SA"/>
      </w:rPr>
    </w:lvl>
  </w:abstractNum>
  <w:abstractNum w:abstractNumId="16">
    <w:nsid w:val="1C36B99E"/>
    <w:multiLevelType w:val="hybridMultilevel"/>
    <w:tmpl w:val="00000000"/>
    <w:lvl w:ilvl="0">
      <w:start w:val="1"/>
      <w:numFmt w:val="decimal"/>
      <w:lvlText w:val="（%1）"/>
      <w:lvlJc w:val="left"/>
      <w:pPr>
        <w:ind w:left="1191"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35" w:hanging="601"/>
      </w:pPr>
      <w:rPr>
        <w:rFonts w:hint="default"/>
        <w:lang w:val="en-US" w:eastAsia="zh-CN" w:bidi="ar-SA"/>
      </w:rPr>
    </w:lvl>
    <w:lvl w:ilvl="2">
      <w:start w:val="0"/>
      <w:numFmt w:val="bullet"/>
      <w:lvlText w:val="•"/>
      <w:lvlJc w:val="left"/>
      <w:pPr>
        <w:ind w:left="2470" w:hanging="601"/>
      </w:pPr>
      <w:rPr>
        <w:rFonts w:hint="default"/>
        <w:lang w:val="en-US" w:eastAsia="zh-CN" w:bidi="ar-SA"/>
      </w:rPr>
    </w:lvl>
    <w:lvl w:ilvl="3">
      <w:start w:val="0"/>
      <w:numFmt w:val="bullet"/>
      <w:lvlText w:val="•"/>
      <w:lvlJc w:val="left"/>
      <w:pPr>
        <w:ind w:left="3105" w:hanging="601"/>
      </w:pPr>
      <w:rPr>
        <w:rFonts w:hint="default"/>
        <w:lang w:val="en-US" w:eastAsia="zh-CN" w:bidi="ar-SA"/>
      </w:rPr>
    </w:lvl>
    <w:lvl w:ilvl="4">
      <w:start w:val="0"/>
      <w:numFmt w:val="bullet"/>
      <w:lvlText w:val="•"/>
      <w:lvlJc w:val="left"/>
      <w:pPr>
        <w:ind w:left="3740" w:hanging="601"/>
      </w:pPr>
      <w:rPr>
        <w:rFonts w:hint="default"/>
        <w:lang w:val="en-US" w:eastAsia="zh-CN" w:bidi="ar-SA"/>
      </w:rPr>
    </w:lvl>
    <w:lvl w:ilvl="5">
      <w:start w:val="0"/>
      <w:numFmt w:val="bullet"/>
      <w:lvlText w:val="•"/>
      <w:lvlJc w:val="left"/>
      <w:pPr>
        <w:ind w:left="4375" w:hanging="601"/>
      </w:pPr>
      <w:rPr>
        <w:rFonts w:hint="default"/>
        <w:lang w:val="en-US" w:eastAsia="zh-CN" w:bidi="ar-SA"/>
      </w:rPr>
    </w:lvl>
    <w:lvl w:ilvl="6">
      <w:start w:val="0"/>
      <w:numFmt w:val="bullet"/>
      <w:lvlText w:val="•"/>
      <w:lvlJc w:val="left"/>
      <w:pPr>
        <w:ind w:left="5010" w:hanging="601"/>
      </w:pPr>
      <w:rPr>
        <w:rFonts w:hint="default"/>
        <w:lang w:val="en-US" w:eastAsia="zh-CN" w:bidi="ar-SA"/>
      </w:rPr>
    </w:lvl>
    <w:lvl w:ilvl="7">
      <w:start w:val="0"/>
      <w:numFmt w:val="bullet"/>
      <w:lvlText w:val="•"/>
      <w:lvlJc w:val="left"/>
      <w:pPr>
        <w:ind w:left="5645" w:hanging="601"/>
      </w:pPr>
      <w:rPr>
        <w:rFonts w:hint="default"/>
        <w:lang w:val="en-US" w:eastAsia="zh-CN" w:bidi="ar-SA"/>
      </w:rPr>
    </w:lvl>
    <w:lvl w:ilvl="8">
      <w:start w:val="0"/>
      <w:numFmt w:val="bullet"/>
      <w:lvlText w:val="•"/>
      <w:lvlJc w:val="left"/>
      <w:pPr>
        <w:ind w:left="6280" w:hanging="601"/>
      </w:pPr>
      <w:rPr>
        <w:rFonts w:hint="default"/>
        <w:lang w:val="en-US" w:eastAsia="zh-CN" w:bidi="ar-SA"/>
      </w:rPr>
    </w:lvl>
  </w:abstractNum>
  <w:abstractNum w:abstractNumId="17">
    <w:nsid w:val="1CD5CA55"/>
    <w:multiLevelType w:val="hybridMultilevel"/>
    <w:tmpl w:val="00000000"/>
    <w:lvl w:ilvl="0">
      <w:start w:val="1"/>
      <w:numFmt w:val="decimal"/>
      <w:lvlText w:val="%1"/>
      <w:lvlJc w:val="left"/>
      <w:pPr>
        <w:ind w:left="1921" w:hanging="967"/>
        <w:jc w:val="left"/>
      </w:pPr>
      <w:rPr>
        <w:rFonts w:hint="default"/>
        <w:lang w:val="en-US" w:eastAsia="zh-CN" w:bidi="ar-SA"/>
      </w:rPr>
    </w:lvl>
    <w:lvl w:ilvl="1">
      <w:start w:val="5"/>
      <w:numFmt w:val="decimal"/>
      <w:lvlText w:val="%1.%2"/>
      <w:lvlJc w:val="left"/>
      <w:pPr>
        <w:ind w:left="1921" w:hanging="967"/>
        <w:jc w:val="left"/>
      </w:pPr>
      <w:rPr>
        <w:rFonts w:hint="default"/>
        <w:lang w:val="en-US" w:eastAsia="zh-CN" w:bidi="ar-SA"/>
      </w:rPr>
    </w:lvl>
    <w:lvl w:ilvl="2">
      <w:start w:val="3"/>
      <w:numFmt w:val="decimal"/>
      <w:lvlText w:val="%1.%2.%3"/>
      <w:lvlJc w:val="left"/>
      <w:pPr>
        <w:ind w:left="1921" w:hanging="967"/>
        <w:jc w:val="left"/>
      </w:pPr>
      <w:rPr>
        <w:rFonts w:hint="default"/>
        <w:lang w:val="en-US" w:eastAsia="zh-CN" w:bidi="ar-SA"/>
      </w:rPr>
    </w:lvl>
    <w:lvl w:ilvl="3">
      <w:start w:val="1"/>
      <w:numFmt w:val="decimal"/>
      <w:lvlText w:val="%1.%2.%3.%4"/>
      <w:lvlJc w:val="left"/>
      <w:pPr>
        <w:ind w:left="1921" w:hanging="967"/>
        <w:jc w:val="right"/>
      </w:pPr>
      <w:rPr>
        <w:rFonts w:ascii="Microsoft JhengHei" w:eastAsia="Microsoft JhengHei" w:hAnsi="Microsoft JhengHei" w:cs="Microsoft JhengHei" w:hint="default"/>
        <w:b/>
        <w:bCs/>
        <w:i w:val="0"/>
        <w:iCs w:val="0"/>
        <w:w w:val="83"/>
        <w:sz w:val="24"/>
        <w:szCs w:val="24"/>
        <w:lang w:val="en-US" w:eastAsia="zh-CN" w:bidi="ar-SA"/>
      </w:rPr>
    </w:lvl>
    <w:lvl w:ilvl="4">
      <w:start w:val="1"/>
      <w:numFmt w:val="decimal"/>
      <w:lvlText w:val="%1.%2.%3.%4.%5"/>
      <w:lvlJc w:val="left"/>
      <w:pPr>
        <w:ind w:left="475" w:hanging="1149"/>
        <w:jc w:val="left"/>
      </w:pPr>
      <w:rPr>
        <w:rFonts w:ascii="Microsoft JhengHei" w:eastAsia="Microsoft JhengHei" w:hAnsi="Microsoft JhengHei" w:cs="Microsoft JhengHei" w:hint="default"/>
        <w:b/>
        <w:bCs/>
        <w:i w:val="0"/>
        <w:iCs w:val="0"/>
        <w:w w:val="83"/>
        <w:sz w:val="24"/>
        <w:szCs w:val="24"/>
        <w:lang w:val="en-US" w:eastAsia="zh-CN" w:bidi="ar-SA"/>
      </w:rPr>
    </w:lvl>
    <w:lvl w:ilvl="5">
      <w:start w:val="0"/>
      <w:numFmt w:val="bullet"/>
      <w:lvlText w:val="•"/>
      <w:lvlJc w:val="left"/>
      <w:pPr>
        <w:ind w:left="4539" w:hanging="1149"/>
      </w:pPr>
      <w:rPr>
        <w:rFonts w:hint="default"/>
        <w:lang w:val="en-US" w:eastAsia="zh-CN" w:bidi="ar-SA"/>
      </w:rPr>
    </w:lvl>
    <w:lvl w:ilvl="6">
      <w:start w:val="0"/>
      <w:numFmt w:val="bullet"/>
      <w:lvlText w:val="•"/>
      <w:lvlJc w:val="left"/>
      <w:pPr>
        <w:ind w:left="5728" w:hanging="1149"/>
      </w:pPr>
      <w:rPr>
        <w:rFonts w:hint="default"/>
        <w:lang w:val="en-US" w:eastAsia="zh-CN" w:bidi="ar-SA"/>
      </w:rPr>
    </w:lvl>
    <w:lvl w:ilvl="7">
      <w:start w:val="0"/>
      <w:numFmt w:val="bullet"/>
      <w:lvlText w:val="•"/>
      <w:lvlJc w:val="left"/>
      <w:pPr>
        <w:ind w:left="6918" w:hanging="1149"/>
      </w:pPr>
      <w:rPr>
        <w:rFonts w:hint="default"/>
        <w:lang w:val="en-US" w:eastAsia="zh-CN" w:bidi="ar-SA"/>
      </w:rPr>
    </w:lvl>
    <w:lvl w:ilvl="8">
      <w:start w:val="0"/>
      <w:numFmt w:val="bullet"/>
      <w:lvlText w:val="•"/>
      <w:lvlJc w:val="left"/>
      <w:pPr>
        <w:ind w:left="8107" w:hanging="1149"/>
      </w:pPr>
      <w:rPr>
        <w:rFonts w:hint="default"/>
        <w:lang w:val="en-US" w:eastAsia="zh-CN" w:bidi="ar-SA"/>
      </w:rPr>
    </w:lvl>
  </w:abstractNum>
  <w:abstractNum w:abstractNumId="18">
    <w:nsid w:val="1EED105D"/>
    <w:multiLevelType w:val="hybridMultilevel"/>
    <w:tmpl w:val="00000000"/>
    <w:lvl w:ilvl="0">
      <w:start w:val="1"/>
      <w:numFmt w:val="decimal"/>
      <w:lvlText w:val="%1."/>
      <w:lvlJc w:val="left"/>
      <w:pPr>
        <w:ind w:left="35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773" w:hanging="241"/>
      </w:pPr>
      <w:rPr>
        <w:rFonts w:hint="default"/>
        <w:lang w:val="en-US" w:eastAsia="zh-CN" w:bidi="ar-SA"/>
      </w:rPr>
    </w:lvl>
    <w:lvl w:ilvl="2">
      <w:start w:val="0"/>
      <w:numFmt w:val="bullet"/>
      <w:lvlText w:val="•"/>
      <w:lvlJc w:val="left"/>
      <w:pPr>
        <w:ind w:left="1186" w:hanging="241"/>
      </w:pPr>
      <w:rPr>
        <w:rFonts w:hint="default"/>
        <w:lang w:val="en-US" w:eastAsia="zh-CN" w:bidi="ar-SA"/>
      </w:rPr>
    </w:lvl>
    <w:lvl w:ilvl="3">
      <w:start w:val="0"/>
      <w:numFmt w:val="bullet"/>
      <w:lvlText w:val="•"/>
      <w:lvlJc w:val="left"/>
      <w:pPr>
        <w:ind w:left="1599" w:hanging="241"/>
      </w:pPr>
      <w:rPr>
        <w:rFonts w:hint="default"/>
        <w:lang w:val="en-US" w:eastAsia="zh-CN" w:bidi="ar-SA"/>
      </w:rPr>
    </w:lvl>
    <w:lvl w:ilvl="4">
      <w:start w:val="0"/>
      <w:numFmt w:val="bullet"/>
      <w:lvlText w:val="•"/>
      <w:lvlJc w:val="left"/>
      <w:pPr>
        <w:ind w:left="2012" w:hanging="241"/>
      </w:pPr>
      <w:rPr>
        <w:rFonts w:hint="default"/>
        <w:lang w:val="en-US" w:eastAsia="zh-CN" w:bidi="ar-SA"/>
      </w:rPr>
    </w:lvl>
    <w:lvl w:ilvl="5">
      <w:start w:val="0"/>
      <w:numFmt w:val="bullet"/>
      <w:lvlText w:val="•"/>
      <w:lvlJc w:val="left"/>
      <w:pPr>
        <w:ind w:left="2425" w:hanging="241"/>
      </w:pPr>
      <w:rPr>
        <w:rFonts w:hint="default"/>
        <w:lang w:val="en-US" w:eastAsia="zh-CN" w:bidi="ar-SA"/>
      </w:rPr>
    </w:lvl>
    <w:lvl w:ilvl="6">
      <w:start w:val="0"/>
      <w:numFmt w:val="bullet"/>
      <w:lvlText w:val="•"/>
      <w:lvlJc w:val="left"/>
      <w:pPr>
        <w:ind w:left="2838" w:hanging="241"/>
      </w:pPr>
      <w:rPr>
        <w:rFonts w:hint="default"/>
        <w:lang w:val="en-US" w:eastAsia="zh-CN" w:bidi="ar-SA"/>
      </w:rPr>
    </w:lvl>
    <w:lvl w:ilvl="7">
      <w:start w:val="0"/>
      <w:numFmt w:val="bullet"/>
      <w:lvlText w:val="•"/>
      <w:lvlJc w:val="left"/>
      <w:pPr>
        <w:ind w:left="3251" w:hanging="241"/>
      </w:pPr>
      <w:rPr>
        <w:rFonts w:hint="default"/>
        <w:lang w:val="en-US" w:eastAsia="zh-CN" w:bidi="ar-SA"/>
      </w:rPr>
    </w:lvl>
    <w:lvl w:ilvl="8">
      <w:start w:val="0"/>
      <w:numFmt w:val="bullet"/>
      <w:lvlText w:val="•"/>
      <w:lvlJc w:val="left"/>
      <w:pPr>
        <w:ind w:left="3664" w:hanging="241"/>
      </w:pPr>
      <w:rPr>
        <w:rFonts w:hint="default"/>
        <w:lang w:val="en-US" w:eastAsia="zh-CN" w:bidi="ar-SA"/>
      </w:rPr>
    </w:lvl>
  </w:abstractNum>
  <w:abstractNum w:abstractNumId="19">
    <w:nsid w:val="20474D77"/>
    <w:multiLevelType w:val="hybridMultilevel"/>
    <w:tmpl w:val="00000000"/>
    <w:lvl w:ilvl="0">
      <w:start w:val="1"/>
      <w:numFmt w:val="decimal"/>
      <w:lvlText w:val="(%1)"/>
      <w:lvlJc w:val="left"/>
      <w:pPr>
        <w:ind w:left="475" w:hanging="36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480" w:hanging="361"/>
      </w:pPr>
      <w:rPr>
        <w:rFonts w:hint="default"/>
        <w:lang w:val="en-US" w:eastAsia="zh-CN" w:bidi="ar-SA"/>
      </w:rPr>
    </w:lvl>
    <w:lvl w:ilvl="2">
      <w:start w:val="0"/>
      <w:numFmt w:val="bullet"/>
      <w:lvlText w:val="•"/>
      <w:lvlJc w:val="left"/>
      <w:pPr>
        <w:ind w:left="2481" w:hanging="361"/>
      </w:pPr>
      <w:rPr>
        <w:rFonts w:hint="default"/>
        <w:lang w:val="en-US" w:eastAsia="zh-CN" w:bidi="ar-SA"/>
      </w:rPr>
    </w:lvl>
    <w:lvl w:ilvl="3">
      <w:start w:val="0"/>
      <w:numFmt w:val="bullet"/>
      <w:lvlText w:val="•"/>
      <w:lvlJc w:val="left"/>
      <w:pPr>
        <w:ind w:left="3482" w:hanging="361"/>
      </w:pPr>
      <w:rPr>
        <w:rFonts w:hint="default"/>
        <w:lang w:val="en-US" w:eastAsia="zh-CN" w:bidi="ar-SA"/>
      </w:rPr>
    </w:lvl>
    <w:lvl w:ilvl="4">
      <w:start w:val="0"/>
      <w:numFmt w:val="bullet"/>
      <w:lvlText w:val="•"/>
      <w:lvlJc w:val="left"/>
      <w:pPr>
        <w:ind w:left="4482" w:hanging="361"/>
      </w:pPr>
      <w:rPr>
        <w:rFonts w:hint="default"/>
        <w:lang w:val="en-US" w:eastAsia="zh-CN" w:bidi="ar-SA"/>
      </w:rPr>
    </w:lvl>
    <w:lvl w:ilvl="5">
      <w:start w:val="0"/>
      <w:numFmt w:val="bullet"/>
      <w:lvlText w:val="•"/>
      <w:lvlJc w:val="left"/>
      <w:pPr>
        <w:ind w:left="5483" w:hanging="361"/>
      </w:pPr>
      <w:rPr>
        <w:rFonts w:hint="default"/>
        <w:lang w:val="en-US" w:eastAsia="zh-CN" w:bidi="ar-SA"/>
      </w:rPr>
    </w:lvl>
    <w:lvl w:ilvl="6">
      <w:start w:val="0"/>
      <w:numFmt w:val="bullet"/>
      <w:lvlText w:val="•"/>
      <w:lvlJc w:val="left"/>
      <w:pPr>
        <w:ind w:left="6484" w:hanging="361"/>
      </w:pPr>
      <w:rPr>
        <w:rFonts w:hint="default"/>
        <w:lang w:val="en-US" w:eastAsia="zh-CN" w:bidi="ar-SA"/>
      </w:rPr>
    </w:lvl>
    <w:lvl w:ilvl="7">
      <w:start w:val="0"/>
      <w:numFmt w:val="bullet"/>
      <w:lvlText w:val="•"/>
      <w:lvlJc w:val="left"/>
      <w:pPr>
        <w:ind w:left="7484" w:hanging="361"/>
      </w:pPr>
      <w:rPr>
        <w:rFonts w:hint="default"/>
        <w:lang w:val="en-US" w:eastAsia="zh-CN" w:bidi="ar-SA"/>
      </w:rPr>
    </w:lvl>
    <w:lvl w:ilvl="8">
      <w:start w:val="0"/>
      <w:numFmt w:val="bullet"/>
      <w:lvlText w:val="•"/>
      <w:lvlJc w:val="left"/>
      <w:pPr>
        <w:ind w:left="8485" w:hanging="361"/>
      </w:pPr>
      <w:rPr>
        <w:rFonts w:hint="default"/>
        <w:lang w:val="en-US" w:eastAsia="zh-CN" w:bidi="ar-SA"/>
      </w:rPr>
    </w:lvl>
  </w:abstractNum>
  <w:abstractNum w:abstractNumId="20">
    <w:nsid w:val="2273CD54"/>
    <w:multiLevelType w:val="hybridMultilevel"/>
    <w:tmpl w:val="00000000"/>
    <w:lvl w:ilvl="0">
      <w:start w:val="1"/>
      <w:numFmt w:val="decimal"/>
      <w:lvlText w:val="%1."/>
      <w:lvlJc w:val="left"/>
      <w:pPr>
        <w:ind w:left="10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539" w:hanging="241"/>
      </w:pPr>
      <w:rPr>
        <w:rFonts w:hint="default"/>
        <w:lang w:val="en-US" w:eastAsia="zh-CN" w:bidi="ar-SA"/>
      </w:rPr>
    </w:lvl>
    <w:lvl w:ilvl="2">
      <w:start w:val="0"/>
      <w:numFmt w:val="bullet"/>
      <w:lvlText w:val="•"/>
      <w:lvlJc w:val="left"/>
      <w:pPr>
        <w:ind w:left="978" w:hanging="241"/>
      </w:pPr>
      <w:rPr>
        <w:rFonts w:hint="default"/>
        <w:lang w:val="en-US" w:eastAsia="zh-CN" w:bidi="ar-SA"/>
      </w:rPr>
    </w:lvl>
    <w:lvl w:ilvl="3">
      <w:start w:val="0"/>
      <w:numFmt w:val="bullet"/>
      <w:lvlText w:val="•"/>
      <w:lvlJc w:val="left"/>
      <w:pPr>
        <w:ind w:left="1417" w:hanging="241"/>
      </w:pPr>
      <w:rPr>
        <w:rFonts w:hint="default"/>
        <w:lang w:val="en-US" w:eastAsia="zh-CN" w:bidi="ar-SA"/>
      </w:rPr>
    </w:lvl>
    <w:lvl w:ilvl="4">
      <w:start w:val="0"/>
      <w:numFmt w:val="bullet"/>
      <w:lvlText w:val="•"/>
      <w:lvlJc w:val="left"/>
      <w:pPr>
        <w:ind w:left="1856" w:hanging="241"/>
      </w:pPr>
      <w:rPr>
        <w:rFonts w:hint="default"/>
        <w:lang w:val="en-US" w:eastAsia="zh-CN" w:bidi="ar-SA"/>
      </w:rPr>
    </w:lvl>
    <w:lvl w:ilvl="5">
      <w:start w:val="0"/>
      <w:numFmt w:val="bullet"/>
      <w:lvlText w:val="•"/>
      <w:lvlJc w:val="left"/>
      <w:pPr>
        <w:ind w:left="2295" w:hanging="241"/>
      </w:pPr>
      <w:rPr>
        <w:rFonts w:hint="default"/>
        <w:lang w:val="en-US" w:eastAsia="zh-CN" w:bidi="ar-SA"/>
      </w:rPr>
    </w:lvl>
    <w:lvl w:ilvl="6">
      <w:start w:val="0"/>
      <w:numFmt w:val="bullet"/>
      <w:lvlText w:val="•"/>
      <w:lvlJc w:val="left"/>
      <w:pPr>
        <w:ind w:left="2734" w:hanging="241"/>
      </w:pPr>
      <w:rPr>
        <w:rFonts w:hint="default"/>
        <w:lang w:val="en-US" w:eastAsia="zh-CN" w:bidi="ar-SA"/>
      </w:rPr>
    </w:lvl>
    <w:lvl w:ilvl="7">
      <w:start w:val="0"/>
      <w:numFmt w:val="bullet"/>
      <w:lvlText w:val="•"/>
      <w:lvlJc w:val="left"/>
      <w:pPr>
        <w:ind w:left="3173" w:hanging="241"/>
      </w:pPr>
      <w:rPr>
        <w:rFonts w:hint="default"/>
        <w:lang w:val="en-US" w:eastAsia="zh-CN" w:bidi="ar-SA"/>
      </w:rPr>
    </w:lvl>
    <w:lvl w:ilvl="8">
      <w:start w:val="0"/>
      <w:numFmt w:val="bullet"/>
      <w:lvlText w:val="•"/>
      <w:lvlJc w:val="left"/>
      <w:pPr>
        <w:ind w:left="3612" w:hanging="241"/>
      </w:pPr>
      <w:rPr>
        <w:rFonts w:hint="default"/>
        <w:lang w:val="en-US" w:eastAsia="zh-CN" w:bidi="ar-SA"/>
      </w:rPr>
    </w:lvl>
  </w:abstractNum>
  <w:abstractNum w:abstractNumId="21">
    <w:nsid w:val="2333DC45"/>
    <w:multiLevelType w:val="hybridMultilevel"/>
    <w:tmpl w:val="00000000"/>
    <w:lvl w:ilvl="0">
      <w:start w:val="1"/>
      <w:numFmt w:val="decimal"/>
      <w:lvlText w:val="（%1）"/>
      <w:lvlJc w:val="left"/>
      <w:pPr>
        <w:ind w:left="179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668" w:hanging="601"/>
      </w:pPr>
      <w:rPr>
        <w:rFonts w:hint="default"/>
        <w:lang w:val="en-US" w:eastAsia="zh-CN" w:bidi="ar-SA"/>
      </w:rPr>
    </w:lvl>
    <w:lvl w:ilvl="2">
      <w:start w:val="0"/>
      <w:numFmt w:val="bullet"/>
      <w:lvlText w:val="•"/>
      <w:lvlJc w:val="left"/>
      <w:pPr>
        <w:ind w:left="3537" w:hanging="601"/>
      </w:pPr>
      <w:rPr>
        <w:rFonts w:hint="default"/>
        <w:lang w:val="en-US" w:eastAsia="zh-CN" w:bidi="ar-SA"/>
      </w:rPr>
    </w:lvl>
    <w:lvl w:ilvl="3">
      <w:start w:val="0"/>
      <w:numFmt w:val="bullet"/>
      <w:lvlText w:val="•"/>
      <w:lvlJc w:val="left"/>
      <w:pPr>
        <w:ind w:left="4406" w:hanging="601"/>
      </w:pPr>
      <w:rPr>
        <w:rFonts w:hint="default"/>
        <w:lang w:val="en-US" w:eastAsia="zh-CN" w:bidi="ar-SA"/>
      </w:rPr>
    </w:lvl>
    <w:lvl w:ilvl="4">
      <w:start w:val="0"/>
      <w:numFmt w:val="bullet"/>
      <w:lvlText w:val="•"/>
      <w:lvlJc w:val="left"/>
      <w:pPr>
        <w:ind w:left="5274" w:hanging="601"/>
      </w:pPr>
      <w:rPr>
        <w:rFonts w:hint="default"/>
        <w:lang w:val="en-US" w:eastAsia="zh-CN" w:bidi="ar-SA"/>
      </w:rPr>
    </w:lvl>
    <w:lvl w:ilvl="5">
      <w:start w:val="0"/>
      <w:numFmt w:val="bullet"/>
      <w:lvlText w:val="•"/>
      <w:lvlJc w:val="left"/>
      <w:pPr>
        <w:ind w:left="6143" w:hanging="601"/>
      </w:pPr>
      <w:rPr>
        <w:rFonts w:hint="default"/>
        <w:lang w:val="en-US" w:eastAsia="zh-CN" w:bidi="ar-SA"/>
      </w:rPr>
    </w:lvl>
    <w:lvl w:ilvl="6">
      <w:start w:val="0"/>
      <w:numFmt w:val="bullet"/>
      <w:lvlText w:val="•"/>
      <w:lvlJc w:val="left"/>
      <w:pPr>
        <w:ind w:left="7012" w:hanging="601"/>
      </w:pPr>
      <w:rPr>
        <w:rFonts w:hint="default"/>
        <w:lang w:val="en-US" w:eastAsia="zh-CN" w:bidi="ar-SA"/>
      </w:rPr>
    </w:lvl>
    <w:lvl w:ilvl="7">
      <w:start w:val="0"/>
      <w:numFmt w:val="bullet"/>
      <w:lvlText w:val="•"/>
      <w:lvlJc w:val="left"/>
      <w:pPr>
        <w:ind w:left="7880" w:hanging="601"/>
      </w:pPr>
      <w:rPr>
        <w:rFonts w:hint="default"/>
        <w:lang w:val="en-US" w:eastAsia="zh-CN" w:bidi="ar-SA"/>
      </w:rPr>
    </w:lvl>
    <w:lvl w:ilvl="8">
      <w:start w:val="0"/>
      <w:numFmt w:val="bullet"/>
      <w:lvlText w:val="•"/>
      <w:lvlJc w:val="left"/>
      <w:pPr>
        <w:ind w:left="8749" w:hanging="601"/>
      </w:pPr>
      <w:rPr>
        <w:rFonts w:hint="default"/>
        <w:lang w:val="en-US" w:eastAsia="zh-CN" w:bidi="ar-SA"/>
      </w:rPr>
    </w:lvl>
  </w:abstractNum>
  <w:abstractNum w:abstractNumId="22">
    <w:nsid w:val="259BD893"/>
    <w:multiLevelType w:val="hybridMultilevel"/>
    <w:tmpl w:val="00000000"/>
    <w:lvl w:ilvl="0">
      <w:start w:val="1"/>
      <w:numFmt w:val="decimal"/>
      <w:lvlText w:val="%1."/>
      <w:lvlJc w:val="left"/>
      <w:pPr>
        <w:ind w:left="108"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508" w:hanging="360"/>
      </w:pPr>
      <w:rPr>
        <w:rFonts w:hint="default"/>
        <w:lang w:val="en-US" w:eastAsia="zh-CN" w:bidi="ar-SA"/>
      </w:rPr>
    </w:lvl>
    <w:lvl w:ilvl="2">
      <w:start w:val="0"/>
      <w:numFmt w:val="bullet"/>
      <w:lvlText w:val="•"/>
      <w:lvlJc w:val="left"/>
      <w:pPr>
        <w:ind w:left="917" w:hanging="360"/>
      </w:pPr>
      <w:rPr>
        <w:rFonts w:hint="default"/>
        <w:lang w:val="en-US" w:eastAsia="zh-CN" w:bidi="ar-SA"/>
      </w:rPr>
    </w:lvl>
    <w:lvl w:ilvl="3">
      <w:start w:val="0"/>
      <w:numFmt w:val="bullet"/>
      <w:lvlText w:val="•"/>
      <w:lvlJc w:val="left"/>
      <w:pPr>
        <w:ind w:left="1326" w:hanging="360"/>
      </w:pPr>
      <w:rPr>
        <w:rFonts w:hint="default"/>
        <w:lang w:val="en-US" w:eastAsia="zh-CN" w:bidi="ar-SA"/>
      </w:rPr>
    </w:lvl>
    <w:lvl w:ilvl="4">
      <w:start w:val="0"/>
      <w:numFmt w:val="bullet"/>
      <w:lvlText w:val="•"/>
      <w:lvlJc w:val="left"/>
      <w:pPr>
        <w:ind w:left="1735" w:hanging="360"/>
      </w:pPr>
      <w:rPr>
        <w:rFonts w:hint="default"/>
        <w:lang w:val="en-US" w:eastAsia="zh-CN" w:bidi="ar-SA"/>
      </w:rPr>
    </w:lvl>
    <w:lvl w:ilvl="5">
      <w:start w:val="0"/>
      <w:numFmt w:val="bullet"/>
      <w:lvlText w:val="•"/>
      <w:lvlJc w:val="left"/>
      <w:pPr>
        <w:ind w:left="2144" w:hanging="360"/>
      </w:pPr>
      <w:rPr>
        <w:rFonts w:hint="default"/>
        <w:lang w:val="en-US" w:eastAsia="zh-CN" w:bidi="ar-SA"/>
      </w:rPr>
    </w:lvl>
    <w:lvl w:ilvl="6">
      <w:start w:val="0"/>
      <w:numFmt w:val="bullet"/>
      <w:lvlText w:val="•"/>
      <w:lvlJc w:val="left"/>
      <w:pPr>
        <w:ind w:left="2552" w:hanging="360"/>
      </w:pPr>
      <w:rPr>
        <w:rFonts w:hint="default"/>
        <w:lang w:val="en-US" w:eastAsia="zh-CN" w:bidi="ar-SA"/>
      </w:rPr>
    </w:lvl>
    <w:lvl w:ilvl="7">
      <w:start w:val="0"/>
      <w:numFmt w:val="bullet"/>
      <w:lvlText w:val="•"/>
      <w:lvlJc w:val="left"/>
      <w:pPr>
        <w:ind w:left="2961" w:hanging="360"/>
      </w:pPr>
      <w:rPr>
        <w:rFonts w:hint="default"/>
        <w:lang w:val="en-US" w:eastAsia="zh-CN" w:bidi="ar-SA"/>
      </w:rPr>
    </w:lvl>
    <w:lvl w:ilvl="8">
      <w:start w:val="0"/>
      <w:numFmt w:val="bullet"/>
      <w:lvlText w:val="•"/>
      <w:lvlJc w:val="left"/>
      <w:pPr>
        <w:ind w:left="3370" w:hanging="360"/>
      </w:pPr>
      <w:rPr>
        <w:rFonts w:hint="default"/>
        <w:lang w:val="en-US" w:eastAsia="zh-CN" w:bidi="ar-SA"/>
      </w:rPr>
    </w:lvl>
  </w:abstractNum>
  <w:abstractNum w:abstractNumId="23">
    <w:nsid w:val="262C70A0"/>
    <w:multiLevelType w:val="hybridMultilevel"/>
    <w:tmpl w:val="00000000"/>
    <w:lvl w:ilvl="0">
      <w:start w:val="8"/>
      <w:numFmt w:val="decimal"/>
      <w:lvlText w:val="%1"/>
      <w:lvlJc w:val="left"/>
      <w:pPr>
        <w:ind w:left="475" w:hanging="361"/>
        <w:jc w:val="left"/>
      </w:pPr>
      <w:rPr>
        <w:rFonts w:hint="default"/>
        <w:lang w:val="en-US" w:eastAsia="zh-CN" w:bidi="ar-SA"/>
      </w:rPr>
    </w:lvl>
    <w:lvl w:ilvl="1">
      <w:start w:val="7"/>
      <w:numFmt w:val="decimal"/>
      <w:lvlText w:val="%1.%2"/>
      <w:lvlJc w:val="left"/>
      <w:pPr>
        <w:ind w:left="475" w:hanging="361"/>
        <w:jc w:val="left"/>
      </w:pPr>
      <w:rPr>
        <w:rFonts w:hint="default"/>
        <w:w w:val="100"/>
        <w:lang w:val="en-US" w:eastAsia="zh-CN" w:bidi="ar-SA"/>
      </w:rPr>
    </w:lvl>
    <w:lvl w:ilvl="2">
      <w:start w:val="0"/>
      <w:numFmt w:val="bullet"/>
      <w:lvlText w:val="•"/>
      <w:lvlJc w:val="left"/>
      <w:pPr>
        <w:ind w:left="2481" w:hanging="361"/>
      </w:pPr>
      <w:rPr>
        <w:rFonts w:hint="default"/>
        <w:lang w:val="en-US" w:eastAsia="zh-CN" w:bidi="ar-SA"/>
      </w:rPr>
    </w:lvl>
    <w:lvl w:ilvl="3">
      <w:start w:val="0"/>
      <w:numFmt w:val="bullet"/>
      <w:lvlText w:val="•"/>
      <w:lvlJc w:val="left"/>
      <w:pPr>
        <w:ind w:left="3482" w:hanging="361"/>
      </w:pPr>
      <w:rPr>
        <w:rFonts w:hint="default"/>
        <w:lang w:val="en-US" w:eastAsia="zh-CN" w:bidi="ar-SA"/>
      </w:rPr>
    </w:lvl>
    <w:lvl w:ilvl="4">
      <w:start w:val="0"/>
      <w:numFmt w:val="bullet"/>
      <w:lvlText w:val="•"/>
      <w:lvlJc w:val="left"/>
      <w:pPr>
        <w:ind w:left="4482" w:hanging="361"/>
      </w:pPr>
      <w:rPr>
        <w:rFonts w:hint="default"/>
        <w:lang w:val="en-US" w:eastAsia="zh-CN" w:bidi="ar-SA"/>
      </w:rPr>
    </w:lvl>
    <w:lvl w:ilvl="5">
      <w:start w:val="0"/>
      <w:numFmt w:val="bullet"/>
      <w:lvlText w:val="•"/>
      <w:lvlJc w:val="left"/>
      <w:pPr>
        <w:ind w:left="5483" w:hanging="361"/>
      </w:pPr>
      <w:rPr>
        <w:rFonts w:hint="default"/>
        <w:lang w:val="en-US" w:eastAsia="zh-CN" w:bidi="ar-SA"/>
      </w:rPr>
    </w:lvl>
    <w:lvl w:ilvl="6">
      <w:start w:val="0"/>
      <w:numFmt w:val="bullet"/>
      <w:lvlText w:val="•"/>
      <w:lvlJc w:val="left"/>
      <w:pPr>
        <w:ind w:left="6484" w:hanging="361"/>
      </w:pPr>
      <w:rPr>
        <w:rFonts w:hint="default"/>
        <w:lang w:val="en-US" w:eastAsia="zh-CN" w:bidi="ar-SA"/>
      </w:rPr>
    </w:lvl>
    <w:lvl w:ilvl="7">
      <w:start w:val="0"/>
      <w:numFmt w:val="bullet"/>
      <w:lvlText w:val="•"/>
      <w:lvlJc w:val="left"/>
      <w:pPr>
        <w:ind w:left="7484" w:hanging="361"/>
      </w:pPr>
      <w:rPr>
        <w:rFonts w:hint="default"/>
        <w:lang w:val="en-US" w:eastAsia="zh-CN" w:bidi="ar-SA"/>
      </w:rPr>
    </w:lvl>
    <w:lvl w:ilvl="8">
      <w:start w:val="0"/>
      <w:numFmt w:val="bullet"/>
      <w:lvlText w:val="•"/>
      <w:lvlJc w:val="left"/>
      <w:pPr>
        <w:ind w:left="8485" w:hanging="361"/>
      </w:pPr>
      <w:rPr>
        <w:rFonts w:hint="default"/>
        <w:lang w:val="en-US" w:eastAsia="zh-CN" w:bidi="ar-SA"/>
      </w:rPr>
    </w:lvl>
  </w:abstractNum>
  <w:abstractNum w:abstractNumId="24">
    <w:nsid w:val="2667E525"/>
    <w:multiLevelType w:val="hybridMultilevel"/>
    <w:tmpl w:val="00000000"/>
    <w:lvl w:ilvl="0">
      <w:start w:val="1"/>
      <w:numFmt w:val="decimal"/>
      <w:lvlText w:val="%1."/>
      <w:lvlJc w:val="left"/>
      <w:pPr>
        <w:ind w:left="349"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724" w:hanging="241"/>
      </w:pPr>
      <w:rPr>
        <w:rFonts w:hint="default"/>
        <w:lang w:val="en-US" w:eastAsia="zh-CN" w:bidi="ar-SA"/>
      </w:rPr>
    </w:lvl>
    <w:lvl w:ilvl="2">
      <w:start w:val="0"/>
      <w:numFmt w:val="bullet"/>
      <w:lvlText w:val="•"/>
      <w:lvlJc w:val="left"/>
      <w:pPr>
        <w:ind w:left="1109" w:hanging="241"/>
      </w:pPr>
      <w:rPr>
        <w:rFonts w:hint="default"/>
        <w:lang w:val="en-US" w:eastAsia="zh-CN" w:bidi="ar-SA"/>
      </w:rPr>
    </w:lvl>
    <w:lvl w:ilvl="3">
      <w:start w:val="0"/>
      <w:numFmt w:val="bullet"/>
      <w:lvlText w:val="•"/>
      <w:lvlJc w:val="left"/>
      <w:pPr>
        <w:ind w:left="1494" w:hanging="241"/>
      </w:pPr>
      <w:rPr>
        <w:rFonts w:hint="default"/>
        <w:lang w:val="en-US" w:eastAsia="zh-CN" w:bidi="ar-SA"/>
      </w:rPr>
    </w:lvl>
    <w:lvl w:ilvl="4">
      <w:start w:val="0"/>
      <w:numFmt w:val="bullet"/>
      <w:lvlText w:val="•"/>
      <w:lvlJc w:val="left"/>
      <w:pPr>
        <w:ind w:left="1879" w:hanging="241"/>
      </w:pPr>
      <w:rPr>
        <w:rFonts w:hint="default"/>
        <w:lang w:val="en-US" w:eastAsia="zh-CN" w:bidi="ar-SA"/>
      </w:rPr>
    </w:lvl>
    <w:lvl w:ilvl="5">
      <w:start w:val="0"/>
      <w:numFmt w:val="bullet"/>
      <w:lvlText w:val="•"/>
      <w:lvlJc w:val="left"/>
      <w:pPr>
        <w:ind w:left="2264" w:hanging="241"/>
      </w:pPr>
      <w:rPr>
        <w:rFonts w:hint="default"/>
        <w:lang w:val="en-US" w:eastAsia="zh-CN" w:bidi="ar-SA"/>
      </w:rPr>
    </w:lvl>
    <w:lvl w:ilvl="6">
      <w:start w:val="0"/>
      <w:numFmt w:val="bullet"/>
      <w:lvlText w:val="•"/>
      <w:lvlJc w:val="left"/>
      <w:pPr>
        <w:ind w:left="2648" w:hanging="241"/>
      </w:pPr>
      <w:rPr>
        <w:rFonts w:hint="default"/>
        <w:lang w:val="en-US" w:eastAsia="zh-CN" w:bidi="ar-SA"/>
      </w:rPr>
    </w:lvl>
    <w:lvl w:ilvl="7">
      <w:start w:val="0"/>
      <w:numFmt w:val="bullet"/>
      <w:lvlText w:val="•"/>
      <w:lvlJc w:val="left"/>
      <w:pPr>
        <w:ind w:left="3033" w:hanging="241"/>
      </w:pPr>
      <w:rPr>
        <w:rFonts w:hint="default"/>
        <w:lang w:val="en-US" w:eastAsia="zh-CN" w:bidi="ar-SA"/>
      </w:rPr>
    </w:lvl>
    <w:lvl w:ilvl="8">
      <w:start w:val="0"/>
      <w:numFmt w:val="bullet"/>
      <w:lvlText w:val="•"/>
      <w:lvlJc w:val="left"/>
      <w:pPr>
        <w:ind w:left="3418" w:hanging="241"/>
      </w:pPr>
      <w:rPr>
        <w:rFonts w:hint="default"/>
        <w:lang w:val="en-US" w:eastAsia="zh-CN" w:bidi="ar-SA"/>
      </w:rPr>
    </w:lvl>
  </w:abstractNum>
  <w:abstractNum w:abstractNumId="25">
    <w:nsid w:val="26B87CCE"/>
    <w:multiLevelType w:val="hybridMultilevel"/>
    <w:tmpl w:val="00000000"/>
    <w:lvl w:ilvl="0">
      <w:start w:val="1"/>
      <w:numFmt w:val="decimal"/>
      <w:lvlText w:val="（%1）"/>
      <w:lvlJc w:val="left"/>
      <w:pPr>
        <w:ind w:left="1076" w:hanging="60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194" w:hanging="36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1320" w:hanging="361"/>
      </w:pPr>
      <w:rPr>
        <w:rFonts w:hint="default"/>
        <w:lang w:val="en-US" w:eastAsia="zh-CN" w:bidi="ar-SA"/>
      </w:rPr>
    </w:lvl>
    <w:lvl w:ilvl="3">
      <w:start w:val="0"/>
      <w:numFmt w:val="bullet"/>
      <w:lvlText w:val="•"/>
      <w:lvlJc w:val="left"/>
      <w:pPr>
        <w:ind w:left="2465" w:hanging="361"/>
      </w:pPr>
      <w:rPr>
        <w:rFonts w:hint="default"/>
        <w:lang w:val="en-US" w:eastAsia="zh-CN" w:bidi="ar-SA"/>
      </w:rPr>
    </w:lvl>
    <w:lvl w:ilvl="4">
      <w:start w:val="0"/>
      <w:numFmt w:val="bullet"/>
      <w:lvlText w:val="•"/>
      <w:lvlJc w:val="left"/>
      <w:pPr>
        <w:ind w:left="3611" w:hanging="361"/>
      </w:pPr>
      <w:rPr>
        <w:rFonts w:hint="default"/>
        <w:lang w:val="en-US" w:eastAsia="zh-CN" w:bidi="ar-SA"/>
      </w:rPr>
    </w:lvl>
    <w:lvl w:ilvl="5">
      <w:start w:val="0"/>
      <w:numFmt w:val="bullet"/>
      <w:lvlText w:val="•"/>
      <w:lvlJc w:val="left"/>
      <w:pPr>
        <w:ind w:left="4757" w:hanging="361"/>
      </w:pPr>
      <w:rPr>
        <w:rFonts w:hint="default"/>
        <w:lang w:val="en-US" w:eastAsia="zh-CN" w:bidi="ar-SA"/>
      </w:rPr>
    </w:lvl>
    <w:lvl w:ilvl="6">
      <w:start w:val="0"/>
      <w:numFmt w:val="bullet"/>
      <w:lvlText w:val="•"/>
      <w:lvlJc w:val="left"/>
      <w:pPr>
        <w:ind w:left="5903" w:hanging="361"/>
      </w:pPr>
      <w:rPr>
        <w:rFonts w:hint="default"/>
        <w:lang w:val="en-US" w:eastAsia="zh-CN" w:bidi="ar-SA"/>
      </w:rPr>
    </w:lvl>
    <w:lvl w:ilvl="7">
      <w:start w:val="0"/>
      <w:numFmt w:val="bullet"/>
      <w:lvlText w:val="•"/>
      <w:lvlJc w:val="left"/>
      <w:pPr>
        <w:ind w:left="7049" w:hanging="361"/>
      </w:pPr>
      <w:rPr>
        <w:rFonts w:hint="default"/>
        <w:lang w:val="en-US" w:eastAsia="zh-CN" w:bidi="ar-SA"/>
      </w:rPr>
    </w:lvl>
    <w:lvl w:ilvl="8">
      <w:start w:val="0"/>
      <w:numFmt w:val="bullet"/>
      <w:lvlText w:val="•"/>
      <w:lvlJc w:val="left"/>
      <w:pPr>
        <w:ind w:left="8195" w:hanging="361"/>
      </w:pPr>
      <w:rPr>
        <w:rFonts w:hint="default"/>
        <w:lang w:val="en-US" w:eastAsia="zh-CN" w:bidi="ar-SA"/>
      </w:rPr>
    </w:lvl>
  </w:abstractNum>
  <w:abstractNum w:abstractNumId="26">
    <w:nsid w:val="328188F5"/>
    <w:multiLevelType w:val="hybridMultilevel"/>
    <w:tmpl w:val="00000000"/>
    <w:lvl w:ilvl="0">
      <w:start w:val="1"/>
      <w:numFmt w:val="decimal"/>
      <w:lvlText w:val="（%1）"/>
      <w:lvlJc w:val="left"/>
      <w:pPr>
        <w:ind w:left="1191"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35" w:hanging="601"/>
      </w:pPr>
      <w:rPr>
        <w:rFonts w:hint="default"/>
        <w:lang w:val="en-US" w:eastAsia="zh-CN" w:bidi="ar-SA"/>
      </w:rPr>
    </w:lvl>
    <w:lvl w:ilvl="2">
      <w:start w:val="0"/>
      <w:numFmt w:val="bullet"/>
      <w:lvlText w:val="•"/>
      <w:lvlJc w:val="left"/>
      <w:pPr>
        <w:ind w:left="2470" w:hanging="601"/>
      </w:pPr>
      <w:rPr>
        <w:rFonts w:hint="default"/>
        <w:lang w:val="en-US" w:eastAsia="zh-CN" w:bidi="ar-SA"/>
      </w:rPr>
    </w:lvl>
    <w:lvl w:ilvl="3">
      <w:start w:val="0"/>
      <w:numFmt w:val="bullet"/>
      <w:lvlText w:val="•"/>
      <w:lvlJc w:val="left"/>
      <w:pPr>
        <w:ind w:left="3105" w:hanging="601"/>
      </w:pPr>
      <w:rPr>
        <w:rFonts w:hint="default"/>
        <w:lang w:val="en-US" w:eastAsia="zh-CN" w:bidi="ar-SA"/>
      </w:rPr>
    </w:lvl>
    <w:lvl w:ilvl="4">
      <w:start w:val="0"/>
      <w:numFmt w:val="bullet"/>
      <w:lvlText w:val="•"/>
      <w:lvlJc w:val="left"/>
      <w:pPr>
        <w:ind w:left="3740" w:hanging="601"/>
      </w:pPr>
      <w:rPr>
        <w:rFonts w:hint="default"/>
        <w:lang w:val="en-US" w:eastAsia="zh-CN" w:bidi="ar-SA"/>
      </w:rPr>
    </w:lvl>
    <w:lvl w:ilvl="5">
      <w:start w:val="0"/>
      <w:numFmt w:val="bullet"/>
      <w:lvlText w:val="•"/>
      <w:lvlJc w:val="left"/>
      <w:pPr>
        <w:ind w:left="4375" w:hanging="601"/>
      </w:pPr>
      <w:rPr>
        <w:rFonts w:hint="default"/>
        <w:lang w:val="en-US" w:eastAsia="zh-CN" w:bidi="ar-SA"/>
      </w:rPr>
    </w:lvl>
    <w:lvl w:ilvl="6">
      <w:start w:val="0"/>
      <w:numFmt w:val="bullet"/>
      <w:lvlText w:val="•"/>
      <w:lvlJc w:val="left"/>
      <w:pPr>
        <w:ind w:left="5010" w:hanging="601"/>
      </w:pPr>
      <w:rPr>
        <w:rFonts w:hint="default"/>
        <w:lang w:val="en-US" w:eastAsia="zh-CN" w:bidi="ar-SA"/>
      </w:rPr>
    </w:lvl>
    <w:lvl w:ilvl="7">
      <w:start w:val="0"/>
      <w:numFmt w:val="bullet"/>
      <w:lvlText w:val="•"/>
      <w:lvlJc w:val="left"/>
      <w:pPr>
        <w:ind w:left="5645" w:hanging="601"/>
      </w:pPr>
      <w:rPr>
        <w:rFonts w:hint="default"/>
        <w:lang w:val="en-US" w:eastAsia="zh-CN" w:bidi="ar-SA"/>
      </w:rPr>
    </w:lvl>
    <w:lvl w:ilvl="8">
      <w:start w:val="0"/>
      <w:numFmt w:val="bullet"/>
      <w:lvlText w:val="•"/>
      <w:lvlJc w:val="left"/>
      <w:pPr>
        <w:ind w:left="6280" w:hanging="601"/>
      </w:pPr>
      <w:rPr>
        <w:rFonts w:hint="default"/>
        <w:lang w:val="en-US" w:eastAsia="zh-CN" w:bidi="ar-SA"/>
      </w:rPr>
    </w:lvl>
  </w:abstractNum>
  <w:abstractNum w:abstractNumId="27">
    <w:nsid w:val="3354049D"/>
    <w:multiLevelType w:val="hybridMultilevel"/>
    <w:tmpl w:val="00000000"/>
    <w:lvl w:ilvl="0">
      <w:start w:val="1"/>
      <w:numFmt w:val="decimal"/>
      <w:lvlText w:val="%1."/>
      <w:lvlJc w:val="left"/>
      <w:pPr>
        <w:ind w:left="108"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508" w:hanging="360"/>
      </w:pPr>
      <w:rPr>
        <w:rFonts w:hint="default"/>
        <w:lang w:val="en-US" w:eastAsia="zh-CN" w:bidi="ar-SA"/>
      </w:rPr>
    </w:lvl>
    <w:lvl w:ilvl="2">
      <w:start w:val="0"/>
      <w:numFmt w:val="bullet"/>
      <w:lvlText w:val="•"/>
      <w:lvlJc w:val="left"/>
      <w:pPr>
        <w:ind w:left="917" w:hanging="360"/>
      </w:pPr>
      <w:rPr>
        <w:rFonts w:hint="default"/>
        <w:lang w:val="en-US" w:eastAsia="zh-CN" w:bidi="ar-SA"/>
      </w:rPr>
    </w:lvl>
    <w:lvl w:ilvl="3">
      <w:start w:val="0"/>
      <w:numFmt w:val="bullet"/>
      <w:lvlText w:val="•"/>
      <w:lvlJc w:val="left"/>
      <w:pPr>
        <w:ind w:left="1326" w:hanging="360"/>
      </w:pPr>
      <w:rPr>
        <w:rFonts w:hint="default"/>
        <w:lang w:val="en-US" w:eastAsia="zh-CN" w:bidi="ar-SA"/>
      </w:rPr>
    </w:lvl>
    <w:lvl w:ilvl="4">
      <w:start w:val="0"/>
      <w:numFmt w:val="bullet"/>
      <w:lvlText w:val="•"/>
      <w:lvlJc w:val="left"/>
      <w:pPr>
        <w:ind w:left="1735" w:hanging="360"/>
      </w:pPr>
      <w:rPr>
        <w:rFonts w:hint="default"/>
        <w:lang w:val="en-US" w:eastAsia="zh-CN" w:bidi="ar-SA"/>
      </w:rPr>
    </w:lvl>
    <w:lvl w:ilvl="5">
      <w:start w:val="0"/>
      <w:numFmt w:val="bullet"/>
      <w:lvlText w:val="•"/>
      <w:lvlJc w:val="left"/>
      <w:pPr>
        <w:ind w:left="2144" w:hanging="360"/>
      </w:pPr>
      <w:rPr>
        <w:rFonts w:hint="default"/>
        <w:lang w:val="en-US" w:eastAsia="zh-CN" w:bidi="ar-SA"/>
      </w:rPr>
    </w:lvl>
    <w:lvl w:ilvl="6">
      <w:start w:val="0"/>
      <w:numFmt w:val="bullet"/>
      <w:lvlText w:val="•"/>
      <w:lvlJc w:val="left"/>
      <w:pPr>
        <w:ind w:left="2552" w:hanging="360"/>
      </w:pPr>
      <w:rPr>
        <w:rFonts w:hint="default"/>
        <w:lang w:val="en-US" w:eastAsia="zh-CN" w:bidi="ar-SA"/>
      </w:rPr>
    </w:lvl>
    <w:lvl w:ilvl="7">
      <w:start w:val="0"/>
      <w:numFmt w:val="bullet"/>
      <w:lvlText w:val="•"/>
      <w:lvlJc w:val="left"/>
      <w:pPr>
        <w:ind w:left="2961" w:hanging="360"/>
      </w:pPr>
      <w:rPr>
        <w:rFonts w:hint="default"/>
        <w:lang w:val="en-US" w:eastAsia="zh-CN" w:bidi="ar-SA"/>
      </w:rPr>
    </w:lvl>
    <w:lvl w:ilvl="8">
      <w:start w:val="0"/>
      <w:numFmt w:val="bullet"/>
      <w:lvlText w:val="•"/>
      <w:lvlJc w:val="left"/>
      <w:pPr>
        <w:ind w:left="3370" w:hanging="360"/>
      </w:pPr>
      <w:rPr>
        <w:rFonts w:hint="default"/>
        <w:lang w:val="en-US" w:eastAsia="zh-CN" w:bidi="ar-SA"/>
      </w:rPr>
    </w:lvl>
  </w:abstractNum>
  <w:abstractNum w:abstractNumId="28">
    <w:nsid w:val="3456B8A2"/>
    <w:multiLevelType w:val="hybridMultilevel"/>
    <w:tmpl w:val="00000000"/>
    <w:lvl w:ilvl="0">
      <w:start w:val="1"/>
      <w:numFmt w:val="decimal"/>
      <w:lvlText w:val="%1."/>
      <w:lvlJc w:val="left"/>
      <w:pPr>
        <w:ind w:left="528" w:hanging="4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86" w:hanging="420"/>
      </w:pPr>
      <w:rPr>
        <w:rFonts w:hint="default"/>
        <w:lang w:val="en-US" w:eastAsia="zh-CN" w:bidi="ar-SA"/>
      </w:rPr>
    </w:lvl>
    <w:lvl w:ilvl="2">
      <w:start w:val="0"/>
      <w:numFmt w:val="bullet"/>
      <w:lvlText w:val="•"/>
      <w:lvlJc w:val="left"/>
      <w:pPr>
        <w:ind w:left="1253" w:hanging="420"/>
      </w:pPr>
      <w:rPr>
        <w:rFonts w:hint="default"/>
        <w:lang w:val="en-US" w:eastAsia="zh-CN" w:bidi="ar-SA"/>
      </w:rPr>
    </w:lvl>
    <w:lvl w:ilvl="3">
      <w:start w:val="0"/>
      <w:numFmt w:val="bullet"/>
      <w:lvlText w:val="•"/>
      <w:lvlJc w:val="left"/>
      <w:pPr>
        <w:ind w:left="1620" w:hanging="420"/>
      </w:pPr>
      <w:rPr>
        <w:rFonts w:hint="default"/>
        <w:lang w:val="en-US" w:eastAsia="zh-CN" w:bidi="ar-SA"/>
      </w:rPr>
    </w:lvl>
    <w:lvl w:ilvl="4">
      <w:start w:val="0"/>
      <w:numFmt w:val="bullet"/>
      <w:lvlText w:val="•"/>
      <w:lvlJc w:val="left"/>
      <w:pPr>
        <w:ind w:left="1987" w:hanging="420"/>
      </w:pPr>
      <w:rPr>
        <w:rFonts w:hint="default"/>
        <w:lang w:val="en-US" w:eastAsia="zh-CN" w:bidi="ar-SA"/>
      </w:rPr>
    </w:lvl>
    <w:lvl w:ilvl="5">
      <w:start w:val="0"/>
      <w:numFmt w:val="bullet"/>
      <w:lvlText w:val="•"/>
      <w:lvlJc w:val="left"/>
      <w:pPr>
        <w:ind w:left="2354" w:hanging="420"/>
      </w:pPr>
      <w:rPr>
        <w:rFonts w:hint="default"/>
        <w:lang w:val="en-US" w:eastAsia="zh-CN" w:bidi="ar-SA"/>
      </w:rPr>
    </w:lvl>
    <w:lvl w:ilvl="6">
      <w:start w:val="0"/>
      <w:numFmt w:val="bullet"/>
      <w:lvlText w:val="•"/>
      <w:lvlJc w:val="left"/>
      <w:pPr>
        <w:ind w:left="2720" w:hanging="420"/>
      </w:pPr>
      <w:rPr>
        <w:rFonts w:hint="default"/>
        <w:lang w:val="en-US" w:eastAsia="zh-CN" w:bidi="ar-SA"/>
      </w:rPr>
    </w:lvl>
    <w:lvl w:ilvl="7">
      <w:start w:val="0"/>
      <w:numFmt w:val="bullet"/>
      <w:lvlText w:val="•"/>
      <w:lvlJc w:val="left"/>
      <w:pPr>
        <w:ind w:left="3087" w:hanging="420"/>
      </w:pPr>
      <w:rPr>
        <w:rFonts w:hint="default"/>
        <w:lang w:val="en-US" w:eastAsia="zh-CN" w:bidi="ar-SA"/>
      </w:rPr>
    </w:lvl>
    <w:lvl w:ilvl="8">
      <w:start w:val="0"/>
      <w:numFmt w:val="bullet"/>
      <w:lvlText w:val="•"/>
      <w:lvlJc w:val="left"/>
      <w:pPr>
        <w:ind w:left="3454" w:hanging="420"/>
      </w:pPr>
      <w:rPr>
        <w:rFonts w:hint="default"/>
        <w:lang w:val="en-US" w:eastAsia="zh-CN" w:bidi="ar-SA"/>
      </w:rPr>
    </w:lvl>
  </w:abstractNum>
  <w:abstractNum w:abstractNumId="29">
    <w:nsid w:val="38449E93"/>
    <w:multiLevelType w:val="hybridMultilevel"/>
    <w:tmpl w:val="00000000"/>
    <w:lvl w:ilvl="0">
      <w:start w:val="1"/>
      <w:numFmt w:val="decimal"/>
      <w:lvlText w:val="%1."/>
      <w:lvlJc w:val="left"/>
      <w:pPr>
        <w:ind w:left="475"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480" w:hanging="241"/>
      </w:pPr>
      <w:rPr>
        <w:rFonts w:hint="default"/>
        <w:lang w:val="en-US" w:eastAsia="zh-CN" w:bidi="ar-SA"/>
      </w:rPr>
    </w:lvl>
    <w:lvl w:ilvl="2">
      <w:start w:val="0"/>
      <w:numFmt w:val="bullet"/>
      <w:lvlText w:val="•"/>
      <w:lvlJc w:val="left"/>
      <w:pPr>
        <w:ind w:left="2481" w:hanging="241"/>
      </w:pPr>
      <w:rPr>
        <w:rFonts w:hint="default"/>
        <w:lang w:val="en-US" w:eastAsia="zh-CN" w:bidi="ar-SA"/>
      </w:rPr>
    </w:lvl>
    <w:lvl w:ilvl="3">
      <w:start w:val="0"/>
      <w:numFmt w:val="bullet"/>
      <w:lvlText w:val="•"/>
      <w:lvlJc w:val="left"/>
      <w:pPr>
        <w:ind w:left="3482" w:hanging="241"/>
      </w:pPr>
      <w:rPr>
        <w:rFonts w:hint="default"/>
        <w:lang w:val="en-US" w:eastAsia="zh-CN" w:bidi="ar-SA"/>
      </w:rPr>
    </w:lvl>
    <w:lvl w:ilvl="4">
      <w:start w:val="0"/>
      <w:numFmt w:val="bullet"/>
      <w:lvlText w:val="•"/>
      <w:lvlJc w:val="left"/>
      <w:pPr>
        <w:ind w:left="4482" w:hanging="241"/>
      </w:pPr>
      <w:rPr>
        <w:rFonts w:hint="default"/>
        <w:lang w:val="en-US" w:eastAsia="zh-CN" w:bidi="ar-SA"/>
      </w:rPr>
    </w:lvl>
    <w:lvl w:ilvl="5">
      <w:start w:val="0"/>
      <w:numFmt w:val="bullet"/>
      <w:lvlText w:val="•"/>
      <w:lvlJc w:val="left"/>
      <w:pPr>
        <w:ind w:left="5483" w:hanging="241"/>
      </w:pPr>
      <w:rPr>
        <w:rFonts w:hint="default"/>
        <w:lang w:val="en-US" w:eastAsia="zh-CN" w:bidi="ar-SA"/>
      </w:rPr>
    </w:lvl>
    <w:lvl w:ilvl="6">
      <w:start w:val="0"/>
      <w:numFmt w:val="bullet"/>
      <w:lvlText w:val="•"/>
      <w:lvlJc w:val="left"/>
      <w:pPr>
        <w:ind w:left="6484" w:hanging="241"/>
      </w:pPr>
      <w:rPr>
        <w:rFonts w:hint="default"/>
        <w:lang w:val="en-US" w:eastAsia="zh-CN" w:bidi="ar-SA"/>
      </w:rPr>
    </w:lvl>
    <w:lvl w:ilvl="7">
      <w:start w:val="0"/>
      <w:numFmt w:val="bullet"/>
      <w:lvlText w:val="•"/>
      <w:lvlJc w:val="left"/>
      <w:pPr>
        <w:ind w:left="7484" w:hanging="241"/>
      </w:pPr>
      <w:rPr>
        <w:rFonts w:hint="default"/>
        <w:lang w:val="en-US" w:eastAsia="zh-CN" w:bidi="ar-SA"/>
      </w:rPr>
    </w:lvl>
    <w:lvl w:ilvl="8">
      <w:start w:val="0"/>
      <w:numFmt w:val="bullet"/>
      <w:lvlText w:val="•"/>
      <w:lvlJc w:val="left"/>
      <w:pPr>
        <w:ind w:left="8485" w:hanging="241"/>
      </w:pPr>
      <w:rPr>
        <w:rFonts w:hint="default"/>
        <w:lang w:val="en-US" w:eastAsia="zh-CN" w:bidi="ar-SA"/>
      </w:rPr>
    </w:lvl>
  </w:abstractNum>
  <w:abstractNum w:abstractNumId="30">
    <w:nsid w:val="3AC6FE85"/>
    <w:multiLevelType w:val="hybridMultilevel"/>
    <w:tmpl w:val="00000000"/>
    <w:lvl w:ilvl="0">
      <w:start w:val="1"/>
      <w:numFmt w:val="decimal"/>
      <w:lvlText w:val="%1."/>
      <w:lvlJc w:val="left"/>
      <w:pPr>
        <w:ind w:left="1194"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128" w:hanging="241"/>
      </w:pPr>
      <w:rPr>
        <w:rFonts w:hint="default"/>
        <w:lang w:val="en-US" w:eastAsia="zh-CN" w:bidi="ar-SA"/>
      </w:rPr>
    </w:lvl>
    <w:lvl w:ilvl="2">
      <w:start w:val="0"/>
      <w:numFmt w:val="bullet"/>
      <w:lvlText w:val="•"/>
      <w:lvlJc w:val="left"/>
      <w:pPr>
        <w:ind w:left="3057" w:hanging="241"/>
      </w:pPr>
      <w:rPr>
        <w:rFonts w:hint="default"/>
        <w:lang w:val="en-US" w:eastAsia="zh-CN" w:bidi="ar-SA"/>
      </w:rPr>
    </w:lvl>
    <w:lvl w:ilvl="3">
      <w:start w:val="0"/>
      <w:numFmt w:val="bullet"/>
      <w:lvlText w:val="•"/>
      <w:lvlJc w:val="left"/>
      <w:pPr>
        <w:ind w:left="3986" w:hanging="241"/>
      </w:pPr>
      <w:rPr>
        <w:rFonts w:hint="default"/>
        <w:lang w:val="en-US" w:eastAsia="zh-CN" w:bidi="ar-SA"/>
      </w:rPr>
    </w:lvl>
    <w:lvl w:ilvl="4">
      <w:start w:val="0"/>
      <w:numFmt w:val="bullet"/>
      <w:lvlText w:val="•"/>
      <w:lvlJc w:val="left"/>
      <w:pPr>
        <w:ind w:left="4914" w:hanging="241"/>
      </w:pPr>
      <w:rPr>
        <w:rFonts w:hint="default"/>
        <w:lang w:val="en-US" w:eastAsia="zh-CN" w:bidi="ar-SA"/>
      </w:rPr>
    </w:lvl>
    <w:lvl w:ilvl="5">
      <w:start w:val="0"/>
      <w:numFmt w:val="bullet"/>
      <w:lvlText w:val="•"/>
      <w:lvlJc w:val="left"/>
      <w:pPr>
        <w:ind w:left="5843" w:hanging="241"/>
      </w:pPr>
      <w:rPr>
        <w:rFonts w:hint="default"/>
        <w:lang w:val="en-US" w:eastAsia="zh-CN" w:bidi="ar-SA"/>
      </w:rPr>
    </w:lvl>
    <w:lvl w:ilvl="6">
      <w:start w:val="0"/>
      <w:numFmt w:val="bullet"/>
      <w:lvlText w:val="•"/>
      <w:lvlJc w:val="left"/>
      <w:pPr>
        <w:ind w:left="6772" w:hanging="241"/>
      </w:pPr>
      <w:rPr>
        <w:rFonts w:hint="default"/>
        <w:lang w:val="en-US" w:eastAsia="zh-CN" w:bidi="ar-SA"/>
      </w:rPr>
    </w:lvl>
    <w:lvl w:ilvl="7">
      <w:start w:val="0"/>
      <w:numFmt w:val="bullet"/>
      <w:lvlText w:val="•"/>
      <w:lvlJc w:val="left"/>
      <w:pPr>
        <w:ind w:left="7700" w:hanging="241"/>
      </w:pPr>
      <w:rPr>
        <w:rFonts w:hint="default"/>
        <w:lang w:val="en-US" w:eastAsia="zh-CN" w:bidi="ar-SA"/>
      </w:rPr>
    </w:lvl>
    <w:lvl w:ilvl="8">
      <w:start w:val="0"/>
      <w:numFmt w:val="bullet"/>
      <w:lvlText w:val="•"/>
      <w:lvlJc w:val="left"/>
      <w:pPr>
        <w:ind w:left="8629" w:hanging="241"/>
      </w:pPr>
      <w:rPr>
        <w:rFonts w:hint="default"/>
        <w:lang w:val="en-US" w:eastAsia="zh-CN" w:bidi="ar-SA"/>
      </w:rPr>
    </w:lvl>
  </w:abstractNum>
  <w:abstractNum w:abstractNumId="31">
    <w:nsid w:val="3D769AE5"/>
    <w:multiLevelType w:val="hybridMultilevel"/>
    <w:tmpl w:val="00000000"/>
    <w:lvl w:ilvl="0">
      <w:start w:val="1"/>
      <w:numFmt w:val="decimal"/>
      <w:lvlText w:val="%1."/>
      <w:lvlJc w:val="left"/>
      <w:pPr>
        <w:ind w:left="1013" w:hanging="361"/>
        <w:jc w:val="left"/>
      </w:pPr>
      <w:rPr>
        <w:rFonts w:ascii="宋体" w:eastAsia="宋体" w:hAnsi="宋体" w:cs="宋体" w:hint="default"/>
        <w:b w:val="0"/>
        <w:bCs w:val="0"/>
        <w:i w:val="0"/>
        <w:iCs w:val="0"/>
        <w:w w:val="100"/>
        <w:sz w:val="22"/>
        <w:szCs w:val="22"/>
        <w:lang w:val="en-US" w:eastAsia="zh-CN" w:bidi="ar-SA"/>
      </w:rPr>
    </w:lvl>
    <w:lvl w:ilvl="1">
      <w:start w:val="1"/>
      <w:numFmt w:val="decimal"/>
      <w:lvlText w:val="（%2）"/>
      <w:lvlJc w:val="left"/>
      <w:pPr>
        <w:ind w:left="1733" w:hanging="601"/>
        <w:jc w:val="left"/>
      </w:pPr>
      <w:rPr>
        <w:rFonts w:ascii="宋体" w:eastAsia="宋体" w:hAnsi="宋体" w:cs="宋体" w:hint="default"/>
        <w:b w:val="0"/>
        <w:bCs w:val="0"/>
        <w:i w:val="0"/>
        <w:iCs w:val="0"/>
        <w:w w:val="100"/>
        <w:sz w:val="22"/>
        <w:szCs w:val="22"/>
        <w:lang w:val="en-US" w:eastAsia="zh-CN" w:bidi="ar-SA"/>
      </w:rPr>
    </w:lvl>
    <w:lvl w:ilvl="2">
      <w:start w:val="0"/>
      <w:numFmt w:val="bullet"/>
      <w:lvlText w:val="•"/>
      <w:lvlJc w:val="left"/>
      <w:pPr>
        <w:ind w:left="2711" w:hanging="601"/>
      </w:pPr>
      <w:rPr>
        <w:rFonts w:hint="default"/>
        <w:lang w:val="en-US" w:eastAsia="zh-CN" w:bidi="ar-SA"/>
      </w:rPr>
    </w:lvl>
    <w:lvl w:ilvl="3">
      <w:start w:val="0"/>
      <w:numFmt w:val="bullet"/>
      <w:lvlText w:val="•"/>
      <w:lvlJc w:val="left"/>
      <w:pPr>
        <w:ind w:left="3683" w:hanging="601"/>
      </w:pPr>
      <w:rPr>
        <w:rFonts w:hint="default"/>
        <w:lang w:val="en-US" w:eastAsia="zh-CN" w:bidi="ar-SA"/>
      </w:rPr>
    </w:lvl>
    <w:lvl w:ilvl="4">
      <w:start w:val="0"/>
      <w:numFmt w:val="bullet"/>
      <w:lvlText w:val="•"/>
      <w:lvlJc w:val="left"/>
      <w:pPr>
        <w:ind w:left="4655" w:hanging="601"/>
      </w:pPr>
      <w:rPr>
        <w:rFonts w:hint="default"/>
        <w:lang w:val="en-US" w:eastAsia="zh-CN" w:bidi="ar-SA"/>
      </w:rPr>
    </w:lvl>
    <w:lvl w:ilvl="5">
      <w:start w:val="0"/>
      <w:numFmt w:val="bullet"/>
      <w:lvlText w:val="•"/>
      <w:lvlJc w:val="left"/>
      <w:pPr>
        <w:ind w:left="5627" w:hanging="601"/>
      </w:pPr>
      <w:rPr>
        <w:rFonts w:hint="default"/>
        <w:lang w:val="en-US" w:eastAsia="zh-CN" w:bidi="ar-SA"/>
      </w:rPr>
    </w:lvl>
    <w:lvl w:ilvl="6">
      <w:start w:val="0"/>
      <w:numFmt w:val="bullet"/>
      <w:lvlText w:val="•"/>
      <w:lvlJc w:val="left"/>
      <w:pPr>
        <w:ind w:left="6599" w:hanging="601"/>
      </w:pPr>
      <w:rPr>
        <w:rFonts w:hint="default"/>
        <w:lang w:val="en-US" w:eastAsia="zh-CN" w:bidi="ar-SA"/>
      </w:rPr>
    </w:lvl>
    <w:lvl w:ilvl="7">
      <w:start w:val="0"/>
      <w:numFmt w:val="bullet"/>
      <w:lvlText w:val="•"/>
      <w:lvlJc w:val="left"/>
      <w:pPr>
        <w:ind w:left="7571" w:hanging="601"/>
      </w:pPr>
      <w:rPr>
        <w:rFonts w:hint="default"/>
        <w:lang w:val="en-US" w:eastAsia="zh-CN" w:bidi="ar-SA"/>
      </w:rPr>
    </w:lvl>
    <w:lvl w:ilvl="8">
      <w:start w:val="0"/>
      <w:numFmt w:val="bullet"/>
      <w:lvlText w:val="•"/>
      <w:lvlJc w:val="left"/>
      <w:pPr>
        <w:ind w:left="8543" w:hanging="601"/>
      </w:pPr>
      <w:rPr>
        <w:rFonts w:hint="default"/>
        <w:lang w:val="en-US" w:eastAsia="zh-CN" w:bidi="ar-SA"/>
      </w:rPr>
    </w:lvl>
  </w:abstractNum>
  <w:abstractNum w:abstractNumId="32">
    <w:nsid w:val="3FA57386"/>
    <w:multiLevelType w:val="hybridMultilevel"/>
    <w:tmpl w:val="00000000"/>
    <w:lvl w:ilvl="0">
      <w:start w:val="11"/>
      <w:numFmt w:val="decimal"/>
      <w:lvlText w:val="（%1）"/>
      <w:lvlJc w:val="left"/>
      <w:pPr>
        <w:ind w:left="829" w:hanging="72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493" w:hanging="721"/>
      </w:pPr>
      <w:rPr>
        <w:rFonts w:hint="default"/>
        <w:lang w:val="en-US" w:eastAsia="zh-CN" w:bidi="ar-SA"/>
      </w:rPr>
    </w:lvl>
    <w:lvl w:ilvl="2">
      <w:start w:val="0"/>
      <w:numFmt w:val="bullet"/>
      <w:lvlText w:val="•"/>
      <w:lvlJc w:val="left"/>
      <w:pPr>
        <w:ind w:left="2166" w:hanging="721"/>
      </w:pPr>
      <w:rPr>
        <w:rFonts w:hint="default"/>
        <w:lang w:val="en-US" w:eastAsia="zh-CN" w:bidi="ar-SA"/>
      </w:rPr>
    </w:lvl>
    <w:lvl w:ilvl="3">
      <w:start w:val="0"/>
      <w:numFmt w:val="bullet"/>
      <w:lvlText w:val="•"/>
      <w:lvlJc w:val="left"/>
      <w:pPr>
        <w:ind w:left="2839" w:hanging="721"/>
      </w:pPr>
      <w:rPr>
        <w:rFonts w:hint="default"/>
        <w:lang w:val="en-US" w:eastAsia="zh-CN" w:bidi="ar-SA"/>
      </w:rPr>
    </w:lvl>
    <w:lvl w:ilvl="4">
      <w:start w:val="0"/>
      <w:numFmt w:val="bullet"/>
      <w:lvlText w:val="•"/>
      <w:lvlJc w:val="left"/>
      <w:pPr>
        <w:ind w:left="3512" w:hanging="721"/>
      </w:pPr>
      <w:rPr>
        <w:rFonts w:hint="default"/>
        <w:lang w:val="en-US" w:eastAsia="zh-CN" w:bidi="ar-SA"/>
      </w:rPr>
    </w:lvl>
    <w:lvl w:ilvl="5">
      <w:start w:val="0"/>
      <w:numFmt w:val="bullet"/>
      <w:lvlText w:val="•"/>
      <w:lvlJc w:val="left"/>
      <w:pPr>
        <w:ind w:left="4185" w:hanging="721"/>
      </w:pPr>
      <w:rPr>
        <w:rFonts w:hint="default"/>
        <w:lang w:val="en-US" w:eastAsia="zh-CN" w:bidi="ar-SA"/>
      </w:rPr>
    </w:lvl>
    <w:lvl w:ilvl="6">
      <w:start w:val="0"/>
      <w:numFmt w:val="bullet"/>
      <w:lvlText w:val="•"/>
      <w:lvlJc w:val="left"/>
      <w:pPr>
        <w:ind w:left="4858" w:hanging="721"/>
      </w:pPr>
      <w:rPr>
        <w:rFonts w:hint="default"/>
        <w:lang w:val="en-US" w:eastAsia="zh-CN" w:bidi="ar-SA"/>
      </w:rPr>
    </w:lvl>
    <w:lvl w:ilvl="7">
      <w:start w:val="0"/>
      <w:numFmt w:val="bullet"/>
      <w:lvlText w:val="•"/>
      <w:lvlJc w:val="left"/>
      <w:pPr>
        <w:ind w:left="5531" w:hanging="721"/>
      </w:pPr>
      <w:rPr>
        <w:rFonts w:hint="default"/>
        <w:lang w:val="en-US" w:eastAsia="zh-CN" w:bidi="ar-SA"/>
      </w:rPr>
    </w:lvl>
    <w:lvl w:ilvl="8">
      <w:start w:val="0"/>
      <w:numFmt w:val="bullet"/>
      <w:lvlText w:val="•"/>
      <w:lvlJc w:val="left"/>
      <w:pPr>
        <w:ind w:left="6204" w:hanging="721"/>
      </w:pPr>
      <w:rPr>
        <w:rFonts w:hint="default"/>
        <w:lang w:val="en-US" w:eastAsia="zh-CN" w:bidi="ar-SA"/>
      </w:rPr>
    </w:lvl>
  </w:abstractNum>
  <w:abstractNum w:abstractNumId="33">
    <w:nsid w:val="444E41EB"/>
    <w:multiLevelType w:val="hybridMultilevel"/>
    <w:tmpl w:val="00000000"/>
    <w:lvl w:ilvl="0">
      <w:start w:val="1"/>
      <w:numFmt w:val="decimal"/>
      <w:lvlText w:val="（%1）"/>
      <w:lvlJc w:val="left"/>
      <w:pPr>
        <w:ind w:left="475" w:hanging="601"/>
        <w:jc w:val="left"/>
      </w:pPr>
      <w:rPr>
        <w:rFonts w:ascii="宋体" w:eastAsia="宋体" w:hAnsi="宋体" w:cs="宋体" w:hint="default"/>
        <w:b w:val="0"/>
        <w:bCs w:val="0"/>
        <w:i w:val="0"/>
        <w:iCs w:val="0"/>
        <w:spacing w:val="-53"/>
        <w:w w:val="100"/>
        <w:sz w:val="22"/>
        <w:szCs w:val="22"/>
        <w:lang w:val="en-US" w:eastAsia="zh-CN" w:bidi="ar-SA"/>
      </w:rPr>
    </w:lvl>
    <w:lvl w:ilvl="1">
      <w:start w:val="0"/>
      <w:numFmt w:val="bullet"/>
      <w:lvlText w:val="•"/>
      <w:lvlJc w:val="left"/>
      <w:pPr>
        <w:ind w:left="1480" w:hanging="601"/>
      </w:pPr>
      <w:rPr>
        <w:rFonts w:hint="default"/>
        <w:lang w:val="en-US" w:eastAsia="zh-CN" w:bidi="ar-SA"/>
      </w:rPr>
    </w:lvl>
    <w:lvl w:ilvl="2">
      <w:start w:val="0"/>
      <w:numFmt w:val="bullet"/>
      <w:lvlText w:val="•"/>
      <w:lvlJc w:val="left"/>
      <w:pPr>
        <w:ind w:left="2481" w:hanging="601"/>
      </w:pPr>
      <w:rPr>
        <w:rFonts w:hint="default"/>
        <w:lang w:val="en-US" w:eastAsia="zh-CN" w:bidi="ar-SA"/>
      </w:rPr>
    </w:lvl>
    <w:lvl w:ilvl="3">
      <w:start w:val="0"/>
      <w:numFmt w:val="bullet"/>
      <w:lvlText w:val="•"/>
      <w:lvlJc w:val="left"/>
      <w:pPr>
        <w:ind w:left="3482" w:hanging="601"/>
      </w:pPr>
      <w:rPr>
        <w:rFonts w:hint="default"/>
        <w:lang w:val="en-US" w:eastAsia="zh-CN" w:bidi="ar-SA"/>
      </w:rPr>
    </w:lvl>
    <w:lvl w:ilvl="4">
      <w:start w:val="0"/>
      <w:numFmt w:val="bullet"/>
      <w:lvlText w:val="•"/>
      <w:lvlJc w:val="left"/>
      <w:pPr>
        <w:ind w:left="4482" w:hanging="601"/>
      </w:pPr>
      <w:rPr>
        <w:rFonts w:hint="default"/>
        <w:lang w:val="en-US" w:eastAsia="zh-CN" w:bidi="ar-SA"/>
      </w:rPr>
    </w:lvl>
    <w:lvl w:ilvl="5">
      <w:start w:val="0"/>
      <w:numFmt w:val="bullet"/>
      <w:lvlText w:val="•"/>
      <w:lvlJc w:val="left"/>
      <w:pPr>
        <w:ind w:left="5483" w:hanging="601"/>
      </w:pPr>
      <w:rPr>
        <w:rFonts w:hint="default"/>
        <w:lang w:val="en-US" w:eastAsia="zh-CN" w:bidi="ar-SA"/>
      </w:rPr>
    </w:lvl>
    <w:lvl w:ilvl="6">
      <w:start w:val="0"/>
      <w:numFmt w:val="bullet"/>
      <w:lvlText w:val="•"/>
      <w:lvlJc w:val="left"/>
      <w:pPr>
        <w:ind w:left="6484" w:hanging="601"/>
      </w:pPr>
      <w:rPr>
        <w:rFonts w:hint="default"/>
        <w:lang w:val="en-US" w:eastAsia="zh-CN" w:bidi="ar-SA"/>
      </w:rPr>
    </w:lvl>
    <w:lvl w:ilvl="7">
      <w:start w:val="0"/>
      <w:numFmt w:val="bullet"/>
      <w:lvlText w:val="•"/>
      <w:lvlJc w:val="left"/>
      <w:pPr>
        <w:ind w:left="7484" w:hanging="601"/>
      </w:pPr>
      <w:rPr>
        <w:rFonts w:hint="default"/>
        <w:lang w:val="en-US" w:eastAsia="zh-CN" w:bidi="ar-SA"/>
      </w:rPr>
    </w:lvl>
    <w:lvl w:ilvl="8">
      <w:start w:val="0"/>
      <w:numFmt w:val="bullet"/>
      <w:lvlText w:val="•"/>
      <w:lvlJc w:val="left"/>
      <w:pPr>
        <w:ind w:left="8485" w:hanging="601"/>
      </w:pPr>
      <w:rPr>
        <w:rFonts w:hint="default"/>
        <w:lang w:val="en-US" w:eastAsia="zh-CN" w:bidi="ar-SA"/>
      </w:rPr>
    </w:lvl>
  </w:abstractNum>
  <w:abstractNum w:abstractNumId="34">
    <w:nsid w:val="452BECF4"/>
    <w:multiLevelType w:val="hybridMultilevel"/>
    <w:tmpl w:val="00000000"/>
    <w:lvl w:ilvl="0">
      <w:start w:val="1"/>
      <w:numFmt w:val="decimal"/>
      <w:lvlText w:val="（%1）"/>
      <w:lvlJc w:val="left"/>
      <w:pPr>
        <w:ind w:left="155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52" w:hanging="601"/>
      </w:pPr>
      <w:rPr>
        <w:rFonts w:hint="default"/>
        <w:lang w:val="en-US" w:eastAsia="zh-CN" w:bidi="ar-SA"/>
      </w:rPr>
    </w:lvl>
    <w:lvl w:ilvl="2">
      <w:start w:val="0"/>
      <w:numFmt w:val="bullet"/>
      <w:lvlText w:val="•"/>
      <w:lvlJc w:val="left"/>
      <w:pPr>
        <w:ind w:left="3345" w:hanging="601"/>
      </w:pPr>
      <w:rPr>
        <w:rFonts w:hint="default"/>
        <w:lang w:val="en-US" w:eastAsia="zh-CN" w:bidi="ar-SA"/>
      </w:rPr>
    </w:lvl>
    <w:lvl w:ilvl="3">
      <w:start w:val="0"/>
      <w:numFmt w:val="bullet"/>
      <w:lvlText w:val="•"/>
      <w:lvlJc w:val="left"/>
      <w:pPr>
        <w:ind w:left="4238" w:hanging="601"/>
      </w:pPr>
      <w:rPr>
        <w:rFonts w:hint="default"/>
        <w:lang w:val="en-US" w:eastAsia="zh-CN" w:bidi="ar-SA"/>
      </w:rPr>
    </w:lvl>
    <w:lvl w:ilvl="4">
      <w:start w:val="0"/>
      <w:numFmt w:val="bullet"/>
      <w:lvlText w:val="•"/>
      <w:lvlJc w:val="left"/>
      <w:pPr>
        <w:ind w:left="5130" w:hanging="601"/>
      </w:pPr>
      <w:rPr>
        <w:rFonts w:hint="default"/>
        <w:lang w:val="en-US" w:eastAsia="zh-CN" w:bidi="ar-SA"/>
      </w:rPr>
    </w:lvl>
    <w:lvl w:ilvl="5">
      <w:start w:val="0"/>
      <w:numFmt w:val="bullet"/>
      <w:lvlText w:val="•"/>
      <w:lvlJc w:val="left"/>
      <w:pPr>
        <w:ind w:left="6023" w:hanging="601"/>
      </w:pPr>
      <w:rPr>
        <w:rFonts w:hint="default"/>
        <w:lang w:val="en-US" w:eastAsia="zh-CN" w:bidi="ar-SA"/>
      </w:rPr>
    </w:lvl>
    <w:lvl w:ilvl="6">
      <w:start w:val="0"/>
      <w:numFmt w:val="bullet"/>
      <w:lvlText w:val="•"/>
      <w:lvlJc w:val="left"/>
      <w:pPr>
        <w:ind w:left="6916" w:hanging="601"/>
      </w:pPr>
      <w:rPr>
        <w:rFonts w:hint="default"/>
        <w:lang w:val="en-US" w:eastAsia="zh-CN" w:bidi="ar-SA"/>
      </w:rPr>
    </w:lvl>
    <w:lvl w:ilvl="7">
      <w:start w:val="0"/>
      <w:numFmt w:val="bullet"/>
      <w:lvlText w:val="•"/>
      <w:lvlJc w:val="left"/>
      <w:pPr>
        <w:ind w:left="7808" w:hanging="601"/>
      </w:pPr>
      <w:rPr>
        <w:rFonts w:hint="default"/>
        <w:lang w:val="en-US" w:eastAsia="zh-CN" w:bidi="ar-SA"/>
      </w:rPr>
    </w:lvl>
    <w:lvl w:ilvl="8">
      <w:start w:val="0"/>
      <w:numFmt w:val="bullet"/>
      <w:lvlText w:val="•"/>
      <w:lvlJc w:val="left"/>
      <w:pPr>
        <w:ind w:left="8701" w:hanging="601"/>
      </w:pPr>
      <w:rPr>
        <w:rFonts w:hint="default"/>
        <w:lang w:val="en-US" w:eastAsia="zh-CN" w:bidi="ar-SA"/>
      </w:rPr>
    </w:lvl>
  </w:abstractNum>
  <w:abstractNum w:abstractNumId="35">
    <w:nsid w:val="4675735B"/>
    <w:multiLevelType w:val="hybridMultilevel"/>
    <w:tmpl w:val="00000000"/>
    <w:lvl w:ilvl="0">
      <w:start w:val="1"/>
      <w:numFmt w:val="decimal"/>
      <w:lvlText w:val="（%1）"/>
      <w:lvlJc w:val="left"/>
      <w:pPr>
        <w:ind w:left="475" w:hanging="601"/>
        <w:jc w:val="left"/>
      </w:pPr>
      <w:rPr>
        <w:rFonts w:ascii="宋体" w:eastAsia="宋体" w:hAnsi="宋体" w:cs="宋体" w:hint="default"/>
        <w:b w:val="0"/>
        <w:bCs w:val="0"/>
        <w:i w:val="0"/>
        <w:iCs w:val="0"/>
        <w:spacing w:val="-27"/>
        <w:w w:val="100"/>
        <w:sz w:val="22"/>
        <w:szCs w:val="22"/>
        <w:lang w:val="en-US" w:eastAsia="zh-CN" w:bidi="ar-SA"/>
      </w:rPr>
    </w:lvl>
    <w:lvl w:ilvl="1">
      <w:start w:val="0"/>
      <w:numFmt w:val="bullet"/>
      <w:lvlText w:val="•"/>
      <w:lvlJc w:val="left"/>
      <w:pPr>
        <w:ind w:left="1480" w:hanging="601"/>
      </w:pPr>
      <w:rPr>
        <w:rFonts w:hint="default"/>
        <w:lang w:val="en-US" w:eastAsia="zh-CN" w:bidi="ar-SA"/>
      </w:rPr>
    </w:lvl>
    <w:lvl w:ilvl="2">
      <w:start w:val="0"/>
      <w:numFmt w:val="bullet"/>
      <w:lvlText w:val="•"/>
      <w:lvlJc w:val="left"/>
      <w:pPr>
        <w:ind w:left="2481" w:hanging="601"/>
      </w:pPr>
      <w:rPr>
        <w:rFonts w:hint="default"/>
        <w:lang w:val="en-US" w:eastAsia="zh-CN" w:bidi="ar-SA"/>
      </w:rPr>
    </w:lvl>
    <w:lvl w:ilvl="3">
      <w:start w:val="0"/>
      <w:numFmt w:val="bullet"/>
      <w:lvlText w:val="•"/>
      <w:lvlJc w:val="left"/>
      <w:pPr>
        <w:ind w:left="3482" w:hanging="601"/>
      </w:pPr>
      <w:rPr>
        <w:rFonts w:hint="default"/>
        <w:lang w:val="en-US" w:eastAsia="zh-CN" w:bidi="ar-SA"/>
      </w:rPr>
    </w:lvl>
    <w:lvl w:ilvl="4">
      <w:start w:val="0"/>
      <w:numFmt w:val="bullet"/>
      <w:lvlText w:val="•"/>
      <w:lvlJc w:val="left"/>
      <w:pPr>
        <w:ind w:left="4482" w:hanging="601"/>
      </w:pPr>
      <w:rPr>
        <w:rFonts w:hint="default"/>
        <w:lang w:val="en-US" w:eastAsia="zh-CN" w:bidi="ar-SA"/>
      </w:rPr>
    </w:lvl>
    <w:lvl w:ilvl="5">
      <w:start w:val="0"/>
      <w:numFmt w:val="bullet"/>
      <w:lvlText w:val="•"/>
      <w:lvlJc w:val="left"/>
      <w:pPr>
        <w:ind w:left="5483" w:hanging="601"/>
      </w:pPr>
      <w:rPr>
        <w:rFonts w:hint="default"/>
        <w:lang w:val="en-US" w:eastAsia="zh-CN" w:bidi="ar-SA"/>
      </w:rPr>
    </w:lvl>
    <w:lvl w:ilvl="6">
      <w:start w:val="0"/>
      <w:numFmt w:val="bullet"/>
      <w:lvlText w:val="•"/>
      <w:lvlJc w:val="left"/>
      <w:pPr>
        <w:ind w:left="6484" w:hanging="601"/>
      </w:pPr>
      <w:rPr>
        <w:rFonts w:hint="default"/>
        <w:lang w:val="en-US" w:eastAsia="zh-CN" w:bidi="ar-SA"/>
      </w:rPr>
    </w:lvl>
    <w:lvl w:ilvl="7">
      <w:start w:val="0"/>
      <w:numFmt w:val="bullet"/>
      <w:lvlText w:val="•"/>
      <w:lvlJc w:val="left"/>
      <w:pPr>
        <w:ind w:left="7484" w:hanging="601"/>
      </w:pPr>
      <w:rPr>
        <w:rFonts w:hint="default"/>
        <w:lang w:val="en-US" w:eastAsia="zh-CN" w:bidi="ar-SA"/>
      </w:rPr>
    </w:lvl>
    <w:lvl w:ilvl="8">
      <w:start w:val="0"/>
      <w:numFmt w:val="bullet"/>
      <w:lvlText w:val="•"/>
      <w:lvlJc w:val="left"/>
      <w:pPr>
        <w:ind w:left="8485" w:hanging="601"/>
      </w:pPr>
      <w:rPr>
        <w:rFonts w:hint="default"/>
        <w:lang w:val="en-US" w:eastAsia="zh-CN" w:bidi="ar-SA"/>
      </w:rPr>
    </w:lvl>
  </w:abstractNum>
  <w:abstractNum w:abstractNumId="36">
    <w:nsid w:val="4770560E"/>
    <w:multiLevelType w:val="hybridMultilevel"/>
    <w:tmpl w:val="00000000"/>
    <w:lvl w:ilvl="0">
      <w:start w:val="1"/>
      <w:numFmt w:val="decimal"/>
      <w:lvlText w:val="（%1）"/>
      <w:lvlJc w:val="left"/>
      <w:pPr>
        <w:ind w:left="1189"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817" w:hanging="601"/>
      </w:pPr>
      <w:rPr>
        <w:rFonts w:hint="default"/>
        <w:lang w:val="en-US" w:eastAsia="zh-CN" w:bidi="ar-SA"/>
      </w:rPr>
    </w:lvl>
    <w:lvl w:ilvl="2">
      <w:start w:val="0"/>
      <w:numFmt w:val="bullet"/>
      <w:lvlText w:val="•"/>
      <w:lvlJc w:val="left"/>
      <w:pPr>
        <w:ind w:left="2454" w:hanging="601"/>
      </w:pPr>
      <w:rPr>
        <w:rFonts w:hint="default"/>
        <w:lang w:val="en-US" w:eastAsia="zh-CN" w:bidi="ar-SA"/>
      </w:rPr>
    </w:lvl>
    <w:lvl w:ilvl="3">
      <w:start w:val="0"/>
      <w:numFmt w:val="bullet"/>
      <w:lvlText w:val="•"/>
      <w:lvlJc w:val="left"/>
      <w:pPr>
        <w:ind w:left="3091" w:hanging="601"/>
      </w:pPr>
      <w:rPr>
        <w:rFonts w:hint="default"/>
        <w:lang w:val="en-US" w:eastAsia="zh-CN" w:bidi="ar-SA"/>
      </w:rPr>
    </w:lvl>
    <w:lvl w:ilvl="4">
      <w:start w:val="0"/>
      <w:numFmt w:val="bullet"/>
      <w:lvlText w:val="•"/>
      <w:lvlJc w:val="left"/>
      <w:pPr>
        <w:ind w:left="3728" w:hanging="601"/>
      </w:pPr>
      <w:rPr>
        <w:rFonts w:hint="default"/>
        <w:lang w:val="en-US" w:eastAsia="zh-CN" w:bidi="ar-SA"/>
      </w:rPr>
    </w:lvl>
    <w:lvl w:ilvl="5">
      <w:start w:val="0"/>
      <w:numFmt w:val="bullet"/>
      <w:lvlText w:val="•"/>
      <w:lvlJc w:val="left"/>
      <w:pPr>
        <w:ind w:left="4365" w:hanging="601"/>
      </w:pPr>
      <w:rPr>
        <w:rFonts w:hint="default"/>
        <w:lang w:val="en-US" w:eastAsia="zh-CN" w:bidi="ar-SA"/>
      </w:rPr>
    </w:lvl>
    <w:lvl w:ilvl="6">
      <w:start w:val="0"/>
      <w:numFmt w:val="bullet"/>
      <w:lvlText w:val="•"/>
      <w:lvlJc w:val="left"/>
      <w:pPr>
        <w:ind w:left="5002" w:hanging="601"/>
      </w:pPr>
      <w:rPr>
        <w:rFonts w:hint="default"/>
        <w:lang w:val="en-US" w:eastAsia="zh-CN" w:bidi="ar-SA"/>
      </w:rPr>
    </w:lvl>
    <w:lvl w:ilvl="7">
      <w:start w:val="0"/>
      <w:numFmt w:val="bullet"/>
      <w:lvlText w:val="•"/>
      <w:lvlJc w:val="left"/>
      <w:pPr>
        <w:ind w:left="5639" w:hanging="601"/>
      </w:pPr>
      <w:rPr>
        <w:rFonts w:hint="default"/>
        <w:lang w:val="en-US" w:eastAsia="zh-CN" w:bidi="ar-SA"/>
      </w:rPr>
    </w:lvl>
    <w:lvl w:ilvl="8">
      <w:start w:val="0"/>
      <w:numFmt w:val="bullet"/>
      <w:lvlText w:val="•"/>
      <w:lvlJc w:val="left"/>
      <w:pPr>
        <w:ind w:left="6276" w:hanging="601"/>
      </w:pPr>
      <w:rPr>
        <w:rFonts w:hint="default"/>
        <w:lang w:val="en-US" w:eastAsia="zh-CN" w:bidi="ar-SA"/>
      </w:rPr>
    </w:lvl>
  </w:abstractNum>
  <w:abstractNum w:abstractNumId="37">
    <w:nsid w:val="47E3C037"/>
    <w:multiLevelType w:val="hybridMultilevel"/>
    <w:tmpl w:val="00000000"/>
    <w:lvl w:ilvl="0">
      <w:start w:val="1"/>
      <w:numFmt w:val="decimal"/>
      <w:lvlText w:val="%1."/>
      <w:lvlJc w:val="left"/>
      <w:pPr>
        <w:ind w:left="652"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42" w:hanging="241"/>
      </w:pPr>
      <w:rPr>
        <w:rFonts w:hint="default"/>
        <w:lang w:val="en-US" w:eastAsia="zh-CN" w:bidi="ar-SA"/>
      </w:rPr>
    </w:lvl>
    <w:lvl w:ilvl="2">
      <w:start w:val="0"/>
      <w:numFmt w:val="bullet"/>
      <w:lvlText w:val="•"/>
      <w:lvlJc w:val="left"/>
      <w:pPr>
        <w:ind w:left="2625" w:hanging="241"/>
      </w:pPr>
      <w:rPr>
        <w:rFonts w:hint="default"/>
        <w:lang w:val="en-US" w:eastAsia="zh-CN" w:bidi="ar-SA"/>
      </w:rPr>
    </w:lvl>
    <w:lvl w:ilvl="3">
      <w:start w:val="0"/>
      <w:numFmt w:val="bullet"/>
      <w:lvlText w:val="•"/>
      <w:lvlJc w:val="left"/>
      <w:pPr>
        <w:ind w:left="3608" w:hanging="241"/>
      </w:pPr>
      <w:rPr>
        <w:rFonts w:hint="default"/>
        <w:lang w:val="en-US" w:eastAsia="zh-CN" w:bidi="ar-SA"/>
      </w:rPr>
    </w:lvl>
    <w:lvl w:ilvl="4">
      <w:start w:val="0"/>
      <w:numFmt w:val="bullet"/>
      <w:lvlText w:val="•"/>
      <w:lvlJc w:val="left"/>
      <w:pPr>
        <w:ind w:left="4590" w:hanging="241"/>
      </w:pPr>
      <w:rPr>
        <w:rFonts w:hint="default"/>
        <w:lang w:val="en-US" w:eastAsia="zh-CN" w:bidi="ar-SA"/>
      </w:rPr>
    </w:lvl>
    <w:lvl w:ilvl="5">
      <w:start w:val="0"/>
      <w:numFmt w:val="bullet"/>
      <w:lvlText w:val="•"/>
      <w:lvlJc w:val="left"/>
      <w:pPr>
        <w:ind w:left="5573" w:hanging="241"/>
      </w:pPr>
      <w:rPr>
        <w:rFonts w:hint="default"/>
        <w:lang w:val="en-US" w:eastAsia="zh-CN" w:bidi="ar-SA"/>
      </w:rPr>
    </w:lvl>
    <w:lvl w:ilvl="6">
      <w:start w:val="0"/>
      <w:numFmt w:val="bullet"/>
      <w:lvlText w:val="•"/>
      <w:lvlJc w:val="left"/>
      <w:pPr>
        <w:ind w:left="6556" w:hanging="241"/>
      </w:pPr>
      <w:rPr>
        <w:rFonts w:hint="default"/>
        <w:lang w:val="en-US" w:eastAsia="zh-CN" w:bidi="ar-SA"/>
      </w:rPr>
    </w:lvl>
    <w:lvl w:ilvl="7">
      <w:start w:val="0"/>
      <w:numFmt w:val="bullet"/>
      <w:lvlText w:val="•"/>
      <w:lvlJc w:val="left"/>
      <w:pPr>
        <w:ind w:left="7538" w:hanging="241"/>
      </w:pPr>
      <w:rPr>
        <w:rFonts w:hint="default"/>
        <w:lang w:val="en-US" w:eastAsia="zh-CN" w:bidi="ar-SA"/>
      </w:rPr>
    </w:lvl>
    <w:lvl w:ilvl="8">
      <w:start w:val="0"/>
      <w:numFmt w:val="bullet"/>
      <w:lvlText w:val="•"/>
      <w:lvlJc w:val="left"/>
      <w:pPr>
        <w:ind w:left="8521" w:hanging="241"/>
      </w:pPr>
      <w:rPr>
        <w:rFonts w:hint="default"/>
        <w:lang w:val="en-US" w:eastAsia="zh-CN" w:bidi="ar-SA"/>
      </w:rPr>
    </w:lvl>
  </w:abstractNum>
  <w:abstractNum w:abstractNumId="38">
    <w:nsid w:val="49F29A11"/>
    <w:multiLevelType w:val="hybridMultilevel"/>
    <w:tmpl w:val="00000000"/>
    <w:lvl w:ilvl="0">
      <w:start w:val="1"/>
      <w:numFmt w:val="decimal"/>
      <w:lvlText w:val="（%1）"/>
      <w:lvlJc w:val="left"/>
      <w:pPr>
        <w:ind w:left="652"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642" w:hanging="601"/>
      </w:pPr>
      <w:rPr>
        <w:rFonts w:hint="default"/>
        <w:lang w:val="en-US" w:eastAsia="zh-CN" w:bidi="ar-SA"/>
      </w:rPr>
    </w:lvl>
    <w:lvl w:ilvl="2">
      <w:start w:val="0"/>
      <w:numFmt w:val="bullet"/>
      <w:lvlText w:val="•"/>
      <w:lvlJc w:val="left"/>
      <w:pPr>
        <w:ind w:left="2625" w:hanging="601"/>
      </w:pPr>
      <w:rPr>
        <w:rFonts w:hint="default"/>
        <w:lang w:val="en-US" w:eastAsia="zh-CN" w:bidi="ar-SA"/>
      </w:rPr>
    </w:lvl>
    <w:lvl w:ilvl="3">
      <w:start w:val="0"/>
      <w:numFmt w:val="bullet"/>
      <w:lvlText w:val="•"/>
      <w:lvlJc w:val="left"/>
      <w:pPr>
        <w:ind w:left="3608" w:hanging="601"/>
      </w:pPr>
      <w:rPr>
        <w:rFonts w:hint="default"/>
        <w:lang w:val="en-US" w:eastAsia="zh-CN" w:bidi="ar-SA"/>
      </w:rPr>
    </w:lvl>
    <w:lvl w:ilvl="4">
      <w:start w:val="0"/>
      <w:numFmt w:val="bullet"/>
      <w:lvlText w:val="•"/>
      <w:lvlJc w:val="left"/>
      <w:pPr>
        <w:ind w:left="4590" w:hanging="601"/>
      </w:pPr>
      <w:rPr>
        <w:rFonts w:hint="default"/>
        <w:lang w:val="en-US" w:eastAsia="zh-CN" w:bidi="ar-SA"/>
      </w:rPr>
    </w:lvl>
    <w:lvl w:ilvl="5">
      <w:start w:val="0"/>
      <w:numFmt w:val="bullet"/>
      <w:lvlText w:val="•"/>
      <w:lvlJc w:val="left"/>
      <w:pPr>
        <w:ind w:left="5573" w:hanging="601"/>
      </w:pPr>
      <w:rPr>
        <w:rFonts w:hint="default"/>
        <w:lang w:val="en-US" w:eastAsia="zh-CN" w:bidi="ar-SA"/>
      </w:rPr>
    </w:lvl>
    <w:lvl w:ilvl="6">
      <w:start w:val="0"/>
      <w:numFmt w:val="bullet"/>
      <w:lvlText w:val="•"/>
      <w:lvlJc w:val="left"/>
      <w:pPr>
        <w:ind w:left="6556" w:hanging="601"/>
      </w:pPr>
      <w:rPr>
        <w:rFonts w:hint="default"/>
        <w:lang w:val="en-US" w:eastAsia="zh-CN" w:bidi="ar-SA"/>
      </w:rPr>
    </w:lvl>
    <w:lvl w:ilvl="7">
      <w:start w:val="0"/>
      <w:numFmt w:val="bullet"/>
      <w:lvlText w:val="•"/>
      <w:lvlJc w:val="left"/>
      <w:pPr>
        <w:ind w:left="7538" w:hanging="601"/>
      </w:pPr>
      <w:rPr>
        <w:rFonts w:hint="default"/>
        <w:lang w:val="en-US" w:eastAsia="zh-CN" w:bidi="ar-SA"/>
      </w:rPr>
    </w:lvl>
    <w:lvl w:ilvl="8">
      <w:start w:val="0"/>
      <w:numFmt w:val="bullet"/>
      <w:lvlText w:val="•"/>
      <w:lvlJc w:val="left"/>
      <w:pPr>
        <w:ind w:left="8521" w:hanging="601"/>
      </w:pPr>
      <w:rPr>
        <w:rFonts w:hint="default"/>
        <w:lang w:val="en-US" w:eastAsia="zh-CN" w:bidi="ar-SA"/>
      </w:rPr>
    </w:lvl>
  </w:abstractNum>
  <w:abstractNum w:abstractNumId="39">
    <w:nsid w:val="4DC45B2C"/>
    <w:multiLevelType w:val="hybridMultilevel"/>
    <w:tmpl w:val="00000000"/>
    <w:lvl w:ilvl="0">
      <w:start w:val="3"/>
      <w:numFmt w:val="decimal"/>
      <w:lvlText w:val="%1."/>
      <w:lvlJc w:val="left"/>
      <w:pPr>
        <w:ind w:left="716" w:hanging="242"/>
        <w:jc w:val="left"/>
      </w:pPr>
      <w:rPr>
        <w:rFonts w:ascii="Microsoft JhengHei" w:eastAsia="Microsoft JhengHei" w:hAnsi="Microsoft JhengHei" w:cs="Microsoft JhengHei" w:hint="default"/>
        <w:b/>
        <w:bCs/>
        <w:i w:val="0"/>
        <w:iCs w:val="0"/>
        <w:w w:val="83"/>
        <w:sz w:val="22"/>
        <w:szCs w:val="22"/>
        <w:lang w:val="en-US" w:eastAsia="zh-CN" w:bidi="ar-SA"/>
      </w:rPr>
    </w:lvl>
    <w:lvl w:ilvl="1">
      <w:start w:val="1"/>
      <w:numFmt w:val="decimal"/>
      <w:lvlText w:val="%1.%2"/>
      <w:lvlJc w:val="left"/>
      <w:pPr>
        <w:ind w:left="1375" w:hanging="420"/>
        <w:jc w:val="left"/>
      </w:pPr>
      <w:rPr>
        <w:rFonts w:ascii="宋体" w:eastAsia="宋体" w:hAnsi="宋体" w:cs="宋体" w:hint="default"/>
        <w:b w:val="0"/>
        <w:bCs w:val="0"/>
        <w:i w:val="0"/>
        <w:iCs w:val="0"/>
        <w:w w:val="100"/>
        <w:sz w:val="24"/>
        <w:szCs w:val="24"/>
        <w:lang w:val="en-US" w:eastAsia="zh-CN" w:bidi="ar-SA"/>
      </w:rPr>
    </w:lvl>
    <w:lvl w:ilvl="2">
      <w:start w:val="1"/>
      <w:numFmt w:val="decimal"/>
      <w:lvlText w:val="%1.%2.%3"/>
      <w:lvlJc w:val="left"/>
      <w:pPr>
        <w:ind w:left="1765" w:hanging="660"/>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2850" w:hanging="660"/>
      </w:pPr>
      <w:rPr>
        <w:rFonts w:hint="default"/>
        <w:lang w:val="en-US" w:eastAsia="zh-CN" w:bidi="ar-SA"/>
      </w:rPr>
    </w:lvl>
    <w:lvl w:ilvl="4">
      <w:start w:val="0"/>
      <w:numFmt w:val="bullet"/>
      <w:lvlText w:val="•"/>
      <w:lvlJc w:val="left"/>
      <w:pPr>
        <w:ind w:left="3941" w:hanging="660"/>
      </w:pPr>
      <w:rPr>
        <w:rFonts w:hint="default"/>
        <w:lang w:val="en-US" w:eastAsia="zh-CN" w:bidi="ar-SA"/>
      </w:rPr>
    </w:lvl>
    <w:lvl w:ilvl="5">
      <w:start w:val="0"/>
      <w:numFmt w:val="bullet"/>
      <w:lvlText w:val="•"/>
      <w:lvlJc w:val="left"/>
      <w:pPr>
        <w:ind w:left="5032" w:hanging="660"/>
      </w:pPr>
      <w:rPr>
        <w:rFonts w:hint="default"/>
        <w:lang w:val="en-US" w:eastAsia="zh-CN" w:bidi="ar-SA"/>
      </w:rPr>
    </w:lvl>
    <w:lvl w:ilvl="6">
      <w:start w:val="0"/>
      <w:numFmt w:val="bullet"/>
      <w:lvlText w:val="•"/>
      <w:lvlJc w:val="left"/>
      <w:pPr>
        <w:ind w:left="6123" w:hanging="660"/>
      </w:pPr>
      <w:rPr>
        <w:rFonts w:hint="default"/>
        <w:lang w:val="en-US" w:eastAsia="zh-CN" w:bidi="ar-SA"/>
      </w:rPr>
    </w:lvl>
    <w:lvl w:ilvl="7">
      <w:start w:val="0"/>
      <w:numFmt w:val="bullet"/>
      <w:lvlText w:val="•"/>
      <w:lvlJc w:val="left"/>
      <w:pPr>
        <w:ind w:left="7214" w:hanging="660"/>
      </w:pPr>
      <w:rPr>
        <w:rFonts w:hint="default"/>
        <w:lang w:val="en-US" w:eastAsia="zh-CN" w:bidi="ar-SA"/>
      </w:rPr>
    </w:lvl>
    <w:lvl w:ilvl="8">
      <w:start w:val="0"/>
      <w:numFmt w:val="bullet"/>
      <w:lvlText w:val="•"/>
      <w:lvlJc w:val="left"/>
      <w:pPr>
        <w:ind w:left="8305" w:hanging="660"/>
      </w:pPr>
      <w:rPr>
        <w:rFonts w:hint="default"/>
        <w:lang w:val="en-US" w:eastAsia="zh-CN" w:bidi="ar-SA"/>
      </w:rPr>
    </w:lvl>
  </w:abstractNum>
  <w:abstractNum w:abstractNumId="40">
    <w:nsid w:val="530FA2A6"/>
    <w:multiLevelType w:val="hybridMultilevel"/>
    <w:tmpl w:val="00000000"/>
    <w:lvl w:ilvl="0">
      <w:start w:val="1"/>
      <w:numFmt w:val="decimal"/>
      <w:lvlText w:val="%1."/>
      <w:lvlJc w:val="left"/>
      <w:pPr>
        <w:ind w:left="468"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32" w:hanging="360"/>
      </w:pPr>
      <w:rPr>
        <w:rFonts w:hint="default"/>
        <w:lang w:val="en-US" w:eastAsia="zh-CN" w:bidi="ar-SA"/>
      </w:rPr>
    </w:lvl>
    <w:lvl w:ilvl="2">
      <w:start w:val="0"/>
      <w:numFmt w:val="bullet"/>
      <w:lvlText w:val="•"/>
      <w:lvlJc w:val="left"/>
      <w:pPr>
        <w:ind w:left="1205" w:hanging="360"/>
      </w:pPr>
      <w:rPr>
        <w:rFonts w:hint="default"/>
        <w:lang w:val="en-US" w:eastAsia="zh-CN" w:bidi="ar-SA"/>
      </w:rPr>
    </w:lvl>
    <w:lvl w:ilvl="3">
      <w:start w:val="0"/>
      <w:numFmt w:val="bullet"/>
      <w:lvlText w:val="•"/>
      <w:lvlJc w:val="left"/>
      <w:pPr>
        <w:ind w:left="1578" w:hanging="360"/>
      </w:pPr>
      <w:rPr>
        <w:rFonts w:hint="default"/>
        <w:lang w:val="en-US" w:eastAsia="zh-CN" w:bidi="ar-SA"/>
      </w:rPr>
    </w:lvl>
    <w:lvl w:ilvl="4">
      <w:start w:val="0"/>
      <w:numFmt w:val="bullet"/>
      <w:lvlText w:val="•"/>
      <w:lvlJc w:val="left"/>
      <w:pPr>
        <w:ind w:left="1951" w:hanging="360"/>
      </w:pPr>
      <w:rPr>
        <w:rFonts w:hint="default"/>
        <w:lang w:val="en-US" w:eastAsia="zh-CN" w:bidi="ar-SA"/>
      </w:rPr>
    </w:lvl>
    <w:lvl w:ilvl="5">
      <w:start w:val="0"/>
      <w:numFmt w:val="bullet"/>
      <w:lvlText w:val="•"/>
      <w:lvlJc w:val="left"/>
      <w:pPr>
        <w:ind w:left="2324" w:hanging="360"/>
      </w:pPr>
      <w:rPr>
        <w:rFonts w:hint="default"/>
        <w:lang w:val="en-US" w:eastAsia="zh-CN" w:bidi="ar-SA"/>
      </w:rPr>
    </w:lvl>
    <w:lvl w:ilvl="6">
      <w:start w:val="0"/>
      <w:numFmt w:val="bullet"/>
      <w:lvlText w:val="•"/>
      <w:lvlJc w:val="left"/>
      <w:pPr>
        <w:ind w:left="2696" w:hanging="360"/>
      </w:pPr>
      <w:rPr>
        <w:rFonts w:hint="default"/>
        <w:lang w:val="en-US" w:eastAsia="zh-CN" w:bidi="ar-SA"/>
      </w:rPr>
    </w:lvl>
    <w:lvl w:ilvl="7">
      <w:start w:val="0"/>
      <w:numFmt w:val="bullet"/>
      <w:lvlText w:val="•"/>
      <w:lvlJc w:val="left"/>
      <w:pPr>
        <w:ind w:left="3069" w:hanging="360"/>
      </w:pPr>
      <w:rPr>
        <w:rFonts w:hint="default"/>
        <w:lang w:val="en-US" w:eastAsia="zh-CN" w:bidi="ar-SA"/>
      </w:rPr>
    </w:lvl>
    <w:lvl w:ilvl="8">
      <w:start w:val="0"/>
      <w:numFmt w:val="bullet"/>
      <w:lvlText w:val="•"/>
      <w:lvlJc w:val="left"/>
      <w:pPr>
        <w:ind w:left="3442" w:hanging="360"/>
      </w:pPr>
      <w:rPr>
        <w:rFonts w:hint="default"/>
        <w:lang w:val="en-US" w:eastAsia="zh-CN" w:bidi="ar-SA"/>
      </w:rPr>
    </w:lvl>
  </w:abstractNum>
  <w:abstractNum w:abstractNumId="41">
    <w:nsid w:val="5820764F"/>
    <w:multiLevelType w:val="hybridMultilevel"/>
    <w:tmpl w:val="00000000"/>
    <w:lvl w:ilvl="0">
      <w:start w:val="1"/>
      <w:numFmt w:val="decimal"/>
      <w:lvlText w:val="%1."/>
      <w:lvlJc w:val="left"/>
      <w:pPr>
        <w:ind w:left="897" w:hanging="423"/>
        <w:jc w:val="left"/>
      </w:pPr>
      <w:rPr>
        <w:rFonts w:hint="default"/>
        <w:spacing w:val="1"/>
        <w:w w:val="81"/>
        <w:lang w:val="en-US" w:eastAsia="zh-CN" w:bidi="ar-SA"/>
      </w:rPr>
    </w:lvl>
    <w:lvl w:ilvl="1">
      <w:start w:val="1"/>
      <w:numFmt w:val="decimal"/>
      <w:lvlText w:val="%1.%2"/>
      <w:lvlJc w:val="left"/>
      <w:pPr>
        <w:ind w:left="1436" w:hanging="481"/>
        <w:jc w:val="left"/>
      </w:pPr>
      <w:rPr>
        <w:rFonts w:hint="default"/>
        <w:w w:val="100"/>
        <w:lang w:val="en-US" w:eastAsia="zh-CN" w:bidi="ar-SA"/>
      </w:rPr>
    </w:lvl>
    <w:lvl w:ilvl="2">
      <w:start w:val="1"/>
      <w:numFmt w:val="decimal"/>
      <w:lvlText w:val="%1.%2.%3"/>
      <w:lvlJc w:val="left"/>
      <w:pPr>
        <w:ind w:left="475" w:hanging="481"/>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1380" w:hanging="481"/>
      </w:pPr>
      <w:rPr>
        <w:rFonts w:hint="default"/>
        <w:lang w:val="en-US" w:eastAsia="zh-CN" w:bidi="ar-SA"/>
      </w:rPr>
    </w:lvl>
    <w:lvl w:ilvl="4">
      <w:start w:val="0"/>
      <w:numFmt w:val="bullet"/>
      <w:lvlText w:val="•"/>
      <w:lvlJc w:val="left"/>
      <w:pPr>
        <w:ind w:left="1440" w:hanging="481"/>
      </w:pPr>
      <w:rPr>
        <w:rFonts w:hint="default"/>
        <w:lang w:val="en-US" w:eastAsia="zh-CN" w:bidi="ar-SA"/>
      </w:rPr>
    </w:lvl>
    <w:lvl w:ilvl="5">
      <w:start w:val="0"/>
      <w:numFmt w:val="bullet"/>
      <w:lvlText w:val="•"/>
      <w:lvlJc w:val="left"/>
      <w:pPr>
        <w:ind w:left="1560" w:hanging="481"/>
      </w:pPr>
      <w:rPr>
        <w:rFonts w:hint="default"/>
        <w:lang w:val="en-US" w:eastAsia="zh-CN" w:bidi="ar-SA"/>
      </w:rPr>
    </w:lvl>
    <w:lvl w:ilvl="6">
      <w:start w:val="0"/>
      <w:numFmt w:val="bullet"/>
      <w:lvlText w:val="•"/>
      <w:lvlJc w:val="left"/>
      <w:pPr>
        <w:ind w:left="3345" w:hanging="481"/>
      </w:pPr>
      <w:rPr>
        <w:rFonts w:hint="default"/>
        <w:lang w:val="en-US" w:eastAsia="zh-CN" w:bidi="ar-SA"/>
      </w:rPr>
    </w:lvl>
    <w:lvl w:ilvl="7">
      <w:start w:val="0"/>
      <w:numFmt w:val="bullet"/>
      <w:lvlText w:val="•"/>
      <w:lvlJc w:val="left"/>
      <w:pPr>
        <w:ind w:left="5130" w:hanging="481"/>
      </w:pPr>
      <w:rPr>
        <w:rFonts w:hint="default"/>
        <w:lang w:val="en-US" w:eastAsia="zh-CN" w:bidi="ar-SA"/>
      </w:rPr>
    </w:lvl>
    <w:lvl w:ilvl="8">
      <w:start w:val="0"/>
      <w:numFmt w:val="bullet"/>
      <w:lvlText w:val="•"/>
      <w:lvlJc w:val="left"/>
      <w:pPr>
        <w:ind w:left="6916" w:hanging="481"/>
      </w:pPr>
      <w:rPr>
        <w:rFonts w:hint="default"/>
        <w:lang w:val="en-US" w:eastAsia="zh-CN" w:bidi="ar-SA"/>
      </w:rPr>
    </w:lvl>
  </w:abstractNum>
  <w:abstractNum w:abstractNumId="42">
    <w:nsid w:val="5A7C3393"/>
    <w:multiLevelType w:val="hybridMultilevel"/>
    <w:tmpl w:val="00000000"/>
    <w:lvl w:ilvl="0">
      <w:start w:val="3"/>
      <w:numFmt w:val="decimal"/>
      <w:lvlText w:val="%1."/>
      <w:lvlJc w:val="left"/>
      <w:pPr>
        <w:ind w:left="836" w:hanging="362"/>
        <w:jc w:val="left"/>
      </w:pPr>
      <w:rPr>
        <w:rFonts w:ascii="Microsoft JhengHei" w:eastAsia="Microsoft JhengHei" w:hAnsi="Microsoft JhengHei" w:cs="Microsoft JhengHei" w:hint="default"/>
        <w:b/>
        <w:bCs/>
        <w:i w:val="0"/>
        <w:iCs w:val="0"/>
        <w:w w:val="83"/>
        <w:sz w:val="24"/>
        <w:szCs w:val="24"/>
        <w:lang w:val="en-US" w:eastAsia="zh-CN" w:bidi="ar-SA"/>
      </w:rPr>
    </w:lvl>
    <w:lvl w:ilvl="1">
      <w:start w:val="1"/>
      <w:numFmt w:val="decimal"/>
      <w:lvlText w:val="%1.%2"/>
      <w:lvlJc w:val="left"/>
      <w:pPr>
        <w:ind w:left="897" w:hanging="423"/>
        <w:jc w:val="right"/>
      </w:pPr>
      <w:rPr>
        <w:rFonts w:ascii="Microsoft JhengHei" w:eastAsia="Microsoft JhengHei" w:hAnsi="Microsoft JhengHei" w:cs="Microsoft JhengHei" w:hint="default"/>
        <w:b/>
        <w:bCs/>
        <w:i w:val="0"/>
        <w:iCs w:val="0"/>
        <w:w w:val="83"/>
        <w:sz w:val="24"/>
        <w:szCs w:val="24"/>
        <w:lang w:val="en-US" w:eastAsia="zh-CN" w:bidi="ar-SA"/>
      </w:rPr>
    </w:lvl>
    <w:lvl w:ilvl="2">
      <w:start w:val="0"/>
      <w:numFmt w:val="bullet"/>
      <w:lvlText w:val="•"/>
      <w:lvlJc w:val="left"/>
      <w:pPr>
        <w:ind w:left="1965" w:hanging="423"/>
      </w:pPr>
      <w:rPr>
        <w:rFonts w:hint="default"/>
        <w:lang w:val="en-US" w:eastAsia="zh-CN" w:bidi="ar-SA"/>
      </w:rPr>
    </w:lvl>
    <w:lvl w:ilvl="3">
      <w:start w:val="0"/>
      <w:numFmt w:val="bullet"/>
      <w:lvlText w:val="•"/>
      <w:lvlJc w:val="left"/>
      <w:pPr>
        <w:ind w:left="3030" w:hanging="423"/>
      </w:pPr>
      <w:rPr>
        <w:rFonts w:hint="default"/>
        <w:lang w:val="en-US" w:eastAsia="zh-CN" w:bidi="ar-SA"/>
      </w:rPr>
    </w:lvl>
    <w:lvl w:ilvl="4">
      <w:start w:val="0"/>
      <w:numFmt w:val="bullet"/>
      <w:lvlText w:val="•"/>
      <w:lvlJc w:val="left"/>
      <w:pPr>
        <w:ind w:left="4095" w:hanging="423"/>
      </w:pPr>
      <w:rPr>
        <w:rFonts w:hint="default"/>
        <w:lang w:val="en-US" w:eastAsia="zh-CN" w:bidi="ar-SA"/>
      </w:rPr>
    </w:lvl>
    <w:lvl w:ilvl="5">
      <w:start w:val="0"/>
      <w:numFmt w:val="bullet"/>
      <w:lvlText w:val="•"/>
      <w:lvlJc w:val="left"/>
      <w:pPr>
        <w:ind w:left="5160" w:hanging="423"/>
      </w:pPr>
      <w:rPr>
        <w:rFonts w:hint="default"/>
        <w:lang w:val="en-US" w:eastAsia="zh-CN" w:bidi="ar-SA"/>
      </w:rPr>
    </w:lvl>
    <w:lvl w:ilvl="6">
      <w:start w:val="0"/>
      <w:numFmt w:val="bullet"/>
      <w:lvlText w:val="•"/>
      <w:lvlJc w:val="left"/>
      <w:pPr>
        <w:ind w:left="6226" w:hanging="423"/>
      </w:pPr>
      <w:rPr>
        <w:rFonts w:hint="default"/>
        <w:lang w:val="en-US" w:eastAsia="zh-CN" w:bidi="ar-SA"/>
      </w:rPr>
    </w:lvl>
    <w:lvl w:ilvl="7">
      <w:start w:val="0"/>
      <w:numFmt w:val="bullet"/>
      <w:lvlText w:val="•"/>
      <w:lvlJc w:val="left"/>
      <w:pPr>
        <w:ind w:left="7291" w:hanging="423"/>
      </w:pPr>
      <w:rPr>
        <w:rFonts w:hint="default"/>
        <w:lang w:val="en-US" w:eastAsia="zh-CN" w:bidi="ar-SA"/>
      </w:rPr>
    </w:lvl>
    <w:lvl w:ilvl="8">
      <w:start w:val="0"/>
      <w:numFmt w:val="bullet"/>
      <w:lvlText w:val="•"/>
      <w:lvlJc w:val="left"/>
      <w:pPr>
        <w:ind w:left="8356" w:hanging="423"/>
      </w:pPr>
      <w:rPr>
        <w:rFonts w:hint="default"/>
        <w:lang w:val="en-US" w:eastAsia="zh-CN" w:bidi="ar-SA"/>
      </w:rPr>
    </w:lvl>
  </w:abstractNum>
  <w:abstractNum w:abstractNumId="43">
    <w:nsid w:val="642BCD9A"/>
    <w:multiLevelType w:val="hybridMultilevel"/>
    <w:tmpl w:val="00000000"/>
    <w:lvl w:ilvl="0">
      <w:start w:val="9"/>
      <w:numFmt w:val="decimal"/>
      <w:lvlText w:val="%1."/>
      <w:lvlJc w:val="left"/>
      <w:pPr>
        <w:ind w:left="528" w:hanging="42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86" w:hanging="420"/>
      </w:pPr>
      <w:rPr>
        <w:rFonts w:hint="default"/>
        <w:lang w:val="en-US" w:eastAsia="zh-CN" w:bidi="ar-SA"/>
      </w:rPr>
    </w:lvl>
    <w:lvl w:ilvl="2">
      <w:start w:val="0"/>
      <w:numFmt w:val="bullet"/>
      <w:lvlText w:val="•"/>
      <w:lvlJc w:val="left"/>
      <w:pPr>
        <w:ind w:left="1253" w:hanging="420"/>
      </w:pPr>
      <w:rPr>
        <w:rFonts w:hint="default"/>
        <w:lang w:val="en-US" w:eastAsia="zh-CN" w:bidi="ar-SA"/>
      </w:rPr>
    </w:lvl>
    <w:lvl w:ilvl="3">
      <w:start w:val="0"/>
      <w:numFmt w:val="bullet"/>
      <w:lvlText w:val="•"/>
      <w:lvlJc w:val="left"/>
      <w:pPr>
        <w:ind w:left="1620" w:hanging="420"/>
      </w:pPr>
      <w:rPr>
        <w:rFonts w:hint="default"/>
        <w:lang w:val="en-US" w:eastAsia="zh-CN" w:bidi="ar-SA"/>
      </w:rPr>
    </w:lvl>
    <w:lvl w:ilvl="4">
      <w:start w:val="0"/>
      <w:numFmt w:val="bullet"/>
      <w:lvlText w:val="•"/>
      <w:lvlJc w:val="left"/>
      <w:pPr>
        <w:ind w:left="1987" w:hanging="420"/>
      </w:pPr>
      <w:rPr>
        <w:rFonts w:hint="default"/>
        <w:lang w:val="en-US" w:eastAsia="zh-CN" w:bidi="ar-SA"/>
      </w:rPr>
    </w:lvl>
    <w:lvl w:ilvl="5">
      <w:start w:val="0"/>
      <w:numFmt w:val="bullet"/>
      <w:lvlText w:val="•"/>
      <w:lvlJc w:val="left"/>
      <w:pPr>
        <w:ind w:left="2354" w:hanging="420"/>
      </w:pPr>
      <w:rPr>
        <w:rFonts w:hint="default"/>
        <w:lang w:val="en-US" w:eastAsia="zh-CN" w:bidi="ar-SA"/>
      </w:rPr>
    </w:lvl>
    <w:lvl w:ilvl="6">
      <w:start w:val="0"/>
      <w:numFmt w:val="bullet"/>
      <w:lvlText w:val="•"/>
      <w:lvlJc w:val="left"/>
      <w:pPr>
        <w:ind w:left="2720" w:hanging="420"/>
      </w:pPr>
      <w:rPr>
        <w:rFonts w:hint="default"/>
        <w:lang w:val="en-US" w:eastAsia="zh-CN" w:bidi="ar-SA"/>
      </w:rPr>
    </w:lvl>
    <w:lvl w:ilvl="7">
      <w:start w:val="0"/>
      <w:numFmt w:val="bullet"/>
      <w:lvlText w:val="•"/>
      <w:lvlJc w:val="left"/>
      <w:pPr>
        <w:ind w:left="3087" w:hanging="420"/>
      </w:pPr>
      <w:rPr>
        <w:rFonts w:hint="default"/>
        <w:lang w:val="en-US" w:eastAsia="zh-CN" w:bidi="ar-SA"/>
      </w:rPr>
    </w:lvl>
    <w:lvl w:ilvl="8">
      <w:start w:val="0"/>
      <w:numFmt w:val="bullet"/>
      <w:lvlText w:val="•"/>
      <w:lvlJc w:val="left"/>
      <w:pPr>
        <w:ind w:left="3454" w:hanging="420"/>
      </w:pPr>
      <w:rPr>
        <w:rFonts w:hint="default"/>
        <w:lang w:val="en-US" w:eastAsia="zh-CN" w:bidi="ar-SA"/>
      </w:rPr>
    </w:lvl>
  </w:abstractNum>
  <w:abstractNum w:abstractNumId="44">
    <w:nsid w:val="64DD21C7"/>
    <w:multiLevelType w:val="hybridMultilevel"/>
    <w:tmpl w:val="00000000"/>
    <w:lvl w:ilvl="0">
      <w:start w:val="1"/>
      <w:numFmt w:val="decimal"/>
      <w:lvlText w:val="（%1）"/>
      <w:lvlJc w:val="left"/>
      <w:pPr>
        <w:ind w:left="155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452" w:hanging="601"/>
      </w:pPr>
      <w:rPr>
        <w:rFonts w:hint="default"/>
        <w:lang w:val="en-US" w:eastAsia="zh-CN" w:bidi="ar-SA"/>
      </w:rPr>
    </w:lvl>
    <w:lvl w:ilvl="2">
      <w:start w:val="0"/>
      <w:numFmt w:val="bullet"/>
      <w:lvlText w:val="•"/>
      <w:lvlJc w:val="left"/>
      <w:pPr>
        <w:ind w:left="3345" w:hanging="601"/>
      </w:pPr>
      <w:rPr>
        <w:rFonts w:hint="default"/>
        <w:lang w:val="en-US" w:eastAsia="zh-CN" w:bidi="ar-SA"/>
      </w:rPr>
    </w:lvl>
    <w:lvl w:ilvl="3">
      <w:start w:val="0"/>
      <w:numFmt w:val="bullet"/>
      <w:lvlText w:val="•"/>
      <w:lvlJc w:val="left"/>
      <w:pPr>
        <w:ind w:left="4238" w:hanging="601"/>
      </w:pPr>
      <w:rPr>
        <w:rFonts w:hint="default"/>
        <w:lang w:val="en-US" w:eastAsia="zh-CN" w:bidi="ar-SA"/>
      </w:rPr>
    </w:lvl>
    <w:lvl w:ilvl="4">
      <w:start w:val="0"/>
      <w:numFmt w:val="bullet"/>
      <w:lvlText w:val="•"/>
      <w:lvlJc w:val="left"/>
      <w:pPr>
        <w:ind w:left="5130" w:hanging="601"/>
      </w:pPr>
      <w:rPr>
        <w:rFonts w:hint="default"/>
        <w:lang w:val="en-US" w:eastAsia="zh-CN" w:bidi="ar-SA"/>
      </w:rPr>
    </w:lvl>
    <w:lvl w:ilvl="5">
      <w:start w:val="0"/>
      <w:numFmt w:val="bullet"/>
      <w:lvlText w:val="•"/>
      <w:lvlJc w:val="left"/>
      <w:pPr>
        <w:ind w:left="6023" w:hanging="601"/>
      </w:pPr>
      <w:rPr>
        <w:rFonts w:hint="default"/>
        <w:lang w:val="en-US" w:eastAsia="zh-CN" w:bidi="ar-SA"/>
      </w:rPr>
    </w:lvl>
    <w:lvl w:ilvl="6">
      <w:start w:val="0"/>
      <w:numFmt w:val="bullet"/>
      <w:lvlText w:val="•"/>
      <w:lvlJc w:val="left"/>
      <w:pPr>
        <w:ind w:left="6916" w:hanging="601"/>
      </w:pPr>
      <w:rPr>
        <w:rFonts w:hint="default"/>
        <w:lang w:val="en-US" w:eastAsia="zh-CN" w:bidi="ar-SA"/>
      </w:rPr>
    </w:lvl>
    <w:lvl w:ilvl="7">
      <w:start w:val="0"/>
      <w:numFmt w:val="bullet"/>
      <w:lvlText w:val="•"/>
      <w:lvlJc w:val="left"/>
      <w:pPr>
        <w:ind w:left="7808" w:hanging="601"/>
      </w:pPr>
      <w:rPr>
        <w:rFonts w:hint="default"/>
        <w:lang w:val="en-US" w:eastAsia="zh-CN" w:bidi="ar-SA"/>
      </w:rPr>
    </w:lvl>
    <w:lvl w:ilvl="8">
      <w:start w:val="0"/>
      <w:numFmt w:val="bullet"/>
      <w:lvlText w:val="•"/>
      <w:lvlJc w:val="left"/>
      <w:pPr>
        <w:ind w:left="8701" w:hanging="601"/>
      </w:pPr>
      <w:rPr>
        <w:rFonts w:hint="default"/>
        <w:lang w:val="en-US" w:eastAsia="zh-CN" w:bidi="ar-SA"/>
      </w:rPr>
    </w:lvl>
  </w:abstractNum>
  <w:abstractNum w:abstractNumId="45">
    <w:nsid w:val="6957B942"/>
    <w:multiLevelType w:val="hybridMultilevel"/>
    <w:tmpl w:val="00000000"/>
    <w:lvl w:ilvl="0">
      <w:start w:val="1"/>
      <w:numFmt w:val="decimal"/>
      <w:lvlText w:val="%1."/>
      <w:lvlJc w:val="left"/>
      <w:pPr>
        <w:ind w:left="468" w:hanging="36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832" w:hanging="360"/>
      </w:pPr>
      <w:rPr>
        <w:rFonts w:hint="default"/>
        <w:lang w:val="en-US" w:eastAsia="zh-CN" w:bidi="ar-SA"/>
      </w:rPr>
    </w:lvl>
    <w:lvl w:ilvl="2">
      <w:start w:val="0"/>
      <w:numFmt w:val="bullet"/>
      <w:lvlText w:val="•"/>
      <w:lvlJc w:val="left"/>
      <w:pPr>
        <w:ind w:left="1205" w:hanging="360"/>
      </w:pPr>
      <w:rPr>
        <w:rFonts w:hint="default"/>
        <w:lang w:val="en-US" w:eastAsia="zh-CN" w:bidi="ar-SA"/>
      </w:rPr>
    </w:lvl>
    <w:lvl w:ilvl="3">
      <w:start w:val="0"/>
      <w:numFmt w:val="bullet"/>
      <w:lvlText w:val="•"/>
      <w:lvlJc w:val="left"/>
      <w:pPr>
        <w:ind w:left="1578" w:hanging="360"/>
      </w:pPr>
      <w:rPr>
        <w:rFonts w:hint="default"/>
        <w:lang w:val="en-US" w:eastAsia="zh-CN" w:bidi="ar-SA"/>
      </w:rPr>
    </w:lvl>
    <w:lvl w:ilvl="4">
      <w:start w:val="0"/>
      <w:numFmt w:val="bullet"/>
      <w:lvlText w:val="•"/>
      <w:lvlJc w:val="left"/>
      <w:pPr>
        <w:ind w:left="1951" w:hanging="360"/>
      </w:pPr>
      <w:rPr>
        <w:rFonts w:hint="default"/>
        <w:lang w:val="en-US" w:eastAsia="zh-CN" w:bidi="ar-SA"/>
      </w:rPr>
    </w:lvl>
    <w:lvl w:ilvl="5">
      <w:start w:val="0"/>
      <w:numFmt w:val="bullet"/>
      <w:lvlText w:val="•"/>
      <w:lvlJc w:val="left"/>
      <w:pPr>
        <w:ind w:left="2324" w:hanging="360"/>
      </w:pPr>
      <w:rPr>
        <w:rFonts w:hint="default"/>
        <w:lang w:val="en-US" w:eastAsia="zh-CN" w:bidi="ar-SA"/>
      </w:rPr>
    </w:lvl>
    <w:lvl w:ilvl="6">
      <w:start w:val="0"/>
      <w:numFmt w:val="bullet"/>
      <w:lvlText w:val="•"/>
      <w:lvlJc w:val="left"/>
      <w:pPr>
        <w:ind w:left="2696" w:hanging="360"/>
      </w:pPr>
      <w:rPr>
        <w:rFonts w:hint="default"/>
        <w:lang w:val="en-US" w:eastAsia="zh-CN" w:bidi="ar-SA"/>
      </w:rPr>
    </w:lvl>
    <w:lvl w:ilvl="7">
      <w:start w:val="0"/>
      <w:numFmt w:val="bullet"/>
      <w:lvlText w:val="•"/>
      <w:lvlJc w:val="left"/>
      <w:pPr>
        <w:ind w:left="3069" w:hanging="360"/>
      </w:pPr>
      <w:rPr>
        <w:rFonts w:hint="default"/>
        <w:lang w:val="en-US" w:eastAsia="zh-CN" w:bidi="ar-SA"/>
      </w:rPr>
    </w:lvl>
    <w:lvl w:ilvl="8">
      <w:start w:val="0"/>
      <w:numFmt w:val="bullet"/>
      <w:lvlText w:val="•"/>
      <w:lvlJc w:val="left"/>
      <w:pPr>
        <w:ind w:left="3442" w:hanging="360"/>
      </w:pPr>
      <w:rPr>
        <w:rFonts w:hint="default"/>
        <w:lang w:val="en-US" w:eastAsia="zh-CN" w:bidi="ar-SA"/>
      </w:rPr>
    </w:lvl>
  </w:abstractNum>
  <w:abstractNum w:abstractNumId="46">
    <w:nsid w:val="6DB6F42D"/>
    <w:multiLevelType w:val="hybridMultilevel"/>
    <w:tmpl w:val="00000000"/>
    <w:lvl w:ilvl="0">
      <w:start w:val="1"/>
      <w:numFmt w:val="decimal"/>
      <w:lvlText w:val="%1."/>
      <w:lvlJc w:val="left"/>
      <w:pPr>
        <w:ind w:left="897" w:hanging="423"/>
        <w:jc w:val="left"/>
      </w:pPr>
      <w:rPr>
        <w:rFonts w:hint="default"/>
        <w:spacing w:val="1"/>
        <w:w w:val="81"/>
        <w:lang w:val="en-US" w:eastAsia="zh-CN" w:bidi="ar-SA"/>
      </w:rPr>
    </w:lvl>
    <w:lvl w:ilvl="1">
      <w:start w:val="1"/>
      <w:numFmt w:val="decimal"/>
      <w:lvlText w:val="%1.%2"/>
      <w:lvlJc w:val="left"/>
      <w:pPr>
        <w:ind w:left="1436" w:hanging="481"/>
        <w:jc w:val="left"/>
      </w:pPr>
      <w:rPr>
        <w:rFonts w:hint="default"/>
        <w:w w:val="100"/>
        <w:lang w:val="en-US" w:eastAsia="zh-CN" w:bidi="ar-SA"/>
      </w:rPr>
    </w:lvl>
    <w:lvl w:ilvl="2">
      <w:start w:val="1"/>
      <w:numFmt w:val="decimal"/>
      <w:lvlText w:val="%1.%2.%3"/>
      <w:lvlJc w:val="left"/>
      <w:pPr>
        <w:ind w:left="475" w:hanging="481"/>
        <w:jc w:val="left"/>
      </w:pPr>
      <w:rPr>
        <w:rFonts w:ascii="宋体" w:eastAsia="宋体" w:hAnsi="宋体" w:cs="宋体" w:hint="default"/>
        <w:b w:val="0"/>
        <w:bCs w:val="0"/>
        <w:i w:val="0"/>
        <w:iCs w:val="0"/>
        <w:w w:val="100"/>
        <w:sz w:val="24"/>
        <w:szCs w:val="24"/>
        <w:lang w:val="en-US" w:eastAsia="zh-CN" w:bidi="ar-SA"/>
      </w:rPr>
    </w:lvl>
    <w:lvl w:ilvl="3">
      <w:start w:val="0"/>
      <w:numFmt w:val="bullet"/>
      <w:lvlText w:val="•"/>
      <w:lvlJc w:val="left"/>
      <w:pPr>
        <w:ind w:left="1380" w:hanging="481"/>
      </w:pPr>
      <w:rPr>
        <w:rFonts w:hint="default"/>
        <w:lang w:val="en-US" w:eastAsia="zh-CN" w:bidi="ar-SA"/>
      </w:rPr>
    </w:lvl>
    <w:lvl w:ilvl="4">
      <w:start w:val="0"/>
      <w:numFmt w:val="bullet"/>
      <w:lvlText w:val="•"/>
      <w:lvlJc w:val="left"/>
      <w:pPr>
        <w:ind w:left="1440" w:hanging="481"/>
      </w:pPr>
      <w:rPr>
        <w:rFonts w:hint="default"/>
        <w:lang w:val="en-US" w:eastAsia="zh-CN" w:bidi="ar-SA"/>
      </w:rPr>
    </w:lvl>
    <w:lvl w:ilvl="5">
      <w:start w:val="0"/>
      <w:numFmt w:val="bullet"/>
      <w:lvlText w:val="•"/>
      <w:lvlJc w:val="left"/>
      <w:pPr>
        <w:ind w:left="1560" w:hanging="481"/>
      </w:pPr>
      <w:rPr>
        <w:rFonts w:hint="default"/>
        <w:lang w:val="en-US" w:eastAsia="zh-CN" w:bidi="ar-SA"/>
      </w:rPr>
    </w:lvl>
    <w:lvl w:ilvl="6">
      <w:start w:val="0"/>
      <w:numFmt w:val="bullet"/>
      <w:lvlText w:val="•"/>
      <w:lvlJc w:val="left"/>
      <w:pPr>
        <w:ind w:left="3345" w:hanging="481"/>
      </w:pPr>
      <w:rPr>
        <w:rFonts w:hint="default"/>
        <w:lang w:val="en-US" w:eastAsia="zh-CN" w:bidi="ar-SA"/>
      </w:rPr>
    </w:lvl>
    <w:lvl w:ilvl="7">
      <w:start w:val="0"/>
      <w:numFmt w:val="bullet"/>
      <w:lvlText w:val="•"/>
      <w:lvlJc w:val="left"/>
      <w:pPr>
        <w:ind w:left="5130" w:hanging="481"/>
      </w:pPr>
      <w:rPr>
        <w:rFonts w:hint="default"/>
        <w:lang w:val="en-US" w:eastAsia="zh-CN" w:bidi="ar-SA"/>
      </w:rPr>
    </w:lvl>
    <w:lvl w:ilvl="8">
      <w:start w:val="0"/>
      <w:numFmt w:val="bullet"/>
      <w:lvlText w:val="•"/>
      <w:lvlJc w:val="left"/>
      <w:pPr>
        <w:ind w:left="6916" w:hanging="481"/>
      </w:pPr>
      <w:rPr>
        <w:rFonts w:hint="default"/>
        <w:lang w:val="en-US" w:eastAsia="zh-CN" w:bidi="ar-SA"/>
      </w:rPr>
    </w:lvl>
  </w:abstractNum>
  <w:abstractNum w:abstractNumId="47">
    <w:nsid w:val="6F4F4E34"/>
    <w:multiLevelType w:val="hybridMultilevel"/>
    <w:tmpl w:val="00000000"/>
    <w:lvl w:ilvl="0">
      <w:start w:val="1"/>
      <w:numFmt w:val="decimal"/>
      <w:lvlText w:val="（%1）"/>
      <w:lvlJc w:val="left"/>
      <w:pPr>
        <w:ind w:left="1076" w:hanging="60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2020" w:hanging="601"/>
      </w:pPr>
      <w:rPr>
        <w:rFonts w:hint="default"/>
        <w:lang w:val="en-US" w:eastAsia="zh-CN" w:bidi="ar-SA"/>
      </w:rPr>
    </w:lvl>
    <w:lvl w:ilvl="2">
      <w:start w:val="0"/>
      <w:numFmt w:val="bullet"/>
      <w:lvlText w:val="•"/>
      <w:lvlJc w:val="left"/>
      <w:pPr>
        <w:ind w:left="2961" w:hanging="601"/>
      </w:pPr>
      <w:rPr>
        <w:rFonts w:hint="default"/>
        <w:lang w:val="en-US" w:eastAsia="zh-CN" w:bidi="ar-SA"/>
      </w:rPr>
    </w:lvl>
    <w:lvl w:ilvl="3">
      <w:start w:val="0"/>
      <w:numFmt w:val="bullet"/>
      <w:lvlText w:val="•"/>
      <w:lvlJc w:val="left"/>
      <w:pPr>
        <w:ind w:left="3902" w:hanging="601"/>
      </w:pPr>
      <w:rPr>
        <w:rFonts w:hint="default"/>
        <w:lang w:val="en-US" w:eastAsia="zh-CN" w:bidi="ar-SA"/>
      </w:rPr>
    </w:lvl>
    <w:lvl w:ilvl="4">
      <w:start w:val="0"/>
      <w:numFmt w:val="bullet"/>
      <w:lvlText w:val="•"/>
      <w:lvlJc w:val="left"/>
      <w:pPr>
        <w:ind w:left="4842" w:hanging="601"/>
      </w:pPr>
      <w:rPr>
        <w:rFonts w:hint="default"/>
        <w:lang w:val="en-US" w:eastAsia="zh-CN" w:bidi="ar-SA"/>
      </w:rPr>
    </w:lvl>
    <w:lvl w:ilvl="5">
      <w:start w:val="0"/>
      <w:numFmt w:val="bullet"/>
      <w:lvlText w:val="•"/>
      <w:lvlJc w:val="left"/>
      <w:pPr>
        <w:ind w:left="5783" w:hanging="601"/>
      </w:pPr>
      <w:rPr>
        <w:rFonts w:hint="default"/>
        <w:lang w:val="en-US" w:eastAsia="zh-CN" w:bidi="ar-SA"/>
      </w:rPr>
    </w:lvl>
    <w:lvl w:ilvl="6">
      <w:start w:val="0"/>
      <w:numFmt w:val="bullet"/>
      <w:lvlText w:val="•"/>
      <w:lvlJc w:val="left"/>
      <w:pPr>
        <w:ind w:left="6724" w:hanging="601"/>
      </w:pPr>
      <w:rPr>
        <w:rFonts w:hint="default"/>
        <w:lang w:val="en-US" w:eastAsia="zh-CN" w:bidi="ar-SA"/>
      </w:rPr>
    </w:lvl>
    <w:lvl w:ilvl="7">
      <w:start w:val="0"/>
      <w:numFmt w:val="bullet"/>
      <w:lvlText w:val="•"/>
      <w:lvlJc w:val="left"/>
      <w:pPr>
        <w:ind w:left="7664" w:hanging="601"/>
      </w:pPr>
      <w:rPr>
        <w:rFonts w:hint="default"/>
        <w:lang w:val="en-US" w:eastAsia="zh-CN" w:bidi="ar-SA"/>
      </w:rPr>
    </w:lvl>
    <w:lvl w:ilvl="8">
      <w:start w:val="0"/>
      <w:numFmt w:val="bullet"/>
      <w:lvlText w:val="•"/>
      <w:lvlJc w:val="left"/>
      <w:pPr>
        <w:ind w:left="8605" w:hanging="601"/>
      </w:pPr>
      <w:rPr>
        <w:rFonts w:hint="default"/>
        <w:lang w:val="en-US" w:eastAsia="zh-CN" w:bidi="ar-SA"/>
      </w:rPr>
    </w:lvl>
  </w:abstractNum>
  <w:abstractNum w:abstractNumId="48">
    <w:nsid w:val="71DEE43C"/>
    <w:multiLevelType w:val="hybridMultilevel"/>
    <w:tmpl w:val="00000000"/>
    <w:lvl w:ilvl="0">
      <w:start w:val="1"/>
      <w:numFmt w:val="decimal"/>
      <w:lvlText w:val="（%1）"/>
      <w:lvlJc w:val="left"/>
      <w:pPr>
        <w:ind w:left="708" w:hanging="602"/>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1385" w:hanging="602"/>
      </w:pPr>
      <w:rPr>
        <w:rFonts w:hint="default"/>
        <w:lang w:val="en-US" w:eastAsia="zh-CN" w:bidi="ar-SA"/>
      </w:rPr>
    </w:lvl>
    <w:lvl w:ilvl="2">
      <w:start w:val="0"/>
      <w:numFmt w:val="bullet"/>
      <w:lvlText w:val="•"/>
      <w:lvlJc w:val="left"/>
      <w:pPr>
        <w:ind w:left="2070" w:hanging="602"/>
      </w:pPr>
      <w:rPr>
        <w:rFonts w:hint="default"/>
        <w:lang w:val="en-US" w:eastAsia="zh-CN" w:bidi="ar-SA"/>
      </w:rPr>
    </w:lvl>
    <w:lvl w:ilvl="3">
      <w:start w:val="0"/>
      <w:numFmt w:val="bullet"/>
      <w:lvlText w:val="•"/>
      <w:lvlJc w:val="left"/>
      <w:pPr>
        <w:ind w:left="2755" w:hanging="602"/>
      </w:pPr>
      <w:rPr>
        <w:rFonts w:hint="default"/>
        <w:lang w:val="en-US" w:eastAsia="zh-CN" w:bidi="ar-SA"/>
      </w:rPr>
    </w:lvl>
    <w:lvl w:ilvl="4">
      <w:start w:val="0"/>
      <w:numFmt w:val="bullet"/>
      <w:lvlText w:val="•"/>
      <w:lvlJc w:val="left"/>
      <w:pPr>
        <w:ind w:left="3440" w:hanging="602"/>
      </w:pPr>
      <w:rPr>
        <w:rFonts w:hint="default"/>
        <w:lang w:val="en-US" w:eastAsia="zh-CN" w:bidi="ar-SA"/>
      </w:rPr>
    </w:lvl>
    <w:lvl w:ilvl="5">
      <w:start w:val="0"/>
      <w:numFmt w:val="bullet"/>
      <w:lvlText w:val="•"/>
      <w:lvlJc w:val="left"/>
      <w:pPr>
        <w:ind w:left="4125" w:hanging="602"/>
      </w:pPr>
      <w:rPr>
        <w:rFonts w:hint="default"/>
        <w:lang w:val="en-US" w:eastAsia="zh-CN" w:bidi="ar-SA"/>
      </w:rPr>
    </w:lvl>
    <w:lvl w:ilvl="6">
      <w:start w:val="0"/>
      <w:numFmt w:val="bullet"/>
      <w:lvlText w:val="•"/>
      <w:lvlJc w:val="left"/>
      <w:pPr>
        <w:ind w:left="4810" w:hanging="602"/>
      </w:pPr>
      <w:rPr>
        <w:rFonts w:hint="default"/>
        <w:lang w:val="en-US" w:eastAsia="zh-CN" w:bidi="ar-SA"/>
      </w:rPr>
    </w:lvl>
    <w:lvl w:ilvl="7">
      <w:start w:val="0"/>
      <w:numFmt w:val="bullet"/>
      <w:lvlText w:val="•"/>
      <w:lvlJc w:val="left"/>
      <w:pPr>
        <w:ind w:left="5495" w:hanging="602"/>
      </w:pPr>
      <w:rPr>
        <w:rFonts w:hint="default"/>
        <w:lang w:val="en-US" w:eastAsia="zh-CN" w:bidi="ar-SA"/>
      </w:rPr>
    </w:lvl>
    <w:lvl w:ilvl="8">
      <w:start w:val="0"/>
      <w:numFmt w:val="bullet"/>
      <w:lvlText w:val="•"/>
      <w:lvlJc w:val="left"/>
      <w:pPr>
        <w:ind w:left="6180" w:hanging="602"/>
      </w:pPr>
      <w:rPr>
        <w:rFonts w:hint="default"/>
        <w:lang w:val="en-US" w:eastAsia="zh-CN" w:bidi="ar-SA"/>
      </w:rPr>
    </w:lvl>
  </w:abstractNum>
  <w:abstractNum w:abstractNumId="49">
    <w:nsid w:val="7B67DA66"/>
    <w:multiLevelType w:val="hybridMultilevel"/>
    <w:tmpl w:val="00000000"/>
    <w:lvl w:ilvl="0">
      <w:start w:val="1"/>
      <w:numFmt w:val="decimal"/>
      <w:lvlText w:val="%1."/>
      <w:lvlJc w:val="left"/>
      <w:pPr>
        <w:ind w:left="110" w:hanging="300"/>
        <w:jc w:val="left"/>
      </w:pPr>
      <w:rPr>
        <w:rFonts w:ascii="宋体" w:eastAsia="宋体" w:hAnsi="宋体" w:cs="宋体" w:hint="default"/>
        <w:b w:val="0"/>
        <w:bCs w:val="0"/>
        <w:i w:val="0"/>
        <w:iCs w:val="0"/>
        <w:w w:val="100"/>
        <w:sz w:val="24"/>
        <w:szCs w:val="24"/>
        <w:lang w:val="en-US" w:eastAsia="zh-CN" w:bidi="ar-SA"/>
      </w:rPr>
    </w:lvl>
    <w:lvl w:ilvl="1">
      <w:start w:val="0"/>
      <w:numFmt w:val="bullet"/>
      <w:lvlText w:val="•"/>
      <w:lvlJc w:val="left"/>
      <w:pPr>
        <w:ind w:left="557" w:hanging="300"/>
      </w:pPr>
      <w:rPr>
        <w:rFonts w:hint="default"/>
        <w:lang w:val="en-US" w:eastAsia="zh-CN" w:bidi="ar-SA"/>
      </w:rPr>
    </w:lvl>
    <w:lvl w:ilvl="2">
      <w:start w:val="0"/>
      <w:numFmt w:val="bullet"/>
      <w:lvlText w:val="•"/>
      <w:lvlJc w:val="left"/>
      <w:pPr>
        <w:ind w:left="994" w:hanging="300"/>
      </w:pPr>
      <w:rPr>
        <w:rFonts w:hint="default"/>
        <w:lang w:val="en-US" w:eastAsia="zh-CN" w:bidi="ar-SA"/>
      </w:rPr>
    </w:lvl>
    <w:lvl w:ilvl="3">
      <w:start w:val="0"/>
      <w:numFmt w:val="bullet"/>
      <w:lvlText w:val="•"/>
      <w:lvlJc w:val="left"/>
      <w:pPr>
        <w:ind w:left="1431" w:hanging="300"/>
      </w:pPr>
      <w:rPr>
        <w:rFonts w:hint="default"/>
        <w:lang w:val="en-US" w:eastAsia="zh-CN" w:bidi="ar-SA"/>
      </w:rPr>
    </w:lvl>
    <w:lvl w:ilvl="4">
      <w:start w:val="0"/>
      <w:numFmt w:val="bullet"/>
      <w:lvlText w:val="•"/>
      <w:lvlJc w:val="left"/>
      <w:pPr>
        <w:ind w:left="1868" w:hanging="300"/>
      </w:pPr>
      <w:rPr>
        <w:rFonts w:hint="default"/>
        <w:lang w:val="en-US" w:eastAsia="zh-CN" w:bidi="ar-SA"/>
      </w:rPr>
    </w:lvl>
    <w:lvl w:ilvl="5">
      <w:start w:val="0"/>
      <w:numFmt w:val="bullet"/>
      <w:lvlText w:val="•"/>
      <w:lvlJc w:val="left"/>
      <w:pPr>
        <w:ind w:left="2305" w:hanging="300"/>
      </w:pPr>
      <w:rPr>
        <w:rFonts w:hint="default"/>
        <w:lang w:val="en-US" w:eastAsia="zh-CN" w:bidi="ar-SA"/>
      </w:rPr>
    </w:lvl>
    <w:lvl w:ilvl="6">
      <w:start w:val="0"/>
      <w:numFmt w:val="bullet"/>
      <w:lvlText w:val="•"/>
      <w:lvlJc w:val="left"/>
      <w:pPr>
        <w:ind w:left="2742" w:hanging="300"/>
      </w:pPr>
      <w:rPr>
        <w:rFonts w:hint="default"/>
        <w:lang w:val="en-US" w:eastAsia="zh-CN" w:bidi="ar-SA"/>
      </w:rPr>
    </w:lvl>
    <w:lvl w:ilvl="7">
      <w:start w:val="0"/>
      <w:numFmt w:val="bullet"/>
      <w:lvlText w:val="•"/>
      <w:lvlJc w:val="left"/>
      <w:pPr>
        <w:ind w:left="3179" w:hanging="300"/>
      </w:pPr>
      <w:rPr>
        <w:rFonts w:hint="default"/>
        <w:lang w:val="en-US" w:eastAsia="zh-CN" w:bidi="ar-SA"/>
      </w:rPr>
    </w:lvl>
    <w:lvl w:ilvl="8">
      <w:start w:val="0"/>
      <w:numFmt w:val="bullet"/>
      <w:lvlText w:val="•"/>
      <w:lvlJc w:val="left"/>
      <w:pPr>
        <w:ind w:left="3616" w:hanging="300"/>
      </w:pPr>
      <w:rPr>
        <w:rFonts w:hint="default"/>
        <w:lang w:val="en-US" w:eastAsia="zh-CN" w:bidi="ar-SA"/>
      </w:rPr>
    </w:lvl>
  </w:abstractNum>
  <w:abstractNum w:abstractNumId="50">
    <w:nsid w:val="7F7C940E"/>
    <w:multiLevelType w:val="hybridMultilevel"/>
    <w:tmpl w:val="00000000"/>
    <w:lvl w:ilvl="0">
      <w:start w:val="2"/>
      <w:numFmt w:val="decimal"/>
      <w:lvlText w:val="%1."/>
      <w:lvlJc w:val="left"/>
      <w:pPr>
        <w:ind w:left="108" w:hanging="241"/>
        <w:jc w:val="left"/>
      </w:pPr>
      <w:rPr>
        <w:rFonts w:ascii="宋体" w:eastAsia="宋体" w:hAnsi="宋体" w:cs="宋体" w:hint="default"/>
        <w:b w:val="0"/>
        <w:bCs w:val="0"/>
        <w:i w:val="0"/>
        <w:iCs w:val="0"/>
        <w:w w:val="100"/>
        <w:sz w:val="22"/>
        <w:szCs w:val="22"/>
        <w:lang w:val="en-US" w:eastAsia="zh-CN" w:bidi="ar-SA"/>
      </w:rPr>
    </w:lvl>
    <w:lvl w:ilvl="1">
      <w:start w:val="0"/>
      <w:numFmt w:val="bullet"/>
      <w:lvlText w:val="•"/>
      <w:lvlJc w:val="left"/>
      <w:pPr>
        <w:ind w:left="539" w:hanging="241"/>
      </w:pPr>
      <w:rPr>
        <w:rFonts w:hint="default"/>
        <w:lang w:val="en-US" w:eastAsia="zh-CN" w:bidi="ar-SA"/>
      </w:rPr>
    </w:lvl>
    <w:lvl w:ilvl="2">
      <w:start w:val="0"/>
      <w:numFmt w:val="bullet"/>
      <w:lvlText w:val="•"/>
      <w:lvlJc w:val="left"/>
      <w:pPr>
        <w:ind w:left="978" w:hanging="241"/>
      </w:pPr>
      <w:rPr>
        <w:rFonts w:hint="default"/>
        <w:lang w:val="en-US" w:eastAsia="zh-CN" w:bidi="ar-SA"/>
      </w:rPr>
    </w:lvl>
    <w:lvl w:ilvl="3">
      <w:start w:val="0"/>
      <w:numFmt w:val="bullet"/>
      <w:lvlText w:val="•"/>
      <w:lvlJc w:val="left"/>
      <w:pPr>
        <w:ind w:left="1417" w:hanging="241"/>
      </w:pPr>
      <w:rPr>
        <w:rFonts w:hint="default"/>
        <w:lang w:val="en-US" w:eastAsia="zh-CN" w:bidi="ar-SA"/>
      </w:rPr>
    </w:lvl>
    <w:lvl w:ilvl="4">
      <w:start w:val="0"/>
      <w:numFmt w:val="bullet"/>
      <w:lvlText w:val="•"/>
      <w:lvlJc w:val="left"/>
      <w:pPr>
        <w:ind w:left="1856" w:hanging="241"/>
      </w:pPr>
      <w:rPr>
        <w:rFonts w:hint="default"/>
        <w:lang w:val="en-US" w:eastAsia="zh-CN" w:bidi="ar-SA"/>
      </w:rPr>
    </w:lvl>
    <w:lvl w:ilvl="5">
      <w:start w:val="0"/>
      <w:numFmt w:val="bullet"/>
      <w:lvlText w:val="•"/>
      <w:lvlJc w:val="left"/>
      <w:pPr>
        <w:ind w:left="2295" w:hanging="241"/>
      </w:pPr>
      <w:rPr>
        <w:rFonts w:hint="default"/>
        <w:lang w:val="en-US" w:eastAsia="zh-CN" w:bidi="ar-SA"/>
      </w:rPr>
    </w:lvl>
    <w:lvl w:ilvl="6">
      <w:start w:val="0"/>
      <w:numFmt w:val="bullet"/>
      <w:lvlText w:val="•"/>
      <w:lvlJc w:val="left"/>
      <w:pPr>
        <w:ind w:left="2734" w:hanging="241"/>
      </w:pPr>
      <w:rPr>
        <w:rFonts w:hint="default"/>
        <w:lang w:val="en-US" w:eastAsia="zh-CN" w:bidi="ar-SA"/>
      </w:rPr>
    </w:lvl>
    <w:lvl w:ilvl="7">
      <w:start w:val="0"/>
      <w:numFmt w:val="bullet"/>
      <w:lvlText w:val="•"/>
      <w:lvlJc w:val="left"/>
      <w:pPr>
        <w:ind w:left="3173" w:hanging="241"/>
      </w:pPr>
      <w:rPr>
        <w:rFonts w:hint="default"/>
        <w:lang w:val="en-US" w:eastAsia="zh-CN" w:bidi="ar-SA"/>
      </w:rPr>
    </w:lvl>
    <w:lvl w:ilvl="8">
      <w:start w:val="0"/>
      <w:numFmt w:val="bullet"/>
      <w:lvlText w:val="•"/>
      <w:lvlJc w:val="left"/>
      <w:pPr>
        <w:ind w:left="3612" w:hanging="241"/>
      </w:pPr>
      <w:rPr>
        <w:rFonts w:hint="default"/>
        <w:lang w:val="en-US" w:eastAsia="zh-CN" w:bidi="ar-SA"/>
      </w:rPr>
    </w:lvl>
  </w:abstractNum>
  <w:num w:numId="1">
    <w:abstractNumId w:val="21"/>
  </w:num>
  <w:num w:numId="2">
    <w:abstractNumId w:val="31"/>
  </w:num>
  <w:num w:numId="3">
    <w:abstractNumId w:val="38"/>
  </w:num>
  <w:num w:numId="4">
    <w:abstractNumId w:val="37"/>
  </w:num>
  <w:num w:numId="5">
    <w:abstractNumId w:val="29"/>
  </w:num>
  <w:num w:numId="6">
    <w:abstractNumId w:val="34"/>
  </w:num>
  <w:num w:numId="7">
    <w:abstractNumId w:val="1"/>
  </w:num>
  <w:num w:numId="8">
    <w:abstractNumId w:val="30"/>
  </w:num>
  <w:num w:numId="9">
    <w:abstractNumId w:val="11"/>
  </w:num>
  <w:num w:numId="10">
    <w:abstractNumId w:val="7"/>
  </w:num>
  <w:num w:numId="11">
    <w:abstractNumId w:val="39"/>
  </w:num>
  <w:num w:numId="12">
    <w:abstractNumId w:val="10"/>
  </w:num>
  <w:num w:numId="13">
    <w:abstractNumId w:val="42"/>
  </w:num>
  <w:num w:numId="14">
    <w:abstractNumId w:val="40"/>
  </w:num>
  <w:num w:numId="15">
    <w:abstractNumId w:val="12"/>
  </w:num>
  <w:num w:numId="16">
    <w:abstractNumId w:val="15"/>
  </w:num>
  <w:num w:numId="17">
    <w:abstractNumId w:val="18"/>
  </w:num>
  <w:num w:numId="18">
    <w:abstractNumId w:val="45"/>
  </w:num>
  <w:num w:numId="19">
    <w:abstractNumId w:val="20"/>
  </w:num>
  <w:num w:numId="20">
    <w:abstractNumId w:val="43"/>
  </w:num>
  <w:num w:numId="21">
    <w:abstractNumId w:val="28"/>
  </w:num>
  <w:num w:numId="22">
    <w:abstractNumId w:val="22"/>
  </w:num>
  <w:num w:numId="23">
    <w:abstractNumId w:val="49"/>
  </w:num>
  <w:num w:numId="24">
    <w:abstractNumId w:val="8"/>
  </w:num>
  <w:num w:numId="25">
    <w:abstractNumId w:val="24"/>
  </w:num>
  <w:num w:numId="26">
    <w:abstractNumId w:val="50"/>
  </w:num>
  <w:num w:numId="27">
    <w:abstractNumId w:val="27"/>
  </w:num>
  <w:num w:numId="28">
    <w:abstractNumId w:val="17"/>
  </w:num>
  <w:num w:numId="29">
    <w:abstractNumId w:val="47"/>
  </w:num>
  <w:num w:numId="30">
    <w:abstractNumId w:val="25"/>
  </w:num>
  <w:num w:numId="31">
    <w:abstractNumId w:val="14"/>
  </w:num>
  <w:num w:numId="32">
    <w:abstractNumId w:val="13"/>
  </w:num>
  <w:num w:numId="33">
    <w:abstractNumId w:val="4"/>
  </w:num>
  <w:num w:numId="34">
    <w:abstractNumId w:val="6"/>
  </w:num>
  <w:num w:numId="35">
    <w:abstractNumId w:val="0"/>
  </w:num>
  <w:num w:numId="36">
    <w:abstractNumId w:val="19"/>
  </w:num>
  <w:num w:numId="37">
    <w:abstractNumId w:val="33"/>
  </w:num>
  <w:num w:numId="38">
    <w:abstractNumId w:val="35"/>
  </w:num>
  <w:num w:numId="39">
    <w:abstractNumId w:val="44"/>
  </w:num>
  <w:num w:numId="40">
    <w:abstractNumId w:val="23"/>
  </w:num>
  <w:num w:numId="41">
    <w:abstractNumId w:val="46"/>
  </w:num>
  <w:num w:numId="42">
    <w:abstractNumId w:val="3"/>
  </w:num>
  <w:num w:numId="43">
    <w:abstractNumId w:val="5"/>
  </w:num>
  <w:num w:numId="44">
    <w:abstractNumId w:val="32"/>
  </w:num>
  <w:num w:numId="45">
    <w:abstractNumId w:val="48"/>
  </w:num>
  <w:num w:numId="46">
    <w:abstractNumId w:val="36"/>
  </w:num>
  <w:num w:numId="47">
    <w:abstractNumId w:val="26"/>
  </w:num>
  <w:num w:numId="48">
    <w:abstractNumId w:val="16"/>
  </w:num>
  <w:num w:numId="49">
    <w:abstractNumId w:val="9"/>
  </w:num>
  <w:num w:numId="50">
    <w:abstractNumId w:val="2"/>
  </w:num>
  <w:num w:numId="51">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line="1005" w:lineRule="exact"/>
      <w:ind w:right="402"/>
      <w:jc w:val="center"/>
      <w:outlineLvl w:val="0"/>
    </w:pPr>
    <w:rPr>
      <w:rFonts w:ascii="Microsoft JhengHei" w:eastAsia="Microsoft JhengHei" w:hAnsi="Microsoft JhengHei" w:cs="Microsoft JhengHei"/>
      <w:b/>
      <w:bCs/>
      <w:sz w:val="72"/>
      <w:szCs w:val="72"/>
      <w:lang w:val="en-US" w:eastAsia="zh-CN" w:bidi="ar-SA"/>
    </w:rPr>
  </w:style>
  <w:style w:type="paragraph" w:styleId="Heading2">
    <w:name w:val="heading 2"/>
    <w:basedOn w:val="Normal"/>
    <w:uiPriority w:val="1"/>
    <w:qFormat/>
    <w:pPr>
      <w:spacing w:line="593" w:lineRule="exact"/>
      <w:jc w:val="center"/>
      <w:outlineLvl w:val="1"/>
    </w:pPr>
    <w:rPr>
      <w:rFonts w:ascii="Microsoft JhengHei" w:eastAsia="Microsoft JhengHei" w:hAnsi="Microsoft JhengHei" w:cs="Microsoft JhengHei"/>
      <w:b/>
      <w:bCs/>
      <w:sz w:val="36"/>
      <w:szCs w:val="36"/>
      <w:lang w:val="en-US" w:eastAsia="zh-CN" w:bidi="ar-SA"/>
    </w:rPr>
  </w:style>
  <w:style w:type="paragraph" w:styleId="Heading3">
    <w:name w:val="heading 3"/>
    <w:basedOn w:val="Normal"/>
    <w:uiPriority w:val="1"/>
    <w:qFormat/>
    <w:pPr>
      <w:spacing w:line="543" w:lineRule="exact"/>
      <w:ind w:right="401"/>
      <w:jc w:val="center"/>
      <w:outlineLvl w:val="2"/>
    </w:pPr>
    <w:rPr>
      <w:rFonts w:ascii="Microsoft JhengHei" w:eastAsia="Microsoft JhengHei" w:hAnsi="Microsoft JhengHei" w:cs="Microsoft JhengHei"/>
      <w:b/>
      <w:bCs/>
      <w:sz w:val="32"/>
      <w:szCs w:val="32"/>
      <w:lang w:val="en-US" w:eastAsia="zh-CN" w:bidi="ar-SA"/>
    </w:rPr>
  </w:style>
  <w:style w:type="paragraph" w:styleId="Heading4">
    <w:name w:val="heading 4"/>
    <w:basedOn w:val="Normal"/>
    <w:uiPriority w:val="1"/>
    <w:qFormat/>
    <w:pPr>
      <w:ind w:left="897" w:hanging="423"/>
      <w:outlineLvl w:val="3"/>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4"/>
      <w:szCs w:val="24"/>
      <w:lang w:val="en-US" w:eastAsia="zh-CN" w:bidi="ar-SA"/>
    </w:rPr>
  </w:style>
  <w:style w:type="paragraph" w:styleId="Title">
    <w:name w:val="Title"/>
    <w:basedOn w:val="Normal"/>
    <w:uiPriority w:val="1"/>
    <w:qFormat/>
    <w:pPr>
      <w:spacing w:before="101"/>
      <w:ind w:left="877" w:right="1700" w:hanging="40"/>
      <w:jc w:val="center"/>
    </w:pPr>
    <w:rPr>
      <w:rFonts w:ascii="微软雅黑" w:eastAsia="微软雅黑" w:hAnsi="微软雅黑" w:cs="微软雅黑"/>
      <w:b/>
      <w:bCs/>
      <w:sz w:val="84"/>
      <w:szCs w:val="84"/>
      <w:lang w:val="en-US" w:eastAsia="zh-CN" w:bidi="ar-SA"/>
    </w:rPr>
  </w:style>
  <w:style w:type="paragraph" w:styleId="ListParagraph">
    <w:name w:val="List Paragraph"/>
    <w:basedOn w:val="Normal"/>
    <w:uiPriority w:val="1"/>
    <w:qFormat/>
    <w:pPr>
      <w:ind w:left="475" w:firstLine="480"/>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 w:type="table" w:customStyle="1" w:styleId="TableNormal7">
    <w:name w:val="Table Normal_7"/>
    <w:uiPriority w:val="2"/>
    <w:semiHidden/>
    <w:unhideWhenUsed/>
    <w:qFormat/>
    <w:tblPr>
      <w:tblInd w:w="0" w:type="dxa"/>
      <w:tblCellMar>
        <w:top w:w="0" w:type="dxa"/>
        <w:left w:w="0" w:type="dxa"/>
        <w:bottom w:w="0" w:type="dxa"/>
        <w:right w:w="0" w:type="dxa"/>
      </w:tblCellMar>
    </w:tblPr>
  </w:style>
  <w:style w:type="table" w:customStyle="1" w:styleId="TableNormal8">
    <w:name w:val="Table Normal_8"/>
    <w:uiPriority w:val="2"/>
    <w:semiHidden/>
    <w:unhideWhenUsed/>
    <w:qFormat/>
    <w:tblPr>
      <w:tblInd w:w="0" w:type="dxa"/>
      <w:tblCellMar>
        <w:top w:w="0" w:type="dxa"/>
        <w:left w:w="0" w:type="dxa"/>
        <w:bottom w:w="0" w:type="dxa"/>
        <w:right w:w="0" w:type="dxa"/>
      </w:tblCellMar>
    </w:tblPr>
  </w:style>
  <w:style w:type="table" w:customStyle="1" w:styleId="TableNormal9">
    <w:name w:val="Table Normal_9"/>
    <w:uiPriority w:val="2"/>
    <w:semiHidden/>
    <w:unhideWhenUsed/>
    <w:qFormat/>
    <w:tblPr>
      <w:tblInd w:w="0" w:type="dxa"/>
      <w:tblCellMar>
        <w:top w:w="0" w:type="dxa"/>
        <w:left w:w="0" w:type="dxa"/>
        <w:bottom w:w="0" w:type="dxa"/>
        <w:right w:w="0" w:type="dxa"/>
      </w:tblCellMar>
    </w:tblPr>
  </w:style>
  <w:style w:type="table" w:customStyle="1" w:styleId="TableNormal10">
    <w:name w:val="Table Normal_10"/>
    <w:uiPriority w:val="2"/>
    <w:semiHidden/>
    <w:unhideWhenUsed/>
    <w:qFormat/>
    <w:tblPr>
      <w:tblInd w:w="0" w:type="dxa"/>
      <w:tblCellMar>
        <w:top w:w="0" w:type="dxa"/>
        <w:left w:w="0" w:type="dxa"/>
        <w:bottom w:w="0" w:type="dxa"/>
        <w:right w:w="0" w:type="dxa"/>
      </w:tblCellMar>
    </w:tblPr>
  </w:style>
  <w:style w:type="table" w:customStyle="1" w:styleId="TableNormal11">
    <w:name w:val="Table Normal_11"/>
    <w:uiPriority w:val="2"/>
    <w:semiHidden/>
    <w:unhideWhenUsed/>
    <w:qFormat/>
    <w:tblPr>
      <w:tblInd w:w="0" w:type="dxa"/>
      <w:tblCellMar>
        <w:top w:w="0" w:type="dxa"/>
        <w:left w:w="0" w:type="dxa"/>
        <w:bottom w:w="0" w:type="dxa"/>
        <w:right w:w="0" w:type="dxa"/>
      </w:tblCellMar>
    </w:tblPr>
  </w:style>
  <w:style w:type="table" w:customStyle="1" w:styleId="TableNormal12">
    <w:name w:val="Table Normal_1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1" Type="http://schemas.openxmlformats.org/officeDocument/2006/relationships/header" Target="header4.xml" /><Relationship Id="rId12" Type="http://schemas.openxmlformats.org/officeDocument/2006/relationships/footer" Target="footer2.xml" /><Relationship Id="rId13" Type="http://schemas.openxmlformats.org/officeDocument/2006/relationships/header" Target="header5.xml" /><Relationship Id="rId14" Type="http://schemas.openxmlformats.org/officeDocument/2006/relationships/footer" Target="footer3.xml" /><Relationship Id="rId15" Type="http://schemas.openxmlformats.org/officeDocument/2006/relationships/header" Target="header6.xml" /><Relationship Id="rId16" Type="http://schemas.openxmlformats.org/officeDocument/2006/relationships/footer" Target="footer4.xml" /><Relationship Id="rId17" Type="http://schemas.openxmlformats.org/officeDocument/2006/relationships/header" Target="header7.xml" /><Relationship Id="rId18" Type="http://schemas.openxmlformats.org/officeDocument/2006/relationships/footer" Target="footer5.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eader" Target="header9.xml" /><Relationship Id="rId22" Type="http://schemas.openxmlformats.org/officeDocument/2006/relationships/footer" Target="footer7.xml" /><Relationship Id="rId23" Type="http://schemas.openxmlformats.org/officeDocument/2006/relationships/header" Target="header10.xml" /><Relationship Id="rId24" Type="http://schemas.openxmlformats.org/officeDocument/2006/relationships/footer" Target="footer8.xml" /><Relationship Id="rId25" Type="http://schemas.openxmlformats.org/officeDocument/2006/relationships/header" Target="header11.xml" /><Relationship Id="rId26" Type="http://schemas.openxmlformats.org/officeDocument/2006/relationships/footer" Target="footer9.xml" /><Relationship Id="rId27" Type="http://schemas.openxmlformats.org/officeDocument/2006/relationships/header" Target="header12.xml" /><Relationship Id="rId28" Type="http://schemas.openxmlformats.org/officeDocument/2006/relationships/footer" Target="footer10.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4.xml" /><Relationship Id="rId32" Type="http://schemas.openxmlformats.org/officeDocument/2006/relationships/footer" Target="footer12.xml" /><Relationship Id="rId33" Type="http://schemas.openxmlformats.org/officeDocument/2006/relationships/header" Target="header15.xml" /><Relationship Id="rId34" Type="http://schemas.openxmlformats.org/officeDocument/2006/relationships/footer" Target="footer13.xml" /><Relationship Id="rId35" Type="http://schemas.openxmlformats.org/officeDocument/2006/relationships/header" Target="header16.xml" /><Relationship Id="rId36" Type="http://schemas.openxmlformats.org/officeDocument/2006/relationships/footer" Target="footer14.xml" /><Relationship Id="rId37" Type="http://schemas.openxmlformats.org/officeDocument/2006/relationships/header" Target="header17.xml" /><Relationship Id="rId38" Type="http://schemas.openxmlformats.org/officeDocument/2006/relationships/footer" Target="footer15.xml" /><Relationship Id="rId39" Type="http://schemas.openxmlformats.org/officeDocument/2006/relationships/header" Target="header18.xml" /><Relationship Id="rId4" Type="http://schemas.openxmlformats.org/officeDocument/2006/relationships/hyperlink" Target="http://www.xinweizb.com/" TargetMode="External" /><Relationship Id="rId40" Type="http://schemas.openxmlformats.org/officeDocument/2006/relationships/footer" Target="footer16.xml" /><Relationship Id="rId41" Type="http://schemas.openxmlformats.org/officeDocument/2006/relationships/header" Target="header19.xml" /><Relationship Id="rId42" Type="http://schemas.openxmlformats.org/officeDocument/2006/relationships/footer" Target="footer17.xml" /><Relationship Id="rId43" Type="http://schemas.openxmlformats.org/officeDocument/2006/relationships/header" Target="header20.xml" /><Relationship Id="rId44" Type="http://schemas.openxmlformats.org/officeDocument/2006/relationships/footer" Target="footer18.xml" /><Relationship Id="rId45" Type="http://schemas.openxmlformats.org/officeDocument/2006/relationships/header" Target="header21.xml" /><Relationship Id="rId46" Type="http://schemas.openxmlformats.org/officeDocument/2006/relationships/footer" Target="footer19.xml" /><Relationship Id="rId47" Type="http://schemas.openxmlformats.org/officeDocument/2006/relationships/header" Target="header22.xml" /><Relationship Id="rId48" Type="http://schemas.openxmlformats.org/officeDocument/2006/relationships/footer" Target="footer20.xml" /><Relationship Id="rId49" Type="http://schemas.openxmlformats.org/officeDocument/2006/relationships/header" Target="header23.xml" /><Relationship Id="rId5" Type="http://schemas.openxmlformats.org/officeDocument/2006/relationships/hyperlink" Target="mailto:zdc770@163.com" TargetMode="External" /><Relationship Id="rId50" Type="http://schemas.openxmlformats.org/officeDocument/2006/relationships/footer" Target="footer21.xml" /><Relationship Id="rId51" Type="http://schemas.openxmlformats.org/officeDocument/2006/relationships/header" Target="header24.xml" /><Relationship Id="rId52" Type="http://schemas.openxmlformats.org/officeDocument/2006/relationships/footer" Target="footer22.xml" /><Relationship Id="rId53" Type="http://schemas.openxmlformats.org/officeDocument/2006/relationships/header" Target="header25.xml" /><Relationship Id="rId54" Type="http://schemas.openxmlformats.org/officeDocument/2006/relationships/footer" Target="footer23.xml" /><Relationship Id="rId55" Type="http://schemas.openxmlformats.org/officeDocument/2006/relationships/header" Target="header26.xml" /><Relationship Id="rId56" Type="http://schemas.openxmlformats.org/officeDocument/2006/relationships/footer" Target="footer24.xml" /><Relationship Id="rId57" Type="http://schemas.openxmlformats.org/officeDocument/2006/relationships/header" Target="header27.xml" /><Relationship Id="rId58" Type="http://schemas.openxmlformats.org/officeDocument/2006/relationships/footer" Target="footer25.xml" /><Relationship Id="rId59" Type="http://schemas.openxmlformats.org/officeDocument/2006/relationships/header" Target="header28.xml" /><Relationship Id="rId6" Type="http://schemas.openxmlformats.org/officeDocument/2006/relationships/header" Target="header1.xml" /><Relationship Id="rId60" Type="http://schemas.openxmlformats.org/officeDocument/2006/relationships/footer" Target="footer26.xml" /><Relationship Id="rId61" Type="http://schemas.openxmlformats.org/officeDocument/2006/relationships/header" Target="header29.xml" /><Relationship Id="rId62" Type="http://schemas.openxmlformats.org/officeDocument/2006/relationships/footer" Target="footer27.xml" /><Relationship Id="rId63" Type="http://schemas.openxmlformats.org/officeDocument/2006/relationships/header" Target="header30.xml" /><Relationship Id="rId64" Type="http://schemas.openxmlformats.org/officeDocument/2006/relationships/footer" Target="footer28.xml" /><Relationship Id="rId65" Type="http://schemas.openxmlformats.org/officeDocument/2006/relationships/header" Target="header31.xml" /><Relationship Id="rId66" Type="http://schemas.openxmlformats.org/officeDocument/2006/relationships/footer" Target="footer29.xml" /><Relationship Id="rId67" Type="http://schemas.openxmlformats.org/officeDocument/2006/relationships/header" Target="header32.xml" /><Relationship Id="rId68" Type="http://schemas.openxmlformats.org/officeDocument/2006/relationships/footer" Target="footer30.xml" /><Relationship Id="rId69" Type="http://schemas.openxmlformats.org/officeDocument/2006/relationships/header" Target="header33.xml" /><Relationship Id="rId7" Type="http://schemas.openxmlformats.org/officeDocument/2006/relationships/header" Target="header2.xml" /><Relationship Id="rId70" Type="http://schemas.openxmlformats.org/officeDocument/2006/relationships/footer" Target="footer31.xml" /><Relationship Id="rId71" Type="http://schemas.openxmlformats.org/officeDocument/2006/relationships/header" Target="header34.xml" /><Relationship Id="rId72" Type="http://schemas.openxmlformats.org/officeDocument/2006/relationships/footer" Target="footer32.xml" /><Relationship Id="rId73" Type="http://schemas.openxmlformats.org/officeDocument/2006/relationships/header" Target="header35.xml" /><Relationship Id="rId74" Type="http://schemas.openxmlformats.org/officeDocument/2006/relationships/footer" Target="footer33.xml" /><Relationship Id="rId75" Type="http://schemas.openxmlformats.org/officeDocument/2006/relationships/header" Target="header36.xml" /><Relationship Id="rId76" Type="http://schemas.openxmlformats.org/officeDocument/2006/relationships/footer" Target="footer34.xml" /><Relationship Id="rId77" Type="http://schemas.openxmlformats.org/officeDocument/2006/relationships/hyperlink" Target="https://d.book118.com/585334214320011120" TargetMode="External" /><Relationship Id="rId78" Type="http://schemas.openxmlformats.org/officeDocument/2006/relationships/header" Target="header37.xml" /><Relationship Id="rId79" Type="http://schemas.openxmlformats.org/officeDocument/2006/relationships/footer" Target="footer35.xml" /><Relationship Id="rId8" Type="http://schemas.openxmlformats.org/officeDocument/2006/relationships/hyperlink" Target="http://www.ccgp.gov.cn/" TargetMode="Externa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2024-03-05T06:51:42Z</dcterms:created>
  <dcterms:modified xsi:type="dcterms:W3CDTF">2024-03-05T06:51:42Z</dcterms:modified>
</cp:coreProperties>
</file>