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69"/>
        <w:ind w:left="235"/>
        <w:rPr>
          <w:rFonts w:ascii="黑体"/>
        </w:rPr>
      </w:pPr>
      <w:r>
        <w:rPr>
          <w:rFonts w:ascii="Times New Roman"/>
          <w:position w:val="1"/>
        </w:rPr>
        <w:t xml:space="preserve">ICS </w:t>
      </w:r>
      <w:r>
        <w:rPr>
          <w:rFonts w:ascii="黑体"/>
        </w:rPr>
        <w:t>25040.40</w:t>
      </w:r>
    </w:p>
    <w:p>
      <w:pPr>
        <w:tabs>
          <w:tab w:val="left" w:pos="6605"/>
        </w:tabs>
        <w:spacing w:before="182"/>
        <w:ind w:left="235" w:right="0" w:firstLine="0"/>
        <w:jc w:val="left"/>
        <w:rPr>
          <w:rFonts w:ascii="Times New Roman"/>
          <w:b/>
          <w:sz w:val="96"/>
        </w:rPr>
      </w:pPr>
      <w:r>
        <w:rPr>
          <w:rFonts w:ascii="Times New Roman"/>
          <w:w w:val="110"/>
          <w:position w:val="1"/>
          <w:sz w:val="21"/>
        </w:rPr>
        <w:t>CCS</w:t>
      </w:r>
      <w:r>
        <w:rPr>
          <w:rFonts w:ascii="Times New Roman"/>
          <w:spacing w:val="-10"/>
          <w:w w:val="110"/>
          <w:position w:val="1"/>
          <w:sz w:val="21"/>
        </w:rPr>
        <w:t xml:space="preserve"> </w:t>
      </w:r>
      <w:r>
        <w:rPr>
          <w:rFonts w:ascii="黑体"/>
          <w:w w:val="110"/>
          <w:sz w:val="21"/>
        </w:rPr>
        <w:t>L</w:t>
      </w:r>
      <w:r>
        <w:rPr>
          <w:rFonts w:ascii="黑体"/>
          <w:spacing w:val="-21"/>
          <w:w w:val="110"/>
          <w:sz w:val="21"/>
        </w:rPr>
        <w:t xml:space="preserve"> </w:t>
      </w:r>
      <w:r>
        <w:rPr>
          <w:rFonts w:ascii="黑体"/>
          <w:w w:val="110"/>
          <w:sz w:val="21"/>
        </w:rPr>
        <w:t>70</w:t>
        <w:tab/>
      </w:r>
      <w:r>
        <w:rPr>
          <w:rFonts w:ascii="Times New Roman"/>
          <w:b/>
          <w:w w:val="110"/>
          <w:position w:val="-66"/>
          <w:sz w:val="96"/>
        </w:rPr>
        <w:t>DB21</w:t>
      </w:r>
    </w:p>
    <w:p>
      <w:pPr>
        <w:tabs>
          <w:tab w:val="left" w:pos="1728"/>
          <w:tab w:val="left" w:pos="3221"/>
          <w:tab w:val="left" w:pos="4714"/>
          <w:tab w:val="left" w:pos="6204"/>
          <w:tab w:val="left" w:pos="7697"/>
          <w:tab w:val="left" w:pos="9190"/>
        </w:tabs>
        <w:spacing w:before="66"/>
        <w:ind w:left="235" w:right="0" w:firstLine="0"/>
        <w:jc w:val="left"/>
        <w:rPr>
          <w:rFonts w:ascii="黑体" w:eastAsia="黑体" w:hint="eastAsia"/>
          <w:sz w:val="48"/>
        </w:rPr>
      </w:pPr>
      <w:r>
        <w:rPr>
          <w:rFonts w:ascii="黑体" w:eastAsia="黑体" w:hint="eastAsia"/>
          <w:sz w:val="48"/>
        </w:rPr>
        <w:t>辽</w:t>
        <w:tab/>
        <w:t>宁</w:t>
        <w:tab/>
        <w:t>省</w:t>
        <w:tab/>
        <w:t>地</w:t>
        <w:tab/>
        <w:t>方</w:t>
        <w:tab/>
        <w:t>标</w:t>
        <w:tab/>
        <w:t>准</w:t>
      </w:r>
    </w:p>
    <w:p>
      <w:pPr>
        <w:pStyle w:val="BodyText"/>
        <w:spacing w:before="7"/>
        <w:rPr>
          <w:rFonts w:ascii="黑体"/>
          <w:sz w:val="38"/>
        </w:rPr>
      </w:pPr>
    </w:p>
    <w:p>
      <w:pPr>
        <w:spacing w:before="1"/>
        <w:ind w:left="0" w:right="321" w:firstLine="0"/>
        <w:jc w:val="right"/>
        <w:rPr>
          <w:rFonts w:ascii="黑体" w:hAnsi="黑体"/>
          <w:sz w:val="28"/>
        </w:rPr>
      </w:pPr>
      <w:r>
        <w:rPr>
          <w:rFonts w:ascii="黑体" w:hAnsi="黑体"/>
          <w:sz w:val="28"/>
        </w:rPr>
        <w:t>DB21/T</w:t>
      </w:r>
      <w:r>
        <w:rPr>
          <w:rFonts w:ascii="黑体" w:hAnsi="黑体"/>
          <w:spacing w:val="-9"/>
          <w:sz w:val="28"/>
        </w:rPr>
        <w:t xml:space="preserve"> </w:t>
      </w:r>
      <w:r>
        <w:rPr>
          <w:rFonts w:ascii="黑体" w:hAnsi="黑体"/>
          <w:sz w:val="28"/>
        </w:rPr>
        <w:t>3895—2023</w:t>
      </w:r>
    </w:p>
    <w:p>
      <w:pPr>
        <w:pStyle w:val="BodyText"/>
        <w:rPr>
          <w:rFonts w:ascii="黑体"/>
          <w:sz w:val="20"/>
        </w:rPr>
      </w:pPr>
    </w:p>
    <w:p>
      <w:pPr>
        <w:pStyle w:val="BodyText"/>
        <w:spacing w:before="3"/>
        <w:rPr>
          <w:rFonts w:ascii="黑体"/>
          <w:sz w:val="14"/>
        </w:rPr>
      </w:pPr>
      <w:r>
        <w:pict>
          <v:shape id="_x0000_s1025" style="width:477.35pt;height:1.25pt;margin-top:11.08pt;margin-left:70.8pt;mso-position-horizontal-relative:page;mso-wrap-distance-left:0;mso-wrap-distance-right:0;position:absolute;z-index:-251657216" coordorigin="1416,222" coordsize="9547,25" path="m1416,247l1416,232,10963,222,10963,237,1416,247xe" filled="t" fillcolor="black" stroked="f">
            <v:fill type="solid"/>
            <v:path arrowok="t"/>
            <w10:wrap type="topAndBottom"/>
          </v:shape>
        </w:pict>
      </w: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spacing w:before="1"/>
        <w:rPr>
          <w:rFonts w:ascii="黑体"/>
          <w:sz w:val="38"/>
        </w:rPr>
      </w:pPr>
    </w:p>
    <w:p>
      <w:pPr>
        <w:pStyle w:val="Title"/>
        <w:tabs>
          <w:tab w:val="left" w:pos="3770"/>
        </w:tabs>
      </w:pPr>
      <w:r>
        <w:t>工</w:t>
      </w:r>
      <w:r>
        <w:rPr>
          <w:spacing w:val="-3"/>
        </w:rPr>
        <w:t>业</w:t>
      </w:r>
      <w:r>
        <w:t>数据</w:t>
      </w:r>
      <w:r>
        <w:rPr>
          <w:spacing w:val="-3"/>
        </w:rPr>
        <w:t>流</w:t>
      </w:r>
      <w:r>
        <w:t>通</w:t>
        <w:tab/>
        <w:t>通</w:t>
      </w:r>
      <w:r>
        <w:rPr>
          <w:spacing w:val="-3"/>
        </w:rPr>
        <w:t>用</w:t>
      </w:r>
      <w:r>
        <w:t>安全</w:t>
      </w:r>
      <w:r>
        <w:rPr>
          <w:spacing w:val="-3"/>
        </w:rPr>
        <w:t>要</w:t>
      </w:r>
      <w:r>
        <w:t>求</w:t>
      </w:r>
    </w:p>
    <w:p>
      <w:pPr>
        <w:pStyle w:val="BodyText"/>
        <w:rPr>
          <w:rFonts w:ascii="黑体"/>
          <w:sz w:val="52"/>
        </w:rPr>
      </w:pPr>
    </w:p>
    <w:p>
      <w:pPr>
        <w:pStyle w:val="BodyText"/>
        <w:rPr>
          <w:rFonts w:ascii="黑体"/>
          <w:sz w:val="52"/>
        </w:rPr>
      </w:pPr>
    </w:p>
    <w:p>
      <w:pPr>
        <w:pStyle w:val="BodyText"/>
        <w:rPr>
          <w:rFonts w:ascii="黑体"/>
          <w:sz w:val="52"/>
        </w:rPr>
      </w:pPr>
    </w:p>
    <w:p>
      <w:pPr>
        <w:pStyle w:val="BodyText"/>
        <w:rPr>
          <w:rFonts w:ascii="黑体"/>
          <w:sz w:val="52"/>
        </w:rPr>
      </w:pPr>
    </w:p>
    <w:p>
      <w:pPr>
        <w:pStyle w:val="BodyText"/>
        <w:rPr>
          <w:rFonts w:ascii="黑体"/>
          <w:sz w:val="52"/>
        </w:rPr>
      </w:pPr>
    </w:p>
    <w:p>
      <w:pPr>
        <w:pStyle w:val="BodyText"/>
        <w:rPr>
          <w:rFonts w:ascii="黑体"/>
          <w:sz w:val="52"/>
        </w:rPr>
      </w:pPr>
    </w:p>
    <w:p>
      <w:pPr>
        <w:pStyle w:val="BodyText"/>
        <w:rPr>
          <w:rFonts w:ascii="黑体"/>
          <w:sz w:val="52"/>
        </w:rPr>
      </w:pPr>
    </w:p>
    <w:p>
      <w:pPr>
        <w:pStyle w:val="BodyText"/>
        <w:rPr>
          <w:rFonts w:ascii="黑体"/>
          <w:sz w:val="52"/>
        </w:rPr>
      </w:pPr>
    </w:p>
    <w:p>
      <w:pPr>
        <w:pStyle w:val="BodyText"/>
        <w:rPr>
          <w:rFonts w:ascii="黑体"/>
          <w:sz w:val="52"/>
        </w:rPr>
      </w:pPr>
    </w:p>
    <w:p>
      <w:pPr>
        <w:pStyle w:val="BodyText"/>
        <w:spacing w:before="9"/>
        <w:rPr>
          <w:rFonts w:ascii="黑体"/>
          <w:sz w:val="68"/>
        </w:rPr>
      </w:pPr>
    </w:p>
    <w:p>
      <w:pPr>
        <w:tabs>
          <w:tab w:val="left" w:pos="7510"/>
        </w:tabs>
        <w:spacing w:before="1"/>
        <w:ind w:left="368" w:right="0" w:firstLine="0"/>
        <w:jc w:val="left"/>
        <w:rPr>
          <w:rFonts w:ascii="黑体" w:eastAsia="黑体" w:hAnsi="黑体" w:hint="eastAsia"/>
          <w:sz w:val="28"/>
        </w:rPr>
      </w:pPr>
      <w:r>
        <w:pict>
          <v:rect id="_x0000_s1026" style="width:481.9pt;height:0.75pt;margin-top:19.33pt;margin-left:73.6pt;mso-position-horizontal-relative:page;position:absolute;z-index:-251658240" filled="t" fillcolor="black" stroked="f">
            <v:fill type="solid"/>
          </v:rect>
        </w:pict>
      </w:r>
      <w:r>
        <w:rPr>
          <w:rFonts w:ascii="黑体" w:eastAsia="黑体" w:hAnsi="黑体" w:hint="eastAsia"/>
          <w:position w:val="-6"/>
          <w:sz w:val="28"/>
        </w:rPr>
        <w:t>2023—12—30</w:t>
      </w:r>
      <w:r>
        <w:rPr>
          <w:rFonts w:ascii="黑体" w:eastAsia="黑体" w:hAnsi="黑体" w:hint="eastAsia"/>
          <w:spacing w:val="-72"/>
          <w:position w:val="-6"/>
          <w:sz w:val="28"/>
        </w:rPr>
        <w:t xml:space="preserve"> </w:t>
      </w:r>
      <w:r>
        <w:rPr>
          <w:rFonts w:ascii="黑体" w:eastAsia="黑体" w:hAnsi="黑体" w:hint="eastAsia"/>
          <w:position w:val="-6"/>
          <w:sz w:val="28"/>
        </w:rPr>
        <w:t>发布</w:t>
        <w:tab/>
      </w:r>
      <w:r>
        <w:rPr>
          <w:rFonts w:ascii="黑体" w:eastAsia="黑体" w:hAnsi="黑体" w:hint="eastAsia"/>
          <w:sz w:val="28"/>
        </w:rPr>
        <w:t>2024—01—30</w:t>
      </w:r>
      <w:r>
        <w:rPr>
          <w:rFonts w:ascii="黑体" w:eastAsia="黑体" w:hAnsi="黑体" w:hint="eastAsia"/>
          <w:spacing w:val="-73"/>
          <w:sz w:val="28"/>
        </w:rPr>
        <w:t xml:space="preserve"> </w:t>
      </w:r>
      <w:r>
        <w:rPr>
          <w:rFonts w:ascii="黑体" w:eastAsia="黑体" w:hAnsi="黑体" w:hint="eastAsia"/>
          <w:sz w:val="28"/>
        </w:rPr>
        <w:t>实施</w:t>
      </w:r>
    </w:p>
    <w:p>
      <w:pPr>
        <w:pStyle w:val="BodyText"/>
        <w:rPr>
          <w:rFonts w:ascii="黑体"/>
          <w:sz w:val="34"/>
        </w:rPr>
      </w:pPr>
    </w:p>
    <w:p>
      <w:pPr>
        <w:pStyle w:val="BodyText"/>
        <w:spacing w:before="1"/>
        <w:rPr>
          <w:rFonts w:ascii="黑体"/>
          <w:sz w:val="36"/>
        </w:rPr>
      </w:pPr>
    </w:p>
    <w:p>
      <w:pPr>
        <w:tabs>
          <w:tab w:val="left" w:pos="3520"/>
        </w:tabs>
        <w:spacing w:before="0"/>
        <w:ind w:left="0" w:right="89" w:firstLine="0"/>
        <w:jc w:val="center"/>
        <w:rPr>
          <w:rFonts w:ascii="黑体" w:eastAsia="黑体" w:hint="eastAsia"/>
          <w:sz w:val="28"/>
        </w:rPr>
      </w:pPr>
      <w:r>
        <w:rPr>
          <w:rFonts w:ascii="黑体" w:eastAsia="黑体" w:hint="eastAsia"/>
          <w:spacing w:val="38"/>
          <w:sz w:val="28"/>
        </w:rPr>
        <w:t>辽</w:t>
      </w:r>
      <w:r>
        <w:rPr>
          <w:rFonts w:ascii="黑体" w:eastAsia="黑体" w:hint="eastAsia"/>
          <w:spacing w:val="40"/>
          <w:sz w:val="28"/>
        </w:rPr>
        <w:t>宁</w:t>
      </w:r>
      <w:r>
        <w:rPr>
          <w:rFonts w:ascii="黑体" w:eastAsia="黑体" w:hint="eastAsia"/>
          <w:spacing w:val="38"/>
          <w:sz w:val="28"/>
        </w:rPr>
        <w:t>省市</w:t>
      </w:r>
      <w:r>
        <w:rPr>
          <w:rFonts w:ascii="黑体" w:eastAsia="黑体" w:hint="eastAsia"/>
          <w:spacing w:val="40"/>
          <w:sz w:val="28"/>
        </w:rPr>
        <w:t>场</w:t>
      </w:r>
      <w:r>
        <w:rPr>
          <w:rFonts w:ascii="黑体" w:eastAsia="黑体" w:hint="eastAsia"/>
          <w:spacing w:val="38"/>
          <w:sz w:val="28"/>
        </w:rPr>
        <w:t>监督</w:t>
      </w:r>
      <w:r>
        <w:rPr>
          <w:rFonts w:ascii="黑体" w:eastAsia="黑体" w:hint="eastAsia"/>
          <w:spacing w:val="40"/>
          <w:sz w:val="28"/>
        </w:rPr>
        <w:t>管</w:t>
      </w:r>
      <w:r>
        <w:rPr>
          <w:rFonts w:ascii="黑体" w:eastAsia="黑体" w:hint="eastAsia"/>
          <w:spacing w:val="38"/>
          <w:sz w:val="28"/>
        </w:rPr>
        <w:t>理</w:t>
      </w:r>
      <w:r>
        <w:rPr>
          <w:rFonts w:ascii="黑体" w:eastAsia="黑体" w:hint="eastAsia"/>
          <w:sz w:val="28"/>
        </w:rPr>
        <w:t>局</w:t>
        <w:tab/>
      </w:r>
      <w:r>
        <w:rPr>
          <w:rFonts w:ascii="黑体" w:eastAsia="黑体" w:hint="eastAsia"/>
          <w:spacing w:val="38"/>
          <w:sz w:val="28"/>
        </w:rPr>
        <w:t>发</w:t>
      </w:r>
      <w:r>
        <w:rPr>
          <w:rFonts w:ascii="黑体" w:eastAsia="黑体" w:hint="eastAsia"/>
          <w:sz w:val="28"/>
        </w:rPr>
        <w:t>布</w:t>
      </w:r>
    </w:p>
    <w:p>
      <w:pPr>
        <w:spacing w:after="0"/>
        <w:jc w:val="center"/>
        <w:rPr>
          <w:rFonts w:ascii="黑体" w:eastAsia="黑体" w:hint="eastAsia"/>
          <w:sz w:val="28"/>
        </w:rPr>
        <w:sectPr>
          <w:type w:val="continuous"/>
          <w:pgSz w:w="11910" w:h="16840"/>
          <w:pgMar w:top="580" w:right="800" w:bottom="280" w:left="1180" w:header="708" w:footer="708"/>
          <w:cols w:space="708"/>
        </w:sectPr>
      </w:pPr>
    </w:p>
    <w:p>
      <w:pPr>
        <w:pStyle w:val="BodyText"/>
        <w:spacing w:before="7"/>
        <w:rPr>
          <w:rFonts w:ascii="黑体"/>
          <w:sz w:val="15"/>
        </w:rPr>
      </w:pPr>
    </w:p>
    <w:p>
      <w:pPr>
        <w:spacing w:after="0"/>
        <w:rPr>
          <w:rFonts w:ascii="黑体"/>
          <w:sz w:val="15"/>
        </w:rPr>
        <w:sectPr>
          <w:pgSz w:w="11910" w:h="16840"/>
          <w:pgMar w:top="1580" w:right="800" w:bottom="280" w:left="1180" w:header="708" w:footer="708"/>
          <w:pgNumType w:start="2"/>
          <w:cols w:space="708"/>
        </w:sectPr>
      </w:pPr>
    </w:p>
    <w:p>
      <w:pPr>
        <w:pStyle w:val="BodyText"/>
        <w:spacing w:before="12"/>
        <w:rPr>
          <w:rFonts w:ascii="黑体"/>
          <w:sz w:val="23"/>
        </w:rPr>
      </w:pPr>
    </w:p>
    <w:p>
      <w:pPr>
        <w:pStyle w:val="Heading1"/>
        <w:tabs>
          <w:tab w:val="left" w:pos="1501"/>
        </w:tabs>
        <w:ind w:left="541"/>
      </w:pPr>
      <w:r>
        <w:t>目</w:t>
        <w:tab/>
        <w:t>次</w:t>
      </w:r>
    </w:p>
    <w:p>
      <w:pPr>
        <w:pStyle w:val="BodyText"/>
        <w:tabs>
          <w:tab w:val="right" w:leader="dot" w:pos="9589"/>
        </w:tabs>
        <w:spacing w:before="634"/>
        <w:ind w:left="656"/>
      </w:pPr>
      <w:hyperlink w:anchor="_bookmark0" w:history="1">
        <w:r>
          <w:t>前言</w:t>
          <w:tab/>
          <w:t>III</w:t>
        </w:r>
      </w:hyperlink>
    </w:p>
    <w:p>
      <w:pPr>
        <w:pStyle w:val="ListParagraph"/>
        <w:numPr>
          <w:ilvl w:val="0"/>
          <w:numId w:val="51"/>
        </w:numPr>
        <w:tabs>
          <w:tab w:val="left" w:pos="868"/>
          <w:tab w:val="right" w:leader="dot" w:pos="9592"/>
        </w:tabs>
        <w:spacing w:before="119" w:after="0" w:line="240" w:lineRule="auto"/>
        <w:ind w:left="867" w:right="0" w:hanging="212"/>
        <w:jc w:val="left"/>
        <w:rPr>
          <w:sz w:val="21"/>
        </w:rPr>
      </w:pPr>
      <w:hyperlink w:anchor="_bookmark1" w:history="1">
        <w:r>
          <w:rPr>
            <w:sz w:val="21"/>
          </w:rPr>
          <w:t>范围</w:t>
          <w:tab/>
          <w:t>1</w:t>
        </w:r>
      </w:hyperlink>
    </w:p>
    <w:p>
      <w:pPr>
        <w:pStyle w:val="ListParagraph"/>
        <w:numPr>
          <w:ilvl w:val="0"/>
          <w:numId w:val="51"/>
        </w:numPr>
        <w:tabs>
          <w:tab w:val="left" w:pos="868"/>
          <w:tab w:val="right" w:leader="dot" w:pos="9592"/>
        </w:tabs>
        <w:spacing w:before="122" w:after="0" w:line="240" w:lineRule="auto"/>
        <w:ind w:left="867" w:right="0" w:hanging="212"/>
        <w:jc w:val="left"/>
        <w:rPr>
          <w:sz w:val="21"/>
        </w:rPr>
      </w:pPr>
      <w:hyperlink w:anchor="_bookmark2" w:history="1">
        <w:r>
          <w:rPr>
            <w:sz w:val="21"/>
          </w:rPr>
          <w:t>规范性引用文件</w:t>
          <w:tab/>
          <w:t>1</w:t>
        </w:r>
      </w:hyperlink>
    </w:p>
    <w:p>
      <w:pPr>
        <w:pStyle w:val="ListParagraph"/>
        <w:numPr>
          <w:ilvl w:val="0"/>
          <w:numId w:val="51"/>
        </w:numPr>
        <w:tabs>
          <w:tab w:val="left" w:pos="868"/>
          <w:tab w:val="right" w:leader="dot" w:pos="9592"/>
        </w:tabs>
        <w:spacing w:before="120" w:after="0" w:line="240" w:lineRule="auto"/>
        <w:ind w:left="867" w:right="0" w:hanging="212"/>
        <w:jc w:val="left"/>
        <w:rPr>
          <w:sz w:val="21"/>
        </w:rPr>
      </w:pPr>
      <w:hyperlink w:anchor="_bookmark3" w:history="1">
        <w:r>
          <w:rPr>
            <w:sz w:val="21"/>
          </w:rPr>
          <w:t>术语和定义</w:t>
          <w:tab/>
          <w:t>1</w:t>
        </w:r>
      </w:hyperlink>
    </w:p>
    <w:p>
      <w:pPr>
        <w:pStyle w:val="ListParagraph"/>
        <w:numPr>
          <w:ilvl w:val="0"/>
          <w:numId w:val="51"/>
        </w:numPr>
        <w:tabs>
          <w:tab w:val="left" w:pos="868"/>
          <w:tab w:val="right" w:leader="dot" w:pos="9592"/>
        </w:tabs>
        <w:spacing w:before="122" w:after="0" w:line="240" w:lineRule="auto"/>
        <w:ind w:left="867" w:right="0" w:hanging="212"/>
        <w:jc w:val="left"/>
        <w:rPr>
          <w:sz w:val="21"/>
        </w:rPr>
      </w:pPr>
      <w:hyperlink w:anchor="_bookmark4" w:history="1">
        <w:r>
          <w:rPr>
            <w:sz w:val="21"/>
          </w:rPr>
          <w:t>数据流通前安全要求</w:t>
          <w:tab/>
          <w:t>3</w:t>
        </w:r>
      </w:hyperlink>
    </w:p>
    <w:p>
      <w:pPr>
        <w:pStyle w:val="ListParagraph"/>
        <w:numPr>
          <w:ilvl w:val="1"/>
          <w:numId w:val="51"/>
        </w:numPr>
        <w:tabs>
          <w:tab w:val="left" w:pos="1288"/>
          <w:tab w:val="right" w:leader="dot" w:pos="9592"/>
        </w:tabs>
        <w:spacing w:before="120" w:after="0" w:line="240" w:lineRule="auto"/>
        <w:ind w:left="1287" w:right="0" w:hanging="421"/>
        <w:jc w:val="left"/>
        <w:rPr>
          <w:sz w:val="21"/>
        </w:rPr>
      </w:pPr>
      <w:hyperlink w:anchor="_bookmark5" w:history="1">
        <w:r>
          <w:rPr>
            <w:sz w:val="21"/>
          </w:rPr>
          <w:t>采集所需流通的数据</w:t>
          <w:tab/>
          <w:t>3</w:t>
        </w:r>
      </w:hyperlink>
    </w:p>
    <w:p>
      <w:pPr>
        <w:pStyle w:val="ListParagraph"/>
        <w:numPr>
          <w:ilvl w:val="1"/>
          <w:numId w:val="51"/>
        </w:numPr>
        <w:tabs>
          <w:tab w:val="left" w:pos="1288"/>
          <w:tab w:val="right" w:leader="dot" w:pos="9592"/>
        </w:tabs>
        <w:spacing w:before="122" w:after="0" w:line="240" w:lineRule="auto"/>
        <w:ind w:left="1287" w:right="0" w:hanging="421"/>
        <w:jc w:val="left"/>
        <w:rPr>
          <w:sz w:val="21"/>
        </w:rPr>
      </w:pPr>
      <w:hyperlink w:anchor="_bookmark6" w:history="1">
        <w:r>
          <w:rPr>
            <w:sz w:val="21"/>
          </w:rPr>
          <w:t>数据流通安全风险评估</w:t>
          <w:tab/>
          <w:t>5</w:t>
        </w:r>
      </w:hyperlink>
    </w:p>
    <w:p>
      <w:pPr>
        <w:pStyle w:val="ListParagraph"/>
        <w:numPr>
          <w:ilvl w:val="1"/>
          <w:numId w:val="51"/>
        </w:numPr>
        <w:tabs>
          <w:tab w:val="left" w:pos="1288"/>
          <w:tab w:val="right" w:leader="dot" w:pos="9592"/>
        </w:tabs>
        <w:spacing w:before="120" w:after="0" w:line="240" w:lineRule="auto"/>
        <w:ind w:left="1287" w:right="0" w:hanging="421"/>
        <w:jc w:val="left"/>
        <w:rPr>
          <w:sz w:val="21"/>
        </w:rPr>
      </w:pPr>
      <w:hyperlink w:anchor="_bookmark7" w:history="1">
        <w:r>
          <w:rPr>
            <w:sz w:val="21"/>
          </w:rPr>
          <w:t>确定数据流通目录</w:t>
          <w:tab/>
          <w:t>6</w:t>
        </w:r>
      </w:hyperlink>
    </w:p>
    <w:p>
      <w:pPr>
        <w:pStyle w:val="ListParagraph"/>
        <w:numPr>
          <w:ilvl w:val="1"/>
          <w:numId w:val="51"/>
        </w:numPr>
        <w:tabs>
          <w:tab w:val="left" w:pos="1288"/>
          <w:tab w:val="right" w:leader="dot" w:pos="9592"/>
        </w:tabs>
        <w:spacing w:before="122" w:after="0" w:line="240" w:lineRule="auto"/>
        <w:ind w:left="1287" w:right="0" w:hanging="421"/>
        <w:jc w:val="left"/>
        <w:rPr>
          <w:sz w:val="21"/>
        </w:rPr>
      </w:pPr>
      <w:hyperlink w:anchor="_bookmark8" w:history="1">
        <w:r>
          <w:rPr>
            <w:sz w:val="21"/>
          </w:rPr>
          <w:t>数据脱敏</w:t>
          <w:tab/>
          <w:t>6</w:t>
        </w:r>
      </w:hyperlink>
    </w:p>
    <w:p>
      <w:pPr>
        <w:pStyle w:val="ListParagraph"/>
        <w:numPr>
          <w:ilvl w:val="0"/>
          <w:numId w:val="51"/>
        </w:numPr>
        <w:tabs>
          <w:tab w:val="left" w:pos="868"/>
          <w:tab w:val="right" w:leader="dot" w:pos="9592"/>
        </w:tabs>
        <w:spacing w:before="120" w:after="0" w:line="240" w:lineRule="auto"/>
        <w:ind w:left="867" w:right="0" w:hanging="212"/>
        <w:jc w:val="left"/>
        <w:rPr>
          <w:sz w:val="21"/>
        </w:rPr>
      </w:pPr>
      <w:hyperlink w:anchor="_bookmark9" w:history="1">
        <w:r>
          <w:rPr>
            <w:sz w:val="21"/>
          </w:rPr>
          <w:t>实施数据流通安全要求</w:t>
          <w:tab/>
          <w:t>7</w:t>
        </w:r>
      </w:hyperlink>
    </w:p>
    <w:p>
      <w:pPr>
        <w:pStyle w:val="ListParagraph"/>
        <w:numPr>
          <w:ilvl w:val="1"/>
          <w:numId w:val="51"/>
        </w:numPr>
        <w:tabs>
          <w:tab w:val="left" w:pos="1288"/>
          <w:tab w:val="right" w:leader="dot" w:pos="9592"/>
        </w:tabs>
        <w:spacing w:before="122" w:after="0" w:line="240" w:lineRule="auto"/>
        <w:ind w:left="1287" w:right="0" w:hanging="421"/>
        <w:jc w:val="left"/>
        <w:rPr>
          <w:sz w:val="21"/>
        </w:rPr>
      </w:pPr>
      <w:hyperlink w:anchor="_bookmark10" w:history="1">
        <w:r>
          <w:rPr>
            <w:sz w:val="21"/>
          </w:rPr>
          <w:t>数据交易安全</w:t>
          <w:tab/>
          <w:t>7</w:t>
        </w:r>
      </w:hyperlink>
    </w:p>
    <w:p>
      <w:pPr>
        <w:pStyle w:val="ListParagraph"/>
        <w:numPr>
          <w:ilvl w:val="1"/>
          <w:numId w:val="51"/>
        </w:numPr>
        <w:tabs>
          <w:tab w:val="left" w:pos="1288"/>
          <w:tab w:val="right" w:leader="dot" w:pos="9589"/>
        </w:tabs>
        <w:spacing w:before="120" w:after="0" w:line="240" w:lineRule="auto"/>
        <w:ind w:left="1287" w:right="0" w:hanging="421"/>
        <w:jc w:val="left"/>
        <w:rPr>
          <w:sz w:val="21"/>
        </w:rPr>
      </w:pPr>
      <w:hyperlink w:anchor="_bookmark11" w:history="1">
        <w:r>
          <w:rPr>
            <w:sz w:val="21"/>
          </w:rPr>
          <w:t>数据出境安全</w:t>
          <w:tab/>
          <w:t>12</w:t>
        </w:r>
      </w:hyperlink>
    </w:p>
    <w:p>
      <w:pPr>
        <w:pStyle w:val="ListParagraph"/>
        <w:numPr>
          <w:ilvl w:val="1"/>
          <w:numId w:val="51"/>
        </w:numPr>
        <w:tabs>
          <w:tab w:val="left" w:pos="1288"/>
          <w:tab w:val="right" w:leader="dot" w:pos="9589"/>
        </w:tabs>
        <w:spacing w:before="122" w:after="0" w:line="240" w:lineRule="auto"/>
        <w:ind w:left="1287" w:right="0" w:hanging="421"/>
        <w:jc w:val="left"/>
        <w:rPr>
          <w:sz w:val="21"/>
        </w:rPr>
      </w:pPr>
      <w:hyperlink w:anchor="_bookmark12" w:history="1">
        <w:r>
          <w:rPr>
            <w:sz w:val="21"/>
          </w:rPr>
          <w:t>数据传输安全</w:t>
          <w:tab/>
          <w:t>13</w:t>
        </w:r>
      </w:hyperlink>
    </w:p>
    <w:p>
      <w:pPr>
        <w:pStyle w:val="ListParagraph"/>
        <w:numPr>
          <w:ilvl w:val="1"/>
          <w:numId w:val="51"/>
        </w:numPr>
        <w:tabs>
          <w:tab w:val="left" w:pos="1288"/>
          <w:tab w:val="right" w:leader="dot" w:pos="9589"/>
        </w:tabs>
        <w:spacing w:before="120" w:after="0" w:line="240" w:lineRule="auto"/>
        <w:ind w:left="1287" w:right="0" w:hanging="421"/>
        <w:jc w:val="left"/>
        <w:rPr>
          <w:sz w:val="21"/>
        </w:rPr>
      </w:pPr>
      <w:hyperlink w:anchor="_bookmark13" w:history="1">
        <w:r>
          <w:rPr>
            <w:sz w:val="21"/>
          </w:rPr>
          <w:t>数据接口安全</w:t>
          <w:tab/>
          <w:t>14</w:t>
        </w:r>
      </w:hyperlink>
    </w:p>
    <w:p>
      <w:pPr>
        <w:pStyle w:val="ListParagraph"/>
        <w:numPr>
          <w:ilvl w:val="0"/>
          <w:numId w:val="51"/>
        </w:numPr>
        <w:tabs>
          <w:tab w:val="left" w:pos="868"/>
          <w:tab w:val="right" w:leader="dot" w:pos="9589"/>
        </w:tabs>
        <w:spacing w:before="122" w:after="0" w:line="240" w:lineRule="auto"/>
        <w:ind w:left="867" w:right="0" w:hanging="212"/>
        <w:jc w:val="left"/>
        <w:rPr>
          <w:sz w:val="21"/>
        </w:rPr>
      </w:pPr>
      <w:hyperlink w:anchor="_bookmark14" w:history="1">
        <w:r>
          <w:rPr>
            <w:sz w:val="21"/>
          </w:rPr>
          <w:t>数据流通后安全要求</w:t>
          <w:tab/>
          <w:t>14</w:t>
        </w:r>
      </w:hyperlink>
    </w:p>
    <w:p>
      <w:pPr>
        <w:pStyle w:val="ListParagraph"/>
        <w:numPr>
          <w:ilvl w:val="1"/>
          <w:numId w:val="51"/>
        </w:numPr>
        <w:tabs>
          <w:tab w:val="left" w:pos="1288"/>
          <w:tab w:val="right" w:leader="dot" w:pos="9589"/>
        </w:tabs>
        <w:spacing w:before="120" w:after="0" w:line="240" w:lineRule="auto"/>
        <w:ind w:left="1287" w:right="0" w:hanging="421"/>
        <w:jc w:val="left"/>
        <w:rPr>
          <w:sz w:val="21"/>
        </w:rPr>
      </w:pPr>
      <w:hyperlink w:anchor="_bookmark15" w:history="1">
        <w:r>
          <w:rPr>
            <w:sz w:val="21"/>
          </w:rPr>
          <w:t>数据存储</w:t>
          <w:tab/>
          <w:t>14</w:t>
        </w:r>
      </w:hyperlink>
    </w:p>
    <w:p>
      <w:pPr>
        <w:pStyle w:val="ListParagraph"/>
        <w:numPr>
          <w:ilvl w:val="1"/>
          <w:numId w:val="51"/>
        </w:numPr>
        <w:tabs>
          <w:tab w:val="left" w:pos="1288"/>
          <w:tab w:val="right" w:leader="dot" w:pos="9589"/>
        </w:tabs>
        <w:spacing w:before="122" w:after="0" w:line="240" w:lineRule="auto"/>
        <w:ind w:left="1287" w:right="0" w:hanging="421"/>
        <w:jc w:val="left"/>
        <w:rPr>
          <w:sz w:val="21"/>
        </w:rPr>
      </w:pPr>
      <w:hyperlink w:anchor="_bookmark16" w:history="1">
        <w:r>
          <w:rPr>
            <w:sz w:val="21"/>
          </w:rPr>
          <w:t>数据处理</w:t>
          <w:tab/>
          <w:t>18</w:t>
        </w:r>
      </w:hyperlink>
    </w:p>
    <w:p>
      <w:pPr>
        <w:pStyle w:val="ListParagraph"/>
        <w:numPr>
          <w:ilvl w:val="1"/>
          <w:numId w:val="51"/>
        </w:numPr>
        <w:tabs>
          <w:tab w:val="left" w:pos="1288"/>
          <w:tab w:val="right" w:leader="dot" w:pos="9589"/>
        </w:tabs>
        <w:spacing w:before="119" w:after="0" w:line="240" w:lineRule="auto"/>
        <w:ind w:left="1287" w:right="0" w:hanging="421"/>
        <w:jc w:val="left"/>
        <w:rPr>
          <w:sz w:val="21"/>
        </w:rPr>
      </w:pPr>
      <w:hyperlink w:anchor="_bookmark17" w:history="1">
        <w:r>
          <w:rPr>
            <w:sz w:val="21"/>
          </w:rPr>
          <w:t>数据销毁</w:t>
          <w:tab/>
          <w:t>21</w:t>
        </w:r>
      </w:hyperlink>
    </w:p>
    <w:p>
      <w:pPr>
        <w:pStyle w:val="BodyText"/>
        <w:tabs>
          <w:tab w:val="left" w:pos="2494"/>
          <w:tab w:val="right" w:leader="dot" w:pos="9589"/>
        </w:tabs>
        <w:spacing w:before="122"/>
        <w:ind w:left="656"/>
      </w:pPr>
      <w:hyperlink w:anchor="_bookmark18" w:history="1">
        <w:r>
          <w:t>附录</w:t>
        </w:r>
        <w:r>
          <w:rPr>
            <w:spacing w:val="-52"/>
          </w:rPr>
          <w:t xml:space="preserve"> </w:t>
        </w:r>
        <w:r>
          <w:t>A（规范性）</w:t>
          <w:tab/>
          <w:t>工业数据分类分级要求</w:t>
          <w:tab/>
          <w:t>24</w:t>
        </w:r>
      </w:hyperlink>
    </w:p>
    <w:p>
      <w:pPr>
        <w:pStyle w:val="ListParagraph"/>
        <w:numPr>
          <w:ilvl w:val="1"/>
          <w:numId w:val="50"/>
        </w:numPr>
        <w:tabs>
          <w:tab w:val="left" w:pos="1288"/>
          <w:tab w:val="right" w:leader="dot" w:pos="9589"/>
        </w:tabs>
        <w:spacing w:before="120" w:after="0" w:line="240" w:lineRule="auto"/>
        <w:ind w:left="1287" w:right="0" w:hanging="421"/>
        <w:jc w:val="left"/>
        <w:rPr>
          <w:sz w:val="21"/>
        </w:rPr>
      </w:pPr>
      <w:hyperlink w:anchor="_bookmark19" w:history="1">
        <w:r>
          <w:rPr>
            <w:sz w:val="21"/>
          </w:rPr>
          <w:t>数据分类</w:t>
          <w:tab/>
          <w:t>24</w:t>
        </w:r>
      </w:hyperlink>
    </w:p>
    <w:p>
      <w:pPr>
        <w:pStyle w:val="ListParagraph"/>
        <w:numPr>
          <w:ilvl w:val="1"/>
          <w:numId w:val="50"/>
        </w:numPr>
        <w:tabs>
          <w:tab w:val="left" w:pos="1288"/>
          <w:tab w:val="right" w:leader="dot" w:pos="9589"/>
        </w:tabs>
        <w:spacing w:before="122" w:after="0" w:line="240" w:lineRule="auto"/>
        <w:ind w:left="1287" w:right="0" w:hanging="421"/>
        <w:jc w:val="left"/>
        <w:rPr>
          <w:sz w:val="21"/>
        </w:rPr>
      </w:pPr>
      <w:hyperlink w:anchor="_bookmark20" w:history="1">
        <w:r>
          <w:rPr>
            <w:sz w:val="21"/>
          </w:rPr>
          <w:t>数据分级</w:t>
          <w:tab/>
          <w:t>26</w:t>
        </w:r>
      </w:hyperlink>
    </w:p>
    <w:p>
      <w:pPr>
        <w:pStyle w:val="BodyText"/>
        <w:tabs>
          <w:tab w:val="right" w:leader="dot" w:pos="9589"/>
        </w:tabs>
        <w:spacing w:before="120"/>
        <w:ind w:left="656"/>
      </w:pPr>
      <w:hyperlink w:anchor="_bookmark21" w:history="1">
        <w:r>
          <w:t>参考文献</w:t>
          <w:tab/>
          <w:t>29</w:t>
        </w:r>
      </w:hyperlink>
    </w:p>
    <w:p>
      <w:pPr>
        <w:spacing w:after="0"/>
        <w:sectPr>
          <w:headerReference w:type="even" r:id="rId4"/>
          <w:headerReference w:type="default" r:id="rId5"/>
          <w:footerReference w:type="default" r:id="rId6"/>
          <w:pgSz w:w="11910" w:h="16840"/>
          <w:pgMar w:top="1640" w:right="800" w:bottom="1460" w:left="1180" w:header="1449" w:footer="1261"/>
          <w:pgNumType w:start="1"/>
          <w:cols w:space="708"/>
        </w:sect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spacing w:before="166"/>
        <w:ind w:left="600" w:right="0" w:firstLine="0"/>
        <w:jc w:val="left"/>
        <w:rPr>
          <w:rFonts w:ascii="Times New Roman"/>
          <w:sz w:val="18"/>
        </w:rPr>
      </w:pPr>
      <w:r>
        <w:rPr>
          <w:rFonts w:ascii="Times New Roman"/>
          <w:sz w:val="18"/>
        </w:rPr>
        <w:t>II</w:t>
      </w:r>
    </w:p>
    <w:p>
      <w:pPr>
        <w:spacing w:after="0"/>
        <w:jc w:val="left"/>
        <w:rPr>
          <w:rFonts w:ascii="Times New Roman"/>
          <w:sz w:val="18"/>
        </w:rPr>
        <w:sectPr>
          <w:headerReference w:type="even" r:id="rId7"/>
          <w:headerReference w:type="default" r:id="rId8"/>
          <w:footerReference w:type="even" r:id="rId9"/>
          <w:footerReference w:type="default" r:id="rId10"/>
          <w:pgSz w:w="11910" w:h="16840"/>
          <w:pgMar w:top="1640" w:right="800" w:bottom="280" w:left="1180" w:header="1449" w:footer="0"/>
          <w:pgNumType w:start="2"/>
          <w:cols w:space="708"/>
        </w:sectPr>
      </w:pPr>
    </w:p>
    <w:p>
      <w:pPr>
        <w:pStyle w:val="BodyText"/>
        <w:rPr>
          <w:rFonts w:ascii="Times New Roman"/>
          <w:sz w:val="20"/>
        </w:rPr>
      </w:pPr>
    </w:p>
    <w:p>
      <w:pPr>
        <w:pStyle w:val="Heading1"/>
        <w:tabs>
          <w:tab w:val="left" w:pos="959"/>
        </w:tabs>
        <w:spacing w:before="210"/>
        <w:ind w:right="99"/>
      </w:pPr>
      <w:bookmarkStart w:id="0" w:name="前  言"/>
      <w:bookmarkEnd w:id="0"/>
      <w:bookmarkStart w:id="1" w:name="_bookmark0"/>
      <w:bookmarkEnd w:id="1"/>
      <w:r>
        <w:t>前</w:t>
        <w:tab/>
        <w:t>言</w:t>
      </w:r>
    </w:p>
    <w:p>
      <w:pPr>
        <w:pStyle w:val="BodyText"/>
        <w:rPr>
          <w:rFonts w:ascii="黑体"/>
          <w:sz w:val="32"/>
        </w:rPr>
      </w:pPr>
    </w:p>
    <w:p>
      <w:pPr>
        <w:pStyle w:val="BodyText"/>
        <w:spacing w:before="9"/>
        <w:rPr>
          <w:rFonts w:ascii="黑体"/>
          <w:sz w:val="27"/>
        </w:rPr>
      </w:pPr>
    </w:p>
    <w:p>
      <w:pPr>
        <w:pStyle w:val="BodyText"/>
        <w:spacing w:before="1"/>
        <w:ind w:left="656"/>
      </w:pPr>
      <w:r>
        <w:t>本文件按照GB/T 1.1—2020《标准化工作导则第1部分：标准化文件的结构和起草规则》的规定起</w:t>
      </w:r>
    </w:p>
    <w:p>
      <w:pPr>
        <w:pStyle w:val="BodyText"/>
        <w:spacing w:before="1"/>
        <w:rPr>
          <w:sz w:val="10"/>
        </w:rPr>
      </w:pPr>
    </w:p>
    <w:p>
      <w:pPr>
        <w:pStyle w:val="BodyText"/>
        <w:spacing w:before="69"/>
        <w:ind w:left="235"/>
      </w:pPr>
      <w:r>
        <w:t>草。</w:t>
      </w:r>
    </w:p>
    <w:p>
      <w:pPr>
        <w:pStyle w:val="BodyText"/>
        <w:spacing w:before="1"/>
        <w:rPr>
          <w:sz w:val="10"/>
        </w:rPr>
      </w:pPr>
    </w:p>
    <w:p>
      <w:pPr>
        <w:pStyle w:val="BodyText"/>
        <w:spacing w:before="70" w:line="417" w:lineRule="auto"/>
        <w:ind w:left="656" w:right="1499"/>
      </w:pPr>
      <w:r>
        <w:rPr>
          <w:w w:val="95"/>
        </w:rPr>
        <w:t xml:space="preserve">请注意本文件的某些内容可能涉及专利。本文件的发布机构不承担识别专利的责任。  </w:t>
      </w:r>
      <w:r>
        <w:t>本文件由辽宁省工业和信息化厅提出并归口。</w:t>
      </w:r>
    </w:p>
    <w:p>
      <w:pPr>
        <w:pStyle w:val="BodyText"/>
        <w:spacing w:line="417" w:lineRule="auto"/>
        <w:ind w:left="235" w:right="332" w:firstLine="420"/>
        <w:jc w:val="both"/>
      </w:pPr>
      <w:r>
        <w:rPr>
          <w:spacing w:val="-7"/>
          <w:w w:val="95"/>
        </w:rPr>
        <w:t xml:space="preserve">本文件起草单位：沈阳华睿博信息技术有限公司、上海数据交易所、国家计算机网络应急技术处理   </w:t>
      </w:r>
      <w:r>
        <w:rPr>
          <w:spacing w:val="-12"/>
          <w:w w:val="95"/>
        </w:rPr>
        <w:t xml:space="preserve">协调中心辽宁分中心、辽宁艾特斯智能交通技术有限公司、东北大学、辽宁职业学院、辽宁省大数据管   </w:t>
      </w:r>
      <w:r>
        <w:rPr>
          <w:spacing w:val="-12"/>
        </w:rPr>
        <w:t>理中心、北京赛迪时代信息产业股份有限公司、辽宁省先进装备制造业基地建设工程中心等。</w:t>
      </w:r>
    </w:p>
    <w:p>
      <w:pPr>
        <w:pStyle w:val="BodyText"/>
        <w:spacing w:line="417" w:lineRule="auto"/>
        <w:ind w:left="235" w:right="240" w:firstLine="420"/>
      </w:pPr>
      <w:r>
        <w:rPr>
          <w:w w:val="95"/>
        </w:rPr>
        <w:t xml:space="preserve">本文件主要起草人：邵华、申翔宇、李凯、黄书鹏、王宇飞、宋宪辉、谭振华、王义刚、杨成实、   </w:t>
      </w:r>
      <w:r>
        <w:t>张翔宇、魏国伟、刘洋等。</w:t>
      </w:r>
    </w:p>
    <w:p>
      <w:pPr>
        <w:pStyle w:val="BodyText"/>
        <w:spacing w:line="417" w:lineRule="auto"/>
        <w:ind w:left="235" w:right="228" w:firstLine="420"/>
      </w:pPr>
      <w:r>
        <w:rPr>
          <w:spacing w:val="-14"/>
          <w:w w:val="95"/>
        </w:rPr>
        <w:t xml:space="preserve">本文件发布实施后，任何单位和个人如有问题和意见建议，均可以通过来电和来函等方式进行反馈，   </w:t>
      </w:r>
      <w:r>
        <w:rPr>
          <w:spacing w:val="-14"/>
        </w:rPr>
        <w:t>我们将及时答复并认真处理，根据实际情况依法进行评估及复审。</w:t>
      </w:r>
    </w:p>
    <w:p>
      <w:pPr>
        <w:pStyle w:val="BodyText"/>
        <w:spacing w:line="417" w:lineRule="auto"/>
        <w:ind w:left="235" w:right="335" w:firstLine="420"/>
      </w:pPr>
      <w:r>
        <w:t>本文件起草单位通讯地址和联系电话：通讯地址：辽宁省沈阳市和平区青年大街386号华阳国际大厦2396，联系电话：18698840986。</w:t>
      </w:r>
    </w:p>
    <w:p>
      <w:pPr>
        <w:pStyle w:val="BodyText"/>
        <w:spacing w:line="417" w:lineRule="auto"/>
        <w:ind w:left="235" w:right="332" w:firstLine="420"/>
      </w:pPr>
      <w:r>
        <w:t>本文件归口部门通讯地址和联系电话：通讯地址：辽宁省沈阳市皇姑区北陵大街45—2号，联系电话：024—86893258。</w:t>
      </w:r>
    </w:p>
    <w:p>
      <w:pPr>
        <w:spacing w:after="0" w:line="417" w:lineRule="auto"/>
        <w:sectPr>
          <w:headerReference w:type="even" r:id="rId11"/>
          <w:headerReference w:type="default" r:id="rId12"/>
          <w:footerReference w:type="even" r:id="rId13"/>
          <w:footerReference w:type="default" r:id="rId14"/>
          <w:pgSz w:w="11910" w:h="16840"/>
          <w:pgMar w:top="1640" w:right="800" w:bottom="1340" w:left="1180" w:header="1449" w:footer="1141"/>
          <w:pgNumType w:start="3"/>
          <w:cols w:space="708"/>
        </w:sectPr>
      </w:pPr>
    </w:p>
    <w:p>
      <w:pPr>
        <w:pStyle w:val="BodyText"/>
        <w:spacing w:before="7"/>
        <w:rPr>
          <w:sz w:val="15"/>
        </w:rPr>
      </w:pPr>
    </w:p>
    <w:p>
      <w:pPr>
        <w:spacing w:after="0"/>
        <w:rPr>
          <w:sz w:val="15"/>
        </w:rPr>
        <w:sectPr>
          <w:headerReference w:type="even" r:id="rId15"/>
          <w:headerReference w:type="default" r:id="rId16"/>
          <w:footerReference w:type="even" r:id="rId17"/>
          <w:footerReference w:type="default" r:id="rId18"/>
          <w:pgSz w:w="11910" w:h="16840"/>
          <w:pgMar w:top="1580" w:right="800" w:bottom="280" w:left="1180" w:header="0" w:footer="0"/>
          <w:pgNumType w:start="4"/>
          <w:cols w:space="708"/>
        </w:sectPr>
      </w:pPr>
    </w:p>
    <w:p>
      <w:pPr>
        <w:pStyle w:val="BodyText"/>
        <w:spacing w:before="12"/>
        <w:rPr>
          <w:sz w:val="23"/>
        </w:rPr>
      </w:pPr>
    </w:p>
    <w:p>
      <w:pPr>
        <w:pStyle w:val="Heading1"/>
        <w:tabs>
          <w:tab w:val="left" w:pos="2241"/>
        </w:tabs>
        <w:ind w:right="97"/>
      </w:pPr>
      <w:r>
        <w:t>工业数据流通</w:t>
        <w:tab/>
        <w:t>通用安全要求</w:t>
      </w:r>
    </w:p>
    <w:p>
      <w:pPr>
        <w:pStyle w:val="BodyText"/>
        <w:rPr>
          <w:rFonts w:ascii="黑体"/>
          <w:sz w:val="20"/>
        </w:rPr>
      </w:pPr>
    </w:p>
    <w:p>
      <w:pPr>
        <w:pStyle w:val="BodyText"/>
        <w:spacing w:before="11"/>
        <w:rPr>
          <w:rFonts w:ascii="黑体"/>
          <w:sz w:val="14"/>
        </w:rPr>
      </w:pPr>
    </w:p>
    <w:p>
      <w:pPr>
        <w:pStyle w:val="ListParagraph"/>
        <w:numPr>
          <w:ilvl w:val="0"/>
          <w:numId w:val="52"/>
        </w:numPr>
        <w:tabs>
          <w:tab w:val="left" w:pos="552"/>
          <w:tab w:val="left" w:pos="553"/>
        </w:tabs>
        <w:spacing w:before="69" w:after="0" w:line="240" w:lineRule="auto"/>
        <w:ind w:left="552" w:right="0" w:hanging="318"/>
        <w:jc w:val="left"/>
        <w:rPr>
          <w:rFonts w:ascii="黑体" w:eastAsia="黑体" w:hint="eastAsia"/>
          <w:sz w:val="21"/>
        </w:rPr>
      </w:pPr>
      <w:bookmarkStart w:id="2" w:name="1　范围"/>
      <w:bookmarkEnd w:id="2"/>
      <w:bookmarkStart w:id="3" w:name="_bookmark1"/>
      <w:bookmarkEnd w:id="3"/>
      <w:r>
        <w:rPr>
          <w:rFonts w:ascii="黑体" w:eastAsia="黑体" w:hint="eastAsia"/>
          <w:sz w:val="21"/>
        </w:rPr>
        <w:t>范围</w:t>
      </w:r>
    </w:p>
    <w:p>
      <w:pPr>
        <w:pStyle w:val="BodyText"/>
        <w:rPr>
          <w:rFonts w:ascii="黑体"/>
          <w:sz w:val="20"/>
        </w:rPr>
      </w:pPr>
    </w:p>
    <w:p>
      <w:pPr>
        <w:pStyle w:val="BodyText"/>
        <w:spacing w:before="11"/>
        <w:rPr>
          <w:rFonts w:ascii="黑体"/>
          <w:sz w:val="19"/>
        </w:rPr>
      </w:pPr>
    </w:p>
    <w:p>
      <w:pPr>
        <w:pStyle w:val="BodyText"/>
        <w:spacing w:before="1" w:line="417" w:lineRule="auto"/>
        <w:ind w:left="235" w:right="335" w:firstLine="420"/>
      </w:pPr>
      <w:r>
        <w:rPr>
          <w:spacing w:val="-5"/>
          <w:w w:val="95"/>
        </w:rPr>
        <w:t xml:space="preserve">本文件规定了工业数据流通基本原则、数据流通参与方安全要求、数据流通前安全要求、实施数据   </w:t>
      </w:r>
      <w:r>
        <w:rPr>
          <w:spacing w:val="-5"/>
        </w:rPr>
        <w:t>流通安全要求以及数据流通后安全要求。</w:t>
      </w:r>
    </w:p>
    <w:p>
      <w:pPr>
        <w:pStyle w:val="BodyText"/>
        <w:spacing w:line="269" w:lineRule="exact"/>
        <w:ind w:left="656"/>
      </w:pPr>
      <w:r>
        <w:t>本文件适用于工业数据流通安全防护工作指导和落实。</w:t>
      </w:r>
    </w:p>
    <w:p>
      <w:pPr>
        <w:pStyle w:val="BodyText"/>
        <w:rPr>
          <w:sz w:val="20"/>
        </w:rPr>
      </w:pPr>
    </w:p>
    <w:p>
      <w:pPr>
        <w:pStyle w:val="BodyText"/>
        <w:spacing w:before="11"/>
        <w:rPr>
          <w:sz w:val="19"/>
        </w:rPr>
      </w:pPr>
    </w:p>
    <w:p>
      <w:pPr>
        <w:pStyle w:val="ListParagraph"/>
        <w:numPr>
          <w:ilvl w:val="0"/>
          <w:numId w:val="52"/>
        </w:numPr>
        <w:tabs>
          <w:tab w:val="left" w:pos="552"/>
          <w:tab w:val="left" w:pos="553"/>
        </w:tabs>
        <w:spacing w:before="0" w:after="0" w:line="240" w:lineRule="auto"/>
        <w:ind w:left="552" w:right="0" w:hanging="318"/>
        <w:jc w:val="left"/>
        <w:rPr>
          <w:rFonts w:ascii="黑体" w:eastAsia="黑体" w:hint="eastAsia"/>
          <w:sz w:val="21"/>
        </w:rPr>
      </w:pPr>
      <w:bookmarkStart w:id="4" w:name="2　规范性引用文件"/>
      <w:bookmarkEnd w:id="4"/>
      <w:bookmarkStart w:id="5" w:name="_bookmark2"/>
      <w:bookmarkEnd w:id="5"/>
      <w:r>
        <w:rPr>
          <w:rFonts w:ascii="黑体" w:eastAsia="黑体" w:hint="eastAsia"/>
          <w:sz w:val="21"/>
        </w:rPr>
        <w:t>规范性引用文件</w:t>
      </w:r>
    </w:p>
    <w:p>
      <w:pPr>
        <w:pStyle w:val="BodyText"/>
        <w:rPr>
          <w:rFonts w:ascii="黑体"/>
          <w:sz w:val="20"/>
        </w:rPr>
      </w:pPr>
    </w:p>
    <w:p>
      <w:pPr>
        <w:pStyle w:val="BodyText"/>
        <w:spacing w:before="11"/>
        <w:rPr>
          <w:rFonts w:ascii="黑体"/>
          <w:sz w:val="19"/>
        </w:rPr>
      </w:pPr>
    </w:p>
    <w:p>
      <w:pPr>
        <w:pStyle w:val="BodyText"/>
        <w:spacing w:after="30" w:line="417" w:lineRule="auto"/>
        <w:ind w:left="235" w:right="228" w:firstLine="420"/>
      </w:pPr>
      <w:r>
        <w:rPr>
          <w:spacing w:val="-7"/>
          <w:w w:val="95"/>
        </w:rPr>
        <w:t xml:space="preserve">下列文件中的内容通过文中的规范性引用而构成本文件必不可少的条款。其中，注日期的引用文件，   </w:t>
      </w:r>
      <w:r>
        <w:rPr>
          <w:spacing w:val="-11"/>
        </w:rPr>
        <w:t>仅该日期对应的版本适用于本文件；不注日期的引用文件，其最新版本</w:t>
      </w:r>
      <w:r>
        <w:t>（包括所有的修改单</w:t>
      </w:r>
      <w:r>
        <w:rPr>
          <w:spacing w:val="-22"/>
        </w:rPr>
        <w:t>）</w:t>
      </w:r>
      <w:r>
        <w:t>适用于本文件。</w:t>
      </w:r>
    </w:p>
    <w:tbl>
      <w:tblPr>
        <w:tblStyle w:val="TableNormal0"/>
        <w:tblW w:w="0" w:type="auto"/>
        <w:jc w:val="left"/>
        <w:tblInd w:w="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2"/>
        <w:gridCol w:w="1260"/>
        <w:gridCol w:w="4092"/>
      </w:tblGrid>
      <w:tr>
        <w:tblPrEx>
          <w:tblW w:w="0" w:type="auto"/>
          <w:jc w:val="left"/>
          <w:tblInd w:w="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38"/>
          <w:jc w:val="left"/>
        </w:trPr>
        <w:tc>
          <w:tcPr>
            <w:tcW w:w="522" w:type="dxa"/>
          </w:tcPr>
          <w:p>
            <w:pPr>
              <w:pStyle w:val="TableParagraph"/>
              <w:spacing w:before="0" w:line="239" w:lineRule="exact"/>
              <w:ind w:left="30" w:right="31"/>
              <w:rPr>
                <w:sz w:val="21"/>
              </w:rPr>
            </w:pPr>
            <w:r>
              <w:rPr>
                <w:sz w:val="21"/>
              </w:rPr>
              <w:t>GB/T</w:t>
            </w:r>
          </w:p>
        </w:tc>
        <w:tc>
          <w:tcPr>
            <w:tcW w:w="1260" w:type="dxa"/>
          </w:tcPr>
          <w:p>
            <w:pPr>
              <w:pStyle w:val="TableParagraph"/>
              <w:spacing w:before="0" w:line="239" w:lineRule="exact"/>
              <w:ind w:left="32" w:right="32"/>
              <w:rPr>
                <w:sz w:val="21"/>
              </w:rPr>
            </w:pPr>
            <w:r>
              <w:rPr>
                <w:sz w:val="21"/>
              </w:rPr>
              <w:t>5271.1-2000</w:t>
            </w:r>
          </w:p>
        </w:tc>
        <w:tc>
          <w:tcPr>
            <w:tcW w:w="4092" w:type="dxa"/>
          </w:tcPr>
          <w:p>
            <w:pPr>
              <w:pStyle w:val="TableParagraph"/>
              <w:tabs>
                <w:tab w:val="left" w:pos="1207"/>
                <w:tab w:val="left" w:pos="1839"/>
              </w:tabs>
              <w:spacing w:before="0" w:line="239" w:lineRule="exact"/>
              <w:ind w:left="159"/>
              <w:jc w:val="left"/>
              <w:rPr>
                <w:sz w:val="21"/>
              </w:rPr>
            </w:pPr>
            <w:r>
              <w:rPr>
                <w:sz w:val="21"/>
              </w:rPr>
              <w:t>信息技术</w:t>
              <w:tab/>
              <w:t>词汇</w:t>
              <w:tab/>
              <w:t>第1部分：基本术语</w:t>
            </w:r>
          </w:p>
        </w:tc>
      </w:tr>
      <w:tr>
        <w:tblPrEx>
          <w:tblW w:w="0" w:type="auto"/>
          <w:jc w:val="left"/>
          <w:tblInd w:w="613" w:type="dxa"/>
          <w:tblLayout w:type="fixed"/>
          <w:tblCellMar>
            <w:top w:w="0" w:type="dxa"/>
            <w:left w:w="0" w:type="dxa"/>
            <w:bottom w:w="0" w:type="dxa"/>
            <w:right w:w="0" w:type="dxa"/>
          </w:tblCellMar>
          <w:tblLook w:val="01E0"/>
        </w:tblPrEx>
        <w:trPr>
          <w:trHeight w:val="467"/>
          <w:jc w:val="left"/>
        </w:trPr>
        <w:tc>
          <w:tcPr>
            <w:tcW w:w="522" w:type="dxa"/>
          </w:tcPr>
          <w:p>
            <w:pPr>
              <w:pStyle w:val="TableParagraph"/>
              <w:spacing w:before="99"/>
              <w:ind w:left="30" w:right="31"/>
              <w:rPr>
                <w:sz w:val="21"/>
              </w:rPr>
            </w:pPr>
            <w:r>
              <w:rPr>
                <w:sz w:val="21"/>
              </w:rPr>
              <w:t>GB/T</w:t>
            </w:r>
          </w:p>
        </w:tc>
        <w:tc>
          <w:tcPr>
            <w:tcW w:w="1260" w:type="dxa"/>
          </w:tcPr>
          <w:p>
            <w:pPr>
              <w:pStyle w:val="TableParagraph"/>
              <w:spacing w:before="99"/>
              <w:ind w:left="32" w:right="135"/>
              <w:rPr>
                <w:sz w:val="21"/>
              </w:rPr>
            </w:pPr>
            <w:r>
              <w:rPr>
                <w:sz w:val="21"/>
              </w:rPr>
              <w:t>22239-2019</w:t>
            </w:r>
          </w:p>
        </w:tc>
        <w:tc>
          <w:tcPr>
            <w:tcW w:w="4092" w:type="dxa"/>
          </w:tcPr>
          <w:p>
            <w:pPr>
              <w:pStyle w:val="TableParagraph"/>
              <w:tabs>
                <w:tab w:val="left" w:pos="1524"/>
              </w:tabs>
              <w:spacing w:before="99"/>
              <w:ind w:left="53"/>
              <w:jc w:val="left"/>
              <w:rPr>
                <w:sz w:val="21"/>
              </w:rPr>
            </w:pPr>
            <w:r>
              <w:rPr>
                <w:sz w:val="21"/>
              </w:rPr>
              <w:t>信息安全技术</w:t>
              <w:tab/>
              <w:t>网络安全等级保护基本要求</w:t>
            </w:r>
          </w:p>
        </w:tc>
      </w:tr>
      <w:tr>
        <w:tblPrEx>
          <w:tblW w:w="0" w:type="auto"/>
          <w:jc w:val="left"/>
          <w:tblInd w:w="613" w:type="dxa"/>
          <w:tblLayout w:type="fixed"/>
          <w:tblCellMar>
            <w:top w:w="0" w:type="dxa"/>
            <w:left w:w="0" w:type="dxa"/>
            <w:bottom w:w="0" w:type="dxa"/>
            <w:right w:w="0" w:type="dxa"/>
          </w:tblCellMar>
          <w:tblLook w:val="01E0"/>
        </w:tblPrEx>
        <w:trPr>
          <w:trHeight w:val="468"/>
          <w:jc w:val="left"/>
        </w:trPr>
        <w:tc>
          <w:tcPr>
            <w:tcW w:w="522" w:type="dxa"/>
          </w:tcPr>
          <w:p>
            <w:pPr>
              <w:pStyle w:val="TableParagraph"/>
              <w:spacing w:before="99"/>
              <w:ind w:left="30" w:right="31"/>
              <w:rPr>
                <w:sz w:val="21"/>
              </w:rPr>
            </w:pPr>
            <w:r>
              <w:rPr>
                <w:sz w:val="21"/>
              </w:rPr>
              <w:t>GB/T</w:t>
            </w:r>
          </w:p>
        </w:tc>
        <w:tc>
          <w:tcPr>
            <w:tcW w:w="1260" w:type="dxa"/>
          </w:tcPr>
          <w:p>
            <w:pPr>
              <w:pStyle w:val="TableParagraph"/>
              <w:spacing w:before="99"/>
              <w:ind w:left="32" w:right="135"/>
              <w:rPr>
                <w:sz w:val="21"/>
              </w:rPr>
            </w:pPr>
            <w:r>
              <w:rPr>
                <w:sz w:val="21"/>
              </w:rPr>
              <w:t>25069-2022</w:t>
            </w:r>
          </w:p>
        </w:tc>
        <w:tc>
          <w:tcPr>
            <w:tcW w:w="4092" w:type="dxa"/>
          </w:tcPr>
          <w:p>
            <w:pPr>
              <w:pStyle w:val="TableParagraph"/>
              <w:tabs>
                <w:tab w:val="left" w:pos="1524"/>
              </w:tabs>
              <w:spacing w:before="99"/>
              <w:ind w:left="53"/>
              <w:jc w:val="left"/>
              <w:rPr>
                <w:sz w:val="21"/>
              </w:rPr>
            </w:pPr>
            <w:r>
              <w:rPr>
                <w:sz w:val="21"/>
              </w:rPr>
              <w:t>信息安全技术</w:t>
              <w:tab/>
              <w:t>术语</w:t>
            </w:r>
          </w:p>
        </w:tc>
      </w:tr>
      <w:tr>
        <w:tblPrEx>
          <w:tblW w:w="0" w:type="auto"/>
          <w:jc w:val="left"/>
          <w:tblInd w:w="613" w:type="dxa"/>
          <w:tblLayout w:type="fixed"/>
          <w:tblCellMar>
            <w:top w:w="0" w:type="dxa"/>
            <w:left w:w="0" w:type="dxa"/>
            <w:bottom w:w="0" w:type="dxa"/>
            <w:right w:w="0" w:type="dxa"/>
          </w:tblCellMar>
          <w:tblLook w:val="01E0"/>
        </w:tblPrEx>
        <w:trPr>
          <w:trHeight w:val="467"/>
          <w:jc w:val="left"/>
        </w:trPr>
        <w:tc>
          <w:tcPr>
            <w:tcW w:w="522" w:type="dxa"/>
          </w:tcPr>
          <w:p>
            <w:pPr>
              <w:pStyle w:val="TableParagraph"/>
              <w:spacing w:before="99"/>
              <w:ind w:left="30" w:right="31"/>
              <w:rPr>
                <w:sz w:val="21"/>
              </w:rPr>
            </w:pPr>
            <w:r>
              <w:rPr>
                <w:sz w:val="21"/>
              </w:rPr>
              <w:t>GB/T</w:t>
            </w:r>
          </w:p>
        </w:tc>
        <w:tc>
          <w:tcPr>
            <w:tcW w:w="1260" w:type="dxa"/>
          </w:tcPr>
          <w:p>
            <w:pPr>
              <w:pStyle w:val="TableParagraph"/>
              <w:spacing w:before="99"/>
              <w:ind w:left="32" w:right="135"/>
              <w:rPr>
                <w:sz w:val="21"/>
              </w:rPr>
            </w:pPr>
            <w:r>
              <w:rPr>
                <w:sz w:val="21"/>
              </w:rPr>
              <w:t>35273-2020</w:t>
            </w:r>
          </w:p>
        </w:tc>
        <w:tc>
          <w:tcPr>
            <w:tcW w:w="4092" w:type="dxa"/>
          </w:tcPr>
          <w:p>
            <w:pPr>
              <w:pStyle w:val="TableParagraph"/>
              <w:tabs>
                <w:tab w:val="left" w:pos="1524"/>
              </w:tabs>
              <w:spacing w:before="99"/>
              <w:ind w:left="53"/>
              <w:jc w:val="left"/>
              <w:rPr>
                <w:sz w:val="21"/>
              </w:rPr>
            </w:pPr>
            <w:r>
              <w:rPr>
                <w:sz w:val="21"/>
              </w:rPr>
              <w:t>信息安全技术</w:t>
              <w:tab/>
              <w:t>个人信息安全规范</w:t>
            </w:r>
          </w:p>
        </w:tc>
      </w:tr>
      <w:tr>
        <w:tblPrEx>
          <w:tblW w:w="0" w:type="auto"/>
          <w:jc w:val="left"/>
          <w:tblInd w:w="613" w:type="dxa"/>
          <w:tblLayout w:type="fixed"/>
          <w:tblCellMar>
            <w:top w:w="0" w:type="dxa"/>
            <w:left w:w="0" w:type="dxa"/>
            <w:bottom w:w="0" w:type="dxa"/>
            <w:right w:w="0" w:type="dxa"/>
          </w:tblCellMar>
          <w:tblLook w:val="01E0"/>
        </w:tblPrEx>
        <w:trPr>
          <w:trHeight w:val="467"/>
          <w:jc w:val="left"/>
        </w:trPr>
        <w:tc>
          <w:tcPr>
            <w:tcW w:w="522" w:type="dxa"/>
          </w:tcPr>
          <w:p>
            <w:pPr>
              <w:pStyle w:val="TableParagraph"/>
              <w:spacing w:before="99"/>
              <w:ind w:left="30" w:right="31"/>
              <w:rPr>
                <w:sz w:val="21"/>
              </w:rPr>
            </w:pPr>
            <w:r>
              <w:rPr>
                <w:sz w:val="21"/>
              </w:rPr>
              <w:t>GB/T</w:t>
            </w:r>
          </w:p>
        </w:tc>
        <w:tc>
          <w:tcPr>
            <w:tcW w:w="1260" w:type="dxa"/>
          </w:tcPr>
          <w:p>
            <w:pPr>
              <w:pStyle w:val="TableParagraph"/>
              <w:spacing w:before="99"/>
              <w:ind w:left="32" w:right="135"/>
              <w:rPr>
                <w:sz w:val="21"/>
              </w:rPr>
            </w:pPr>
            <w:r>
              <w:rPr>
                <w:sz w:val="21"/>
              </w:rPr>
              <w:t>35274-2017</w:t>
            </w:r>
          </w:p>
        </w:tc>
        <w:tc>
          <w:tcPr>
            <w:tcW w:w="4092" w:type="dxa"/>
          </w:tcPr>
          <w:p>
            <w:pPr>
              <w:pStyle w:val="TableParagraph"/>
              <w:tabs>
                <w:tab w:val="left" w:pos="1524"/>
              </w:tabs>
              <w:spacing w:before="99"/>
              <w:ind w:left="53"/>
              <w:jc w:val="left"/>
              <w:rPr>
                <w:sz w:val="21"/>
              </w:rPr>
            </w:pPr>
            <w:r>
              <w:rPr>
                <w:sz w:val="21"/>
              </w:rPr>
              <w:t>信息安全技术</w:t>
              <w:tab/>
              <w:t>大数据服务安全能力要求</w:t>
            </w:r>
          </w:p>
        </w:tc>
      </w:tr>
      <w:tr>
        <w:tblPrEx>
          <w:tblW w:w="0" w:type="auto"/>
          <w:jc w:val="left"/>
          <w:tblInd w:w="613" w:type="dxa"/>
          <w:tblLayout w:type="fixed"/>
          <w:tblCellMar>
            <w:top w:w="0" w:type="dxa"/>
            <w:left w:w="0" w:type="dxa"/>
            <w:bottom w:w="0" w:type="dxa"/>
            <w:right w:w="0" w:type="dxa"/>
          </w:tblCellMar>
          <w:tblLook w:val="01E0"/>
        </w:tblPrEx>
        <w:trPr>
          <w:trHeight w:val="468"/>
          <w:jc w:val="left"/>
        </w:trPr>
        <w:tc>
          <w:tcPr>
            <w:tcW w:w="522" w:type="dxa"/>
          </w:tcPr>
          <w:p>
            <w:pPr>
              <w:pStyle w:val="TableParagraph"/>
              <w:spacing w:before="99"/>
              <w:ind w:left="30" w:right="31"/>
              <w:rPr>
                <w:sz w:val="21"/>
              </w:rPr>
            </w:pPr>
            <w:r>
              <w:rPr>
                <w:sz w:val="21"/>
              </w:rPr>
              <w:t>GB/T</w:t>
            </w:r>
          </w:p>
        </w:tc>
        <w:tc>
          <w:tcPr>
            <w:tcW w:w="1260" w:type="dxa"/>
          </w:tcPr>
          <w:p>
            <w:pPr>
              <w:pStyle w:val="TableParagraph"/>
              <w:spacing w:before="99"/>
              <w:ind w:left="32" w:right="135"/>
              <w:rPr>
                <w:sz w:val="21"/>
              </w:rPr>
            </w:pPr>
            <w:r>
              <w:rPr>
                <w:sz w:val="21"/>
              </w:rPr>
              <w:t>37932-2019</w:t>
            </w:r>
          </w:p>
        </w:tc>
        <w:tc>
          <w:tcPr>
            <w:tcW w:w="4092" w:type="dxa"/>
          </w:tcPr>
          <w:p>
            <w:pPr>
              <w:pStyle w:val="TableParagraph"/>
              <w:tabs>
                <w:tab w:val="left" w:pos="1524"/>
              </w:tabs>
              <w:spacing w:before="99"/>
              <w:ind w:left="53"/>
              <w:jc w:val="left"/>
              <w:rPr>
                <w:sz w:val="21"/>
              </w:rPr>
            </w:pPr>
            <w:r>
              <w:rPr>
                <w:sz w:val="21"/>
              </w:rPr>
              <w:t>信息安全技术</w:t>
              <w:tab/>
              <w:t>数据交易服务安全要求</w:t>
            </w:r>
          </w:p>
        </w:tc>
      </w:tr>
      <w:tr>
        <w:tblPrEx>
          <w:tblW w:w="0" w:type="auto"/>
          <w:jc w:val="left"/>
          <w:tblInd w:w="613" w:type="dxa"/>
          <w:tblLayout w:type="fixed"/>
          <w:tblCellMar>
            <w:top w:w="0" w:type="dxa"/>
            <w:left w:w="0" w:type="dxa"/>
            <w:bottom w:w="0" w:type="dxa"/>
            <w:right w:w="0" w:type="dxa"/>
          </w:tblCellMar>
          <w:tblLook w:val="01E0"/>
        </w:tblPrEx>
        <w:trPr>
          <w:trHeight w:val="467"/>
          <w:jc w:val="left"/>
        </w:trPr>
        <w:tc>
          <w:tcPr>
            <w:tcW w:w="522" w:type="dxa"/>
          </w:tcPr>
          <w:p>
            <w:pPr>
              <w:pStyle w:val="TableParagraph"/>
              <w:spacing w:before="99"/>
              <w:ind w:left="30" w:right="31"/>
              <w:rPr>
                <w:sz w:val="21"/>
              </w:rPr>
            </w:pPr>
            <w:r>
              <w:rPr>
                <w:sz w:val="21"/>
              </w:rPr>
              <w:t>GB/T</w:t>
            </w:r>
          </w:p>
        </w:tc>
        <w:tc>
          <w:tcPr>
            <w:tcW w:w="1260" w:type="dxa"/>
          </w:tcPr>
          <w:p>
            <w:pPr>
              <w:pStyle w:val="TableParagraph"/>
              <w:spacing w:before="99"/>
              <w:ind w:left="32" w:right="135"/>
              <w:rPr>
                <w:sz w:val="21"/>
              </w:rPr>
            </w:pPr>
            <w:r>
              <w:rPr>
                <w:sz w:val="21"/>
              </w:rPr>
              <w:t>37973-2019</w:t>
            </w:r>
          </w:p>
        </w:tc>
        <w:tc>
          <w:tcPr>
            <w:tcW w:w="4092" w:type="dxa"/>
          </w:tcPr>
          <w:p>
            <w:pPr>
              <w:pStyle w:val="TableParagraph"/>
              <w:tabs>
                <w:tab w:val="left" w:pos="1524"/>
              </w:tabs>
              <w:spacing w:before="99"/>
              <w:ind w:left="53"/>
              <w:jc w:val="left"/>
              <w:rPr>
                <w:sz w:val="21"/>
              </w:rPr>
            </w:pPr>
            <w:r>
              <w:rPr>
                <w:sz w:val="21"/>
              </w:rPr>
              <w:t>信息安全技术</w:t>
              <w:tab/>
              <w:t>大数据安全管理指南</w:t>
            </w:r>
          </w:p>
        </w:tc>
      </w:tr>
      <w:tr>
        <w:tblPrEx>
          <w:tblW w:w="0" w:type="auto"/>
          <w:jc w:val="left"/>
          <w:tblInd w:w="613" w:type="dxa"/>
          <w:tblLayout w:type="fixed"/>
          <w:tblCellMar>
            <w:top w:w="0" w:type="dxa"/>
            <w:left w:w="0" w:type="dxa"/>
            <w:bottom w:w="0" w:type="dxa"/>
            <w:right w:w="0" w:type="dxa"/>
          </w:tblCellMar>
          <w:tblLook w:val="01E0"/>
        </w:tblPrEx>
        <w:trPr>
          <w:trHeight w:val="467"/>
          <w:jc w:val="left"/>
        </w:trPr>
        <w:tc>
          <w:tcPr>
            <w:tcW w:w="522" w:type="dxa"/>
          </w:tcPr>
          <w:p>
            <w:pPr>
              <w:pStyle w:val="TableParagraph"/>
              <w:spacing w:before="99"/>
              <w:ind w:left="30" w:right="31"/>
              <w:rPr>
                <w:sz w:val="21"/>
              </w:rPr>
            </w:pPr>
            <w:r>
              <w:rPr>
                <w:sz w:val="21"/>
              </w:rPr>
              <w:t>GB/T</w:t>
            </w:r>
          </w:p>
        </w:tc>
        <w:tc>
          <w:tcPr>
            <w:tcW w:w="1260" w:type="dxa"/>
          </w:tcPr>
          <w:p>
            <w:pPr>
              <w:pStyle w:val="TableParagraph"/>
              <w:spacing w:before="99"/>
              <w:ind w:left="32" w:right="135"/>
              <w:rPr>
                <w:sz w:val="21"/>
              </w:rPr>
            </w:pPr>
            <w:r>
              <w:rPr>
                <w:sz w:val="21"/>
              </w:rPr>
              <w:t>37988-2019</w:t>
            </w:r>
          </w:p>
        </w:tc>
        <w:tc>
          <w:tcPr>
            <w:tcW w:w="4092" w:type="dxa"/>
          </w:tcPr>
          <w:p>
            <w:pPr>
              <w:pStyle w:val="TableParagraph"/>
              <w:tabs>
                <w:tab w:val="left" w:pos="1524"/>
              </w:tabs>
              <w:spacing w:before="99"/>
              <w:ind w:left="53"/>
              <w:jc w:val="left"/>
              <w:rPr>
                <w:sz w:val="21"/>
              </w:rPr>
            </w:pPr>
            <w:r>
              <w:rPr>
                <w:sz w:val="21"/>
              </w:rPr>
              <w:t>信息安全技术</w:t>
              <w:tab/>
              <w:t>数据安全能力成熟度模型</w:t>
            </w:r>
          </w:p>
        </w:tc>
      </w:tr>
      <w:tr>
        <w:tblPrEx>
          <w:tblW w:w="0" w:type="auto"/>
          <w:jc w:val="left"/>
          <w:tblInd w:w="613" w:type="dxa"/>
          <w:tblLayout w:type="fixed"/>
          <w:tblCellMar>
            <w:top w:w="0" w:type="dxa"/>
            <w:left w:w="0" w:type="dxa"/>
            <w:bottom w:w="0" w:type="dxa"/>
            <w:right w:w="0" w:type="dxa"/>
          </w:tblCellMar>
          <w:tblLook w:val="01E0"/>
        </w:tblPrEx>
        <w:trPr>
          <w:trHeight w:val="338"/>
          <w:jc w:val="left"/>
        </w:trPr>
        <w:tc>
          <w:tcPr>
            <w:tcW w:w="522" w:type="dxa"/>
          </w:tcPr>
          <w:p>
            <w:pPr>
              <w:pStyle w:val="TableParagraph"/>
              <w:spacing w:before="99" w:line="219" w:lineRule="exact"/>
              <w:ind w:left="30" w:right="31"/>
              <w:rPr>
                <w:sz w:val="21"/>
              </w:rPr>
            </w:pPr>
            <w:r>
              <w:rPr>
                <w:sz w:val="21"/>
              </w:rPr>
              <w:t>GB/T</w:t>
            </w:r>
          </w:p>
        </w:tc>
        <w:tc>
          <w:tcPr>
            <w:tcW w:w="1260" w:type="dxa"/>
          </w:tcPr>
          <w:p>
            <w:pPr>
              <w:pStyle w:val="TableParagraph"/>
              <w:spacing w:before="99" w:line="219" w:lineRule="exact"/>
              <w:ind w:left="32" w:right="135"/>
              <w:rPr>
                <w:sz w:val="21"/>
              </w:rPr>
            </w:pPr>
            <w:r>
              <w:rPr>
                <w:sz w:val="21"/>
              </w:rPr>
              <w:t>42128-2022</w:t>
            </w:r>
          </w:p>
        </w:tc>
        <w:tc>
          <w:tcPr>
            <w:tcW w:w="4092" w:type="dxa"/>
          </w:tcPr>
          <w:p>
            <w:pPr>
              <w:pStyle w:val="TableParagraph"/>
              <w:tabs>
                <w:tab w:val="left" w:pos="1104"/>
                <w:tab w:val="left" w:pos="2153"/>
              </w:tabs>
              <w:spacing w:before="99" w:line="219" w:lineRule="exact"/>
              <w:ind w:left="53"/>
              <w:jc w:val="left"/>
              <w:rPr>
                <w:sz w:val="21"/>
              </w:rPr>
            </w:pPr>
            <w:r>
              <w:rPr>
                <w:sz w:val="21"/>
              </w:rPr>
              <w:t>智能制造</w:t>
              <w:tab/>
              <w:t>工业数据</w:t>
              <w:tab/>
              <w:t>分类原则</w:t>
            </w:r>
          </w:p>
        </w:tc>
      </w:tr>
    </w:tbl>
    <w:p>
      <w:pPr>
        <w:pStyle w:val="BodyText"/>
        <w:rPr>
          <w:sz w:val="20"/>
        </w:rPr>
      </w:pPr>
    </w:p>
    <w:p>
      <w:pPr>
        <w:pStyle w:val="BodyText"/>
        <w:spacing w:before="2"/>
        <w:rPr>
          <w:sz w:val="22"/>
        </w:rPr>
      </w:pPr>
    </w:p>
    <w:p>
      <w:pPr>
        <w:pStyle w:val="ListParagraph"/>
        <w:numPr>
          <w:ilvl w:val="0"/>
          <w:numId w:val="52"/>
        </w:numPr>
        <w:tabs>
          <w:tab w:val="left" w:pos="552"/>
          <w:tab w:val="left" w:pos="553"/>
        </w:tabs>
        <w:spacing w:before="0" w:after="0" w:line="240" w:lineRule="auto"/>
        <w:ind w:left="552" w:right="0" w:hanging="318"/>
        <w:jc w:val="left"/>
        <w:rPr>
          <w:rFonts w:ascii="黑体" w:eastAsia="黑体" w:hint="eastAsia"/>
          <w:sz w:val="21"/>
        </w:rPr>
      </w:pPr>
      <w:bookmarkStart w:id="6" w:name="3　术语和定义"/>
      <w:bookmarkEnd w:id="6"/>
      <w:bookmarkStart w:id="7" w:name="_bookmark3"/>
      <w:bookmarkEnd w:id="7"/>
      <w:r>
        <w:rPr>
          <w:rFonts w:ascii="黑体" w:eastAsia="黑体" w:hint="eastAsia"/>
          <w:sz w:val="21"/>
        </w:rPr>
        <w:t>术语和定义</w:t>
      </w:r>
    </w:p>
    <w:p>
      <w:pPr>
        <w:pStyle w:val="BodyText"/>
        <w:rPr>
          <w:rFonts w:ascii="黑体"/>
          <w:sz w:val="20"/>
        </w:rPr>
      </w:pPr>
    </w:p>
    <w:p>
      <w:pPr>
        <w:pStyle w:val="BodyText"/>
        <w:spacing w:before="11"/>
        <w:rPr>
          <w:rFonts w:ascii="黑体"/>
          <w:sz w:val="19"/>
        </w:rPr>
      </w:pPr>
    </w:p>
    <w:p>
      <w:pPr>
        <w:pStyle w:val="BodyText"/>
        <w:ind w:left="656"/>
      </w:pPr>
      <w:r>
        <w:t>GB/T 25069-2022界定的以及下列术语和定义适用于本文件。</w:t>
      </w:r>
    </w:p>
    <w:p>
      <w:pPr>
        <w:pStyle w:val="BodyText"/>
        <w:spacing w:before="9"/>
        <w:rPr>
          <w:sz w:val="27"/>
        </w:rPr>
      </w:pPr>
    </w:p>
    <w:p>
      <w:pPr>
        <w:pStyle w:val="ListParagraph"/>
        <w:numPr>
          <w:ilvl w:val="1"/>
          <w:numId w:val="52"/>
        </w:numPr>
        <w:tabs>
          <w:tab w:val="left" w:pos="551"/>
        </w:tabs>
        <w:spacing w:before="0" w:after="0" w:line="240" w:lineRule="auto"/>
        <w:ind w:left="550" w:right="0" w:hanging="316"/>
        <w:jc w:val="left"/>
        <w:rPr>
          <w:rFonts w:ascii="黑体"/>
          <w:sz w:val="21"/>
        </w:rPr>
      </w:pPr>
    </w:p>
    <w:p>
      <w:pPr>
        <w:pStyle w:val="BodyText"/>
        <w:spacing w:before="9"/>
        <w:rPr>
          <w:rFonts w:ascii="黑体"/>
          <w:sz w:val="27"/>
        </w:rPr>
      </w:pPr>
    </w:p>
    <w:p>
      <w:pPr>
        <w:pStyle w:val="BodyText"/>
        <w:tabs>
          <w:tab w:val="left" w:pos="1287"/>
        </w:tabs>
        <w:ind w:left="656"/>
        <w:rPr>
          <w:rFonts w:ascii="黑体" w:eastAsia="黑体" w:hint="eastAsia"/>
        </w:rPr>
      </w:pPr>
      <w:r>
        <w:rPr>
          <w:rFonts w:ascii="黑体" w:eastAsia="黑体" w:hint="eastAsia"/>
        </w:rPr>
        <w:t>数据</w:t>
        <w:tab/>
        <w:t>data</w:t>
      </w:r>
    </w:p>
    <w:p>
      <w:pPr>
        <w:pStyle w:val="BodyText"/>
        <w:spacing w:before="7"/>
        <w:rPr>
          <w:rFonts w:ascii="黑体"/>
          <w:sz w:val="15"/>
        </w:rPr>
      </w:pPr>
    </w:p>
    <w:p>
      <w:pPr>
        <w:pStyle w:val="BodyText"/>
        <w:ind w:left="656"/>
      </w:pPr>
      <w:r>
        <w:t>信息的可再解释的形式化表示，以适用于通信、解释或处理。</w:t>
      </w:r>
    </w:p>
    <w:p>
      <w:pPr>
        <w:spacing w:after="0"/>
        <w:sectPr>
          <w:headerReference w:type="even" r:id="rId19"/>
          <w:headerReference w:type="default" r:id="rId20"/>
          <w:footerReference w:type="even" r:id="rId21"/>
          <w:footerReference w:type="default" r:id="rId22"/>
          <w:pgSz w:w="11910" w:h="16840"/>
          <w:pgMar w:top="1640" w:right="800" w:bottom="1340" w:left="1180" w:header="1449" w:footer="1141"/>
          <w:pgNumType w:start="1"/>
          <w:cols w:space="708"/>
        </w:sectPr>
      </w:pPr>
    </w:p>
    <w:p>
      <w:pPr>
        <w:pStyle w:val="BodyText"/>
        <w:spacing w:before="12"/>
      </w:pPr>
    </w:p>
    <w:p>
      <w:pPr>
        <w:pStyle w:val="BodyText"/>
        <w:spacing w:before="70"/>
        <w:ind w:left="656"/>
      </w:pPr>
      <w:r>
        <w:t>[来源：GB/T 5271.1-2000,01.01.02]</w:t>
      </w:r>
    </w:p>
    <w:p>
      <w:pPr>
        <w:pStyle w:val="BodyText"/>
        <w:spacing w:before="3"/>
        <w:rPr>
          <w:sz w:val="22"/>
        </w:rPr>
      </w:pPr>
    </w:p>
    <w:p>
      <w:pPr>
        <w:pStyle w:val="ListParagraph"/>
        <w:numPr>
          <w:ilvl w:val="1"/>
          <w:numId w:val="49"/>
        </w:numPr>
        <w:tabs>
          <w:tab w:val="left" w:pos="551"/>
        </w:tabs>
        <w:spacing w:before="70" w:after="0" w:line="240" w:lineRule="auto"/>
        <w:ind w:left="550" w:right="0" w:hanging="316"/>
        <w:jc w:val="left"/>
        <w:rPr>
          <w:rFonts w:ascii="黑体"/>
          <w:sz w:val="21"/>
        </w:rPr>
      </w:pPr>
    </w:p>
    <w:p>
      <w:pPr>
        <w:pStyle w:val="BodyText"/>
        <w:spacing w:before="3"/>
        <w:rPr>
          <w:rFonts w:ascii="黑体"/>
          <w:sz w:val="22"/>
        </w:rPr>
      </w:pPr>
    </w:p>
    <w:p>
      <w:pPr>
        <w:pStyle w:val="BodyText"/>
        <w:tabs>
          <w:tab w:val="left" w:pos="1707"/>
        </w:tabs>
        <w:spacing w:before="70"/>
        <w:ind w:left="656"/>
        <w:rPr>
          <w:rFonts w:ascii="黑体" w:eastAsia="黑体" w:hint="eastAsia"/>
        </w:rPr>
      </w:pPr>
      <w:r>
        <w:rPr>
          <w:rFonts w:ascii="黑体" w:eastAsia="黑体" w:hint="eastAsia"/>
        </w:rPr>
        <w:t>工业数据</w:t>
        <w:tab/>
        <w:t>industrial data</w:t>
      </w:r>
    </w:p>
    <w:p>
      <w:pPr>
        <w:pStyle w:val="BodyText"/>
        <w:spacing w:before="6"/>
        <w:rPr>
          <w:rFonts w:ascii="黑体"/>
          <w:sz w:val="15"/>
        </w:rPr>
      </w:pPr>
    </w:p>
    <w:p>
      <w:pPr>
        <w:pStyle w:val="BodyText"/>
        <w:spacing w:before="1" w:line="417" w:lineRule="auto"/>
        <w:ind w:left="656" w:right="3387"/>
      </w:pPr>
      <w:r>
        <w:t>在工业领域中，涉及企业的所有生产活动和服务所产生的数据。[来源：GB/T 42128-2022，3.1.1]</w:t>
      </w:r>
    </w:p>
    <w:p>
      <w:pPr>
        <w:pStyle w:val="ListParagraph"/>
        <w:numPr>
          <w:ilvl w:val="1"/>
          <w:numId w:val="49"/>
        </w:numPr>
        <w:tabs>
          <w:tab w:val="left" w:pos="551"/>
        </w:tabs>
        <w:spacing w:before="155" w:after="0" w:line="240" w:lineRule="auto"/>
        <w:ind w:left="550" w:right="0" w:hanging="316"/>
        <w:jc w:val="left"/>
        <w:rPr>
          <w:rFonts w:ascii="黑体"/>
          <w:sz w:val="21"/>
        </w:rPr>
      </w:pPr>
    </w:p>
    <w:p>
      <w:pPr>
        <w:pStyle w:val="BodyText"/>
        <w:spacing w:before="3"/>
        <w:rPr>
          <w:rFonts w:ascii="黑体"/>
          <w:sz w:val="22"/>
        </w:rPr>
      </w:pPr>
    </w:p>
    <w:p>
      <w:pPr>
        <w:pStyle w:val="BodyText"/>
        <w:tabs>
          <w:tab w:val="left" w:pos="1707"/>
        </w:tabs>
        <w:spacing w:before="70"/>
        <w:ind w:left="656"/>
        <w:rPr>
          <w:rFonts w:ascii="黑体" w:eastAsia="黑体" w:hint="eastAsia"/>
        </w:rPr>
      </w:pPr>
      <w:r>
        <w:rPr>
          <w:rFonts w:ascii="黑体" w:eastAsia="黑体" w:hint="eastAsia"/>
        </w:rPr>
        <w:t>数据供方</w:t>
        <w:tab/>
        <w:t>data supplier</w:t>
      </w:r>
    </w:p>
    <w:p>
      <w:pPr>
        <w:pStyle w:val="BodyText"/>
        <w:spacing w:before="7"/>
        <w:rPr>
          <w:rFonts w:ascii="黑体"/>
          <w:sz w:val="15"/>
        </w:rPr>
      </w:pPr>
    </w:p>
    <w:p>
      <w:pPr>
        <w:pStyle w:val="BodyText"/>
        <w:spacing w:line="417" w:lineRule="auto"/>
        <w:ind w:left="656" w:right="6119"/>
      </w:pPr>
      <w:r>
        <w:t>数据流通中提供数据的组织机构。[来源：GB/T 37932-2019，3.2]</w:t>
      </w:r>
    </w:p>
    <w:p>
      <w:pPr>
        <w:pStyle w:val="ListParagraph"/>
        <w:numPr>
          <w:ilvl w:val="1"/>
          <w:numId w:val="49"/>
        </w:numPr>
        <w:tabs>
          <w:tab w:val="left" w:pos="551"/>
        </w:tabs>
        <w:spacing w:before="156" w:after="0" w:line="240" w:lineRule="auto"/>
        <w:ind w:left="550" w:right="0" w:hanging="316"/>
        <w:jc w:val="left"/>
        <w:rPr>
          <w:rFonts w:ascii="黑体"/>
          <w:sz w:val="21"/>
        </w:rPr>
      </w:pPr>
    </w:p>
    <w:p>
      <w:pPr>
        <w:pStyle w:val="BodyText"/>
        <w:spacing w:before="3"/>
        <w:rPr>
          <w:rFonts w:ascii="黑体"/>
          <w:sz w:val="22"/>
        </w:rPr>
      </w:pPr>
    </w:p>
    <w:p>
      <w:pPr>
        <w:pStyle w:val="BodyText"/>
        <w:tabs>
          <w:tab w:val="left" w:pos="1707"/>
        </w:tabs>
        <w:spacing w:before="70"/>
        <w:ind w:left="656"/>
        <w:rPr>
          <w:rFonts w:ascii="黑体" w:eastAsia="黑体" w:hint="eastAsia"/>
        </w:rPr>
      </w:pPr>
      <w:r>
        <w:rPr>
          <w:rFonts w:ascii="黑体" w:eastAsia="黑体" w:hint="eastAsia"/>
        </w:rPr>
        <w:t>数据需方</w:t>
        <w:tab/>
        <w:t>data acquirer</w:t>
      </w:r>
    </w:p>
    <w:p>
      <w:pPr>
        <w:pStyle w:val="BodyText"/>
        <w:spacing w:before="6"/>
        <w:rPr>
          <w:rFonts w:ascii="黑体"/>
          <w:sz w:val="15"/>
        </w:rPr>
      </w:pPr>
    </w:p>
    <w:p>
      <w:pPr>
        <w:pStyle w:val="BodyText"/>
        <w:spacing w:line="417" w:lineRule="auto"/>
        <w:ind w:left="656" w:right="5487"/>
      </w:pPr>
      <w:r>
        <w:t>数据流通中购买和使用数据的组织机构。[来源：GB/T 37932-2019，3.3]</w:t>
      </w:r>
    </w:p>
    <w:p>
      <w:pPr>
        <w:pStyle w:val="ListParagraph"/>
        <w:numPr>
          <w:ilvl w:val="1"/>
          <w:numId w:val="49"/>
        </w:numPr>
        <w:tabs>
          <w:tab w:val="left" w:pos="551"/>
        </w:tabs>
        <w:spacing w:before="156" w:after="0" w:line="240" w:lineRule="auto"/>
        <w:ind w:left="550" w:right="0" w:hanging="316"/>
        <w:jc w:val="left"/>
        <w:rPr>
          <w:rFonts w:ascii="黑体"/>
          <w:sz w:val="21"/>
        </w:rPr>
      </w:pPr>
    </w:p>
    <w:p>
      <w:pPr>
        <w:pStyle w:val="BodyText"/>
        <w:spacing w:before="3"/>
        <w:rPr>
          <w:rFonts w:ascii="黑体"/>
          <w:sz w:val="22"/>
        </w:rPr>
      </w:pPr>
    </w:p>
    <w:p>
      <w:pPr>
        <w:pStyle w:val="BodyText"/>
        <w:tabs>
          <w:tab w:val="left" w:pos="1707"/>
        </w:tabs>
        <w:spacing w:before="70"/>
        <w:ind w:left="656"/>
        <w:rPr>
          <w:rFonts w:ascii="黑体" w:eastAsia="黑体" w:hint="eastAsia"/>
        </w:rPr>
      </w:pPr>
      <w:r>
        <w:rPr>
          <w:rFonts w:ascii="黑体" w:eastAsia="黑体" w:hint="eastAsia"/>
        </w:rPr>
        <w:t>数据交易</w:t>
        <w:tab/>
        <w:t>data transaction</w:t>
      </w:r>
    </w:p>
    <w:p>
      <w:pPr>
        <w:pStyle w:val="BodyText"/>
        <w:spacing w:before="7"/>
        <w:rPr>
          <w:rFonts w:ascii="黑体"/>
          <w:sz w:val="15"/>
        </w:rPr>
      </w:pPr>
    </w:p>
    <w:p>
      <w:pPr>
        <w:pStyle w:val="BodyText"/>
        <w:ind w:left="656"/>
      </w:pPr>
      <w:r>
        <w:t>数据供方和需方之间以数据商品作为交易对象，进行的以货币或货币等价物交换数据商品的行为。</w:t>
      </w:r>
    </w:p>
    <w:p>
      <w:pPr>
        <w:pStyle w:val="BodyText"/>
        <w:spacing w:before="1"/>
        <w:rPr>
          <w:sz w:val="17"/>
        </w:rPr>
      </w:pPr>
    </w:p>
    <w:p>
      <w:pPr>
        <w:spacing w:before="0"/>
        <w:ind w:left="656" w:right="0" w:firstLine="0"/>
        <w:jc w:val="left"/>
        <w:rPr>
          <w:sz w:val="18"/>
        </w:rPr>
      </w:pPr>
      <w:r>
        <w:rPr>
          <w:rFonts w:ascii="黑体" w:eastAsia="黑体" w:hint="eastAsia"/>
          <w:sz w:val="18"/>
        </w:rPr>
        <w:t>注1：</w:t>
      </w:r>
      <w:r>
        <w:rPr>
          <w:sz w:val="18"/>
        </w:rPr>
        <w:t>数据商品包括用于交易的原始数据或加工处理后的数据衍生产品。</w:t>
      </w:r>
    </w:p>
    <w:p>
      <w:pPr>
        <w:pStyle w:val="BodyText"/>
        <w:spacing w:before="7"/>
        <w:rPr>
          <w:sz w:val="18"/>
        </w:rPr>
      </w:pPr>
    </w:p>
    <w:p>
      <w:pPr>
        <w:spacing w:before="0" w:line="487" w:lineRule="auto"/>
        <w:ind w:left="1107" w:right="332" w:hanging="452"/>
        <w:jc w:val="left"/>
        <w:rPr>
          <w:sz w:val="18"/>
        </w:rPr>
      </w:pPr>
      <w:r>
        <w:rPr>
          <w:rFonts w:ascii="黑体" w:eastAsia="黑体" w:hint="eastAsia"/>
          <w:sz w:val="18"/>
        </w:rPr>
        <w:t>注2：</w:t>
      </w:r>
      <w:r>
        <w:rPr>
          <w:sz w:val="18"/>
        </w:rPr>
        <w:t>数据交易包括以大数据或其衍生品作为数据商品的数据交易，也包括以传统数据或其衍生品作为数据商品的数据交易。</w:t>
      </w:r>
    </w:p>
    <w:p>
      <w:pPr>
        <w:pStyle w:val="BodyText"/>
        <w:spacing w:line="248" w:lineRule="exact"/>
        <w:ind w:left="656"/>
      </w:pPr>
      <w:r>
        <w:t>[来源:GB/T 37932-2019，3.1]</w:t>
      </w:r>
    </w:p>
    <w:p>
      <w:pPr>
        <w:pStyle w:val="BodyText"/>
        <w:spacing w:before="4"/>
        <w:rPr>
          <w:sz w:val="22"/>
        </w:rPr>
      </w:pPr>
    </w:p>
    <w:p>
      <w:pPr>
        <w:pStyle w:val="ListParagraph"/>
        <w:numPr>
          <w:ilvl w:val="1"/>
          <w:numId w:val="49"/>
        </w:numPr>
        <w:tabs>
          <w:tab w:val="left" w:pos="551"/>
        </w:tabs>
        <w:spacing w:before="69" w:after="0" w:line="240" w:lineRule="auto"/>
        <w:ind w:left="550" w:right="0" w:hanging="316"/>
        <w:jc w:val="left"/>
        <w:rPr>
          <w:rFonts w:ascii="黑体"/>
          <w:sz w:val="21"/>
        </w:rPr>
      </w:pPr>
    </w:p>
    <w:p>
      <w:pPr>
        <w:pStyle w:val="BodyText"/>
        <w:spacing w:before="4"/>
        <w:rPr>
          <w:rFonts w:ascii="黑体"/>
          <w:sz w:val="22"/>
        </w:rPr>
      </w:pPr>
    </w:p>
    <w:p>
      <w:pPr>
        <w:pStyle w:val="BodyText"/>
        <w:tabs>
          <w:tab w:val="left" w:pos="1707"/>
        </w:tabs>
        <w:spacing w:before="69"/>
        <w:ind w:left="656"/>
        <w:rPr>
          <w:rFonts w:ascii="黑体" w:eastAsia="黑体" w:hint="eastAsia"/>
        </w:rPr>
      </w:pPr>
      <w:r>
        <w:rPr>
          <w:rFonts w:ascii="黑体" w:eastAsia="黑体" w:hint="eastAsia"/>
        </w:rPr>
        <w:t>数据流通</w:t>
        <w:tab/>
        <w:t>data circulation</w:t>
      </w:r>
    </w:p>
    <w:p>
      <w:pPr>
        <w:pStyle w:val="BodyText"/>
        <w:spacing w:before="7"/>
        <w:rPr>
          <w:rFonts w:ascii="黑体"/>
          <w:sz w:val="15"/>
        </w:rPr>
      </w:pPr>
    </w:p>
    <w:p>
      <w:pPr>
        <w:pStyle w:val="BodyText"/>
        <w:ind w:left="656"/>
      </w:pPr>
      <w:r>
        <w:t>数据及数据产品在不同实体间流转的行为。</w:t>
      </w:r>
    </w:p>
    <w:p>
      <w:pPr>
        <w:pStyle w:val="BodyText"/>
        <w:spacing w:before="3"/>
        <w:rPr>
          <w:sz w:val="22"/>
        </w:rPr>
      </w:pPr>
    </w:p>
    <w:p>
      <w:pPr>
        <w:pStyle w:val="ListParagraph"/>
        <w:numPr>
          <w:ilvl w:val="1"/>
          <w:numId w:val="49"/>
        </w:numPr>
        <w:tabs>
          <w:tab w:val="left" w:pos="551"/>
        </w:tabs>
        <w:spacing w:before="70" w:after="0" w:line="240" w:lineRule="auto"/>
        <w:ind w:left="550" w:right="0" w:hanging="316"/>
        <w:jc w:val="left"/>
        <w:rPr>
          <w:rFonts w:ascii="黑体"/>
          <w:sz w:val="21"/>
        </w:rPr>
      </w:pPr>
    </w:p>
    <w:p>
      <w:pPr>
        <w:spacing w:after="0" w:line="240" w:lineRule="auto"/>
        <w:jc w:val="left"/>
        <w:rPr>
          <w:rFonts w:ascii="黑体"/>
          <w:sz w:val="21"/>
        </w:rPr>
        <w:sectPr>
          <w:headerReference w:type="even" r:id="rId23"/>
          <w:headerReference w:type="default" r:id="rId24"/>
          <w:footerReference w:type="even" r:id="rId25"/>
          <w:footerReference w:type="default" r:id="rId26"/>
          <w:pgSz w:w="11910" w:h="16840"/>
          <w:pgMar w:top="1640" w:right="800" w:bottom="1340" w:left="1180" w:header="1449" w:footer="1141"/>
          <w:pgNumType w:start="2"/>
          <w:cols w:space="708"/>
        </w:sectPr>
      </w:pPr>
    </w:p>
    <w:p>
      <w:pPr>
        <w:pStyle w:val="BodyText"/>
        <w:spacing w:before="12"/>
        <w:rPr>
          <w:rFonts w:ascii="黑体"/>
        </w:rPr>
      </w:pPr>
    </w:p>
    <w:p>
      <w:pPr>
        <w:pStyle w:val="BodyText"/>
        <w:spacing w:before="70" w:line="417" w:lineRule="auto"/>
        <w:ind w:left="656" w:right="4857"/>
        <w:jc w:val="both"/>
      </w:pPr>
      <w:r>
        <w:rPr>
          <w:rFonts w:ascii="黑体" w:eastAsia="黑体" w:hint="eastAsia"/>
        </w:rPr>
        <w:t xml:space="preserve">数据交易服务机构 data circulation service </w:t>
      </w:r>
      <w:r>
        <w:t>为数据供需双方提供数据交易服务的组织机构。[来源：GB/T 37932-2019，3.4]</w:t>
      </w:r>
    </w:p>
    <w:p>
      <w:pPr>
        <w:pStyle w:val="ListParagraph"/>
        <w:numPr>
          <w:ilvl w:val="1"/>
          <w:numId w:val="49"/>
        </w:numPr>
        <w:tabs>
          <w:tab w:val="left" w:pos="551"/>
        </w:tabs>
        <w:spacing w:before="155" w:after="0" w:line="240" w:lineRule="auto"/>
        <w:ind w:left="550" w:right="0" w:hanging="316"/>
        <w:jc w:val="left"/>
        <w:rPr>
          <w:rFonts w:ascii="黑体"/>
          <w:sz w:val="21"/>
        </w:rPr>
      </w:pPr>
    </w:p>
    <w:p>
      <w:pPr>
        <w:pStyle w:val="BodyText"/>
        <w:spacing w:before="3"/>
        <w:rPr>
          <w:rFonts w:ascii="黑体"/>
          <w:sz w:val="22"/>
        </w:rPr>
      </w:pPr>
    </w:p>
    <w:p>
      <w:pPr>
        <w:pStyle w:val="BodyText"/>
        <w:tabs>
          <w:tab w:val="left" w:pos="1707"/>
        </w:tabs>
        <w:spacing w:before="70"/>
        <w:ind w:left="656"/>
        <w:rPr>
          <w:rFonts w:ascii="黑体" w:eastAsia="黑体" w:hint="eastAsia"/>
        </w:rPr>
      </w:pPr>
      <w:r>
        <w:rPr>
          <w:rFonts w:ascii="黑体" w:eastAsia="黑体" w:hint="eastAsia"/>
        </w:rPr>
        <w:t>个人信息</w:t>
        <w:tab/>
        <w:t>personal information</w:t>
      </w:r>
    </w:p>
    <w:p>
      <w:pPr>
        <w:pStyle w:val="BodyText"/>
        <w:spacing w:before="7"/>
        <w:rPr>
          <w:rFonts w:ascii="黑体"/>
          <w:sz w:val="15"/>
        </w:rPr>
      </w:pPr>
    </w:p>
    <w:p>
      <w:pPr>
        <w:pStyle w:val="BodyText"/>
        <w:spacing w:line="417" w:lineRule="auto"/>
        <w:ind w:left="235" w:right="335" w:firstLine="420"/>
      </w:pPr>
      <w:r>
        <w:t>以电子或者其他方式记录的能够单独或者与其他信息结合识别特定自然人身份或者反映特定自然人活动情况的各种信息。</w:t>
      </w:r>
    </w:p>
    <w:p>
      <w:pPr>
        <w:spacing w:before="20" w:line="487" w:lineRule="auto"/>
        <w:ind w:left="1107" w:right="332" w:hanging="452"/>
        <w:jc w:val="left"/>
        <w:rPr>
          <w:sz w:val="18"/>
        </w:rPr>
      </w:pPr>
      <w:r>
        <w:rPr>
          <w:rFonts w:ascii="黑体" w:eastAsia="黑体" w:hint="eastAsia"/>
          <w:sz w:val="18"/>
        </w:rPr>
        <w:t>注1：</w:t>
      </w:r>
      <w:r>
        <w:rPr>
          <w:sz w:val="18"/>
        </w:rPr>
        <w:t>个人信息包括姓名、出生日期、身份证件号码、个人生物识别信息、住址、通信通讯联系方式、通信记录和内容账号密码、财产信息、征信信息、行踪轨迹、住宿信息、健康生理信息、流通信息等。</w:t>
      </w:r>
    </w:p>
    <w:p>
      <w:pPr>
        <w:spacing w:before="0" w:line="487" w:lineRule="auto"/>
        <w:ind w:left="1107" w:right="332" w:hanging="452"/>
        <w:jc w:val="left"/>
        <w:rPr>
          <w:rFonts w:ascii="黑体" w:eastAsia="黑体" w:hint="eastAsia"/>
          <w:sz w:val="18"/>
        </w:rPr>
      </w:pPr>
      <w:r>
        <w:rPr>
          <w:rFonts w:ascii="黑体" w:eastAsia="黑体" w:hint="eastAsia"/>
          <w:sz w:val="18"/>
        </w:rPr>
        <w:t>注2：</w:t>
      </w:r>
      <w:r>
        <w:rPr>
          <w:sz w:val="18"/>
        </w:rPr>
        <w:t>个人信息控制者通过个人信息或其他信息加工处理后形成的信息，例如,用户画像或特征标签,能够单独或者与其他信息结合识别特定自然人身份或者反映特定自然人活动情况的,属于个人信息</w:t>
      </w:r>
      <w:r>
        <w:rPr>
          <w:rFonts w:ascii="黑体" w:eastAsia="黑体" w:hint="eastAsia"/>
          <w:sz w:val="18"/>
        </w:rPr>
        <w:t>。</w:t>
      </w:r>
    </w:p>
    <w:p>
      <w:pPr>
        <w:pStyle w:val="BodyText"/>
        <w:spacing w:line="248" w:lineRule="exact"/>
        <w:ind w:left="656"/>
      </w:pPr>
      <w:r>
        <w:t>[来源：GB/T 35273-2020，3.1，有修改]</w:t>
      </w:r>
    </w:p>
    <w:p>
      <w:pPr>
        <w:pStyle w:val="BodyText"/>
        <w:rPr>
          <w:sz w:val="20"/>
        </w:rPr>
      </w:pPr>
    </w:p>
    <w:p>
      <w:pPr>
        <w:pStyle w:val="BodyText"/>
        <w:spacing w:before="11"/>
        <w:rPr>
          <w:sz w:val="19"/>
        </w:rPr>
      </w:pPr>
    </w:p>
    <w:p>
      <w:pPr>
        <w:pStyle w:val="ListParagraph"/>
        <w:numPr>
          <w:ilvl w:val="0"/>
          <w:numId w:val="49"/>
        </w:numPr>
        <w:tabs>
          <w:tab w:val="left" w:pos="552"/>
          <w:tab w:val="left" w:pos="553"/>
        </w:tabs>
        <w:spacing w:before="0" w:after="0" w:line="240" w:lineRule="auto"/>
        <w:ind w:left="552" w:right="0" w:hanging="318"/>
        <w:jc w:val="left"/>
        <w:rPr>
          <w:rFonts w:ascii="黑体" w:eastAsia="黑体" w:hint="eastAsia"/>
          <w:sz w:val="21"/>
        </w:rPr>
      </w:pPr>
      <w:bookmarkStart w:id="8" w:name="4　数据流通前安全要求"/>
      <w:bookmarkEnd w:id="8"/>
      <w:bookmarkStart w:id="9" w:name="_bookmark4"/>
      <w:bookmarkEnd w:id="9"/>
      <w:r>
        <w:rPr>
          <w:rFonts w:ascii="黑体" w:eastAsia="黑体" w:hint="eastAsia"/>
          <w:sz w:val="21"/>
        </w:rPr>
        <w:t>数据流通前安全要求</w:t>
      </w:r>
    </w:p>
    <w:p>
      <w:pPr>
        <w:pStyle w:val="BodyText"/>
        <w:rPr>
          <w:rFonts w:ascii="黑体"/>
          <w:sz w:val="20"/>
        </w:rPr>
      </w:pPr>
    </w:p>
    <w:p>
      <w:pPr>
        <w:pStyle w:val="BodyText"/>
        <w:spacing w:before="11"/>
        <w:rPr>
          <w:rFonts w:ascii="黑体"/>
          <w:sz w:val="19"/>
        </w:rPr>
      </w:pPr>
    </w:p>
    <w:p>
      <w:pPr>
        <w:pStyle w:val="ListParagraph"/>
        <w:numPr>
          <w:ilvl w:val="1"/>
          <w:numId w:val="49"/>
        </w:numPr>
        <w:tabs>
          <w:tab w:val="left" w:pos="761"/>
          <w:tab w:val="left" w:pos="762"/>
        </w:tabs>
        <w:spacing w:before="0" w:after="0" w:line="240" w:lineRule="auto"/>
        <w:ind w:left="761" w:right="0" w:hanging="527"/>
        <w:jc w:val="left"/>
        <w:rPr>
          <w:rFonts w:ascii="黑体" w:eastAsia="黑体" w:hint="eastAsia"/>
          <w:sz w:val="21"/>
        </w:rPr>
      </w:pPr>
      <w:bookmarkStart w:id="10" w:name="4.1　采集所需流通的数据"/>
      <w:bookmarkEnd w:id="10"/>
      <w:bookmarkStart w:id="11" w:name="_bookmark5"/>
      <w:bookmarkEnd w:id="11"/>
      <w:r>
        <w:rPr>
          <w:rFonts w:ascii="黑体" w:eastAsia="黑体" w:hint="eastAsia"/>
          <w:sz w:val="21"/>
        </w:rPr>
        <w:t>采集所需流通的数据</w:t>
      </w:r>
    </w:p>
    <w:p>
      <w:pPr>
        <w:pStyle w:val="BodyText"/>
        <w:spacing w:before="9"/>
        <w:rPr>
          <w:rFonts w:ascii="黑体"/>
          <w:sz w:val="27"/>
        </w:rPr>
      </w:pPr>
    </w:p>
    <w:p>
      <w:pPr>
        <w:pStyle w:val="ListParagraph"/>
        <w:numPr>
          <w:ilvl w:val="2"/>
          <w:numId w:val="49"/>
        </w:numPr>
        <w:tabs>
          <w:tab w:val="left" w:pos="972"/>
          <w:tab w:val="left" w:pos="973"/>
        </w:tabs>
        <w:spacing w:before="0" w:after="0" w:line="240" w:lineRule="auto"/>
        <w:ind w:left="972" w:right="0" w:hanging="738"/>
        <w:jc w:val="left"/>
        <w:rPr>
          <w:rFonts w:ascii="黑体" w:eastAsia="黑体" w:hint="eastAsia"/>
          <w:sz w:val="21"/>
        </w:rPr>
      </w:pPr>
      <w:bookmarkStart w:id="12" w:name="4.1.1　数据采集安全管理"/>
      <w:bookmarkEnd w:id="12"/>
      <w:r>
        <w:rPr>
          <w:rFonts w:ascii="黑体" w:eastAsia="黑体" w:hint="eastAsia"/>
          <w:sz w:val="21"/>
        </w:rPr>
        <w:t>数据采集安全管理</w:t>
      </w:r>
    </w:p>
    <w:p>
      <w:pPr>
        <w:pStyle w:val="BodyText"/>
        <w:spacing w:before="9"/>
        <w:rPr>
          <w:rFonts w:ascii="黑体"/>
          <w:sz w:val="27"/>
        </w:rPr>
      </w:pPr>
    </w:p>
    <w:p>
      <w:pPr>
        <w:pStyle w:val="BodyText"/>
        <w:ind w:left="656"/>
      </w:pPr>
      <w:r>
        <w:t>数据供方数据采集应满足如下要求：</w:t>
      </w:r>
    </w:p>
    <w:p>
      <w:pPr>
        <w:pStyle w:val="BodyText"/>
        <w:spacing w:before="7"/>
        <w:rPr>
          <w:sz w:val="15"/>
        </w:rPr>
      </w:pPr>
    </w:p>
    <w:p>
      <w:pPr>
        <w:pStyle w:val="ListParagraph"/>
        <w:numPr>
          <w:ilvl w:val="3"/>
          <w:numId w:val="49"/>
        </w:numPr>
        <w:tabs>
          <w:tab w:val="left" w:pos="1076"/>
        </w:tabs>
        <w:spacing w:before="0" w:after="0" w:line="417" w:lineRule="auto"/>
        <w:ind w:left="1076" w:right="228" w:hanging="420"/>
        <w:jc w:val="left"/>
        <w:rPr>
          <w:sz w:val="21"/>
        </w:rPr>
      </w:pPr>
      <w:r>
        <w:rPr>
          <w:spacing w:val="-9"/>
          <w:w w:val="95"/>
          <w:sz w:val="21"/>
        </w:rPr>
        <w:t xml:space="preserve">组织开展数据采集活动的过程中应满足权责一致、目的明确、选择同意、最小必要、公开透明、   </w:t>
      </w:r>
      <w:r>
        <w:rPr>
          <w:spacing w:val="-9"/>
          <w:sz w:val="21"/>
        </w:rPr>
        <w:t>确保安全、主体参与等原则；</w:t>
      </w:r>
    </w:p>
    <w:p>
      <w:pPr>
        <w:pStyle w:val="ListParagraph"/>
        <w:numPr>
          <w:ilvl w:val="3"/>
          <w:numId w:val="49"/>
        </w:numPr>
        <w:tabs>
          <w:tab w:val="left" w:pos="1076"/>
        </w:tabs>
        <w:spacing w:before="0" w:after="0" w:line="269" w:lineRule="exact"/>
        <w:ind w:left="1076" w:right="0" w:hanging="420"/>
        <w:jc w:val="left"/>
        <w:rPr>
          <w:sz w:val="21"/>
        </w:rPr>
      </w:pPr>
      <w:r>
        <w:rPr>
          <w:sz w:val="21"/>
        </w:rPr>
        <w:t>应设立数据采集安全管理团队，负责制定和推动实施整体的数据采集安全合规管理制度；</w:t>
      </w:r>
    </w:p>
    <w:p>
      <w:pPr>
        <w:pStyle w:val="BodyText"/>
        <w:spacing w:before="7"/>
        <w:rPr>
          <w:sz w:val="15"/>
        </w:rPr>
      </w:pPr>
    </w:p>
    <w:p>
      <w:pPr>
        <w:pStyle w:val="ListParagraph"/>
        <w:numPr>
          <w:ilvl w:val="3"/>
          <w:numId w:val="49"/>
        </w:numPr>
        <w:tabs>
          <w:tab w:val="left" w:pos="1076"/>
        </w:tabs>
        <w:spacing w:before="0" w:after="0" w:line="417" w:lineRule="auto"/>
        <w:ind w:left="1076" w:right="123" w:hanging="420"/>
        <w:jc w:val="left"/>
        <w:rPr>
          <w:sz w:val="21"/>
        </w:rPr>
      </w:pPr>
      <w:r>
        <w:rPr>
          <w:spacing w:val="-7"/>
          <w:w w:val="95"/>
          <w:sz w:val="21"/>
        </w:rPr>
        <w:t xml:space="preserve">应设立数据采集风险评估团队，负责对不同业务或项目场景的数据采集提供安全评估服务支持，   </w:t>
      </w:r>
      <w:r>
        <w:rPr>
          <w:spacing w:val="-7"/>
          <w:sz w:val="21"/>
        </w:rPr>
        <w:t>并制定相应的改进方案，评估内容包括但不限于合规安全性、技术安全性等；</w:t>
      </w:r>
    </w:p>
    <w:p>
      <w:pPr>
        <w:pStyle w:val="ListParagraph"/>
        <w:numPr>
          <w:ilvl w:val="3"/>
          <w:numId w:val="49"/>
        </w:numPr>
        <w:tabs>
          <w:tab w:val="left" w:pos="1076"/>
        </w:tabs>
        <w:spacing w:before="0" w:after="0" w:line="417" w:lineRule="auto"/>
        <w:ind w:left="1076" w:right="335" w:hanging="420"/>
        <w:jc w:val="left"/>
        <w:rPr>
          <w:sz w:val="21"/>
        </w:rPr>
      </w:pPr>
      <w:r>
        <w:rPr>
          <w:spacing w:val="-6"/>
          <w:w w:val="95"/>
          <w:sz w:val="21"/>
        </w:rPr>
        <w:t xml:space="preserve">定义采集数据的目的和用途，明确数据来源、采集方式、采集范围等内容，并制定标准的采集   </w:t>
      </w:r>
      <w:r>
        <w:rPr>
          <w:spacing w:val="-6"/>
          <w:sz w:val="21"/>
        </w:rPr>
        <w:t>模板、数据采集方法、策略和规范；</w:t>
      </w:r>
    </w:p>
    <w:p>
      <w:pPr>
        <w:pStyle w:val="ListParagraph"/>
        <w:numPr>
          <w:ilvl w:val="3"/>
          <w:numId w:val="49"/>
        </w:numPr>
        <w:tabs>
          <w:tab w:val="left" w:pos="1076"/>
        </w:tabs>
        <w:spacing w:before="0" w:after="0" w:line="417" w:lineRule="auto"/>
        <w:ind w:left="656" w:right="3390" w:firstLine="0"/>
        <w:jc w:val="left"/>
        <w:rPr>
          <w:sz w:val="21"/>
        </w:rPr>
      </w:pPr>
      <w:r>
        <w:rPr>
          <w:w w:val="95"/>
          <w:sz w:val="21"/>
        </w:rPr>
        <w:t xml:space="preserve">遵循合规原则，确保数据采集的合法性、正当性和必要性； </w:t>
      </w:r>
      <w:r>
        <w:rPr>
          <w:sz w:val="21"/>
        </w:rPr>
        <w:t>f）</w:t>
      </w:r>
      <w:r>
        <w:rPr>
          <w:spacing w:val="-2"/>
          <w:sz w:val="21"/>
        </w:rPr>
        <w:t xml:space="preserve"> 设置专人负责信息生产或提供者的数据审核和采集工作；</w:t>
      </w:r>
    </w:p>
    <w:p>
      <w:pPr>
        <w:spacing w:after="0" w:line="417" w:lineRule="auto"/>
        <w:jc w:val="left"/>
        <w:rPr>
          <w:sz w:val="21"/>
        </w:rPr>
        <w:sectPr>
          <w:headerReference w:type="even" r:id="rId27"/>
          <w:headerReference w:type="default" r:id="rId28"/>
          <w:footerReference w:type="even" r:id="rId29"/>
          <w:footerReference w:type="default" r:id="rId30"/>
          <w:pgSz w:w="11910" w:h="16840"/>
          <w:pgMar w:top="1640" w:right="800" w:bottom="1340" w:left="1180" w:header="1449" w:footer="1141"/>
          <w:pgNumType w:start="3"/>
          <w:cols w:space="708"/>
        </w:sectPr>
      </w:pPr>
    </w:p>
    <w:p>
      <w:pPr>
        <w:pStyle w:val="BodyText"/>
        <w:spacing w:before="12"/>
      </w:pPr>
    </w:p>
    <w:p>
      <w:pPr>
        <w:pStyle w:val="ListParagraph"/>
        <w:numPr>
          <w:ilvl w:val="0"/>
          <w:numId w:val="48"/>
        </w:numPr>
        <w:tabs>
          <w:tab w:val="left" w:pos="1076"/>
        </w:tabs>
        <w:spacing w:before="70" w:after="0" w:line="417" w:lineRule="auto"/>
        <w:ind w:left="1076" w:right="332" w:hanging="420"/>
        <w:jc w:val="left"/>
        <w:rPr>
          <w:sz w:val="21"/>
        </w:rPr>
      </w:pPr>
      <w:r>
        <w:rPr>
          <w:spacing w:val="-6"/>
          <w:w w:val="95"/>
          <w:sz w:val="21"/>
        </w:rPr>
        <w:t xml:space="preserve">对于初次采集的数据，应采用人工与技术相结合的方式进行数据采集，并根据数据的来源、类   </w:t>
      </w:r>
      <w:r>
        <w:rPr>
          <w:spacing w:val="-6"/>
          <w:sz w:val="21"/>
        </w:rPr>
        <w:t>型或重要程度进行分类；</w:t>
      </w:r>
    </w:p>
    <w:p>
      <w:pPr>
        <w:pStyle w:val="ListParagraph"/>
        <w:numPr>
          <w:ilvl w:val="0"/>
          <w:numId w:val="48"/>
        </w:numPr>
        <w:tabs>
          <w:tab w:val="left" w:pos="1076"/>
        </w:tabs>
        <w:spacing w:before="0" w:after="0" w:line="417" w:lineRule="auto"/>
        <w:ind w:left="1076" w:right="332" w:hanging="420"/>
        <w:jc w:val="left"/>
        <w:rPr>
          <w:sz w:val="21"/>
        </w:rPr>
      </w:pPr>
      <w:r>
        <w:rPr>
          <w:spacing w:val="-9"/>
          <w:w w:val="95"/>
          <w:sz w:val="21"/>
        </w:rPr>
        <w:t xml:space="preserve">最小化采集数据，仅需要完成必须工作即可，确保不收集与提供服务无关的个人信息和重要数   </w:t>
      </w:r>
      <w:r>
        <w:rPr>
          <w:spacing w:val="-9"/>
          <w:sz w:val="21"/>
        </w:rPr>
        <w:t>据；</w:t>
      </w:r>
    </w:p>
    <w:p>
      <w:pPr>
        <w:pStyle w:val="ListParagraph"/>
        <w:numPr>
          <w:ilvl w:val="0"/>
          <w:numId w:val="48"/>
        </w:numPr>
        <w:tabs>
          <w:tab w:val="left" w:pos="1076"/>
        </w:tabs>
        <w:spacing w:before="0" w:after="0" w:line="417" w:lineRule="auto"/>
        <w:ind w:left="1076" w:right="332" w:hanging="420"/>
        <w:jc w:val="left"/>
        <w:rPr>
          <w:sz w:val="21"/>
        </w:rPr>
      </w:pPr>
      <w:r>
        <w:rPr>
          <w:spacing w:val="-6"/>
          <w:w w:val="95"/>
          <w:sz w:val="21"/>
        </w:rPr>
        <w:t xml:space="preserve">对采集的数据进行分级分类标识，并对不同类别、级别的数据实施相应的安全管理策略和保障   </w:t>
      </w:r>
      <w:r>
        <w:rPr>
          <w:spacing w:val="-6"/>
          <w:sz w:val="21"/>
        </w:rPr>
        <w:t>措施，对数据采集环境、设施和技术采取必要的安全管理措施；</w:t>
      </w:r>
    </w:p>
    <w:p>
      <w:pPr>
        <w:pStyle w:val="ListParagraph"/>
        <w:numPr>
          <w:ilvl w:val="0"/>
          <w:numId w:val="48"/>
        </w:numPr>
        <w:tabs>
          <w:tab w:val="left" w:pos="1076"/>
        </w:tabs>
        <w:spacing w:before="0" w:after="0" w:line="417" w:lineRule="auto"/>
        <w:ind w:left="1076" w:right="332" w:hanging="420"/>
        <w:jc w:val="left"/>
        <w:rPr>
          <w:sz w:val="21"/>
        </w:rPr>
      </w:pPr>
      <w:r>
        <w:rPr>
          <w:spacing w:val="-3"/>
          <w:w w:val="95"/>
          <w:sz w:val="21"/>
        </w:rPr>
        <w:t>部署数据采集系统或相关工具，制定数据采集策略</w:t>
      </w:r>
      <w:r>
        <w:rPr>
          <w:w w:val="95"/>
          <w:sz w:val="21"/>
        </w:rPr>
        <w:t>（</w:t>
      </w:r>
      <w:r>
        <w:rPr>
          <w:spacing w:val="-6"/>
          <w:w w:val="95"/>
          <w:sz w:val="21"/>
        </w:rPr>
        <w:t>如采集周期、频率、采集内容等</w:t>
      </w:r>
      <w:r>
        <w:rPr>
          <w:spacing w:val="-17"/>
          <w:w w:val="95"/>
          <w:sz w:val="21"/>
        </w:rPr>
        <w:t>）</w:t>
      </w:r>
      <w:r>
        <w:rPr>
          <w:w w:val="95"/>
          <w:sz w:val="21"/>
        </w:rPr>
        <w:t xml:space="preserve">对数据   </w:t>
      </w:r>
      <w:r>
        <w:rPr>
          <w:sz w:val="21"/>
        </w:rPr>
        <w:t>进行采集；</w:t>
      </w:r>
    </w:p>
    <w:p>
      <w:pPr>
        <w:pStyle w:val="ListParagraph"/>
        <w:numPr>
          <w:ilvl w:val="0"/>
          <w:numId w:val="48"/>
        </w:numPr>
        <w:tabs>
          <w:tab w:val="left" w:pos="1076"/>
        </w:tabs>
        <w:spacing w:before="0" w:after="0" w:line="269" w:lineRule="exact"/>
        <w:ind w:left="1076" w:right="0" w:hanging="420"/>
        <w:jc w:val="left"/>
        <w:rPr>
          <w:sz w:val="21"/>
        </w:rPr>
      </w:pPr>
      <w:r>
        <w:rPr>
          <w:sz w:val="21"/>
        </w:rPr>
        <w:t>在采集过程中对被采集方授权同意采集的过程和信息进行日志记录；</w:t>
      </w:r>
    </w:p>
    <w:p>
      <w:pPr>
        <w:pStyle w:val="BodyText"/>
        <w:spacing w:before="5"/>
        <w:rPr>
          <w:sz w:val="15"/>
        </w:rPr>
      </w:pPr>
    </w:p>
    <w:p>
      <w:pPr>
        <w:pStyle w:val="ListParagraph"/>
        <w:numPr>
          <w:ilvl w:val="0"/>
          <w:numId w:val="48"/>
        </w:numPr>
        <w:tabs>
          <w:tab w:val="left" w:pos="1076"/>
        </w:tabs>
        <w:spacing w:before="0" w:after="0" w:line="417" w:lineRule="auto"/>
        <w:ind w:left="1076" w:right="335" w:hanging="420"/>
        <w:jc w:val="left"/>
        <w:rPr>
          <w:sz w:val="21"/>
        </w:rPr>
      </w:pPr>
      <w:r>
        <w:rPr>
          <w:spacing w:val="-4"/>
          <w:w w:val="95"/>
          <w:sz w:val="21"/>
        </w:rPr>
        <w:t xml:space="preserve">实施数据采集过程的数据防泄漏安全技术措施：如采集数据的加密、采集链路加密、敏感信息   </w:t>
      </w:r>
      <w:r>
        <w:rPr>
          <w:spacing w:val="-4"/>
          <w:sz w:val="21"/>
        </w:rPr>
        <w:t>和字段的脱敏、权限的访问控制等；</w:t>
      </w:r>
    </w:p>
    <w:p>
      <w:pPr>
        <w:pStyle w:val="ListParagraph"/>
        <w:numPr>
          <w:ilvl w:val="0"/>
          <w:numId w:val="48"/>
        </w:numPr>
        <w:tabs>
          <w:tab w:val="left" w:pos="1076"/>
        </w:tabs>
        <w:spacing w:before="0" w:after="0" w:line="269" w:lineRule="exact"/>
        <w:ind w:left="1076" w:right="0" w:hanging="420"/>
        <w:jc w:val="left"/>
        <w:rPr>
          <w:sz w:val="21"/>
        </w:rPr>
      </w:pPr>
      <w:r>
        <w:rPr>
          <w:sz w:val="21"/>
        </w:rPr>
        <w:t>应按照本文件7.1中的要求对数据进行存储。</w:t>
      </w:r>
    </w:p>
    <w:p>
      <w:pPr>
        <w:pStyle w:val="BodyText"/>
        <w:spacing w:before="9"/>
        <w:rPr>
          <w:sz w:val="27"/>
        </w:rPr>
      </w:pPr>
    </w:p>
    <w:p>
      <w:pPr>
        <w:pStyle w:val="ListParagraph"/>
        <w:numPr>
          <w:ilvl w:val="2"/>
          <w:numId w:val="49"/>
        </w:numPr>
        <w:tabs>
          <w:tab w:val="left" w:pos="972"/>
          <w:tab w:val="left" w:pos="973"/>
        </w:tabs>
        <w:spacing w:before="0" w:after="0" w:line="240" w:lineRule="auto"/>
        <w:ind w:left="972" w:right="0" w:hanging="738"/>
        <w:jc w:val="left"/>
        <w:rPr>
          <w:rFonts w:ascii="黑体" w:eastAsia="黑体" w:hint="eastAsia"/>
          <w:sz w:val="21"/>
        </w:rPr>
      </w:pPr>
      <w:bookmarkStart w:id="13" w:name="4.1.2　数据源鉴别及记录管理"/>
      <w:bookmarkEnd w:id="13"/>
      <w:r>
        <w:rPr>
          <w:rFonts w:ascii="黑体" w:eastAsia="黑体" w:hint="eastAsia"/>
          <w:sz w:val="21"/>
        </w:rPr>
        <w:t>数据源鉴别及记录管理</w:t>
      </w:r>
    </w:p>
    <w:p>
      <w:pPr>
        <w:pStyle w:val="BodyText"/>
        <w:spacing w:before="9"/>
        <w:rPr>
          <w:rFonts w:ascii="黑体"/>
          <w:sz w:val="27"/>
        </w:rPr>
      </w:pPr>
    </w:p>
    <w:p>
      <w:pPr>
        <w:pStyle w:val="BodyText"/>
        <w:ind w:left="656"/>
      </w:pPr>
      <w:r>
        <w:t>数据供方开展数据源鉴别及记录活动的过程中应遵循如下基本要求，防止数据仿冒和伪造：</w:t>
      </w:r>
    </w:p>
    <w:p>
      <w:pPr>
        <w:pStyle w:val="BodyText"/>
        <w:spacing w:before="7"/>
        <w:rPr>
          <w:sz w:val="15"/>
        </w:rPr>
      </w:pPr>
    </w:p>
    <w:p>
      <w:pPr>
        <w:pStyle w:val="ListParagraph"/>
        <w:numPr>
          <w:ilvl w:val="0"/>
          <w:numId w:val="47"/>
        </w:numPr>
        <w:tabs>
          <w:tab w:val="left" w:pos="1076"/>
        </w:tabs>
        <w:spacing w:before="0" w:after="0" w:line="417" w:lineRule="auto"/>
        <w:ind w:left="1076" w:right="332" w:hanging="420"/>
        <w:jc w:val="left"/>
        <w:rPr>
          <w:sz w:val="21"/>
        </w:rPr>
      </w:pPr>
      <w:r>
        <w:rPr>
          <w:spacing w:val="-4"/>
          <w:w w:val="95"/>
          <w:sz w:val="21"/>
        </w:rPr>
        <w:t xml:space="preserve">设立负责数据源鉴别和记录的岗位和人员，负责对数据源进行鉴别、记录和追溯，检测数据是   </w:t>
      </w:r>
      <w:r>
        <w:rPr>
          <w:spacing w:val="-4"/>
          <w:sz w:val="21"/>
        </w:rPr>
        <w:t>否被仿冒、伪造，同时提供统一的数据源管理策略和方案；</w:t>
      </w:r>
    </w:p>
    <w:p>
      <w:pPr>
        <w:pStyle w:val="ListParagraph"/>
        <w:numPr>
          <w:ilvl w:val="0"/>
          <w:numId w:val="47"/>
        </w:numPr>
        <w:tabs>
          <w:tab w:val="left" w:pos="1076"/>
        </w:tabs>
        <w:spacing w:before="0" w:after="0" w:line="269" w:lineRule="exact"/>
        <w:ind w:left="1076" w:right="0" w:hanging="420"/>
        <w:jc w:val="left"/>
        <w:rPr>
          <w:sz w:val="21"/>
        </w:rPr>
      </w:pPr>
      <w:r>
        <w:rPr>
          <w:sz w:val="21"/>
        </w:rPr>
        <w:t>采取标注法、反向查询法等技术手段对外部收集的数据和数据源进行识别和记录；</w:t>
      </w:r>
    </w:p>
    <w:p>
      <w:pPr>
        <w:pStyle w:val="BodyText"/>
        <w:spacing w:before="7"/>
        <w:rPr>
          <w:sz w:val="15"/>
        </w:rPr>
      </w:pPr>
    </w:p>
    <w:p>
      <w:pPr>
        <w:pStyle w:val="ListParagraph"/>
        <w:numPr>
          <w:ilvl w:val="0"/>
          <w:numId w:val="47"/>
        </w:numPr>
        <w:tabs>
          <w:tab w:val="left" w:pos="1076"/>
        </w:tabs>
        <w:spacing w:before="0" w:after="0" w:line="417" w:lineRule="auto"/>
        <w:ind w:left="1076" w:right="332" w:hanging="420"/>
        <w:jc w:val="left"/>
        <w:rPr>
          <w:sz w:val="21"/>
        </w:rPr>
      </w:pPr>
      <w:r>
        <w:rPr>
          <w:spacing w:val="-8"/>
          <w:w w:val="95"/>
          <w:sz w:val="21"/>
        </w:rPr>
        <w:t xml:space="preserve">对关键溯源数据进行备份，并采取数据加密、访问控制及数据备份等技术手段对溯源数据进行   </w:t>
      </w:r>
      <w:r>
        <w:rPr>
          <w:spacing w:val="-8"/>
          <w:sz w:val="21"/>
        </w:rPr>
        <w:t>安全保护；</w:t>
      </w:r>
    </w:p>
    <w:p>
      <w:pPr>
        <w:pStyle w:val="ListParagraph"/>
        <w:numPr>
          <w:ilvl w:val="0"/>
          <w:numId w:val="47"/>
        </w:numPr>
        <w:tabs>
          <w:tab w:val="left" w:pos="1076"/>
        </w:tabs>
        <w:spacing w:before="0" w:after="0" w:line="417" w:lineRule="auto"/>
        <w:ind w:left="1076" w:right="335" w:hanging="420"/>
        <w:jc w:val="left"/>
        <w:rPr>
          <w:sz w:val="21"/>
        </w:rPr>
      </w:pPr>
      <w:r>
        <w:rPr>
          <w:spacing w:val="-3"/>
          <w:w w:val="95"/>
          <w:sz w:val="21"/>
        </w:rPr>
        <w:t xml:space="preserve">确保负责该项工作的人员理解数据源鉴别标准和组织内部的数据采集业务，并结合实际情况执   </w:t>
      </w:r>
      <w:r>
        <w:rPr>
          <w:spacing w:val="-3"/>
          <w:sz w:val="21"/>
        </w:rPr>
        <w:t>行标准要求；</w:t>
      </w:r>
    </w:p>
    <w:p>
      <w:pPr>
        <w:pStyle w:val="ListParagraph"/>
        <w:numPr>
          <w:ilvl w:val="0"/>
          <w:numId w:val="47"/>
        </w:numPr>
        <w:tabs>
          <w:tab w:val="left" w:pos="1076"/>
        </w:tabs>
        <w:spacing w:before="0" w:after="0" w:line="269" w:lineRule="exact"/>
        <w:ind w:left="1076" w:right="0" w:hanging="420"/>
        <w:jc w:val="left"/>
        <w:rPr>
          <w:sz w:val="21"/>
        </w:rPr>
      </w:pPr>
      <w:r>
        <w:rPr>
          <w:sz w:val="21"/>
        </w:rPr>
        <w:t>通过身份鉴别、数据源认证等安全机制确保数据来源的真实性。</w:t>
      </w:r>
    </w:p>
    <w:p>
      <w:pPr>
        <w:pStyle w:val="BodyText"/>
        <w:spacing w:before="8"/>
        <w:rPr>
          <w:sz w:val="27"/>
        </w:rPr>
      </w:pPr>
    </w:p>
    <w:p>
      <w:pPr>
        <w:pStyle w:val="ListParagraph"/>
        <w:numPr>
          <w:ilvl w:val="2"/>
          <w:numId w:val="49"/>
        </w:numPr>
        <w:tabs>
          <w:tab w:val="left" w:pos="972"/>
          <w:tab w:val="left" w:pos="973"/>
        </w:tabs>
        <w:spacing w:before="1" w:after="0" w:line="240" w:lineRule="auto"/>
        <w:ind w:left="972" w:right="0" w:hanging="738"/>
        <w:jc w:val="left"/>
        <w:rPr>
          <w:rFonts w:ascii="黑体" w:eastAsia="黑体" w:hint="eastAsia"/>
          <w:sz w:val="21"/>
        </w:rPr>
      </w:pPr>
      <w:bookmarkStart w:id="14" w:name="4.1.3　数据质量管理"/>
      <w:bookmarkEnd w:id="14"/>
      <w:r>
        <w:rPr>
          <w:rFonts w:ascii="黑体" w:eastAsia="黑体" w:hint="eastAsia"/>
          <w:sz w:val="21"/>
        </w:rPr>
        <w:t>数据质量管理</w:t>
      </w:r>
    </w:p>
    <w:p>
      <w:pPr>
        <w:pStyle w:val="BodyText"/>
        <w:spacing w:before="8"/>
        <w:rPr>
          <w:rFonts w:ascii="黑体"/>
          <w:sz w:val="27"/>
        </w:rPr>
      </w:pPr>
    </w:p>
    <w:p>
      <w:pPr>
        <w:pStyle w:val="BodyText"/>
        <w:spacing w:before="1"/>
        <w:ind w:left="656"/>
      </w:pPr>
      <w:r>
        <w:t>数据供方应对采集的数据进行质量管理，应满足如下要求：</w:t>
      </w:r>
    </w:p>
    <w:p>
      <w:pPr>
        <w:pStyle w:val="BodyText"/>
        <w:spacing w:before="6"/>
        <w:rPr>
          <w:sz w:val="15"/>
        </w:rPr>
      </w:pPr>
    </w:p>
    <w:p>
      <w:pPr>
        <w:pStyle w:val="ListParagraph"/>
        <w:numPr>
          <w:ilvl w:val="0"/>
          <w:numId w:val="46"/>
        </w:numPr>
        <w:tabs>
          <w:tab w:val="left" w:pos="1076"/>
        </w:tabs>
        <w:spacing w:before="0" w:after="0" w:line="417" w:lineRule="auto"/>
        <w:ind w:left="1076" w:right="335" w:hanging="420"/>
        <w:jc w:val="left"/>
        <w:rPr>
          <w:sz w:val="21"/>
        </w:rPr>
      </w:pPr>
      <w:r>
        <w:rPr>
          <w:spacing w:val="-6"/>
          <w:w w:val="95"/>
          <w:sz w:val="21"/>
        </w:rPr>
        <w:t xml:space="preserve">应设立数据质量管理岗位和人员，负责制定统一的数据质量管理要求，明确对数据质量进行管   </w:t>
      </w:r>
      <w:r>
        <w:rPr>
          <w:spacing w:val="-6"/>
          <w:sz w:val="21"/>
        </w:rPr>
        <w:t>理和监控的责任部门或人员；</w:t>
      </w:r>
    </w:p>
    <w:p>
      <w:pPr>
        <w:spacing w:after="0" w:line="417" w:lineRule="auto"/>
        <w:jc w:val="left"/>
        <w:rPr>
          <w:sz w:val="21"/>
        </w:rPr>
        <w:sectPr>
          <w:headerReference w:type="even" r:id="rId31"/>
          <w:headerReference w:type="default" r:id="rId32"/>
          <w:footerReference w:type="even" r:id="rId33"/>
          <w:footerReference w:type="default" r:id="rId34"/>
          <w:pgSz w:w="11910" w:h="16840"/>
          <w:pgMar w:top="1640" w:right="800" w:bottom="1340" w:left="1180" w:header="1449" w:footer="1141"/>
          <w:pgNumType w:start="4"/>
          <w:cols w:space="708"/>
        </w:sectPr>
      </w:pPr>
    </w:p>
    <w:p>
      <w:pPr>
        <w:pStyle w:val="BodyText"/>
        <w:spacing w:before="12"/>
      </w:pPr>
    </w:p>
    <w:p>
      <w:pPr>
        <w:pStyle w:val="ListParagraph"/>
        <w:numPr>
          <w:ilvl w:val="0"/>
          <w:numId w:val="46"/>
        </w:numPr>
        <w:tabs>
          <w:tab w:val="left" w:pos="1076"/>
        </w:tabs>
        <w:spacing w:before="70" w:after="0" w:line="417" w:lineRule="auto"/>
        <w:ind w:left="1076" w:right="332" w:hanging="420"/>
        <w:jc w:val="left"/>
        <w:rPr>
          <w:sz w:val="21"/>
        </w:rPr>
      </w:pPr>
      <w:r>
        <w:rPr>
          <w:spacing w:val="-5"/>
          <w:w w:val="95"/>
          <w:sz w:val="21"/>
        </w:rPr>
        <w:t xml:space="preserve">应明确数据质量管理相关的要求，包含数据格式要求、数据完整性要求、数据字典维护管理要   </w:t>
      </w:r>
      <w:r>
        <w:rPr>
          <w:spacing w:val="-5"/>
          <w:sz w:val="21"/>
        </w:rPr>
        <w:t>求、数据源质量评价标准等；</w:t>
      </w:r>
    </w:p>
    <w:p>
      <w:pPr>
        <w:pStyle w:val="ListParagraph"/>
        <w:numPr>
          <w:ilvl w:val="0"/>
          <w:numId w:val="46"/>
        </w:numPr>
        <w:tabs>
          <w:tab w:val="left" w:pos="1076"/>
        </w:tabs>
        <w:spacing w:before="0" w:after="0" w:line="269" w:lineRule="exact"/>
        <w:ind w:left="1076" w:right="0" w:hanging="420"/>
        <w:jc w:val="left"/>
        <w:rPr>
          <w:sz w:val="21"/>
        </w:rPr>
      </w:pPr>
      <w:r>
        <w:rPr>
          <w:sz w:val="21"/>
        </w:rPr>
        <w:t>应明确数据采集过程中质量监控规则，明确数据质量监控范围及监控方式；</w:t>
      </w:r>
    </w:p>
    <w:p>
      <w:pPr>
        <w:pStyle w:val="BodyText"/>
        <w:spacing w:before="6"/>
        <w:rPr>
          <w:sz w:val="15"/>
        </w:rPr>
      </w:pPr>
    </w:p>
    <w:p>
      <w:pPr>
        <w:pStyle w:val="ListParagraph"/>
        <w:numPr>
          <w:ilvl w:val="0"/>
          <w:numId w:val="46"/>
        </w:numPr>
        <w:tabs>
          <w:tab w:val="left" w:pos="1076"/>
        </w:tabs>
        <w:spacing w:before="0" w:after="0" w:line="417" w:lineRule="auto"/>
        <w:ind w:left="1076" w:right="335" w:hanging="420"/>
        <w:jc w:val="left"/>
        <w:rPr>
          <w:sz w:val="21"/>
        </w:rPr>
      </w:pPr>
      <w:r>
        <w:rPr>
          <w:spacing w:val="-6"/>
          <w:w w:val="95"/>
          <w:sz w:val="21"/>
        </w:rPr>
        <w:t xml:space="preserve">应明确组织的数据淸洗、转换和加载操作相关的安全管理规范，明确执行的规则和方法、相关   </w:t>
      </w:r>
      <w:r>
        <w:rPr>
          <w:spacing w:val="-6"/>
          <w:sz w:val="21"/>
        </w:rPr>
        <w:t>人员权限、完整性和一致性要求等。</w:t>
      </w:r>
    </w:p>
    <w:p>
      <w:pPr>
        <w:pStyle w:val="ListParagraph"/>
        <w:numPr>
          <w:ilvl w:val="2"/>
          <w:numId w:val="49"/>
        </w:numPr>
        <w:tabs>
          <w:tab w:val="left" w:pos="972"/>
          <w:tab w:val="left" w:pos="973"/>
        </w:tabs>
        <w:spacing w:before="156" w:after="0" w:line="240" w:lineRule="auto"/>
        <w:ind w:left="972" w:right="0" w:hanging="738"/>
        <w:jc w:val="left"/>
        <w:rPr>
          <w:rFonts w:ascii="黑体" w:eastAsia="黑体" w:hint="eastAsia"/>
          <w:sz w:val="21"/>
        </w:rPr>
      </w:pPr>
      <w:bookmarkStart w:id="15" w:name="4.1.4　数据分类分级"/>
      <w:bookmarkEnd w:id="15"/>
      <w:r>
        <w:rPr>
          <w:rFonts w:ascii="黑体" w:eastAsia="黑体" w:hint="eastAsia"/>
          <w:sz w:val="21"/>
        </w:rPr>
        <w:t>数据分类分级</w:t>
      </w:r>
    </w:p>
    <w:p>
      <w:pPr>
        <w:pStyle w:val="BodyText"/>
        <w:spacing w:before="9"/>
        <w:rPr>
          <w:rFonts w:ascii="黑体"/>
          <w:sz w:val="27"/>
        </w:rPr>
      </w:pPr>
    </w:p>
    <w:p>
      <w:pPr>
        <w:pStyle w:val="BodyText"/>
        <w:spacing w:line="417" w:lineRule="auto"/>
        <w:ind w:left="656" w:right="3284"/>
      </w:pPr>
      <w:r>
        <w:t>数据供方应对采集到的数据进行分类分级，应满足如下要求： a）</w:t>
      </w:r>
      <w:r>
        <w:rPr>
          <w:spacing w:val="-4"/>
        </w:rPr>
        <w:t xml:space="preserve"> 应按照附录</w:t>
      </w:r>
      <w:r>
        <w:t>A的要求对组织的数据进行分类分级标识和管理；</w:t>
      </w:r>
    </w:p>
    <w:p>
      <w:pPr>
        <w:pStyle w:val="BodyText"/>
        <w:spacing w:line="417" w:lineRule="auto"/>
        <w:ind w:left="656" w:right="228"/>
      </w:pPr>
      <w:r>
        <w:t>b）</w:t>
      </w:r>
      <w:r>
        <w:rPr>
          <w:spacing w:val="-14"/>
        </w:rPr>
        <w:t xml:space="preserve"> 应对不同类别级别的数据建立相应的访问控制、数据加解密、数据脱敏等安全管理和控制措施； c）</w:t>
      </w:r>
      <w:r>
        <w:rPr>
          <w:spacing w:val="-8"/>
        </w:rPr>
        <w:t xml:space="preserve"> 应明确数据分类分级变更审批流程和机制，通过该流程保证对数据分类分级的变更操作及其结</w:t>
      </w:r>
    </w:p>
    <w:p>
      <w:pPr>
        <w:pStyle w:val="BodyText"/>
        <w:spacing w:line="269" w:lineRule="exact"/>
        <w:ind w:left="1076"/>
      </w:pPr>
      <w:r>
        <w:t>果符合组织的要求。</w:t>
      </w:r>
    </w:p>
    <w:p>
      <w:pPr>
        <w:pStyle w:val="BodyText"/>
        <w:spacing w:before="9"/>
        <w:rPr>
          <w:sz w:val="27"/>
        </w:rPr>
      </w:pPr>
    </w:p>
    <w:p>
      <w:pPr>
        <w:pStyle w:val="ListParagraph"/>
        <w:numPr>
          <w:ilvl w:val="1"/>
          <w:numId w:val="49"/>
        </w:numPr>
        <w:tabs>
          <w:tab w:val="left" w:pos="761"/>
          <w:tab w:val="left" w:pos="762"/>
        </w:tabs>
        <w:spacing w:before="0" w:after="0" w:line="240" w:lineRule="auto"/>
        <w:ind w:left="761" w:right="0" w:hanging="527"/>
        <w:jc w:val="left"/>
        <w:rPr>
          <w:rFonts w:ascii="黑体" w:eastAsia="黑体" w:hint="eastAsia"/>
          <w:sz w:val="21"/>
        </w:rPr>
      </w:pPr>
      <w:bookmarkStart w:id="16" w:name="4.2　数据流通安全风险评估"/>
      <w:bookmarkEnd w:id="16"/>
      <w:bookmarkStart w:id="17" w:name="_bookmark6"/>
      <w:bookmarkEnd w:id="17"/>
      <w:r>
        <w:rPr>
          <w:rFonts w:ascii="黑体" w:eastAsia="黑体" w:hint="eastAsia"/>
          <w:sz w:val="21"/>
        </w:rPr>
        <w:t>数据流通安全风险评估</w:t>
      </w:r>
    </w:p>
    <w:p>
      <w:pPr>
        <w:pStyle w:val="BodyText"/>
        <w:spacing w:before="9"/>
        <w:rPr>
          <w:rFonts w:ascii="黑体"/>
          <w:sz w:val="27"/>
        </w:rPr>
      </w:pPr>
    </w:p>
    <w:p>
      <w:pPr>
        <w:pStyle w:val="ListParagraph"/>
        <w:numPr>
          <w:ilvl w:val="2"/>
          <w:numId w:val="49"/>
        </w:numPr>
        <w:tabs>
          <w:tab w:val="left" w:pos="972"/>
          <w:tab w:val="left" w:pos="973"/>
        </w:tabs>
        <w:spacing w:before="0" w:after="0" w:line="417" w:lineRule="auto"/>
        <w:ind w:left="235" w:right="342" w:firstLine="0"/>
        <w:jc w:val="left"/>
        <w:rPr>
          <w:sz w:val="21"/>
        </w:rPr>
      </w:pPr>
      <w:r>
        <w:rPr>
          <w:spacing w:val="-20"/>
          <w:sz w:val="21"/>
        </w:rPr>
        <w:t xml:space="preserve">按照 </w:t>
      </w:r>
      <w:r>
        <w:rPr>
          <w:sz w:val="21"/>
        </w:rPr>
        <w:t>GB/T</w:t>
      </w:r>
      <w:r>
        <w:rPr>
          <w:spacing w:val="-10"/>
          <w:sz w:val="21"/>
        </w:rPr>
        <w:t xml:space="preserve"> </w:t>
      </w:r>
      <w:r>
        <w:rPr>
          <w:sz w:val="21"/>
        </w:rPr>
        <w:t>37973-2019</w:t>
      </w:r>
      <w:r>
        <w:rPr>
          <w:spacing w:val="-8"/>
          <w:sz w:val="21"/>
        </w:rPr>
        <w:t xml:space="preserve"> 中的风险评估过程对数据流通操作进行风险评估和分析，包括但不限于以下内容：</w:t>
      </w:r>
    </w:p>
    <w:p>
      <w:pPr>
        <w:pStyle w:val="ListParagraph"/>
        <w:numPr>
          <w:ilvl w:val="0"/>
          <w:numId w:val="45"/>
        </w:numPr>
        <w:tabs>
          <w:tab w:val="left" w:pos="1076"/>
        </w:tabs>
        <w:spacing w:before="155" w:after="0" w:line="240" w:lineRule="auto"/>
        <w:ind w:left="1076" w:right="0" w:hanging="420"/>
        <w:jc w:val="left"/>
        <w:rPr>
          <w:sz w:val="21"/>
        </w:rPr>
      </w:pPr>
      <w:r>
        <w:rPr>
          <w:sz w:val="21"/>
        </w:rPr>
        <w:t>数据流通目的；</w:t>
      </w:r>
    </w:p>
    <w:p>
      <w:pPr>
        <w:pStyle w:val="BodyText"/>
        <w:spacing w:before="7"/>
        <w:rPr>
          <w:sz w:val="15"/>
        </w:rPr>
      </w:pPr>
    </w:p>
    <w:p>
      <w:pPr>
        <w:pStyle w:val="ListParagraph"/>
        <w:numPr>
          <w:ilvl w:val="0"/>
          <w:numId w:val="45"/>
        </w:numPr>
        <w:tabs>
          <w:tab w:val="left" w:pos="1076"/>
        </w:tabs>
        <w:spacing w:before="0" w:after="0" w:line="240" w:lineRule="auto"/>
        <w:ind w:left="1076" w:right="0" w:hanging="420"/>
        <w:jc w:val="left"/>
        <w:rPr>
          <w:sz w:val="21"/>
        </w:rPr>
      </w:pPr>
      <w:r>
        <w:rPr>
          <w:sz w:val="21"/>
        </w:rPr>
        <w:t>目的实现方式，以及是否可以通过不流通数据或流通脱敏后的数据等方式达成；</w:t>
      </w:r>
    </w:p>
    <w:p>
      <w:pPr>
        <w:pStyle w:val="BodyText"/>
        <w:spacing w:before="7"/>
        <w:rPr>
          <w:sz w:val="15"/>
        </w:rPr>
      </w:pPr>
    </w:p>
    <w:p>
      <w:pPr>
        <w:pStyle w:val="ListParagraph"/>
        <w:numPr>
          <w:ilvl w:val="0"/>
          <w:numId w:val="45"/>
        </w:numPr>
        <w:tabs>
          <w:tab w:val="left" w:pos="1076"/>
        </w:tabs>
        <w:spacing w:before="0" w:after="0" w:line="417" w:lineRule="auto"/>
        <w:ind w:left="1076" w:right="335" w:hanging="420"/>
        <w:jc w:val="left"/>
        <w:rPr>
          <w:sz w:val="21"/>
        </w:rPr>
      </w:pPr>
      <w:r>
        <w:rPr>
          <w:spacing w:val="-7"/>
          <w:w w:val="95"/>
          <w:sz w:val="21"/>
        </w:rPr>
        <w:t xml:space="preserve">流通数据对国家安全、社会经济、公共秩序、企业生产运营、个人利益等造成的影响和数据安   </w:t>
      </w:r>
      <w:r>
        <w:rPr>
          <w:spacing w:val="-7"/>
          <w:sz w:val="21"/>
        </w:rPr>
        <w:t>全等级改变；</w:t>
      </w:r>
    </w:p>
    <w:p>
      <w:pPr>
        <w:pStyle w:val="ListParagraph"/>
        <w:numPr>
          <w:ilvl w:val="0"/>
          <w:numId w:val="45"/>
        </w:numPr>
        <w:tabs>
          <w:tab w:val="left" w:pos="1076"/>
        </w:tabs>
        <w:spacing w:before="0" w:after="0" w:line="417" w:lineRule="auto"/>
        <w:ind w:left="656" w:right="4859" w:firstLine="0"/>
        <w:jc w:val="left"/>
        <w:rPr>
          <w:sz w:val="21"/>
        </w:rPr>
      </w:pPr>
      <w:r>
        <w:rPr>
          <w:sz w:val="21"/>
        </w:rPr>
        <w:t>流通数据对个人信息主体可能造成的侵害； e）</w:t>
      </w:r>
      <w:r>
        <w:rPr>
          <w:spacing w:val="-1"/>
          <w:sz w:val="21"/>
        </w:rPr>
        <w:t xml:space="preserve"> 是否涉及数据出境；</w:t>
      </w:r>
    </w:p>
    <w:p>
      <w:pPr>
        <w:pStyle w:val="ListParagraph"/>
        <w:numPr>
          <w:ilvl w:val="0"/>
          <w:numId w:val="44"/>
        </w:numPr>
        <w:tabs>
          <w:tab w:val="left" w:pos="1076"/>
        </w:tabs>
        <w:spacing w:before="0" w:after="0" w:line="269" w:lineRule="exact"/>
        <w:ind w:left="1076" w:right="0" w:hanging="420"/>
        <w:jc w:val="left"/>
        <w:rPr>
          <w:sz w:val="21"/>
        </w:rPr>
      </w:pPr>
      <w:r>
        <w:rPr>
          <w:sz w:val="21"/>
        </w:rPr>
        <w:t>不流通数据是否会造成损害或损失；</w:t>
      </w:r>
    </w:p>
    <w:p>
      <w:pPr>
        <w:pStyle w:val="BodyText"/>
        <w:spacing w:before="6"/>
        <w:rPr>
          <w:sz w:val="15"/>
        </w:rPr>
      </w:pPr>
    </w:p>
    <w:p>
      <w:pPr>
        <w:pStyle w:val="ListParagraph"/>
        <w:numPr>
          <w:ilvl w:val="0"/>
          <w:numId w:val="44"/>
        </w:numPr>
        <w:tabs>
          <w:tab w:val="left" w:pos="1076"/>
        </w:tabs>
        <w:spacing w:before="0" w:after="0" w:line="417" w:lineRule="auto"/>
        <w:ind w:left="656" w:right="1919" w:firstLine="0"/>
        <w:jc w:val="left"/>
        <w:rPr>
          <w:sz w:val="21"/>
        </w:rPr>
      </w:pPr>
      <w:r>
        <w:rPr>
          <w:w w:val="95"/>
          <w:sz w:val="21"/>
        </w:rPr>
        <w:t xml:space="preserve">访问这些流通数据的相关方及其数据安全能力是否足够保证流通数据安全； </w:t>
      </w:r>
      <w:r>
        <w:rPr>
          <w:sz w:val="21"/>
        </w:rPr>
        <w:t>h）</w:t>
      </w:r>
      <w:r>
        <w:rPr>
          <w:spacing w:val="-1"/>
          <w:sz w:val="21"/>
        </w:rPr>
        <w:t xml:space="preserve"> 流通数据是否已经达成目的，是否需要继续流通数据；</w:t>
      </w:r>
    </w:p>
    <w:p>
      <w:pPr>
        <w:pStyle w:val="BodyText"/>
        <w:spacing w:line="269" w:lineRule="exact"/>
        <w:ind w:left="656"/>
      </w:pPr>
      <w:r>
        <w:t>i） 是否有任何法定限制或其他因素对数据流通的限制。</w:t>
      </w:r>
    </w:p>
    <w:p>
      <w:pPr>
        <w:spacing w:after="0" w:line="269" w:lineRule="exact"/>
        <w:sectPr>
          <w:headerReference w:type="even" r:id="rId35"/>
          <w:headerReference w:type="default" r:id="rId36"/>
          <w:footerReference w:type="even" r:id="rId37"/>
          <w:footerReference w:type="default" r:id="rId38"/>
          <w:pgSz w:w="11910" w:h="16840"/>
          <w:pgMar w:top="1640" w:right="800" w:bottom="1340" w:left="1180" w:header="1449" w:footer="1141"/>
          <w:pgNumType w:start="5"/>
          <w:cols w:space="708"/>
        </w:sectPr>
      </w:pPr>
    </w:p>
    <w:p>
      <w:pPr>
        <w:pStyle w:val="BodyText"/>
        <w:spacing w:before="12"/>
      </w:pPr>
    </w:p>
    <w:p>
      <w:pPr>
        <w:pStyle w:val="ListParagraph"/>
        <w:numPr>
          <w:ilvl w:val="2"/>
          <w:numId w:val="49"/>
        </w:numPr>
        <w:tabs>
          <w:tab w:val="left" w:pos="973"/>
        </w:tabs>
        <w:spacing w:before="70" w:after="0" w:line="417" w:lineRule="auto"/>
        <w:ind w:left="235" w:right="335" w:firstLine="0"/>
        <w:jc w:val="both"/>
        <w:rPr>
          <w:sz w:val="21"/>
        </w:rPr>
      </w:pPr>
      <w:r>
        <w:rPr>
          <w:sz w:val="21"/>
        </w:rPr>
        <w:t xml:space="preserve">根据风险评估结果，对于可能影响国家安全、经济安全、生产安全、个人信息安全等的数据， </w:t>
      </w:r>
      <w:r>
        <w:rPr>
          <w:spacing w:val="-6"/>
          <w:w w:val="95"/>
          <w:sz w:val="21"/>
        </w:rPr>
        <w:t xml:space="preserve">应限制进行流通，或者采取措施在保证安全的前提下进行流通。对于可以进行流通的数据，应根据风险   </w:t>
      </w:r>
      <w:r>
        <w:rPr>
          <w:spacing w:val="-6"/>
          <w:sz w:val="21"/>
        </w:rPr>
        <w:t>评估结果采取相应安全措施进行流通。</w:t>
      </w:r>
    </w:p>
    <w:p>
      <w:pPr>
        <w:pStyle w:val="ListParagraph"/>
        <w:numPr>
          <w:ilvl w:val="1"/>
          <w:numId w:val="49"/>
        </w:numPr>
        <w:tabs>
          <w:tab w:val="left" w:pos="762"/>
        </w:tabs>
        <w:spacing w:before="155" w:after="0" w:line="240" w:lineRule="auto"/>
        <w:ind w:left="761" w:right="0" w:hanging="527"/>
        <w:jc w:val="both"/>
        <w:rPr>
          <w:rFonts w:ascii="黑体" w:eastAsia="黑体" w:hint="eastAsia"/>
          <w:sz w:val="21"/>
        </w:rPr>
      </w:pPr>
      <w:bookmarkStart w:id="18" w:name="4.3　确定数据流通目录"/>
      <w:bookmarkEnd w:id="18"/>
      <w:bookmarkStart w:id="19" w:name="_bookmark7"/>
      <w:bookmarkEnd w:id="19"/>
      <w:r>
        <w:rPr>
          <w:rFonts w:ascii="黑体" w:eastAsia="黑体" w:hint="eastAsia"/>
          <w:sz w:val="21"/>
        </w:rPr>
        <w:t>确定数据流通目录</w:t>
      </w:r>
    </w:p>
    <w:p>
      <w:pPr>
        <w:pStyle w:val="BodyText"/>
        <w:spacing w:before="9"/>
        <w:rPr>
          <w:rFonts w:ascii="黑体"/>
          <w:sz w:val="27"/>
        </w:rPr>
      </w:pPr>
    </w:p>
    <w:p>
      <w:pPr>
        <w:pStyle w:val="BodyText"/>
        <w:ind w:left="656"/>
      </w:pPr>
      <w:r>
        <w:t>根据风险评估结果，针对可进行共享的工业数据，制定流通数据目录，目录包括但不限于以下内容：</w:t>
      </w:r>
    </w:p>
    <w:p>
      <w:pPr>
        <w:pStyle w:val="BodyText"/>
        <w:spacing w:before="11"/>
        <w:rPr>
          <w:sz w:val="24"/>
        </w:rPr>
      </w:pPr>
    </w:p>
    <w:p>
      <w:pPr>
        <w:pStyle w:val="BodyText"/>
        <w:spacing w:before="1" w:line="417" w:lineRule="auto"/>
        <w:ind w:left="656" w:right="228"/>
      </w:pPr>
      <w:r>
        <w:t>a）</w:t>
      </w:r>
      <w:r>
        <w:rPr>
          <w:spacing w:val="-16"/>
        </w:rPr>
        <w:t xml:space="preserve"> 流通数据所在域，包括研发域、生产域、管理域、运维域、标识解析域、工业互联网平台域等； b）</w:t>
      </w:r>
      <w:r>
        <w:rPr>
          <w:spacing w:val="-1"/>
        </w:rPr>
        <w:t xml:space="preserve"> 流通数据目的；</w:t>
      </w:r>
    </w:p>
    <w:p>
      <w:pPr>
        <w:pStyle w:val="BodyText"/>
        <w:spacing w:line="417" w:lineRule="auto"/>
        <w:ind w:left="656" w:right="5474"/>
      </w:pPr>
      <w:r>
        <w:t>c） 流通数据类型、格式、级别和规模； d） 流通数据用途、支撑的业务系统； e） 流通数据允许使用的范围；</w:t>
      </w:r>
    </w:p>
    <w:p>
      <w:pPr>
        <w:pStyle w:val="BodyText"/>
        <w:spacing w:line="417" w:lineRule="auto"/>
        <w:ind w:left="656" w:right="6959"/>
      </w:pPr>
      <w:r>
        <w:t>f） 流通数据使用期限； g） 流通数据的方式。</w:t>
      </w:r>
    </w:p>
    <w:p>
      <w:pPr>
        <w:pStyle w:val="ListParagraph"/>
        <w:numPr>
          <w:ilvl w:val="1"/>
          <w:numId w:val="49"/>
        </w:numPr>
        <w:tabs>
          <w:tab w:val="left" w:pos="762"/>
        </w:tabs>
        <w:spacing w:before="154" w:after="0" w:line="240" w:lineRule="auto"/>
        <w:ind w:left="761" w:right="0" w:hanging="527"/>
        <w:jc w:val="both"/>
        <w:rPr>
          <w:rFonts w:ascii="黑体" w:eastAsia="黑体" w:hint="eastAsia"/>
          <w:sz w:val="21"/>
        </w:rPr>
      </w:pPr>
      <w:bookmarkStart w:id="20" w:name="4.4　数据脱敏"/>
      <w:bookmarkEnd w:id="20"/>
      <w:bookmarkStart w:id="21" w:name="_bookmark8"/>
      <w:bookmarkEnd w:id="21"/>
      <w:r>
        <w:rPr>
          <w:rFonts w:ascii="黑体" w:eastAsia="黑体" w:hint="eastAsia"/>
          <w:sz w:val="21"/>
        </w:rPr>
        <w:t>数据脱敏</w:t>
      </w:r>
    </w:p>
    <w:p>
      <w:pPr>
        <w:pStyle w:val="BodyText"/>
        <w:spacing w:before="9"/>
        <w:rPr>
          <w:rFonts w:ascii="黑体"/>
          <w:sz w:val="27"/>
        </w:rPr>
      </w:pPr>
    </w:p>
    <w:p>
      <w:pPr>
        <w:pStyle w:val="BodyText"/>
        <w:ind w:left="656"/>
      </w:pPr>
      <w:r>
        <w:t>工业数据脱敏应满足如下要求：</w:t>
      </w:r>
    </w:p>
    <w:p>
      <w:pPr>
        <w:pStyle w:val="BodyText"/>
        <w:spacing w:before="7"/>
        <w:rPr>
          <w:sz w:val="15"/>
        </w:rPr>
      </w:pPr>
    </w:p>
    <w:p>
      <w:pPr>
        <w:pStyle w:val="ListParagraph"/>
        <w:numPr>
          <w:ilvl w:val="0"/>
          <w:numId w:val="43"/>
        </w:numPr>
        <w:tabs>
          <w:tab w:val="left" w:pos="1076"/>
        </w:tabs>
        <w:spacing w:before="0" w:after="0" w:line="417" w:lineRule="auto"/>
        <w:ind w:left="1076" w:right="123" w:hanging="420"/>
        <w:jc w:val="left"/>
        <w:rPr>
          <w:sz w:val="21"/>
        </w:rPr>
      </w:pPr>
      <w:r>
        <w:rPr>
          <w:spacing w:val="-4"/>
          <w:w w:val="95"/>
          <w:sz w:val="21"/>
        </w:rPr>
        <w:t xml:space="preserve">应设立数据脱敏部门并配置专职的技术人员和管理人员，负责制定整体的数据脱敏原则和制度，   </w:t>
      </w:r>
      <w:r>
        <w:rPr>
          <w:spacing w:val="-4"/>
          <w:sz w:val="21"/>
        </w:rPr>
        <w:t>并推动相关要求确实可靠的落地执行；</w:t>
      </w:r>
    </w:p>
    <w:p>
      <w:pPr>
        <w:pStyle w:val="ListParagraph"/>
        <w:numPr>
          <w:ilvl w:val="0"/>
          <w:numId w:val="43"/>
        </w:numPr>
        <w:tabs>
          <w:tab w:val="left" w:pos="1076"/>
        </w:tabs>
        <w:spacing w:before="0" w:after="0" w:line="269" w:lineRule="exact"/>
        <w:ind w:left="1076" w:right="0" w:hanging="420"/>
        <w:jc w:val="left"/>
        <w:rPr>
          <w:sz w:val="21"/>
        </w:rPr>
      </w:pPr>
      <w:r>
        <w:rPr>
          <w:sz w:val="21"/>
        </w:rPr>
        <w:t>应根据实际业务场景，结合行业法规的要求，制定相应的数据脱敏策略；</w:t>
      </w:r>
    </w:p>
    <w:p>
      <w:pPr>
        <w:pStyle w:val="BodyText"/>
        <w:spacing w:before="7"/>
        <w:rPr>
          <w:sz w:val="15"/>
        </w:rPr>
      </w:pPr>
    </w:p>
    <w:p>
      <w:pPr>
        <w:pStyle w:val="ListParagraph"/>
        <w:numPr>
          <w:ilvl w:val="0"/>
          <w:numId w:val="43"/>
        </w:numPr>
        <w:tabs>
          <w:tab w:val="left" w:pos="1076"/>
        </w:tabs>
        <w:spacing w:before="0" w:after="0" w:line="417" w:lineRule="auto"/>
        <w:ind w:left="1076" w:right="332" w:hanging="420"/>
        <w:jc w:val="left"/>
        <w:rPr>
          <w:sz w:val="21"/>
        </w:rPr>
      </w:pPr>
      <w:r>
        <w:rPr>
          <w:spacing w:val="-6"/>
          <w:w w:val="95"/>
          <w:sz w:val="21"/>
        </w:rPr>
        <w:t xml:space="preserve">应确保经过数据脱敏处理后，原始信息中包含的敏感信息已被移除，无法通过处理后的数据得   </w:t>
      </w:r>
      <w:r>
        <w:rPr>
          <w:spacing w:val="-6"/>
          <w:sz w:val="21"/>
        </w:rPr>
        <w:t>到敏感信息；</w:t>
      </w:r>
    </w:p>
    <w:p>
      <w:pPr>
        <w:pStyle w:val="ListParagraph"/>
        <w:numPr>
          <w:ilvl w:val="0"/>
          <w:numId w:val="43"/>
        </w:numPr>
        <w:tabs>
          <w:tab w:val="left" w:pos="1076"/>
        </w:tabs>
        <w:spacing w:before="0" w:after="0" w:line="417" w:lineRule="auto"/>
        <w:ind w:left="1076" w:right="123" w:hanging="420"/>
        <w:jc w:val="left"/>
        <w:rPr>
          <w:sz w:val="21"/>
        </w:rPr>
      </w:pPr>
      <w:r>
        <w:rPr>
          <w:spacing w:val="-5"/>
          <w:w w:val="95"/>
          <w:sz w:val="21"/>
        </w:rPr>
        <w:t xml:space="preserve">脱敏后的数据应尽可能的体现原始数据的特征，且应尽可能多的保留原始数据中的有意义信息，   </w:t>
      </w:r>
      <w:r>
        <w:rPr>
          <w:spacing w:val="-5"/>
          <w:sz w:val="21"/>
        </w:rPr>
        <w:t>以减小对使用该数据的系统的影响；</w:t>
      </w:r>
    </w:p>
    <w:p>
      <w:pPr>
        <w:pStyle w:val="ListParagraph"/>
        <w:numPr>
          <w:ilvl w:val="0"/>
          <w:numId w:val="43"/>
        </w:numPr>
        <w:tabs>
          <w:tab w:val="left" w:pos="1076"/>
        </w:tabs>
        <w:spacing w:before="0" w:after="0" w:line="269" w:lineRule="exact"/>
        <w:ind w:left="1076" w:right="0" w:hanging="420"/>
        <w:jc w:val="left"/>
        <w:rPr>
          <w:sz w:val="21"/>
        </w:rPr>
      </w:pPr>
      <w:r>
        <w:rPr>
          <w:sz w:val="21"/>
        </w:rPr>
        <w:t>应保证数据脱敏的过程可通过程序自动化实现，可重复执行；</w:t>
      </w:r>
    </w:p>
    <w:p>
      <w:pPr>
        <w:pStyle w:val="BodyText"/>
        <w:spacing w:before="6"/>
        <w:rPr>
          <w:sz w:val="15"/>
        </w:rPr>
      </w:pPr>
    </w:p>
    <w:p>
      <w:pPr>
        <w:pStyle w:val="ListParagraph"/>
        <w:numPr>
          <w:ilvl w:val="0"/>
          <w:numId w:val="43"/>
        </w:numPr>
        <w:tabs>
          <w:tab w:val="left" w:pos="1076"/>
        </w:tabs>
        <w:spacing w:before="0" w:after="0" w:line="417" w:lineRule="auto"/>
        <w:ind w:left="1076" w:right="332" w:hanging="420"/>
        <w:jc w:val="left"/>
        <w:rPr>
          <w:sz w:val="21"/>
        </w:rPr>
      </w:pPr>
      <w:r>
        <w:rPr>
          <w:spacing w:val="-4"/>
          <w:w w:val="95"/>
          <w:sz w:val="21"/>
        </w:rPr>
        <w:t xml:space="preserve">数据脱敏时需保证对相同的原始数据，在各输入条件一致的前提下，无论脱敏多少次，其最终   </w:t>
      </w:r>
      <w:r>
        <w:rPr>
          <w:spacing w:val="-4"/>
          <w:sz w:val="21"/>
        </w:rPr>
        <w:t>结果数据是相同的；</w:t>
      </w:r>
    </w:p>
    <w:p>
      <w:pPr>
        <w:pStyle w:val="ListParagraph"/>
        <w:numPr>
          <w:ilvl w:val="0"/>
          <w:numId w:val="43"/>
        </w:numPr>
        <w:tabs>
          <w:tab w:val="left" w:pos="1076"/>
        </w:tabs>
        <w:spacing w:before="0" w:after="0" w:line="417" w:lineRule="auto"/>
        <w:ind w:left="1076" w:right="335" w:hanging="420"/>
        <w:jc w:val="left"/>
        <w:rPr>
          <w:sz w:val="21"/>
        </w:rPr>
      </w:pPr>
      <w:r>
        <w:rPr>
          <w:spacing w:val="-8"/>
          <w:w w:val="95"/>
          <w:sz w:val="21"/>
        </w:rPr>
        <w:t xml:space="preserve">可通过配置的方式，按照输入条件不同生成不同的脱敏结果，从而可以方便的按数据使用场景   </w:t>
      </w:r>
      <w:r>
        <w:rPr>
          <w:spacing w:val="-8"/>
          <w:sz w:val="21"/>
        </w:rPr>
        <w:t>等因素为不同的最终用户提供不同的脱敏数据；</w:t>
      </w:r>
    </w:p>
    <w:p>
      <w:pPr>
        <w:spacing w:after="0" w:line="417" w:lineRule="auto"/>
        <w:jc w:val="left"/>
        <w:rPr>
          <w:sz w:val="21"/>
        </w:rPr>
        <w:sectPr>
          <w:headerReference w:type="even" r:id="rId39"/>
          <w:headerReference w:type="default" r:id="rId40"/>
          <w:footerReference w:type="even" r:id="rId41"/>
          <w:footerReference w:type="default" r:id="rId42"/>
          <w:pgSz w:w="11910" w:h="16840"/>
          <w:pgMar w:top="1640" w:right="800" w:bottom="1340" w:left="1180" w:header="1449" w:footer="1141"/>
          <w:pgNumType w:start="6"/>
          <w:cols w:space="708"/>
        </w:sectPr>
      </w:pPr>
    </w:p>
    <w:p>
      <w:pPr>
        <w:pStyle w:val="BodyText"/>
        <w:spacing w:before="12"/>
      </w:pPr>
    </w:p>
    <w:p>
      <w:pPr>
        <w:pStyle w:val="ListParagraph"/>
        <w:numPr>
          <w:ilvl w:val="0"/>
          <w:numId w:val="43"/>
        </w:numPr>
        <w:tabs>
          <w:tab w:val="left" w:pos="1076"/>
        </w:tabs>
        <w:spacing w:before="70" w:after="0" w:line="417" w:lineRule="auto"/>
        <w:ind w:left="1076" w:right="335" w:hanging="420"/>
        <w:jc w:val="both"/>
        <w:rPr>
          <w:sz w:val="21"/>
        </w:rPr>
      </w:pPr>
      <w:r>
        <w:rPr>
          <w:spacing w:val="-9"/>
          <w:w w:val="95"/>
          <w:sz w:val="21"/>
        </w:rPr>
        <w:t xml:space="preserve">在数据脱敏之前，应结合数据分级分类表对敏感数据进行识别和定义，明确需要脱敏的数据信   </w:t>
      </w:r>
      <w:r>
        <w:rPr>
          <w:spacing w:val="-10"/>
          <w:w w:val="95"/>
          <w:sz w:val="21"/>
        </w:rPr>
        <w:t xml:space="preserve">息，一般包括个人信息数据、组织敏感信息、国家重要数据等，并根据识别出的敏感数据的具   </w:t>
      </w:r>
      <w:r>
        <w:rPr>
          <w:spacing w:val="-10"/>
          <w:sz w:val="21"/>
        </w:rPr>
        <w:t>体情况，确定合适的脱敏方法；</w:t>
      </w:r>
    </w:p>
    <w:p>
      <w:pPr>
        <w:pStyle w:val="ListParagraph"/>
        <w:numPr>
          <w:ilvl w:val="0"/>
          <w:numId w:val="43"/>
        </w:numPr>
        <w:tabs>
          <w:tab w:val="left" w:pos="1076"/>
        </w:tabs>
        <w:spacing w:before="0" w:after="0" w:line="417" w:lineRule="auto"/>
        <w:ind w:left="1076" w:right="332" w:hanging="420"/>
        <w:jc w:val="both"/>
        <w:rPr>
          <w:sz w:val="21"/>
        </w:rPr>
      </w:pPr>
      <w:r>
        <w:rPr>
          <w:spacing w:val="-5"/>
          <w:w w:val="95"/>
          <w:sz w:val="21"/>
        </w:rPr>
        <w:t xml:space="preserve">在数据脱敏的各个阶段需加入安全审计机制，严格、详细记录数据处理过程中的相关信息，形   </w:t>
      </w:r>
      <w:r>
        <w:rPr>
          <w:spacing w:val="-5"/>
          <w:sz w:val="21"/>
        </w:rPr>
        <w:t>成完整的数据处理记录；</w:t>
      </w:r>
    </w:p>
    <w:p>
      <w:pPr>
        <w:pStyle w:val="ListParagraph"/>
        <w:numPr>
          <w:ilvl w:val="0"/>
          <w:numId w:val="43"/>
        </w:numPr>
        <w:tabs>
          <w:tab w:val="left" w:pos="1076"/>
        </w:tabs>
        <w:spacing w:before="0" w:after="0" w:line="269" w:lineRule="exact"/>
        <w:ind w:left="1076" w:right="0" w:hanging="420"/>
        <w:jc w:val="both"/>
        <w:rPr>
          <w:sz w:val="21"/>
        </w:rPr>
      </w:pPr>
      <w:r>
        <w:rPr>
          <w:spacing w:val="-9"/>
          <w:sz w:val="21"/>
        </w:rPr>
        <w:t>设置专人定期对脱敏相关的日志记录进行安全审计，发布审计报告，并跟进审计中发现的异常。</w:t>
      </w:r>
    </w:p>
    <w:p>
      <w:pPr>
        <w:pStyle w:val="BodyText"/>
        <w:rPr>
          <w:sz w:val="20"/>
        </w:rPr>
      </w:pPr>
    </w:p>
    <w:p>
      <w:pPr>
        <w:pStyle w:val="BodyText"/>
        <w:spacing w:before="10"/>
        <w:rPr>
          <w:sz w:val="19"/>
        </w:rPr>
      </w:pPr>
    </w:p>
    <w:p>
      <w:pPr>
        <w:pStyle w:val="ListParagraph"/>
        <w:numPr>
          <w:ilvl w:val="0"/>
          <w:numId w:val="49"/>
        </w:numPr>
        <w:tabs>
          <w:tab w:val="left" w:pos="552"/>
          <w:tab w:val="left" w:pos="553"/>
        </w:tabs>
        <w:spacing w:before="0" w:after="0" w:line="240" w:lineRule="auto"/>
        <w:ind w:left="552" w:right="0" w:hanging="318"/>
        <w:jc w:val="left"/>
        <w:rPr>
          <w:rFonts w:ascii="黑体" w:eastAsia="黑体" w:hint="eastAsia"/>
          <w:sz w:val="21"/>
        </w:rPr>
      </w:pPr>
      <w:bookmarkStart w:id="22" w:name="5　实施数据流通安全要求"/>
      <w:bookmarkEnd w:id="22"/>
      <w:bookmarkStart w:id="23" w:name="_bookmark9"/>
      <w:bookmarkEnd w:id="23"/>
      <w:r>
        <w:rPr>
          <w:rFonts w:ascii="黑体" w:eastAsia="黑体" w:hint="eastAsia"/>
          <w:sz w:val="21"/>
        </w:rPr>
        <w:t>实施数据流通安全要求</w:t>
      </w:r>
    </w:p>
    <w:p>
      <w:pPr>
        <w:pStyle w:val="BodyText"/>
        <w:rPr>
          <w:rFonts w:ascii="黑体"/>
          <w:sz w:val="20"/>
        </w:rPr>
      </w:pPr>
    </w:p>
    <w:p>
      <w:pPr>
        <w:pStyle w:val="BodyText"/>
        <w:spacing w:before="11"/>
        <w:rPr>
          <w:rFonts w:ascii="黑体"/>
          <w:sz w:val="19"/>
        </w:rPr>
      </w:pPr>
    </w:p>
    <w:p>
      <w:pPr>
        <w:pStyle w:val="ListParagraph"/>
        <w:numPr>
          <w:ilvl w:val="1"/>
          <w:numId w:val="49"/>
        </w:numPr>
        <w:tabs>
          <w:tab w:val="left" w:pos="761"/>
          <w:tab w:val="left" w:pos="762"/>
        </w:tabs>
        <w:spacing w:before="1" w:after="0" w:line="240" w:lineRule="auto"/>
        <w:ind w:left="761" w:right="0" w:hanging="527"/>
        <w:jc w:val="left"/>
        <w:rPr>
          <w:rFonts w:ascii="黑体" w:eastAsia="黑体" w:hint="eastAsia"/>
          <w:sz w:val="21"/>
        </w:rPr>
      </w:pPr>
      <w:bookmarkStart w:id="24" w:name="5.1　数据交易安全"/>
      <w:bookmarkEnd w:id="24"/>
      <w:bookmarkStart w:id="25" w:name="_bookmark10"/>
      <w:bookmarkEnd w:id="25"/>
      <w:r>
        <w:rPr>
          <w:rFonts w:ascii="黑体" w:eastAsia="黑体" w:hint="eastAsia"/>
          <w:sz w:val="21"/>
        </w:rPr>
        <w:t>数据交易安全</w:t>
      </w:r>
    </w:p>
    <w:p>
      <w:pPr>
        <w:pStyle w:val="BodyText"/>
        <w:spacing w:before="9"/>
        <w:rPr>
          <w:rFonts w:ascii="黑体"/>
        </w:rPr>
      </w:pPr>
    </w:p>
    <w:p>
      <w:pPr>
        <w:pStyle w:val="ListParagraph"/>
        <w:numPr>
          <w:ilvl w:val="2"/>
          <w:numId w:val="49"/>
        </w:numPr>
        <w:tabs>
          <w:tab w:val="left" w:pos="972"/>
          <w:tab w:val="left" w:pos="973"/>
        </w:tabs>
        <w:spacing w:before="0" w:after="0" w:line="240" w:lineRule="auto"/>
        <w:ind w:left="972" w:right="0" w:hanging="738"/>
        <w:jc w:val="left"/>
        <w:rPr>
          <w:rFonts w:ascii="黑体" w:eastAsia="黑体" w:hint="eastAsia"/>
          <w:sz w:val="21"/>
        </w:rPr>
      </w:pPr>
      <w:bookmarkStart w:id="26" w:name="5.1.1　数据交易参与方安全要求"/>
      <w:bookmarkEnd w:id="26"/>
      <w:r>
        <w:rPr>
          <w:rFonts w:ascii="黑体" w:eastAsia="黑体" w:hint="eastAsia"/>
          <w:sz w:val="21"/>
        </w:rPr>
        <w:t>数据交易参与方安全要求</w:t>
      </w:r>
    </w:p>
    <w:p>
      <w:pPr>
        <w:pStyle w:val="BodyText"/>
        <w:spacing w:before="6"/>
        <w:rPr>
          <w:rFonts w:ascii="黑体"/>
          <w:sz w:val="15"/>
        </w:rPr>
      </w:pPr>
    </w:p>
    <w:p>
      <w:pPr>
        <w:pStyle w:val="ListParagraph"/>
        <w:numPr>
          <w:ilvl w:val="3"/>
          <w:numId w:val="42"/>
        </w:numPr>
        <w:tabs>
          <w:tab w:val="left" w:pos="1181"/>
          <w:tab w:val="left" w:pos="1182"/>
        </w:tabs>
        <w:spacing w:before="0" w:after="0" w:line="240" w:lineRule="auto"/>
        <w:ind w:left="1181" w:right="0" w:hanging="947"/>
        <w:jc w:val="left"/>
        <w:rPr>
          <w:rFonts w:ascii="黑体" w:eastAsia="黑体" w:hint="eastAsia"/>
          <w:sz w:val="21"/>
        </w:rPr>
      </w:pPr>
      <w:bookmarkStart w:id="27" w:name="5.1.1.1　数据供方安全要求"/>
      <w:bookmarkEnd w:id="27"/>
      <w:r>
        <w:rPr>
          <w:rFonts w:ascii="黑体" w:eastAsia="黑体" w:hint="eastAsia"/>
          <w:sz w:val="21"/>
        </w:rPr>
        <w:t>数据供方安全要求</w:t>
      </w:r>
    </w:p>
    <w:p>
      <w:pPr>
        <w:pStyle w:val="BodyText"/>
        <w:spacing w:before="7"/>
        <w:rPr>
          <w:rFonts w:ascii="黑体"/>
        </w:rPr>
      </w:pPr>
    </w:p>
    <w:p>
      <w:pPr>
        <w:pStyle w:val="BodyText"/>
        <w:ind w:left="656"/>
      </w:pPr>
      <w:r>
        <w:t>数据供方应满足如下要求：</w:t>
      </w:r>
    </w:p>
    <w:p>
      <w:pPr>
        <w:pStyle w:val="BodyText"/>
        <w:spacing w:before="7"/>
        <w:rPr>
          <w:sz w:val="15"/>
        </w:rPr>
      </w:pPr>
    </w:p>
    <w:p>
      <w:pPr>
        <w:pStyle w:val="ListParagraph"/>
        <w:numPr>
          <w:ilvl w:val="4"/>
          <w:numId w:val="42"/>
        </w:numPr>
        <w:tabs>
          <w:tab w:val="left" w:pos="1076"/>
        </w:tabs>
        <w:spacing w:before="0" w:after="0" w:line="240" w:lineRule="auto"/>
        <w:ind w:left="1076" w:right="0" w:hanging="420"/>
        <w:jc w:val="left"/>
        <w:rPr>
          <w:sz w:val="21"/>
        </w:rPr>
      </w:pPr>
      <w:r>
        <w:rPr>
          <w:sz w:val="21"/>
        </w:rPr>
        <w:t>为一年内无重大数据类违法违规记录的合法组织机构；</w:t>
      </w:r>
    </w:p>
    <w:p>
      <w:pPr>
        <w:pStyle w:val="BodyText"/>
        <w:spacing w:before="6"/>
        <w:rPr>
          <w:sz w:val="15"/>
        </w:rPr>
      </w:pPr>
    </w:p>
    <w:p>
      <w:pPr>
        <w:pStyle w:val="ListParagraph"/>
        <w:numPr>
          <w:ilvl w:val="4"/>
          <w:numId w:val="42"/>
        </w:numPr>
        <w:tabs>
          <w:tab w:val="left" w:pos="1076"/>
        </w:tabs>
        <w:spacing w:before="1" w:after="0" w:line="417" w:lineRule="auto"/>
        <w:ind w:left="656" w:right="240" w:firstLine="0"/>
        <w:jc w:val="left"/>
        <w:rPr>
          <w:sz w:val="21"/>
        </w:rPr>
      </w:pPr>
      <w:r>
        <w:rPr>
          <w:w w:val="95"/>
          <w:sz w:val="21"/>
        </w:rPr>
        <w:t xml:space="preserve">完成在数据交易服务机构的注册,并经数据交易服务机构审核通过,才允许参与数据交易业务；  </w:t>
      </w:r>
      <w:r>
        <w:rPr>
          <w:sz w:val="21"/>
        </w:rPr>
        <w:t>c）</w:t>
      </w:r>
      <w:r>
        <w:rPr>
          <w:spacing w:val="-1"/>
          <w:sz w:val="21"/>
        </w:rPr>
        <w:t xml:space="preserve"> 数据供方应证明其具备向数据需方安全交付数据的能力；</w:t>
      </w:r>
    </w:p>
    <w:p>
      <w:pPr>
        <w:pStyle w:val="ListParagraph"/>
        <w:numPr>
          <w:ilvl w:val="0"/>
          <w:numId w:val="41"/>
        </w:numPr>
        <w:tabs>
          <w:tab w:val="left" w:pos="1076"/>
        </w:tabs>
        <w:spacing w:before="0" w:after="0" w:line="417" w:lineRule="auto"/>
        <w:ind w:left="1076" w:right="228" w:hanging="420"/>
        <w:jc w:val="left"/>
        <w:rPr>
          <w:sz w:val="21"/>
        </w:rPr>
      </w:pPr>
      <w:r>
        <w:rPr>
          <w:spacing w:val="-10"/>
          <w:w w:val="95"/>
          <w:sz w:val="21"/>
        </w:rPr>
        <w:t xml:space="preserve">向数据交易服务机构提供书面的安全承诺，内容包括但不限于：交易数据来源合法性证明材料、   </w:t>
      </w:r>
      <w:r>
        <w:rPr>
          <w:spacing w:val="-14"/>
          <w:sz w:val="21"/>
        </w:rPr>
        <w:t>交易数据满足法律法规和政策要求、对交易数据质量评估说明、遵守数据交易安全原则、愿意接受数据交易服务机构安全监督、愿意对数据交易后果负责等；</w:t>
      </w:r>
    </w:p>
    <w:p>
      <w:pPr>
        <w:pStyle w:val="ListParagraph"/>
        <w:numPr>
          <w:ilvl w:val="0"/>
          <w:numId w:val="41"/>
        </w:numPr>
        <w:tabs>
          <w:tab w:val="left" w:pos="1076"/>
        </w:tabs>
        <w:spacing w:before="0" w:after="0" w:line="269" w:lineRule="exact"/>
        <w:ind w:left="1076" w:right="0" w:hanging="420"/>
        <w:jc w:val="left"/>
        <w:rPr>
          <w:sz w:val="21"/>
        </w:rPr>
      </w:pPr>
      <w:r>
        <w:rPr>
          <w:sz w:val="21"/>
        </w:rPr>
        <w:t>遵守数据交易服务机构的安全管理制度和流程。</w:t>
      </w:r>
    </w:p>
    <w:p>
      <w:pPr>
        <w:pStyle w:val="BodyText"/>
        <w:spacing w:before="8"/>
      </w:pPr>
    </w:p>
    <w:p>
      <w:pPr>
        <w:pStyle w:val="ListParagraph"/>
        <w:numPr>
          <w:ilvl w:val="3"/>
          <w:numId w:val="42"/>
        </w:numPr>
        <w:tabs>
          <w:tab w:val="left" w:pos="1181"/>
          <w:tab w:val="left" w:pos="1182"/>
        </w:tabs>
        <w:spacing w:before="0" w:after="0" w:line="240" w:lineRule="auto"/>
        <w:ind w:left="1181" w:right="0" w:hanging="947"/>
        <w:jc w:val="left"/>
        <w:rPr>
          <w:rFonts w:ascii="黑体" w:eastAsia="黑体" w:hint="eastAsia"/>
          <w:sz w:val="21"/>
        </w:rPr>
      </w:pPr>
      <w:bookmarkStart w:id="28" w:name="5.1.1.2　数据需方安全要求"/>
      <w:bookmarkEnd w:id="28"/>
      <w:r>
        <w:rPr>
          <w:rFonts w:ascii="黑体" w:eastAsia="黑体" w:hint="eastAsia"/>
          <w:sz w:val="21"/>
        </w:rPr>
        <w:t>数据需方安全要求</w:t>
      </w:r>
    </w:p>
    <w:p>
      <w:pPr>
        <w:pStyle w:val="BodyText"/>
        <w:spacing w:before="7"/>
        <w:rPr>
          <w:rFonts w:ascii="黑体"/>
        </w:rPr>
      </w:pPr>
    </w:p>
    <w:p>
      <w:pPr>
        <w:pStyle w:val="BodyText"/>
        <w:ind w:left="656"/>
      </w:pPr>
      <w:r>
        <w:t>数据需方应满足如下要求：</w:t>
      </w:r>
    </w:p>
    <w:p>
      <w:pPr>
        <w:pStyle w:val="BodyText"/>
        <w:spacing w:before="7"/>
        <w:rPr>
          <w:sz w:val="15"/>
        </w:rPr>
      </w:pPr>
    </w:p>
    <w:p>
      <w:pPr>
        <w:pStyle w:val="ListParagraph"/>
        <w:numPr>
          <w:ilvl w:val="0"/>
          <w:numId w:val="40"/>
        </w:numPr>
        <w:tabs>
          <w:tab w:val="left" w:pos="1076"/>
        </w:tabs>
        <w:spacing w:before="0" w:after="0" w:line="240" w:lineRule="auto"/>
        <w:ind w:left="1076" w:right="0" w:hanging="420"/>
        <w:jc w:val="left"/>
        <w:rPr>
          <w:sz w:val="21"/>
        </w:rPr>
      </w:pPr>
      <w:r>
        <w:rPr>
          <w:sz w:val="21"/>
        </w:rPr>
        <w:t>为一年内无重大数据类违法违规记录的合法组织机构；</w:t>
      </w:r>
    </w:p>
    <w:p>
      <w:pPr>
        <w:pStyle w:val="BodyText"/>
        <w:spacing w:before="6"/>
        <w:rPr>
          <w:sz w:val="15"/>
        </w:rPr>
      </w:pPr>
    </w:p>
    <w:p>
      <w:pPr>
        <w:pStyle w:val="ListParagraph"/>
        <w:numPr>
          <w:ilvl w:val="0"/>
          <w:numId w:val="40"/>
        </w:numPr>
        <w:tabs>
          <w:tab w:val="left" w:pos="1076"/>
        </w:tabs>
        <w:spacing w:before="1" w:after="0" w:line="417" w:lineRule="auto"/>
        <w:ind w:left="656" w:right="240" w:firstLine="0"/>
        <w:jc w:val="left"/>
        <w:rPr>
          <w:sz w:val="21"/>
        </w:rPr>
      </w:pPr>
      <w:r>
        <w:rPr>
          <w:w w:val="95"/>
          <w:sz w:val="21"/>
        </w:rPr>
        <w:t xml:space="preserve">完成在数据交易服务机构的注册,并经数据交易服务机构审核通过,才允许参与数据交易业务；  </w:t>
      </w:r>
      <w:r>
        <w:rPr>
          <w:sz w:val="21"/>
        </w:rPr>
        <w:t>c）</w:t>
      </w:r>
      <w:r>
        <w:rPr>
          <w:spacing w:val="-7"/>
          <w:sz w:val="21"/>
        </w:rPr>
        <w:t xml:space="preserve"> 提供书面的数据交易和使用安全承诺，内容包括但不限于：满足法律法规和政策要求、遵守数</w:t>
      </w:r>
    </w:p>
    <w:p>
      <w:pPr>
        <w:pStyle w:val="BodyText"/>
        <w:spacing w:line="417" w:lineRule="auto"/>
        <w:ind w:left="1076" w:right="228"/>
      </w:pPr>
      <w:r>
        <w:rPr>
          <w:spacing w:val="-14"/>
          <w:w w:val="95"/>
        </w:rPr>
        <w:t xml:space="preserve">据交易安全原则、愿意接受数据交易服务机构安全监督、遵守与数据供方约定的数据安全要求、   </w:t>
      </w:r>
      <w:r>
        <w:rPr>
          <w:spacing w:val="-14"/>
        </w:rPr>
        <w:t>对所持有数据提供充分的安全保护、未经明确授权不公开或转交数据给第三方等；</w:t>
      </w:r>
    </w:p>
    <w:p>
      <w:pPr>
        <w:pStyle w:val="ListParagraph"/>
        <w:numPr>
          <w:ilvl w:val="0"/>
          <w:numId w:val="39"/>
        </w:numPr>
        <w:tabs>
          <w:tab w:val="left" w:pos="1076"/>
        </w:tabs>
        <w:spacing w:before="0" w:after="0" w:line="269" w:lineRule="exact"/>
        <w:ind w:left="1076" w:right="0" w:hanging="420"/>
        <w:jc w:val="left"/>
        <w:rPr>
          <w:sz w:val="21"/>
        </w:rPr>
      </w:pPr>
      <w:r>
        <w:rPr>
          <w:sz w:val="21"/>
        </w:rPr>
        <w:t>按照供需双方约定的使用目的、范围、方式和期限使用数据,禁止进行个人信息的重新识别；</w:t>
      </w:r>
    </w:p>
    <w:p>
      <w:pPr>
        <w:spacing w:after="0" w:line="269" w:lineRule="exact"/>
        <w:jc w:val="left"/>
        <w:rPr>
          <w:sz w:val="21"/>
        </w:rPr>
        <w:sectPr>
          <w:headerReference w:type="even" r:id="rId43"/>
          <w:headerReference w:type="default" r:id="rId44"/>
          <w:footerReference w:type="even" r:id="rId45"/>
          <w:footerReference w:type="default" r:id="rId46"/>
          <w:pgSz w:w="11910" w:h="16840"/>
          <w:pgMar w:top="1640" w:right="800" w:bottom="1340" w:left="1180" w:header="1449" w:footer="1141"/>
          <w:pgNumType w:start="7"/>
          <w:cols w:space="708"/>
        </w:sectPr>
      </w:pPr>
    </w:p>
    <w:p>
      <w:pPr>
        <w:pStyle w:val="BodyText"/>
        <w:spacing w:before="12"/>
      </w:pPr>
    </w:p>
    <w:p>
      <w:pPr>
        <w:pStyle w:val="ListParagraph"/>
        <w:numPr>
          <w:ilvl w:val="0"/>
          <w:numId w:val="39"/>
        </w:numPr>
        <w:tabs>
          <w:tab w:val="left" w:pos="1076"/>
        </w:tabs>
        <w:spacing w:before="70" w:after="0" w:line="417" w:lineRule="auto"/>
        <w:ind w:left="656" w:right="1920" w:firstLine="0"/>
        <w:jc w:val="left"/>
        <w:rPr>
          <w:sz w:val="21"/>
        </w:rPr>
      </w:pPr>
      <w:r>
        <w:rPr>
          <w:w w:val="95"/>
          <w:sz w:val="21"/>
        </w:rPr>
        <w:t xml:space="preserve">在按照数据交易约定方式完成数据使用后，应根据合同约定做好相应处理； </w:t>
      </w:r>
      <w:r>
        <w:rPr>
          <w:sz w:val="21"/>
        </w:rPr>
        <w:t>f）</w:t>
      </w:r>
      <w:r>
        <w:rPr>
          <w:spacing w:val="-1"/>
          <w:sz w:val="21"/>
        </w:rPr>
        <w:t xml:space="preserve"> 遵守数据交易服务机构的安全管理制度和流程。</w:t>
      </w:r>
    </w:p>
    <w:p>
      <w:pPr>
        <w:pStyle w:val="ListParagraph"/>
        <w:numPr>
          <w:ilvl w:val="3"/>
          <w:numId w:val="42"/>
        </w:numPr>
        <w:tabs>
          <w:tab w:val="left" w:pos="1181"/>
          <w:tab w:val="left" w:pos="1182"/>
        </w:tabs>
        <w:spacing w:before="79" w:after="0" w:line="240" w:lineRule="auto"/>
        <w:ind w:left="1181" w:right="0" w:hanging="947"/>
        <w:jc w:val="left"/>
        <w:rPr>
          <w:rFonts w:ascii="黑体" w:eastAsia="黑体" w:hint="eastAsia"/>
          <w:sz w:val="21"/>
        </w:rPr>
      </w:pPr>
      <w:bookmarkStart w:id="29" w:name="5.1.1.3　数据交易服务机构安全要求"/>
      <w:bookmarkEnd w:id="29"/>
      <w:r>
        <w:rPr>
          <w:rFonts w:ascii="黑体" w:eastAsia="黑体" w:hint="eastAsia"/>
          <w:sz w:val="21"/>
        </w:rPr>
        <w:t>数据交易服务机构安全要求</w:t>
      </w:r>
    </w:p>
    <w:p>
      <w:pPr>
        <w:pStyle w:val="BodyText"/>
        <w:spacing w:before="6"/>
        <w:rPr>
          <w:rFonts w:ascii="黑体"/>
        </w:rPr>
      </w:pPr>
    </w:p>
    <w:p>
      <w:pPr>
        <w:pStyle w:val="ListParagraph"/>
        <w:numPr>
          <w:ilvl w:val="4"/>
          <w:numId w:val="38"/>
        </w:numPr>
        <w:tabs>
          <w:tab w:val="left" w:pos="1392"/>
          <w:tab w:val="left" w:pos="1393"/>
        </w:tabs>
        <w:spacing w:before="0" w:after="0" w:line="240" w:lineRule="auto"/>
        <w:ind w:left="1392" w:right="0" w:hanging="1158"/>
        <w:jc w:val="left"/>
        <w:rPr>
          <w:rFonts w:ascii="黑体" w:eastAsia="黑体" w:hint="eastAsia"/>
          <w:sz w:val="21"/>
        </w:rPr>
      </w:pPr>
      <w:bookmarkStart w:id="30" w:name="5.1.1.3.1　基本要求"/>
      <w:bookmarkEnd w:id="30"/>
      <w:r>
        <w:rPr>
          <w:rFonts w:ascii="黑体" w:eastAsia="黑体" w:hint="eastAsia"/>
          <w:sz w:val="21"/>
        </w:rPr>
        <w:t>基本要求</w:t>
      </w:r>
    </w:p>
    <w:p>
      <w:pPr>
        <w:pStyle w:val="BodyText"/>
        <w:spacing w:before="7"/>
        <w:rPr>
          <w:rFonts w:ascii="黑体"/>
          <w:sz w:val="15"/>
        </w:rPr>
      </w:pPr>
    </w:p>
    <w:p>
      <w:pPr>
        <w:pStyle w:val="BodyText"/>
        <w:ind w:left="656"/>
      </w:pPr>
      <w:r>
        <w:t>数据交易服务机构应满足以下基本要求：</w:t>
      </w:r>
    </w:p>
    <w:p>
      <w:pPr>
        <w:pStyle w:val="BodyText"/>
        <w:spacing w:before="7"/>
        <w:rPr>
          <w:sz w:val="15"/>
        </w:rPr>
      </w:pPr>
    </w:p>
    <w:p>
      <w:pPr>
        <w:pStyle w:val="ListParagraph"/>
        <w:numPr>
          <w:ilvl w:val="5"/>
          <w:numId w:val="38"/>
        </w:numPr>
        <w:tabs>
          <w:tab w:val="left" w:pos="1076"/>
        </w:tabs>
        <w:spacing w:before="0" w:after="0" w:line="240" w:lineRule="auto"/>
        <w:ind w:left="1076" w:right="0" w:hanging="420"/>
        <w:jc w:val="left"/>
        <w:rPr>
          <w:sz w:val="21"/>
        </w:rPr>
      </w:pPr>
      <w:r>
        <w:rPr>
          <w:sz w:val="21"/>
        </w:rPr>
        <w:t>得到我国行政或主管部门的授权或许可；</w:t>
      </w:r>
    </w:p>
    <w:p>
      <w:pPr>
        <w:pStyle w:val="BodyText"/>
        <w:spacing w:before="6"/>
        <w:rPr>
          <w:sz w:val="15"/>
        </w:rPr>
      </w:pPr>
    </w:p>
    <w:p>
      <w:pPr>
        <w:pStyle w:val="ListParagraph"/>
        <w:numPr>
          <w:ilvl w:val="5"/>
          <w:numId w:val="38"/>
        </w:numPr>
        <w:tabs>
          <w:tab w:val="left" w:pos="1076"/>
        </w:tabs>
        <w:spacing w:before="0" w:after="0" w:line="417" w:lineRule="auto"/>
        <w:ind w:left="656" w:right="3390" w:firstLine="0"/>
        <w:jc w:val="left"/>
        <w:rPr>
          <w:sz w:val="21"/>
        </w:rPr>
      </w:pPr>
      <w:r>
        <w:rPr>
          <w:w w:val="95"/>
          <w:sz w:val="21"/>
        </w:rPr>
        <w:t xml:space="preserve">为一年内无重大数据类违法违规记录的境内合法组织机构； </w:t>
      </w:r>
      <w:r>
        <w:rPr>
          <w:sz w:val="21"/>
        </w:rPr>
        <w:t>c）</w:t>
      </w:r>
      <w:r>
        <w:rPr>
          <w:spacing w:val="-1"/>
          <w:sz w:val="21"/>
        </w:rPr>
        <w:t xml:space="preserve"> 具备承担数据交易服务相对应的安全保障能力；</w:t>
      </w:r>
    </w:p>
    <w:p>
      <w:pPr>
        <w:pStyle w:val="BodyText"/>
        <w:spacing w:line="417" w:lineRule="auto"/>
        <w:ind w:left="656" w:right="2954"/>
      </w:pPr>
      <w:r>
        <w:t>d） 将从事境内数据交易服务的数据交易服务平台部署在我国境内； e） 对数据供方提供的数据来源合法性证明材料声明进行审核；</w:t>
      </w:r>
    </w:p>
    <w:p>
      <w:pPr>
        <w:pStyle w:val="BodyText"/>
        <w:spacing w:line="417" w:lineRule="auto"/>
        <w:ind w:left="656" w:right="5894"/>
      </w:pPr>
      <w:r>
        <w:t>f） 对数据违规使用行为进行监测； g） 制定并执行交易违规处罚规则；</w:t>
      </w:r>
    </w:p>
    <w:p>
      <w:pPr>
        <w:pStyle w:val="BodyText"/>
        <w:spacing w:line="417" w:lineRule="auto"/>
        <w:ind w:left="656" w:right="3374"/>
      </w:pPr>
      <w:r>
        <w:t>h） 未经授权不擅自使用数据供方或需方的数据或数据衍生品； i） 至少满足GB/T 37988-2019中的三级要求；</w:t>
      </w:r>
    </w:p>
    <w:p>
      <w:pPr>
        <w:pStyle w:val="ListParagraph"/>
        <w:numPr>
          <w:ilvl w:val="0"/>
          <w:numId w:val="37"/>
        </w:numPr>
        <w:tabs>
          <w:tab w:val="left" w:pos="1076"/>
        </w:tabs>
        <w:spacing w:before="0" w:after="0" w:line="269" w:lineRule="exact"/>
        <w:ind w:left="1076" w:right="0" w:hanging="420"/>
        <w:jc w:val="left"/>
        <w:rPr>
          <w:sz w:val="21"/>
        </w:rPr>
      </w:pPr>
      <w:r>
        <w:rPr>
          <w:sz w:val="21"/>
        </w:rPr>
        <w:t>不应对主要业务进行外包；</w:t>
      </w:r>
    </w:p>
    <w:p>
      <w:pPr>
        <w:pStyle w:val="BodyText"/>
        <w:spacing w:before="6"/>
        <w:rPr>
          <w:sz w:val="15"/>
        </w:rPr>
      </w:pPr>
    </w:p>
    <w:p>
      <w:pPr>
        <w:pStyle w:val="ListParagraph"/>
        <w:numPr>
          <w:ilvl w:val="0"/>
          <w:numId w:val="37"/>
        </w:numPr>
        <w:tabs>
          <w:tab w:val="left" w:pos="1076"/>
        </w:tabs>
        <w:spacing w:before="0" w:after="0" w:line="240" w:lineRule="auto"/>
        <w:ind w:left="1076" w:right="0" w:hanging="420"/>
        <w:jc w:val="left"/>
        <w:rPr>
          <w:sz w:val="21"/>
        </w:rPr>
      </w:pPr>
      <w:r>
        <w:rPr>
          <w:sz w:val="21"/>
        </w:rPr>
        <w:t>应确保使用的云平台安全可靠。</w:t>
      </w:r>
    </w:p>
    <w:p>
      <w:pPr>
        <w:pStyle w:val="BodyText"/>
        <w:spacing w:before="7"/>
        <w:rPr>
          <w:sz w:val="15"/>
        </w:rPr>
      </w:pPr>
    </w:p>
    <w:p>
      <w:pPr>
        <w:pStyle w:val="ListParagraph"/>
        <w:numPr>
          <w:ilvl w:val="4"/>
          <w:numId w:val="38"/>
        </w:numPr>
        <w:tabs>
          <w:tab w:val="left" w:pos="1392"/>
          <w:tab w:val="left" w:pos="1393"/>
          <w:tab w:val="left" w:pos="1601"/>
        </w:tabs>
        <w:spacing w:before="0" w:after="0" w:line="556" w:lineRule="auto"/>
        <w:ind w:left="235" w:right="6433" w:firstLine="0"/>
        <w:jc w:val="left"/>
        <w:rPr>
          <w:rFonts w:ascii="黑体" w:eastAsia="黑体" w:hint="eastAsia"/>
          <w:sz w:val="21"/>
        </w:rPr>
      </w:pPr>
      <w:bookmarkStart w:id="31" w:name="5.1.1.3.2　组织安全管理要求"/>
      <w:bookmarkEnd w:id="31"/>
      <w:r>
        <w:rPr>
          <w:rFonts w:ascii="黑体" w:eastAsia="黑体" w:hint="eastAsia"/>
          <w:sz w:val="21"/>
        </w:rPr>
        <w:t>组</w:t>
      </w:r>
      <w:r>
        <w:rPr>
          <w:rFonts w:ascii="黑体" w:eastAsia="黑体" w:hint="eastAsia"/>
          <w:sz w:val="21"/>
        </w:rPr>
        <w:t>织安全管理要求</w:t>
      </w:r>
      <w:r>
        <w:rPr>
          <w:rFonts w:ascii="黑体" w:eastAsia="黑体" w:hint="eastAsia"/>
          <w:w w:val="95"/>
          <w:sz w:val="21"/>
        </w:rPr>
        <w:t>5.1.1.3.2.1</w:t>
        <w:tab/>
        <w:tab/>
      </w:r>
      <w:bookmarkStart w:id="32" w:name="5.1.1.3.2.1　安全管理制度和规程"/>
      <w:bookmarkEnd w:id="32"/>
      <w:r>
        <w:rPr>
          <w:rFonts w:ascii="黑体" w:eastAsia="黑体" w:hint="eastAsia"/>
          <w:sz w:val="21"/>
        </w:rPr>
        <w:t>安</w:t>
      </w:r>
      <w:r>
        <w:rPr>
          <w:rFonts w:ascii="黑体" w:eastAsia="黑体" w:hint="eastAsia"/>
          <w:sz w:val="21"/>
        </w:rPr>
        <w:t>全管理制度和规</w:t>
      </w:r>
      <w:r>
        <w:rPr>
          <w:rFonts w:ascii="黑体" w:eastAsia="黑体" w:hint="eastAsia"/>
          <w:spacing w:val="-13"/>
          <w:sz w:val="21"/>
        </w:rPr>
        <w:t>程</w:t>
      </w:r>
    </w:p>
    <w:p>
      <w:pPr>
        <w:pStyle w:val="BodyText"/>
        <w:spacing w:line="269" w:lineRule="exact"/>
        <w:ind w:left="656"/>
      </w:pPr>
      <w:r>
        <w:t>数据交易服务机构应满足以下要求：</w:t>
      </w:r>
    </w:p>
    <w:p>
      <w:pPr>
        <w:pStyle w:val="BodyText"/>
        <w:spacing w:before="7"/>
        <w:rPr>
          <w:sz w:val="15"/>
        </w:rPr>
      </w:pPr>
    </w:p>
    <w:p>
      <w:pPr>
        <w:pStyle w:val="ListParagraph"/>
        <w:numPr>
          <w:ilvl w:val="0"/>
          <w:numId w:val="36"/>
        </w:numPr>
        <w:tabs>
          <w:tab w:val="left" w:pos="1076"/>
        </w:tabs>
        <w:spacing w:before="0" w:after="0" w:line="417" w:lineRule="auto"/>
        <w:ind w:left="1076" w:right="228" w:hanging="420"/>
        <w:jc w:val="left"/>
        <w:rPr>
          <w:sz w:val="21"/>
        </w:rPr>
      </w:pPr>
      <w:r>
        <w:rPr>
          <w:sz w:val="21"/>
        </w:rPr>
        <w:t>制定数据交易服务安全管理策略,说明数据交易安全总体目标、范围、原则和安全框架等，确</w:t>
      </w:r>
      <w:r>
        <w:rPr>
          <w:spacing w:val="-14"/>
          <w:w w:val="95"/>
          <w:sz w:val="21"/>
        </w:rPr>
        <w:t>保数据完整性、正确性、机密性的同时，防止数据的泄漏、篡改、伪造及相关人员的抵赖行为；</w:t>
      </w:r>
    </w:p>
    <w:p>
      <w:pPr>
        <w:pStyle w:val="ListParagraph"/>
        <w:numPr>
          <w:ilvl w:val="0"/>
          <w:numId w:val="36"/>
        </w:numPr>
        <w:tabs>
          <w:tab w:val="left" w:pos="1076"/>
        </w:tabs>
        <w:spacing w:before="0" w:after="0" w:line="417" w:lineRule="auto"/>
        <w:ind w:left="1076" w:right="332" w:hanging="420"/>
        <w:jc w:val="left"/>
        <w:rPr>
          <w:sz w:val="21"/>
        </w:rPr>
      </w:pPr>
      <w:r>
        <w:rPr>
          <w:sz w:val="21"/>
        </w:rPr>
        <w:t>建立数据交易服务安全管理制度,包括但不限于：交易参与方安全管理制度、数据安全管理制度、个人信息安全保护制度等；</w:t>
      </w:r>
    </w:p>
    <w:p>
      <w:pPr>
        <w:pStyle w:val="ListParagraph"/>
        <w:numPr>
          <w:ilvl w:val="0"/>
          <w:numId w:val="36"/>
        </w:numPr>
        <w:tabs>
          <w:tab w:val="left" w:pos="1076"/>
        </w:tabs>
        <w:spacing w:before="0" w:after="0" w:line="269" w:lineRule="exact"/>
        <w:ind w:left="1076" w:right="0" w:hanging="420"/>
        <w:jc w:val="left"/>
        <w:rPr>
          <w:sz w:val="21"/>
        </w:rPr>
      </w:pPr>
      <w:r>
        <w:rPr>
          <w:sz w:val="21"/>
        </w:rPr>
        <w:t>为数据交易管理人员或操作人员执行的管理或业务操作建立操作规程；</w:t>
      </w:r>
    </w:p>
    <w:p>
      <w:pPr>
        <w:pStyle w:val="BodyText"/>
        <w:spacing w:before="6"/>
        <w:rPr>
          <w:sz w:val="15"/>
        </w:rPr>
      </w:pPr>
    </w:p>
    <w:p>
      <w:pPr>
        <w:pStyle w:val="ListParagraph"/>
        <w:numPr>
          <w:ilvl w:val="0"/>
          <w:numId w:val="36"/>
        </w:numPr>
        <w:tabs>
          <w:tab w:val="left" w:pos="1076"/>
        </w:tabs>
        <w:spacing w:before="0" w:after="0" w:line="417" w:lineRule="auto"/>
        <w:ind w:left="656" w:right="1813" w:firstLine="0"/>
        <w:jc w:val="left"/>
        <w:rPr>
          <w:sz w:val="21"/>
        </w:rPr>
      </w:pPr>
      <w:r>
        <w:rPr>
          <w:w w:val="95"/>
          <w:sz w:val="21"/>
        </w:rPr>
        <w:t xml:space="preserve">定期对数据交易服务安全管理策略、制度和规程进行评审,并及时进行更新； </w:t>
      </w:r>
      <w:r>
        <w:rPr>
          <w:sz w:val="21"/>
        </w:rPr>
        <w:t>e）</w:t>
      </w:r>
      <w:r>
        <w:rPr>
          <w:spacing w:val="-1"/>
          <w:sz w:val="21"/>
        </w:rPr>
        <w:t xml:space="preserve"> 建立和执行针对数据供方和需方的安全管理制度和流程；</w:t>
      </w:r>
    </w:p>
    <w:p>
      <w:pPr>
        <w:pStyle w:val="BodyText"/>
        <w:spacing w:line="269" w:lineRule="exact"/>
        <w:ind w:left="656"/>
      </w:pPr>
      <w:r>
        <w:t>f） 建立供需方的信用管理机制。</w:t>
      </w:r>
    </w:p>
    <w:p>
      <w:pPr>
        <w:spacing w:after="0" w:line="269" w:lineRule="exact"/>
        <w:sectPr>
          <w:headerReference w:type="even" r:id="rId47"/>
          <w:headerReference w:type="default" r:id="rId48"/>
          <w:footerReference w:type="even" r:id="rId49"/>
          <w:footerReference w:type="default" r:id="rId50"/>
          <w:pgSz w:w="11910" w:h="16840"/>
          <w:pgMar w:top="1640" w:right="800" w:bottom="1340" w:left="1180" w:header="1449" w:footer="1141"/>
          <w:pgNumType w:start="8"/>
          <w:cols w:space="708"/>
        </w:sectPr>
      </w:pPr>
    </w:p>
    <w:p>
      <w:pPr>
        <w:pStyle w:val="BodyText"/>
        <w:spacing w:before="12"/>
      </w:pPr>
    </w:p>
    <w:p>
      <w:pPr>
        <w:pStyle w:val="ListParagraph"/>
        <w:numPr>
          <w:ilvl w:val="5"/>
          <w:numId w:val="35"/>
        </w:numPr>
        <w:tabs>
          <w:tab w:val="left" w:pos="1601"/>
          <w:tab w:val="left" w:pos="1602"/>
        </w:tabs>
        <w:spacing w:before="70" w:after="0" w:line="240" w:lineRule="auto"/>
        <w:ind w:left="1601" w:right="0" w:hanging="1367"/>
        <w:jc w:val="left"/>
        <w:rPr>
          <w:rFonts w:ascii="黑体" w:eastAsia="黑体" w:hint="eastAsia"/>
          <w:sz w:val="21"/>
        </w:rPr>
      </w:pPr>
      <w:bookmarkStart w:id="33" w:name="5.1.1.3.2.2　安全相关组织机构和人员"/>
      <w:bookmarkEnd w:id="33"/>
      <w:r>
        <w:rPr>
          <w:rFonts w:ascii="黑体" w:eastAsia="黑体" w:hint="eastAsia"/>
          <w:sz w:val="21"/>
        </w:rPr>
        <w:t>安全相关组织机构和人员</w:t>
      </w:r>
    </w:p>
    <w:p>
      <w:pPr>
        <w:pStyle w:val="BodyText"/>
        <w:spacing w:before="8"/>
        <w:rPr>
          <w:rFonts w:ascii="黑体"/>
          <w:sz w:val="27"/>
        </w:rPr>
      </w:pPr>
    </w:p>
    <w:p>
      <w:pPr>
        <w:pStyle w:val="BodyText"/>
        <w:spacing w:before="1"/>
        <w:ind w:left="656"/>
      </w:pPr>
      <w:r>
        <w:t>数据交易服务机构应满足以下要求：</w:t>
      </w:r>
    </w:p>
    <w:p>
      <w:pPr>
        <w:pStyle w:val="BodyText"/>
        <w:spacing w:before="6"/>
        <w:rPr>
          <w:sz w:val="15"/>
        </w:rPr>
      </w:pPr>
    </w:p>
    <w:p>
      <w:pPr>
        <w:pStyle w:val="ListParagraph"/>
        <w:numPr>
          <w:ilvl w:val="6"/>
          <w:numId w:val="35"/>
        </w:numPr>
        <w:tabs>
          <w:tab w:val="left" w:pos="1076"/>
        </w:tabs>
        <w:spacing w:before="0" w:after="0" w:line="240" w:lineRule="auto"/>
        <w:ind w:left="1076" w:right="0" w:hanging="420"/>
        <w:jc w:val="left"/>
        <w:rPr>
          <w:sz w:val="21"/>
        </w:rPr>
      </w:pPr>
      <w:r>
        <w:rPr>
          <w:sz w:val="21"/>
        </w:rPr>
        <w:t>建立数据交易安全领导小组,由机构最高管理者或授权代表担任组长；</w:t>
      </w:r>
    </w:p>
    <w:p>
      <w:pPr>
        <w:pStyle w:val="BodyText"/>
        <w:spacing w:before="7"/>
        <w:rPr>
          <w:sz w:val="15"/>
        </w:rPr>
      </w:pPr>
    </w:p>
    <w:p>
      <w:pPr>
        <w:pStyle w:val="ListParagraph"/>
        <w:numPr>
          <w:ilvl w:val="6"/>
          <w:numId w:val="35"/>
        </w:numPr>
        <w:tabs>
          <w:tab w:val="left" w:pos="1076"/>
        </w:tabs>
        <w:spacing w:before="0" w:after="0" w:line="240" w:lineRule="auto"/>
        <w:ind w:left="1076" w:right="0" w:hanging="420"/>
        <w:jc w:val="left"/>
        <w:rPr>
          <w:sz w:val="21"/>
        </w:rPr>
      </w:pPr>
      <w:r>
        <w:rPr>
          <w:sz w:val="21"/>
        </w:rPr>
        <w:t>建立数据交易安全管理职能部门,设立安全管理负责人岗位，明确安全责任；</w:t>
      </w:r>
    </w:p>
    <w:p>
      <w:pPr>
        <w:pStyle w:val="BodyText"/>
        <w:spacing w:before="7"/>
        <w:rPr>
          <w:sz w:val="15"/>
        </w:rPr>
      </w:pPr>
    </w:p>
    <w:p>
      <w:pPr>
        <w:pStyle w:val="ListParagraph"/>
        <w:numPr>
          <w:ilvl w:val="6"/>
          <w:numId w:val="35"/>
        </w:numPr>
        <w:tabs>
          <w:tab w:val="left" w:pos="1076"/>
        </w:tabs>
        <w:spacing w:before="0" w:after="0" w:line="417" w:lineRule="auto"/>
        <w:ind w:left="1076" w:right="332" w:hanging="420"/>
        <w:jc w:val="left"/>
        <w:rPr>
          <w:sz w:val="21"/>
        </w:rPr>
      </w:pPr>
      <w:r>
        <w:rPr>
          <w:sz w:val="21"/>
        </w:rPr>
        <w:t>设立数据交易安全管理员、个人信息安全管理员等岗位,定义各个岗位的安全职责，并配备一定数量的岗位人员；</w:t>
      </w:r>
    </w:p>
    <w:p>
      <w:pPr>
        <w:pStyle w:val="ListParagraph"/>
        <w:numPr>
          <w:ilvl w:val="6"/>
          <w:numId w:val="35"/>
        </w:numPr>
        <w:tabs>
          <w:tab w:val="left" w:pos="1076"/>
        </w:tabs>
        <w:spacing w:before="0" w:after="0" w:line="269" w:lineRule="exact"/>
        <w:ind w:left="1076" w:right="0" w:hanging="420"/>
        <w:jc w:val="left"/>
        <w:rPr>
          <w:sz w:val="21"/>
        </w:rPr>
      </w:pPr>
      <w:r>
        <w:rPr>
          <w:sz w:val="21"/>
        </w:rPr>
        <w:t>对数据交易重要岗位人员进行安全审查和技术考核,确保无违法违规记录；</w:t>
      </w:r>
    </w:p>
    <w:p>
      <w:pPr>
        <w:pStyle w:val="BodyText"/>
        <w:spacing w:before="6"/>
        <w:rPr>
          <w:sz w:val="15"/>
        </w:rPr>
      </w:pPr>
    </w:p>
    <w:p>
      <w:pPr>
        <w:pStyle w:val="ListParagraph"/>
        <w:numPr>
          <w:ilvl w:val="6"/>
          <w:numId w:val="35"/>
        </w:numPr>
        <w:tabs>
          <w:tab w:val="left" w:pos="1076"/>
        </w:tabs>
        <w:spacing w:before="1" w:after="0" w:line="240" w:lineRule="auto"/>
        <w:ind w:left="1076" w:right="0" w:hanging="420"/>
        <w:jc w:val="left"/>
        <w:rPr>
          <w:sz w:val="21"/>
        </w:rPr>
      </w:pPr>
      <w:r>
        <w:rPr>
          <w:sz w:val="21"/>
        </w:rPr>
        <w:t>与数据交易重要岗位人员签署安全保密协议,与重要岗位人员签署岗位责任协议；</w:t>
      </w:r>
    </w:p>
    <w:p>
      <w:pPr>
        <w:pStyle w:val="BodyText"/>
        <w:spacing w:before="6"/>
        <w:rPr>
          <w:sz w:val="15"/>
        </w:rPr>
      </w:pPr>
    </w:p>
    <w:p>
      <w:pPr>
        <w:pStyle w:val="ListParagraph"/>
        <w:numPr>
          <w:ilvl w:val="6"/>
          <w:numId w:val="35"/>
        </w:numPr>
        <w:tabs>
          <w:tab w:val="left" w:pos="1076"/>
        </w:tabs>
        <w:spacing w:before="0" w:after="0" w:line="417" w:lineRule="auto"/>
        <w:ind w:left="1076" w:right="335" w:hanging="420"/>
        <w:jc w:val="left"/>
        <w:rPr>
          <w:sz w:val="21"/>
        </w:rPr>
      </w:pPr>
      <w:r>
        <w:rPr>
          <w:spacing w:val="-3"/>
          <w:w w:val="95"/>
          <w:sz w:val="21"/>
        </w:rPr>
        <w:t xml:space="preserve">对数据交易各类岗位人员制定和实施培训计划,培训内容包括安全意识、专项技能等,具备与岗   </w:t>
      </w:r>
      <w:r>
        <w:rPr>
          <w:spacing w:val="-3"/>
          <w:sz w:val="21"/>
        </w:rPr>
        <w:t>位要求相适应的安全管理知识和专业技术水平；</w:t>
      </w:r>
    </w:p>
    <w:p>
      <w:pPr>
        <w:pStyle w:val="ListParagraph"/>
        <w:numPr>
          <w:ilvl w:val="6"/>
          <w:numId w:val="35"/>
        </w:numPr>
        <w:tabs>
          <w:tab w:val="left" w:pos="1076"/>
        </w:tabs>
        <w:spacing w:before="0" w:after="0" w:line="269" w:lineRule="exact"/>
        <w:ind w:left="1076" w:right="0" w:hanging="420"/>
        <w:jc w:val="left"/>
        <w:rPr>
          <w:sz w:val="21"/>
        </w:rPr>
      </w:pPr>
      <w:r>
        <w:rPr>
          <w:sz w:val="21"/>
        </w:rPr>
        <w:t>对第三方人员进行安全管理,对于可能接触交易数据的第三方人员,签署安全保密协议。</w:t>
      </w:r>
    </w:p>
    <w:p>
      <w:pPr>
        <w:pStyle w:val="BodyText"/>
        <w:spacing w:before="9"/>
      </w:pPr>
    </w:p>
    <w:p>
      <w:pPr>
        <w:pStyle w:val="ListParagraph"/>
        <w:numPr>
          <w:ilvl w:val="3"/>
          <w:numId w:val="42"/>
        </w:numPr>
        <w:tabs>
          <w:tab w:val="left" w:pos="1181"/>
          <w:tab w:val="left" w:pos="1182"/>
        </w:tabs>
        <w:spacing w:before="0" w:after="0" w:line="240" w:lineRule="auto"/>
        <w:ind w:left="1181" w:right="0" w:hanging="947"/>
        <w:jc w:val="left"/>
        <w:rPr>
          <w:rFonts w:ascii="黑体" w:eastAsia="黑体" w:hint="eastAsia"/>
          <w:sz w:val="21"/>
        </w:rPr>
      </w:pPr>
      <w:bookmarkStart w:id="34" w:name="5.1.1.4　数据交易服务平台安全要求"/>
      <w:bookmarkEnd w:id="34"/>
      <w:r>
        <w:rPr>
          <w:rFonts w:ascii="黑体" w:eastAsia="黑体" w:hint="eastAsia"/>
          <w:sz w:val="21"/>
        </w:rPr>
        <w:t>数据交易服务平台安全要求</w:t>
      </w:r>
    </w:p>
    <w:p>
      <w:pPr>
        <w:pStyle w:val="BodyText"/>
        <w:spacing w:before="7"/>
        <w:rPr>
          <w:rFonts w:ascii="黑体"/>
        </w:rPr>
      </w:pPr>
    </w:p>
    <w:p>
      <w:pPr>
        <w:pStyle w:val="ListParagraph"/>
        <w:numPr>
          <w:ilvl w:val="4"/>
          <w:numId w:val="34"/>
        </w:numPr>
        <w:tabs>
          <w:tab w:val="left" w:pos="1392"/>
          <w:tab w:val="left" w:pos="1393"/>
        </w:tabs>
        <w:spacing w:before="0" w:after="0" w:line="240" w:lineRule="auto"/>
        <w:ind w:left="1392" w:right="0" w:hanging="1158"/>
        <w:jc w:val="left"/>
        <w:rPr>
          <w:rFonts w:ascii="黑体" w:eastAsia="黑体" w:hint="eastAsia"/>
          <w:sz w:val="21"/>
        </w:rPr>
      </w:pPr>
      <w:bookmarkStart w:id="35" w:name="5.1.1.4.1　基本要求"/>
      <w:bookmarkEnd w:id="35"/>
      <w:r>
        <w:rPr>
          <w:rFonts w:ascii="黑体" w:eastAsia="黑体" w:hint="eastAsia"/>
          <w:sz w:val="21"/>
        </w:rPr>
        <w:t>基本要求</w:t>
      </w:r>
    </w:p>
    <w:p>
      <w:pPr>
        <w:pStyle w:val="BodyText"/>
        <w:spacing w:before="122"/>
        <w:ind w:left="656"/>
      </w:pPr>
      <w:r>
        <w:t>数据交易服务平台应满足以下要求：</w:t>
      </w:r>
    </w:p>
    <w:p>
      <w:pPr>
        <w:pStyle w:val="BodyText"/>
        <w:spacing w:before="120" w:line="417" w:lineRule="auto"/>
        <w:ind w:left="656" w:right="4424"/>
      </w:pPr>
      <w:r>
        <w:t>a） 符合GB/T 22239-2019中第3级的相关安全要求； b） 提供对数据泄露进行处置的紧急预案；</w:t>
      </w:r>
    </w:p>
    <w:p>
      <w:pPr>
        <w:pStyle w:val="BodyText"/>
        <w:spacing w:line="269" w:lineRule="exact"/>
        <w:ind w:left="656"/>
      </w:pPr>
      <w:r>
        <w:t>c） 采用的密码技术遵循相关国家标准和行业标准。</w:t>
      </w:r>
    </w:p>
    <w:p>
      <w:pPr>
        <w:pStyle w:val="BodyText"/>
        <w:spacing w:before="7"/>
        <w:rPr>
          <w:sz w:val="15"/>
        </w:rPr>
      </w:pPr>
    </w:p>
    <w:p>
      <w:pPr>
        <w:pStyle w:val="ListParagraph"/>
        <w:numPr>
          <w:ilvl w:val="4"/>
          <w:numId w:val="34"/>
        </w:numPr>
        <w:tabs>
          <w:tab w:val="left" w:pos="1392"/>
          <w:tab w:val="left" w:pos="1393"/>
          <w:tab w:val="left" w:pos="1601"/>
        </w:tabs>
        <w:spacing w:before="0" w:after="0" w:line="556" w:lineRule="auto"/>
        <w:ind w:left="235" w:right="6644" w:firstLine="0"/>
        <w:jc w:val="left"/>
        <w:rPr>
          <w:rFonts w:ascii="黑体" w:eastAsia="黑体" w:hint="eastAsia"/>
          <w:sz w:val="21"/>
        </w:rPr>
      </w:pPr>
      <w:bookmarkStart w:id="36" w:name="5.1.1.4.2　扩展要求"/>
      <w:bookmarkEnd w:id="36"/>
      <w:r>
        <w:rPr>
          <w:rFonts w:ascii="黑体" w:eastAsia="黑体" w:hint="eastAsia"/>
          <w:sz w:val="21"/>
        </w:rPr>
        <w:t>扩</w:t>
      </w:r>
      <w:r>
        <w:rPr>
          <w:rFonts w:ascii="黑体" w:eastAsia="黑体" w:hint="eastAsia"/>
          <w:sz w:val="21"/>
        </w:rPr>
        <w:t>展要求</w:t>
      </w:r>
      <w:r>
        <w:rPr>
          <w:rFonts w:ascii="黑体" w:eastAsia="黑体" w:hint="eastAsia"/>
          <w:w w:val="95"/>
          <w:sz w:val="21"/>
        </w:rPr>
        <w:t>5.1.1.4.2.1</w:t>
        <w:tab/>
        <w:tab/>
      </w:r>
      <w:bookmarkStart w:id="37" w:name="5.1.1.4.2.1　交易数据安全保护"/>
      <w:bookmarkEnd w:id="37"/>
      <w:r>
        <w:rPr>
          <w:rFonts w:ascii="黑体" w:eastAsia="黑体" w:hint="eastAsia"/>
          <w:sz w:val="21"/>
        </w:rPr>
        <w:t>交</w:t>
      </w:r>
      <w:r>
        <w:rPr>
          <w:rFonts w:ascii="黑体" w:eastAsia="黑体" w:hint="eastAsia"/>
          <w:sz w:val="21"/>
        </w:rPr>
        <w:t>易数据安全保</w:t>
      </w:r>
      <w:r>
        <w:rPr>
          <w:rFonts w:ascii="黑体" w:eastAsia="黑体" w:hint="eastAsia"/>
          <w:spacing w:val="-13"/>
          <w:sz w:val="21"/>
        </w:rPr>
        <w:t>护</w:t>
      </w:r>
    </w:p>
    <w:p>
      <w:pPr>
        <w:pStyle w:val="BodyText"/>
        <w:spacing w:line="269" w:lineRule="exact"/>
        <w:ind w:left="656"/>
      </w:pPr>
      <w:r>
        <w:t>数据交易服务平台应满足以下要求：</w:t>
      </w:r>
    </w:p>
    <w:p>
      <w:pPr>
        <w:pStyle w:val="BodyText"/>
        <w:spacing w:before="6"/>
        <w:rPr>
          <w:sz w:val="15"/>
        </w:rPr>
      </w:pPr>
    </w:p>
    <w:p>
      <w:pPr>
        <w:pStyle w:val="ListParagraph"/>
        <w:numPr>
          <w:ilvl w:val="5"/>
          <w:numId w:val="34"/>
        </w:numPr>
        <w:tabs>
          <w:tab w:val="left" w:pos="1076"/>
        </w:tabs>
        <w:spacing w:before="1" w:after="0" w:line="417" w:lineRule="auto"/>
        <w:ind w:left="1076" w:right="123" w:hanging="420"/>
        <w:jc w:val="left"/>
        <w:rPr>
          <w:sz w:val="21"/>
        </w:rPr>
      </w:pPr>
      <w:r>
        <w:rPr>
          <w:spacing w:val="-10"/>
          <w:w w:val="95"/>
          <w:sz w:val="21"/>
        </w:rPr>
        <w:t xml:space="preserve">分别为数据供方、需方提供安全的上传或下载接口,强身份认证机制,传输链路加密等保护措施，   </w:t>
      </w:r>
      <w:r>
        <w:rPr>
          <w:spacing w:val="-10"/>
          <w:sz w:val="21"/>
        </w:rPr>
        <w:t>确保数据传输的安全；</w:t>
      </w:r>
    </w:p>
    <w:p>
      <w:pPr>
        <w:pStyle w:val="ListParagraph"/>
        <w:numPr>
          <w:ilvl w:val="5"/>
          <w:numId w:val="34"/>
        </w:numPr>
        <w:tabs>
          <w:tab w:val="left" w:pos="1076"/>
        </w:tabs>
        <w:spacing w:before="0" w:after="0" w:line="417" w:lineRule="auto"/>
        <w:ind w:left="656" w:right="1707" w:firstLine="0"/>
        <w:jc w:val="left"/>
        <w:rPr>
          <w:sz w:val="21"/>
        </w:rPr>
      </w:pPr>
      <w:r>
        <w:rPr>
          <w:w w:val="95"/>
          <w:sz w:val="21"/>
        </w:rPr>
        <w:t xml:space="preserve">对交易数据实施加密存储、访问控制等安全措施，防止数据泄露或非法使用； </w:t>
      </w:r>
      <w:r>
        <w:rPr>
          <w:sz w:val="21"/>
        </w:rPr>
        <w:t>c）</w:t>
      </w:r>
      <w:r>
        <w:rPr>
          <w:spacing w:val="-1"/>
          <w:sz w:val="21"/>
        </w:rPr>
        <w:t xml:space="preserve"> 实现数据源和数据操作的可追溯性，以及交易的非否认性；</w:t>
      </w:r>
    </w:p>
    <w:p>
      <w:pPr>
        <w:pStyle w:val="ListParagraph"/>
        <w:numPr>
          <w:ilvl w:val="0"/>
          <w:numId w:val="33"/>
        </w:numPr>
        <w:tabs>
          <w:tab w:val="left" w:pos="1076"/>
        </w:tabs>
        <w:spacing w:before="0" w:after="0" w:line="417" w:lineRule="auto"/>
        <w:ind w:left="1076" w:right="332" w:hanging="420"/>
        <w:jc w:val="left"/>
        <w:rPr>
          <w:sz w:val="21"/>
        </w:rPr>
      </w:pPr>
      <w:r>
        <w:rPr>
          <w:sz w:val="21"/>
        </w:rPr>
        <w:t>在托管数据交付模式下,为数据需方提供隔离安全环境，对数据需方在数据使用环境中运行的相关程序和产生的数据结果进行审核；</w:t>
      </w:r>
    </w:p>
    <w:p>
      <w:pPr>
        <w:pStyle w:val="ListParagraph"/>
        <w:numPr>
          <w:ilvl w:val="0"/>
          <w:numId w:val="33"/>
        </w:numPr>
        <w:tabs>
          <w:tab w:val="left" w:pos="1076"/>
        </w:tabs>
        <w:spacing w:before="0" w:after="0" w:line="269" w:lineRule="exact"/>
        <w:ind w:left="1076" w:right="0" w:hanging="420"/>
        <w:jc w:val="left"/>
        <w:rPr>
          <w:sz w:val="21"/>
        </w:rPr>
      </w:pPr>
      <w:r>
        <w:rPr>
          <w:spacing w:val="-3"/>
          <w:sz w:val="21"/>
        </w:rPr>
        <w:t>在托管数据交付模式下,对交易数据进行安全存储和备份,确保数据的保密性、完整性和可用性；</w:t>
      </w:r>
    </w:p>
    <w:p>
      <w:pPr>
        <w:spacing w:after="0" w:line="269" w:lineRule="exact"/>
        <w:jc w:val="left"/>
        <w:rPr>
          <w:sz w:val="21"/>
        </w:rPr>
      </w:pPr>
      <w:r>
        <w:rPr>
          <w:sz w:val="21"/>
        </w:rPr>
        <w:br/>
      </w:r>
      <w:r>
        <w:rPr>
          <w:sz w:val="21"/>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1" w:history="1">
        <w:r>
          <w:rPr>
            <w:rFonts w:ascii="SimSun" w:eastAsia="SimSun" w:hAnsi="SimSun" w:cs="SimSun"/>
            <w:b/>
            <w:bCs/>
            <w:color w:val="0000EE"/>
            <w:sz w:val="30"/>
            <w:szCs w:val="30"/>
            <w:u w:val="single" w:color="0000EE"/>
          </w:rPr>
          <w:t>https://d.book118.com/585344012031011041</w:t>
        </w:r>
      </w:hyperlink>
    </w:p>
    <w:p>
      <w:pPr>
        <w:spacing w:after="0" w:line="269" w:lineRule="exact"/>
        <w:jc w:val="left"/>
        <w:rPr>
          <w:sz w:val="21"/>
        </w:rPr>
      </w:pPr>
    </w:p>
    <w:sectPr>
      <w:headerReference w:type="even" r:id="rId52"/>
      <w:headerReference w:type="default" r:id="rId53"/>
      <w:footerReference w:type="even" r:id="rId54"/>
      <w:footerReference w:type="default" r:id="rId55"/>
      <w:pgSz w:w="11910" w:h="16840"/>
      <w:pgMar w:top="1640" w:right="800" w:bottom="1340" w:left="1180" w:header="1449" w:footer="1141"/>
      <w:pgNumType w:start="9"/>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19.4pt;height:17pt;margin-top:767.83pt;margin-left:512.16pt;mso-position-horizontal-relative:page;mso-position-vertical-relative:page;position:absolute;z-index:-251658240" filled="f" stroked="f">
          <v:textbox inset="0,0,0,0">
            <w:txbxContent>
              <w:p>
                <w:pPr>
                  <w:spacing w:before="114" w:line="225" w:lineRule="exact"/>
                  <w:ind w:left="60" w:right="0" w:firstLine="0"/>
                  <w:jc w:val="left"/>
                  <w:rPr>
                    <w:sz w:val="18"/>
                  </w:rPr>
                </w:pPr>
                <w:r>
                  <w:fldChar w:fldCharType="begin"/>
                </w:r>
                <w:r>
                  <w:rPr>
                    <w:sz w:val="18"/>
                  </w:rPr>
                  <w:instrText xml:space="preserve"> PAGE  \* ROMAN </w:instrText>
                </w:r>
                <w:r>
                  <w:fldChar w:fldCharType="separate"/>
                </w:r>
                <w:r>
                  <w:rPr>
                    <w:sz w:val="18"/>
                  </w:rPr>
                  <w:t>I</w:t>
                </w:r>
                <w:r>
                  <w:fldChar w:fldCharType="end"/>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14.95pt;height:11pt;margin-top:773.83pt;margin-left:78.84pt;mso-position-horizontal-relative:page;mso-position-vertical-relative:page;position:absolute;z-index:-25165107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2</w:t>
                </w:r>
                <w:r>
                  <w:fldChar w:fldCharType="end"/>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14.95pt;height:11pt;margin-top:773.83pt;margin-left:516.72pt;mso-position-horizontal-relative:page;mso-position-vertical-relative:page;position:absolute;z-index:-25165209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29</w:t>
                </w:r>
                <w:r>
                  <w:fldChar w:fldCharType="end"/>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14.95pt;height:11pt;margin-top:773.83pt;margin-left:78.84pt;mso-position-horizontal-relative:page;mso-position-vertical-relative:page;position:absolute;z-index:-25164902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28</w:t>
                </w:r>
                <w:r>
                  <w:fldChar w:fldCharType="end"/>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14.95pt;height:11pt;margin-top:773.83pt;margin-left:516.72pt;mso-position-horizontal-relative:page;mso-position-vertical-relative:page;position:absolute;z-index:-25165004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3</w:t>
                </w:r>
                <w:r>
                  <w:fldChar w:fldCharType="end"/>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14.95pt;height:11pt;margin-top:773.83pt;margin-left:78.84pt;mso-position-horizontal-relative:page;mso-position-vertical-relative:page;position:absolute;z-index:-25164697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4</w:t>
                </w:r>
                <w:r>
                  <w:fldChar w:fldCharType="end"/>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14.95pt;height:11pt;margin-top:773.83pt;margin-left:516.72pt;mso-position-horizontal-relative:page;mso-position-vertical-relative:page;position:absolute;z-index:-25164800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29</w:t>
                </w:r>
                <w:r>
                  <w:fldChar w:fldCharType="end"/>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width:14.95pt;height:11pt;margin-top:773.83pt;margin-left:78.84pt;mso-position-horizontal-relative:page;mso-position-vertical-relative:page;position:absolute;z-index:-25164492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28</w:t>
                </w:r>
                <w:r>
                  <w:fldChar w:fldCharType="end"/>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14.95pt;height:11pt;margin-top:773.83pt;margin-left:516.72pt;mso-position-horizontal-relative:page;mso-position-vertical-relative:page;position:absolute;z-index:-25164595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5</w:t>
                </w:r>
                <w:r>
                  <w:fldChar w:fldCharType="end"/>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14.95pt;height:11pt;margin-top:773.83pt;margin-left:78.84pt;mso-position-horizontal-relative:page;mso-position-vertical-relative:page;position:absolute;z-index:-25164288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6</w:t>
                </w:r>
                <w:r>
                  <w:fldChar w:fldCharType="end"/>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width:14.95pt;height:11pt;margin-top:773.83pt;margin-left:516.72pt;mso-position-horizontal-relative:page;mso-position-vertical-relative:page;position:absolute;z-index:-25164390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29</w:t>
                </w:r>
                <w: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7" type="#_x0000_t202" style="width:14.95pt;height:11pt;margin-top:773.83pt;margin-left:78.84pt;mso-position-horizontal-relative:page;mso-position-vertical-relative:page;position:absolute;z-index:-25164083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28</w:t>
                </w:r>
                <w:r>
                  <w:fldChar w:fldCharType="end"/>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6" type="#_x0000_t202" style="width:14.95pt;height:11pt;margin-top:773.83pt;margin-left:516.72pt;mso-position-horizontal-relative:page;mso-position-vertical-relative:page;position:absolute;z-index:-25164185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7</w:t>
                </w:r>
                <w:r>
                  <w:fldChar w:fldCharType="end"/>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1" type="#_x0000_t202" style="width:14.95pt;height:11pt;margin-top:773.83pt;margin-left:78.84pt;mso-position-horizontal-relative:page;mso-position-vertical-relative:page;position:absolute;z-index:-25163878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8</w:t>
                </w:r>
                <w:r>
                  <w:fldChar w:fldCharType="end"/>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0" type="#_x0000_t202" style="width:14.95pt;height:11pt;margin-top:773.83pt;margin-left:516.72pt;mso-position-horizontal-relative:page;mso-position-vertical-relative:page;position:absolute;z-index:-25163980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29</w:t>
                </w:r>
                <w:r>
                  <w:fldChar w:fldCharType="end"/>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5" type="#_x0000_t202" style="width:14.95pt;height:11pt;margin-top:773.83pt;margin-left:78.84pt;mso-position-horizontal-relative:page;mso-position-vertical-relative:page;position:absolute;z-index:-25163673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28</w:t>
                </w:r>
                <w:r>
                  <w:fldChar w:fldCharType="end"/>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4" type="#_x0000_t202" style="width:14.95pt;height:11pt;margin-top:773.83pt;margin-left:516.72pt;mso-position-horizontal-relative:page;mso-position-vertical-relative:page;position:absolute;z-index:-25163776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9</w:t>
                </w:r>
                <w:r>
                  <w:fldChar w:fldCharType="end"/>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19.4pt;height:17pt;margin-top:767.83pt;margin-left:512.16pt;mso-position-horizontal-relative:page;mso-position-vertical-relative:page;position:absolute;z-index:-251657216" filled="f" stroked="f">
          <v:textbox inset="0,0,0,0">
            <w:txbxContent>
              <w:p>
                <w:pPr>
                  <w:spacing w:before="114" w:line="225" w:lineRule="exact"/>
                  <w:ind w:left="60" w:right="0" w:firstLine="0"/>
                  <w:jc w:val="left"/>
                  <w:rPr>
                    <w:sz w:val="18"/>
                  </w:rPr>
                </w:pPr>
                <w:r>
                  <w:fldChar w:fldCharType="begin"/>
                </w:r>
                <w:r>
                  <w:rPr>
                    <w:sz w:val="18"/>
                  </w:rPr>
                  <w:instrText xml:space="preserve"> PAGE  \* ROMAN </w:instrText>
                </w:r>
                <w:r>
                  <w:fldChar w:fldCharType="separate"/>
                </w:r>
                <w:r>
                  <w:rPr>
                    <w:sz w:val="18"/>
                  </w:rPr>
                  <w:t>I</w:t>
                </w:r>
                <w:r>
                  <w:fldChar w:fldCharType="end"/>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19.4pt;height:11pt;margin-top:773.83pt;margin-left:512.16pt;mso-position-horizontal-relative:page;mso-position-vertical-relative:page;position:absolute;z-index:-251656192" filled="f" stroked="f">
          <v:textbox inset="0,0,0,0">
            <w:txbxContent>
              <w:p>
                <w:pPr>
                  <w:spacing w:before="0" w:line="220" w:lineRule="exact"/>
                  <w:ind w:left="60" w:right="0" w:firstLine="0"/>
                  <w:jc w:val="left"/>
                  <w:rPr>
                    <w:sz w:val="18"/>
                  </w:rPr>
                </w:pPr>
                <w:r>
                  <w:fldChar w:fldCharType="begin"/>
                </w:r>
                <w:r>
                  <w:rPr>
                    <w:sz w:val="18"/>
                  </w:rPr>
                  <w:instrText xml:space="preserve"> PAGE  \* ROMAN </w:instrText>
                </w:r>
                <w:r>
                  <w:fldChar w:fldCharType="separate"/>
                </w:r>
                <w:r>
                  <w:rPr>
                    <w:sz w:val="18"/>
                  </w:rPr>
                  <w:t>III</w:t>
                </w:r>
                <w:r>
                  <w:fldChar w:fldCharType="end"/>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19.4pt;height:11pt;margin-top:773.83pt;margin-left:512.16pt;mso-position-horizontal-relative:page;mso-position-vertical-relative:page;position:absolute;z-index:-251655168" filled="f" stroked="f">
          <v:textbox inset="0,0,0,0">
            <w:txbxContent>
              <w:p>
                <w:pPr>
                  <w:spacing w:before="0" w:line="220" w:lineRule="exact"/>
                  <w:ind w:left="60" w:right="0" w:firstLine="0"/>
                  <w:jc w:val="left"/>
                  <w:rPr>
                    <w:sz w:val="18"/>
                  </w:rPr>
                </w:pPr>
                <w:r>
                  <w:fldChar w:fldCharType="begin"/>
                </w:r>
                <w:r>
                  <w:rPr>
                    <w:sz w:val="18"/>
                  </w:rPr>
                  <w:instrText xml:space="preserve"> PAGE  \* ROMAN </w:instrText>
                </w:r>
                <w:r>
                  <w:fldChar w:fldCharType="separate"/>
                </w:r>
                <w:r>
                  <w:rPr>
                    <w:sz w:val="18"/>
                  </w:rPr>
                  <w:t>III</w:t>
                </w:r>
                <w:r>
                  <w:fldChar w:fldCharType="end"/>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14.95pt;height:11pt;margin-top:773.83pt;margin-left:78.84pt;mso-position-horizontal-relative:page;mso-position-vertical-relative:page;position:absolute;z-index:-25165312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28</w:t>
                </w:r>
                <w:r>
                  <w:fldChar w:fldCharType="end"/>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14.95pt;height:11pt;margin-top:773.83pt;margin-left:516.72pt;mso-position-horizontal-relative:page;mso-position-vertical-relative:page;position:absolute;z-index:-25165414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w:t>
                </w:r>
                <w:r>
                  <w:fldChar w:fldCharType="end"/>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91.25pt;height:12.45pt;margin-top:71.43pt;margin-left:69.8pt;mso-position-horizontal-relative:page;mso-position-vertical-relative:page;position:absolute;z-index:-251657216"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91.15pt;height:12.45pt;margin-top:71.43pt;margin-left:448.4pt;mso-position-horizontal-relative:page;mso-position-vertical-relative:page;position:absolute;z-index:-251651072"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91.25pt;height:12.45pt;margin-top:71.43pt;margin-left:69.8pt;mso-position-horizontal-relative:page;mso-position-vertical-relative:page;position:absolute;z-index:-251648000"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91.15pt;height:12.45pt;margin-top:71.43pt;margin-left:448.4pt;mso-position-horizontal-relative:page;mso-position-vertical-relative:page;position:absolute;z-index:-251649024"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91.25pt;height:12.45pt;margin-top:71.43pt;margin-left:69.8pt;mso-position-horizontal-relative:page;mso-position-vertical-relative:page;position:absolute;z-index:-251645952"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91.15pt;height:12.45pt;margin-top:71.43pt;margin-left:448.4pt;mso-position-horizontal-relative:page;mso-position-vertical-relative:page;position:absolute;z-index:-251646976"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91.25pt;height:12.45pt;margin-top:71.43pt;margin-left:69.8pt;mso-position-horizontal-relative:page;mso-position-vertical-relative:page;position:absolute;z-index:-251643904"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91.15pt;height:12.45pt;margin-top:71.43pt;margin-left:448.4pt;mso-position-horizontal-relative:page;mso-position-vertical-relative:page;position:absolute;z-index:-251644928"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91.25pt;height:12.45pt;margin-top:71.43pt;margin-left:69.8pt;mso-position-horizontal-relative:page;mso-position-vertical-relative:page;position:absolute;z-index:-251641856"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91.15pt;height:12.45pt;margin-top:71.43pt;margin-left:448.4pt;mso-position-horizontal-relative:page;mso-position-vertical-relative:page;position:absolute;z-index:-251642880"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1" type="#_x0000_t202" style="width:91.25pt;height:12.45pt;margin-top:71.43pt;margin-left:69.8pt;mso-position-horizontal-relative:page;mso-position-vertical-relative:page;position:absolute;z-index:-251639808"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91.15pt;height:12.45pt;margin-top:71.43pt;margin-left:448.4pt;mso-position-horizontal-relative:page;mso-position-vertical-relative:page;position:absolute;z-index:-251658240"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91.15pt;height:12.45pt;margin-top:71.43pt;margin-left:448.4pt;mso-position-horizontal-relative:page;mso-position-vertical-relative:page;position:absolute;z-index:-251640832"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5" type="#_x0000_t202" style="width:91.25pt;height:12.45pt;margin-top:71.43pt;margin-left:69.8pt;mso-position-horizontal-relative:page;mso-position-vertical-relative:page;position:absolute;z-index:-251637760"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width:91.15pt;height:12.45pt;margin-top:71.43pt;margin-left:448.4pt;mso-position-horizontal-relative:page;mso-position-vertical-relative:page;position:absolute;z-index:-251638784"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9" type="#_x0000_t202" style="width:91.25pt;height:12.45pt;margin-top:71.43pt;margin-left:69.8pt;mso-position-horizontal-relative:page;mso-position-vertical-relative:page;position:absolute;z-index:-251635712"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8" type="#_x0000_t202" style="width:91.15pt;height:12.45pt;margin-top:71.43pt;margin-left:448.4pt;mso-position-horizontal-relative:page;mso-position-vertical-relative:page;position:absolute;z-index:-251636736"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3" type="#_x0000_t202" style="width:91.25pt;height:12.45pt;margin-top:71.43pt;margin-left:69.8pt;mso-position-horizontal-relative:page;mso-position-vertical-relative:page;position:absolute;z-index:-251633664"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2" type="#_x0000_t202" style="width:91.15pt;height:12.45pt;margin-top:71.43pt;margin-left:448.4pt;mso-position-horizontal-relative:page;mso-position-vertical-relative:page;position:absolute;z-index:-251634688"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91.25pt;height:12.45pt;margin-top:71.43pt;margin-left:69.8pt;mso-position-horizontal-relative:page;mso-position-vertical-relative:page;position:absolute;z-index:-251655168"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91.15pt;height:12.45pt;margin-top:71.43pt;margin-left:448.4pt;mso-position-horizontal-relative:page;mso-position-vertical-relative:page;position:absolute;z-index:-251656192"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91.25pt;height:12.45pt;margin-top:71.43pt;margin-left:69.8pt;mso-position-horizontal-relative:page;mso-position-vertical-relative:page;position:absolute;z-index:-251654144"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91.15pt;height:12.45pt;margin-top:71.43pt;margin-left:448.4pt;mso-position-horizontal-relative:page;mso-position-vertical-relative:page;position:absolute;z-index:-251653120"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91.15pt;height:12.45pt;margin-top:71.43pt;margin-left:448.4pt;mso-position-horizontal-relative:page;mso-position-vertical-relative:page;position:absolute;z-index:-251652096"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91.25pt;height:12.45pt;margin-top:71.43pt;margin-left:69.8pt;mso-position-horizontal-relative:page;mso-position-vertical-relative:page;position:absolute;z-index:-251650048" filled="f" stroked="f">
          <v:textbox inset="0,0,0,0">
            <w:txbxContent>
              <w:p>
                <w:pPr>
                  <w:pStyle w:val="BodyText"/>
                  <w:spacing w:line="249" w:lineRule="exact"/>
                  <w:ind w:left="20"/>
                  <w:rPr>
                    <w:rFonts w:ascii="黑体" w:hAnsi="黑体"/>
                  </w:rPr>
                </w:pPr>
                <w:r>
                  <w:rPr>
                    <w:rFonts w:ascii="黑体" w:hAnsi="黑体"/>
                  </w:rPr>
                  <w:t>DB21/T 3895—2023</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3B61A"/>
    <w:multiLevelType w:val="hybridMultilevel"/>
    <w:tmpl w:val="00000000"/>
    <w:lvl w:ilvl="0">
      <w:start w:val="7"/>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1">
    <w:nsid w:val="03479E0F"/>
    <w:multiLevelType w:val="hybridMultilevel"/>
    <w:tmpl w:val="00000000"/>
    <w:lvl w:ilvl="0">
      <w:start w:val="1"/>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2">
    <w:nsid w:val="048CAE65"/>
    <w:multiLevelType w:val="hybridMultilevel"/>
    <w:tmpl w:val="00000000"/>
    <w:lvl w:ilvl="0">
      <w:start w:val="1"/>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3">
    <w:nsid w:val="04F31134"/>
    <w:multiLevelType w:val="hybridMultilevel"/>
    <w:tmpl w:val="00000000"/>
    <w:lvl w:ilvl="0">
      <w:start w:val="1"/>
      <w:numFmt w:val="decimal"/>
      <w:lvlText w:val="%1"/>
      <w:lvlJc w:val="left"/>
      <w:pPr>
        <w:ind w:left="867" w:hanging="212"/>
        <w:jc w:val="left"/>
      </w:pPr>
      <w:rPr>
        <w:rFonts w:ascii="宋体" w:eastAsia="宋体" w:hAnsi="宋体" w:cs="宋体" w:hint="default"/>
        <w:w w:val="99"/>
        <w:sz w:val="21"/>
        <w:szCs w:val="21"/>
        <w:lang w:val="en-US" w:eastAsia="zh-CN" w:bidi="ar-SA"/>
      </w:rPr>
    </w:lvl>
    <w:lvl w:ilvl="1">
      <w:start w:val="1"/>
      <w:numFmt w:val="decimal"/>
      <w:lvlText w:val="%1.%2"/>
      <w:lvlJc w:val="left"/>
      <w:pPr>
        <w:ind w:left="1287" w:hanging="420"/>
        <w:jc w:val="left"/>
      </w:pPr>
      <w:rPr>
        <w:rFonts w:ascii="宋体" w:eastAsia="宋体" w:hAnsi="宋体" w:cs="宋体" w:hint="default"/>
        <w:spacing w:val="-2"/>
        <w:w w:val="99"/>
        <w:sz w:val="21"/>
        <w:szCs w:val="21"/>
        <w:lang w:val="en-US" w:eastAsia="zh-CN" w:bidi="ar-SA"/>
      </w:rPr>
    </w:lvl>
    <w:lvl w:ilvl="2">
      <w:start w:val="0"/>
      <w:numFmt w:val="bullet"/>
      <w:lvlText w:val="•"/>
      <w:lvlJc w:val="left"/>
      <w:pPr>
        <w:ind w:left="2240" w:hanging="420"/>
      </w:pPr>
      <w:rPr>
        <w:rFonts w:hint="default"/>
        <w:lang w:val="en-US" w:eastAsia="zh-CN" w:bidi="ar-SA"/>
      </w:rPr>
    </w:lvl>
    <w:lvl w:ilvl="3">
      <w:start w:val="0"/>
      <w:numFmt w:val="bullet"/>
      <w:lvlText w:val="•"/>
      <w:lvlJc w:val="left"/>
      <w:pPr>
        <w:ind w:left="3201" w:hanging="420"/>
      </w:pPr>
      <w:rPr>
        <w:rFonts w:hint="default"/>
        <w:lang w:val="en-US" w:eastAsia="zh-CN" w:bidi="ar-SA"/>
      </w:rPr>
    </w:lvl>
    <w:lvl w:ilvl="4">
      <w:start w:val="0"/>
      <w:numFmt w:val="bullet"/>
      <w:lvlText w:val="•"/>
      <w:lvlJc w:val="left"/>
      <w:pPr>
        <w:ind w:left="4162" w:hanging="420"/>
      </w:pPr>
      <w:rPr>
        <w:rFonts w:hint="default"/>
        <w:lang w:val="en-US" w:eastAsia="zh-CN" w:bidi="ar-SA"/>
      </w:rPr>
    </w:lvl>
    <w:lvl w:ilvl="5">
      <w:start w:val="0"/>
      <w:numFmt w:val="bullet"/>
      <w:lvlText w:val="•"/>
      <w:lvlJc w:val="left"/>
      <w:pPr>
        <w:ind w:left="5122" w:hanging="420"/>
      </w:pPr>
      <w:rPr>
        <w:rFonts w:hint="default"/>
        <w:lang w:val="en-US" w:eastAsia="zh-CN" w:bidi="ar-SA"/>
      </w:rPr>
    </w:lvl>
    <w:lvl w:ilvl="6">
      <w:start w:val="0"/>
      <w:numFmt w:val="bullet"/>
      <w:lvlText w:val="•"/>
      <w:lvlJc w:val="left"/>
      <w:pPr>
        <w:ind w:left="6083" w:hanging="420"/>
      </w:pPr>
      <w:rPr>
        <w:rFonts w:hint="default"/>
        <w:lang w:val="en-US" w:eastAsia="zh-CN" w:bidi="ar-SA"/>
      </w:rPr>
    </w:lvl>
    <w:lvl w:ilvl="7">
      <w:start w:val="0"/>
      <w:numFmt w:val="bullet"/>
      <w:lvlText w:val="•"/>
      <w:lvlJc w:val="left"/>
      <w:pPr>
        <w:ind w:left="7044" w:hanging="420"/>
      </w:pPr>
      <w:rPr>
        <w:rFonts w:hint="default"/>
        <w:lang w:val="en-US" w:eastAsia="zh-CN" w:bidi="ar-SA"/>
      </w:rPr>
    </w:lvl>
    <w:lvl w:ilvl="8">
      <w:start w:val="0"/>
      <w:numFmt w:val="bullet"/>
      <w:lvlText w:val="•"/>
      <w:lvlJc w:val="left"/>
      <w:pPr>
        <w:ind w:left="8004" w:hanging="420"/>
      </w:pPr>
      <w:rPr>
        <w:rFonts w:hint="default"/>
        <w:lang w:val="en-US" w:eastAsia="zh-CN" w:bidi="ar-SA"/>
      </w:rPr>
    </w:lvl>
  </w:abstractNum>
  <w:abstractNum w:abstractNumId="4">
    <w:nsid w:val="075F0532"/>
    <w:multiLevelType w:val="hybridMultilevel"/>
    <w:tmpl w:val="00000000"/>
    <w:lvl w:ilvl="0">
      <w:start w:val="1"/>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2"/>
      <w:numFmt w:val="decimal"/>
      <w:lvlText w:val="%2）"/>
      <w:lvlJc w:val="left"/>
      <w:pPr>
        <w:ind w:left="1496" w:hanging="420"/>
        <w:jc w:val="left"/>
      </w:pPr>
      <w:rPr>
        <w:rFonts w:ascii="宋体" w:eastAsia="宋体" w:hAnsi="宋体" w:cs="宋体" w:hint="default"/>
        <w:spacing w:val="0"/>
        <w:w w:val="99"/>
        <w:sz w:val="21"/>
        <w:szCs w:val="21"/>
        <w:lang w:val="en-US" w:eastAsia="zh-CN" w:bidi="ar-SA"/>
      </w:rPr>
    </w:lvl>
    <w:lvl w:ilvl="2">
      <w:start w:val="0"/>
      <w:numFmt w:val="bullet"/>
      <w:lvlText w:val="•"/>
      <w:lvlJc w:val="left"/>
      <w:pPr>
        <w:ind w:left="2436" w:hanging="420"/>
      </w:pPr>
      <w:rPr>
        <w:rFonts w:hint="default"/>
        <w:lang w:val="en-US" w:eastAsia="zh-CN" w:bidi="ar-SA"/>
      </w:rPr>
    </w:lvl>
    <w:lvl w:ilvl="3">
      <w:start w:val="0"/>
      <w:numFmt w:val="bullet"/>
      <w:lvlText w:val="•"/>
      <w:lvlJc w:val="left"/>
      <w:pPr>
        <w:ind w:left="3372" w:hanging="420"/>
      </w:pPr>
      <w:rPr>
        <w:rFonts w:hint="default"/>
        <w:lang w:val="en-US" w:eastAsia="zh-CN" w:bidi="ar-SA"/>
      </w:rPr>
    </w:lvl>
    <w:lvl w:ilvl="4">
      <w:start w:val="0"/>
      <w:numFmt w:val="bullet"/>
      <w:lvlText w:val="•"/>
      <w:lvlJc w:val="left"/>
      <w:pPr>
        <w:ind w:left="4308" w:hanging="420"/>
      </w:pPr>
      <w:rPr>
        <w:rFonts w:hint="default"/>
        <w:lang w:val="en-US" w:eastAsia="zh-CN" w:bidi="ar-SA"/>
      </w:rPr>
    </w:lvl>
    <w:lvl w:ilvl="5">
      <w:start w:val="0"/>
      <w:numFmt w:val="bullet"/>
      <w:lvlText w:val="•"/>
      <w:lvlJc w:val="left"/>
      <w:pPr>
        <w:ind w:left="5244" w:hanging="420"/>
      </w:pPr>
      <w:rPr>
        <w:rFonts w:hint="default"/>
        <w:lang w:val="en-US" w:eastAsia="zh-CN" w:bidi="ar-SA"/>
      </w:rPr>
    </w:lvl>
    <w:lvl w:ilvl="6">
      <w:start w:val="0"/>
      <w:numFmt w:val="bullet"/>
      <w:lvlText w:val="•"/>
      <w:lvlJc w:val="left"/>
      <w:pPr>
        <w:ind w:left="6181" w:hanging="420"/>
      </w:pPr>
      <w:rPr>
        <w:rFonts w:hint="default"/>
        <w:lang w:val="en-US" w:eastAsia="zh-CN" w:bidi="ar-SA"/>
      </w:rPr>
    </w:lvl>
    <w:lvl w:ilvl="7">
      <w:start w:val="0"/>
      <w:numFmt w:val="bullet"/>
      <w:lvlText w:val="•"/>
      <w:lvlJc w:val="left"/>
      <w:pPr>
        <w:ind w:left="7117" w:hanging="420"/>
      </w:pPr>
      <w:rPr>
        <w:rFonts w:hint="default"/>
        <w:lang w:val="en-US" w:eastAsia="zh-CN" w:bidi="ar-SA"/>
      </w:rPr>
    </w:lvl>
    <w:lvl w:ilvl="8">
      <w:start w:val="0"/>
      <w:numFmt w:val="bullet"/>
      <w:lvlText w:val="•"/>
      <w:lvlJc w:val="left"/>
      <w:pPr>
        <w:ind w:left="8053" w:hanging="420"/>
      </w:pPr>
      <w:rPr>
        <w:rFonts w:hint="default"/>
        <w:lang w:val="en-US" w:eastAsia="zh-CN" w:bidi="ar-SA"/>
      </w:rPr>
    </w:lvl>
  </w:abstractNum>
  <w:abstractNum w:abstractNumId="5">
    <w:nsid w:val="07602A1B"/>
    <w:multiLevelType w:val="hybridMultilevel"/>
    <w:tmpl w:val="00000000"/>
    <w:lvl w:ilvl="0">
      <w:start w:val="5"/>
      <w:numFmt w:val="decimal"/>
      <w:lvlText w:val="%1"/>
      <w:lvlJc w:val="left"/>
      <w:pPr>
        <w:ind w:left="1392" w:hanging="1157"/>
        <w:jc w:val="left"/>
      </w:pPr>
      <w:rPr>
        <w:rFonts w:hint="default"/>
        <w:lang w:val="en-US" w:eastAsia="zh-CN" w:bidi="ar-SA"/>
      </w:rPr>
    </w:lvl>
    <w:lvl w:ilvl="1">
      <w:start w:val="1"/>
      <w:numFmt w:val="decimal"/>
      <w:lvlText w:val="%1.%2"/>
      <w:lvlJc w:val="left"/>
      <w:pPr>
        <w:ind w:left="1392" w:hanging="1157"/>
        <w:jc w:val="left"/>
      </w:pPr>
      <w:rPr>
        <w:rFonts w:hint="default"/>
        <w:lang w:val="en-US" w:eastAsia="zh-CN" w:bidi="ar-SA"/>
      </w:rPr>
    </w:lvl>
    <w:lvl w:ilvl="2">
      <w:start w:val="1"/>
      <w:numFmt w:val="decimal"/>
      <w:lvlText w:val="%1.%2.%3"/>
      <w:lvlJc w:val="left"/>
      <w:pPr>
        <w:ind w:left="1392" w:hanging="1157"/>
        <w:jc w:val="left"/>
      </w:pPr>
      <w:rPr>
        <w:rFonts w:hint="default"/>
        <w:lang w:val="en-US" w:eastAsia="zh-CN" w:bidi="ar-SA"/>
      </w:rPr>
    </w:lvl>
    <w:lvl w:ilvl="3">
      <w:start w:val="3"/>
      <w:numFmt w:val="decimal"/>
      <w:lvlText w:val="%1.%2.%3.%4"/>
      <w:lvlJc w:val="left"/>
      <w:pPr>
        <w:ind w:left="1392" w:hanging="1157"/>
        <w:jc w:val="left"/>
      </w:pPr>
      <w:rPr>
        <w:rFonts w:hint="default"/>
        <w:lang w:val="en-US" w:eastAsia="zh-CN" w:bidi="ar-SA"/>
      </w:rPr>
    </w:lvl>
    <w:lvl w:ilvl="4">
      <w:start w:val="1"/>
      <w:numFmt w:val="decimal"/>
      <w:lvlText w:val="%1.%2.%3.%4.%5"/>
      <w:lvlJc w:val="left"/>
      <w:pPr>
        <w:ind w:left="1392" w:hanging="1157"/>
        <w:jc w:val="left"/>
      </w:pPr>
      <w:rPr>
        <w:rFonts w:ascii="黑体" w:eastAsia="黑体" w:hAnsi="黑体" w:cs="黑体" w:hint="default"/>
        <w:spacing w:val="-2"/>
        <w:w w:val="99"/>
        <w:sz w:val="21"/>
        <w:szCs w:val="21"/>
        <w:lang w:val="en-US" w:eastAsia="zh-CN" w:bidi="ar-SA"/>
      </w:rPr>
    </w:lvl>
    <w:lvl w:ilvl="5">
      <w:start w:val="1"/>
      <w:numFmt w:val="lowerLetter"/>
      <w:lvlText w:val="%6）"/>
      <w:lvlJc w:val="left"/>
      <w:pPr>
        <w:ind w:left="1076" w:hanging="420"/>
        <w:jc w:val="left"/>
      </w:pPr>
      <w:rPr>
        <w:rFonts w:ascii="宋体" w:eastAsia="宋体" w:hAnsi="宋体" w:cs="宋体" w:hint="default"/>
        <w:spacing w:val="0"/>
        <w:w w:val="99"/>
        <w:sz w:val="21"/>
        <w:szCs w:val="21"/>
        <w:lang w:val="en-US" w:eastAsia="zh-CN" w:bidi="ar-SA"/>
      </w:rPr>
    </w:lvl>
    <w:lvl w:ilvl="6">
      <w:start w:val="0"/>
      <w:numFmt w:val="bullet"/>
      <w:lvlText w:val="•"/>
      <w:lvlJc w:val="left"/>
      <w:pPr>
        <w:ind w:left="6136" w:hanging="420"/>
      </w:pPr>
      <w:rPr>
        <w:rFonts w:hint="default"/>
        <w:lang w:val="en-US" w:eastAsia="zh-CN" w:bidi="ar-SA"/>
      </w:rPr>
    </w:lvl>
    <w:lvl w:ilvl="7">
      <w:start w:val="0"/>
      <w:numFmt w:val="bullet"/>
      <w:lvlText w:val="•"/>
      <w:lvlJc w:val="left"/>
      <w:pPr>
        <w:ind w:left="7084" w:hanging="420"/>
      </w:pPr>
      <w:rPr>
        <w:rFonts w:hint="default"/>
        <w:lang w:val="en-US" w:eastAsia="zh-CN" w:bidi="ar-SA"/>
      </w:rPr>
    </w:lvl>
    <w:lvl w:ilvl="8">
      <w:start w:val="0"/>
      <w:numFmt w:val="bullet"/>
      <w:lvlText w:val="•"/>
      <w:lvlJc w:val="left"/>
      <w:pPr>
        <w:ind w:left="8031" w:hanging="420"/>
      </w:pPr>
      <w:rPr>
        <w:rFonts w:hint="default"/>
        <w:lang w:val="en-US" w:eastAsia="zh-CN" w:bidi="ar-SA"/>
      </w:rPr>
    </w:lvl>
  </w:abstractNum>
  <w:abstractNum w:abstractNumId="6">
    <w:nsid w:val="08F1248E"/>
    <w:multiLevelType w:val="hybridMultilevel"/>
    <w:tmpl w:val="00000000"/>
    <w:lvl w:ilvl="0">
      <w:start w:val="4"/>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7">
    <w:nsid w:val="108C3C50"/>
    <w:multiLevelType w:val="hybridMultilevel"/>
    <w:tmpl w:val="00000000"/>
    <w:lvl w:ilvl="0">
      <w:start w:val="1"/>
      <w:numFmt w:val="upperLetter"/>
      <w:lvlText w:val="%1"/>
      <w:lvlJc w:val="left"/>
      <w:pPr>
        <w:ind w:left="1287" w:hanging="420"/>
        <w:jc w:val="left"/>
      </w:pPr>
      <w:rPr>
        <w:rFonts w:hint="default"/>
        <w:lang w:val="en-US" w:eastAsia="zh-CN" w:bidi="ar-SA"/>
      </w:rPr>
    </w:lvl>
    <w:lvl w:ilvl="1">
      <w:start w:val="1"/>
      <w:numFmt w:val="decimal"/>
      <w:lvlText w:val="%1.%2"/>
      <w:lvlJc w:val="left"/>
      <w:pPr>
        <w:ind w:left="1287" w:hanging="420"/>
        <w:jc w:val="left"/>
      </w:pPr>
      <w:rPr>
        <w:rFonts w:ascii="宋体" w:eastAsia="宋体" w:hAnsi="宋体" w:cs="宋体" w:hint="default"/>
        <w:spacing w:val="-2"/>
        <w:w w:val="99"/>
        <w:sz w:val="21"/>
        <w:szCs w:val="21"/>
        <w:lang w:val="en-US" w:eastAsia="zh-CN" w:bidi="ar-SA"/>
      </w:rPr>
    </w:lvl>
    <w:lvl w:ilvl="2">
      <w:start w:val="0"/>
      <w:numFmt w:val="bullet"/>
      <w:lvlText w:val="•"/>
      <w:lvlJc w:val="left"/>
      <w:pPr>
        <w:ind w:left="3009" w:hanging="420"/>
      </w:pPr>
      <w:rPr>
        <w:rFonts w:hint="default"/>
        <w:lang w:val="en-US" w:eastAsia="zh-CN" w:bidi="ar-SA"/>
      </w:rPr>
    </w:lvl>
    <w:lvl w:ilvl="3">
      <w:start w:val="0"/>
      <w:numFmt w:val="bullet"/>
      <w:lvlText w:val="•"/>
      <w:lvlJc w:val="left"/>
      <w:pPr>
        <w:ind w:left="3873" w:hanging="420"/>
      </w:pPr>
      <w:rPr>
        <w:rFonts w:hint="default"/>
        <w:lang w:val="en-US" w:eastAsia="zh-CN" w:bidi="ar-SA"/>
      </w:rPr>
    </w:lvl>
    <w:lvl w:ilvl="4">
      <w:start w:val="0"/>
      <w:numFmt w:val="bullet"/>
      <w:lvlText w:val="•"/>
      <w:lvlJc w:val="left"/>
      <w:pPr>
        <w:ind w:left="4738" w:hanging="420"/>
      </w:pPr>
      <w:rPr>
        <w:rFonts w:hint="default"/>
        <w:lang w:val="en-US" w:eastAsia="zh-CN" w:bidi="ar-SA"/>
      </w:rPr>
    </w:lvl>
    <w:lvl w:ilvl="5">
      <w:start w:val="0"/>
      <w:numFmt w:val="bullet"/>
      <w:lvlText w:val="•"/>
      <w:lvlJc w:val="left"/>
      <w:pPr>
        <w:ind w:left="5603" w:hanging="420"/>
      </w:pPr>
      <w:rPr>
        <w:rFonts w:hint="default"/>
        <w:lang w:val="en-US" w:eastAsia="zh-CN" w:bidi="ar-SA"/>
      </w:rPr>
    </w:lvl>
    <w:lvl w:ilvl="6">
      <w:start w:val="0"/>
      <w:numFmt w:val="bullet"/>
      <w:lvlText w:val="•"/>
      <w:lvlJc w:val="left"/>
      <w:pPr>
        <w:ind w:left="6467" w:hanging="420"/>
      </w:pPr>
      <w:rPr>
        <w:rFonts w:hint="default"/>
        <w:lang w:val="en-US" w:eastAsia="zh-CN" w:bidi="ar-SA"/>
      </w:rPr>
    </w:lvl>
    <w:lvl w:ilvl="7">
      <w:start w:val="0"/>
      <w:numFmt w:val="bullet"/>
      <w:lvlText w:val="•"/>
      <w:lvlJc w:val="left"/>
      <w:pPr>
        <w:ind w:left="7332" w:hanging="420"/>
      </w:pPr>
      <w:rPr>
        <w:rFonts w:hint="default"/>
        <w:lang w:val="en-US" w:eastAsia="zh-CN" w:bidi="ar-SA"/>
      </w:rPr>
    </w:lvl>
    <w:lvl w:ilvl="8">
      <w:start w:val="0"/>
      <w:numFmt w:val="bullet"/>
      <w:lvlText w:val="•"/>
      <w:lvlJc w:val="left"/>
      <w:pPr>
        <w:ind w:left="8196" w:hanging="420"/>
      </w:pPr>
      <w:rPr>
        <w:rFonts w:hint="default"/>
        <w:lang w:val="en-US" w:eastAsia="zh-CN" w:bidi="ar-SA"/>
      </w:rPr>
    </w:lvl>
  </w:abstractNum>
  <w:abstractNum w:abstractNumId="8">
    <w:nsid w:val="13C6F227"/>
    <w:multiLevelType w:val="hybridMultilevel"/>
    <w:tmpl w:val="00000000"/>
    <w:lvl w:ilvl="0">
      <w:start w:val="5"/>
      <w:numFmt w:val="decimal"/>
      <w:lvlText w:val="%1"/>
      <w:lvlJc w:val="left"/>
      <w:pPr>
        <w:ind w:left="972" w:hanging="737"/>
        <w:jc w:val="left"/>
      </w:pPr>
      <w:rPr>
        <w:rFonts w:hint="default"/>
        <w:lang w:val="en-US" w:eastAsia="zh-CN" w:bidi="ar-SA"/>
      </w:rPr>
    </w:lvl>
    <w:lvl w:ilvl="1">
      <w:start w:val="1"/>
      <w:numFmt w:val="decimal"/>
      <w:lvlText w:val="%1.%2"/>
      <w:lvlJc w:val="left"/>
      <w:pPr>
        <w:ind w:left="972" w:hanging="737"/>
        <w:jc w:val="left"/>
      </w:pPr>
      <w:rPr>
        <w:rFonts w:hint="default"/>
        <w:lang w:val="en-US" w:eastAsia="zh-CN" w:bidi="ar-SA"/>
      </w:rPr>
    </w:lvl>
    <w:lvl w:ilvl="2">
      <w:start w:val="2"/>
      <w:numFmt w:val="decimal"/>
      <w:lvlText w:val="%1.%2.%3"/>
      <w:lvlJc w:val="left"/>
      <w:pPr>
        <w:ind w:left="972" w:hanging="737"/>
        <w:jc w:val="left"/>
      </w:pPr>
      <w:rPr>
        <w:rFonts w:ascii="黑体" w:eastAsia="黑体" w:hAnsi="黑体" w:cs="黑体" w:hint="default"/>
        <w:spacing w:val="-2"/>
        <w:w w:val="99"/>
        <w:sz w:val="21"/>
        <w:szCs w:val="21"/>
        <w:lang w:val="en-US" w:eastAsia="zh-CN" w:bidi="ar-SA"/>
      </w:rPr>
    </w:lvl>
    <w:lvl w:ilvl="3">
      <w:start w:val="1"/>
      <w:numFmt w:val="lowerLetter"/>
      <w:lvlText w:val="%4）"/>
      <w:lvlJc w:val="left"/>
      <w:pPr>
        <w:ind w:left="1076" w:hanging="420"/>
        <w:jc w:val="left"/>
      </w:pPr>
      <w:rPr>
        <w:rFonts w:ascii="宋体" w:eastAsia="宋体" w:hAnsi="宋体" w:cs="宋体" w:hint="default"/>
        <w:spacing w:val="0"/>
        <w:w w:val="99"/>
        <w:sz w:val="21"/>
        <w:szCs w:val="21"/>
        <w:lang w:val="en-US" w:eastAsia="zh-CN" w:bidi="ar-SA"/>
      </w:rPr>
    </w:lvl>
    <w:lvl w:ilvl="4">
      <w:start w:val="0"/>
      <w:numFmt w:val="bullet"/>
      <w:lvlText w:val="•"/>
      <w:lvlJc w:val="left"/>
      <w:pPr>
        <w:ind w:left="3291" w:hanging="420"/>
      </w:pPr>
      <w:rPr>
        <w:rFonts w:hint="default"/>
        <w:lang w:val="en-US" w:eastAsia="zh-CN" w:bidi="ar-SA"/>
      </w:rPr>
    </w:lvl>
    <w:lvl w:ilvl="5">
      <w:start w:val="0"/>
      <w:numFmt w:val="bullet"/>
      <w:lvlText w:val="•"/>
      <w:lvlJc w:val="left"/>
      <w:pPr>
        <w:ind w:left="4397" w:hanging="420"/>
      </w:pPr>
      <w:rPr>
        <w:rFonts w:hint="default"/>
        <w:lang w:val="en-US" w:eastAsia="zh-CN" w:bidi="ar-SA"/>
      </w:rPr>
    </w:lvl>
    <w:lvl w:ilvl="6">
      <w:start w:val="0"/>
      <w:numFmt w:val="bullet"/>
      <w:lvlText w:val="•"/>
      <w:lvlJc w:val="left"/>
      <w:pPr>
        <w:ind w:left="5503" w:hanging="420"/>
      </w:pPr>
      <w:rPr>
        <w:rFonts w:hint="default"/>
        <w:lang w:val="en-US" w:eastAsia="zh-CN" w:bidi="ar-SA"/>
      </w:rPr>
    </w:lvl>
    <w:lvl w:ilvl="7">
      <w:start w:val="0"/>
      <w:numFmt w:val="bullet"/>
      <w:lvlText w:val="•"/>
      <w:lvlJc w:val="left"/>
      <w:pPr>
        <w:ind w:left="6608" w:hanging="420"/>
      </w:pPr>
      <w:rPr>
        <w:rFonts w:hint="default"/>
        <w:lang w:val="en-US" w:eastAsia="zh-CN" w:bidi="ar-SA"/>
      </w:rPr>
    </w:lvl>
    <w:lvl w:ilvl="8">
      <w:start w:val="0"/>
      <w:numFmt w:val="bullet"/>
      <w:lvlText w:val="•"/>
      <w:lvlJc w:val="left"/>
      <w:pPr>
        <w:ind w:left="7714" w:hanging="420"/>
      </w:pPr>
      <w:rPr>
        <w:rFonts w:hint="default"/>
        <w:lang w:val="en-US" w:eastAsia="zh-CN" w:bidi="ar-SA"/>
      </w:rPr>
    </w:lvl>
  </w:abstractNum>
  <w:abstractNum w:abstractNumId="9">
    <w:nsid w:val="176C7F5B"/>
    <w:multiLevelType w:val="hybridMultilevel"/>
    <w:tmpl w:val="00000000"/>
    <w:lvl w:ilvl="0">
      <w:start w:val="1"/>
      <w:numFmt w:val="decimal"/>
      <w:lvlText w:val="%1"/>
      <w:lvlJc w:val="left"/>
      <w:pPr>
        <w:ind w:left="552" w:hanging="317"/>
        <w:jc w:val="left"/>
      </w:pPr>
      <w:rPr>
        <w:rFonts w:ascii="黑体" w:eastAsia="黑体" w:hAnsi="黑体" w:cs="黑体" w:hint="default"/>
        <w:w w:val="99"/>
        <w:sz w:val="21"/>
        <w:szCs w:val="21"/>
        <w:lang w:val="en-US" w:eastAsia="zh-CN" w:bidi="ar-SA"/>
      </w:rPr>
    </w:lvl>
    <w:lvl w:ilvl="1">
      <w:start w:val="1"/>
      <w:numFmt w:val="decimal"/>
      <w:lvlText w:val="%1.%2"/>
      <w:lvlJc w:val="left"/>
      <w:pPr>
        <w:ind w:left="550" w:hanging="315"/>
        <w:jc w:val="left"/>
      </w:pPr>
      <w:rPr>
        <w:rFonts w:ascii="黑体" w:eastAsia="黑体" w:hAnsi="黑体" w:cs="黑体" w:hint="default"/>
        <w:spacing w:val="-2"/>
        <w:w w:val="99"/>
        <w:sz w:val="19"/>
        <w:szCs w:val="19"/>
        <w:lang w:val="en-US" w:eastAsia="zh-CN" w:bidi="ar-SA"/>
      </w:rPr>
    </w:lvl>
    <w:lvl w:ilvl="2">
      <w:start w:val="1"/>
      <w:numFmt w:val="decimal"/>
      <w:lvlText w:val="%1.%2.%3"/>
      <w:lvlJc w:val="left"/>
      <w:pPr>
        <w:ind w:left="972" w:hanging="737"/>
        <w:jc w:val="left"/>
      </w:pPr>
      <w:rPr>
        <w:rFonts w:ascii="黑体" w:eastAsia="黑体" w:hAnsi="黑体" w:cs="黑体" w:hint="default"/>
        <w:spacing w:val="-2"/>
        <w:w w:val="99"/>
        <w:sz w:val="21"/>
        <w:szCs w:val="21"/>
        <w:lang w:val="en-US" w:eastAsia="zh-CN" w:bidi="ar-SA"/>
      </w:rPr>
    </w:lvl>
    <w:lvl w:ilvl="3">
      <w:start w:val="1"/>
      <w:numFmt w:val="lowerLetter"/>
      <w:lvlText w:val="%4）"/>
      <w:lvlJc w:val="left"/>
      <w:pPr>
        <w:ind w:left="1076" w:hanging="420"/>
        <w:jc w:val="left"/>
      </w:pPr>
      <w:rPr>
        <w:rFonts w:ascii="宋体" w:eastAsia="宋体" w:hAnsi="宋体" w:cs="宋体" w:hint="default"/>
        <w:spacing w:val="0"/>
        <w:w w:val="99"/>
        <w:sz w:val="21"/>
        <w:szCs w:val="21"/>
        <w:lang w:val="en-US" w:eastAsia="zh-CN" w:bidi="ar-SA"/>
      </w:rPr>
    </w:lvl>
    <w:lvl w:ilvl="4">
      <w:start w:val="0"/>
      <w:numFmt w:val="bullet"/>
      <w:lvlText w:val="•"/>
      <w:lvlJc w:val="left"/>
      <w:pPr>
        <w:ind w:left="1080" w:hanging="420"/>
      </w:pPr>
      <w:rPr>
        <w:rFonts w:hint="default"/>
        <w:lang w:val="en-US" w:eastAsia="zh-CN" w:bidi="ar-SA"/>
      </w:rPr>
    </w:lvl>
    <w:lvl w:ilvl="5">
      <w:start w:val="0"/>
      <w:numFmt w:val="bullet"/>
      <w:lvlText w:val="•"/>
      <w:lvlJc w:val="left"/>
      <w:pPr>
        <w:ind w:left="2554" w:hanging="420"/>
      </w:pPr>
      <w:rPr>
        <w:rFonts w:hint="default"/>
        <w:lang w:val="en-US" w:eastAsia="zh-CN" w:bidi="ar-SA"/>
      </w:rPr>
    </w:lvl>
    <w:lvl w:ilvl="6">
      <w:start w:val="0"/>
      <w:numFmt w:val="bullet"/>
      <w:lvlText w:val="•"/>
      <w:lvlJc w:val="left"/>
      <w:pPr>
        <w:ind w:left="4028" w:hanging="420"/>
      </w:pPr>
      <w:rPr>
        <w:rFonts w:hint="default"/>
        <w:lang w:val="en-US" w:eastAsia="zh-CN" w:bidi="ar-SA"/>
      </w:rPr>
    </w:lvl>
    <w:lvl w:ilvl="7">
      <w:start w:val="0"/>
      <w:numFmt w:val="bullet"/>
      <w:lvlText w:val="•"/>
      <w:lvlJc w:val="left"/>
      <w:pPr>
        <w:ind w:left="5503" w:hanging="420"/>
      </w:pPr>
      <w:rPr>
        <w:rFonts w:hint="default"/>
        <w:lang w:val="en-US" w:eastAsia="zh-CN" w:bidi="ar-SA"/>
      </w:rPr>
    </w:lvl>
    <w:lvl w:ilvl="8">
      <w:start w:val="0"/>
      <w:numFmt w:val="bullet"/>
      <w:lvlText w:val="•"/>
      <w:lvlJc w:val="left"/>
      <w:pPr>
        <w:ind w:left="6977" w:hanging="420"/>
      </w:pPr>
      <w:rPr>
        <w:rFonts w:hint="default"/>
        <w:lang w:val="en-US" w:eastAsia="zh-CN" w:bidi="ar-SA"/>
      </w:rPr>
    </w:lvl>
  </w:abstractNum>
  <w:abstractNum w:abstractNumId="10">
    <w:nsid w:val="1C3289B3"/>
    <w:multiLevelType w:val="hybridMultilevel"/>
    <w:tmpl w:val="00000000"/>
    <w:lvl w:ilvl="0">
      <w:start w:val="10"/>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11">
    <w:nsid w:val="1C6CE7E8"/>
    <w:multiLevelType w:val="hybridMultilevel"/>
    <w:tmpl w:val="00000000"/>
    <w:lvl w:ilvl="0">
      <w:start w:val="5"/>
      <w:numFmt w:val="decimal"/>
      <w:lvlText w:val="%1"/>
      <w:lvlJc w:val="left"/>
      <w:pPr>
        <w:ind w:left="1181" w:hanging="946"/>
        <w:jc w:val="left"/>
      </w:pPr>
      <w:rPr>
        <w:rFonts w:hint="default"/>
        <w:lang w:val="en-US" w:eastAsia="zh-CN" w:bidi="ar-SA"/>
      </w:rPr>
    </w:lvl>
    <w:lvl w:ilvl="1">
      <w:start w:val="1"/>
      <w:numFmt w:val="decimal"/>
      <w:lvlText w:val="%1.%2"/>
      <w:lvlJc w:val="left"/>
      <w:pPr>
        <w:ind w:left="1181" w:hanging="946"/>
        <w:jc w:val="left"/>
      </w:pPr>
      <w:rPr>
        <w:rFonts w:hint="default"/>
        <w:lang w:val="en-US" w:eastAsia="zh-CN" w:bidi="ar-SA"/>
      </w:rPr>
    </w:lvl>
    <w:lvl w:ilvl="2">
      <w:start w:val="1"/>
      <w:numFmt w:val="decimal"/>
      <w:lvlText w:val="%1.%2.%3"/>
      <w:lvlJc w:val="left"/>
      <w:pPr>
        <w:ind w:left="1181" w:hanging="946"/>
        <w:jc w:val="left"/>
      </w:pPr>
      <w:rPr>
        <w:rFonts w:hint="default"/>
        <w:lang w:val="en-US" w:eastAsia="zh-CN" w:bidi="ar-SA"/>
      </w:rPr>
    </w:lvl>
    <w:lvl w:ilvl="3">
      <w:start w:val="1"/>
      <w:numFmt w:val="decimal"/>
      <w:lvlText w:val="%1.%2.%3.%4"/>
      <w:lvlJc w:val="left"/>
      <w:pPr>
        <w:ind w:left="1181" w:hanging="946"/>
        <w:jc w:val="left"/>
      </w:pPr>
      <w:rPr>
        <w:rFonts w:ascii="黑体" w:eastAsia="黑体" w:hAnsi="黑体" w:cs="黑体" w:hint="default"/>
        <w:spacing w:val="-2"/>
        <w:w w:val="99"/>
        <w:sz w:val="21"/>
        <w:szCs w:val="21"/>
        <w:lang w:val="en-US" w:eastAsia="zh-CN" w:bidi="ar-SA"/>
      </w:rPr>
    </w:lvl>
    <w:lvl w:ilvl="4">
      <w:start w:val="1"/>
      <w:numFmt w:val="lowerLetter"/>
      <w:lvlText w:val="%5）"/>
      <w:lvlJc w:val="left"/>
      <w:pPr>
        <w:ind w:left="1076" w:hanging="420"/>
        <w:jc w:val="left"/>
      </w:pPr>
      <w:rPr>
        <w:rFonts w:ascii="宋体" w:eastAsia="宋体" w:hAnsi="宋体" w:cs="宋体" w:hint="default"/>
        <w:spacing w:val="0"/>
        <w:w w:val="99"/>
        <w:sz w:val="21"/>
        <w:szCs w:val="21"/>
        <w:lang w:val="en-US" w:eastAsia="zh-CN" w:bidi="ar-SA"/>
      </w:rPr>
    </w:lvl>
    <w:lvl w:ilvl="5">
      <w:start w:val="0"/>
      <w:numFmt w:val="bullet"/>
      <w:lvlText w:val="•"/>
      <w:lvlJc w:val="left"/>
      <w:pPr>
        <w:ind w:left="5067" w:hanging="420"/>
      </w:pPr>
      <w:rPr>
        <w:rFonts w:hint="default"/>
        <w:lang w:val="en-US" w:eastAsia="zh-CN" w:bidi="ar-SA"/>
      </w:rPr>
    </w:lvl>
    <w:lvl w:ilvl="6">
      <w:start w:val="0"/>
      <w:numFmt w:val="bullet"/>
      <w:lvlText w:val="•"/>
      <w:lvlJc w:val="left"/>
      <w:pPr>
        <w:ind w:left="6038" w:hanging="420"/>
      </w:pPr>
      <w:rPr>
        <w:rFonts w:hint="default"/>
        <w:lang w:val="en-US" w:eastAsia="zh-CN" w:bidi="ar-SA"/>
      </w:rPr>
    </w:lvl>
    <w:lvl w:ilvl="7">
      <w:start w:val="0"/>
      <w:numFmt w:val="bullet"/>
      <w:lvlText w:val="•"/>
      <w:lvlJc w:val="left"/>
      <w:pPr>
        <w:ind w:left="7010" w:hanging="420"/>
      </w:pPr>
      <w:rPr>
        <w:rFonts w:hint="default"/>
        <w:lang w:val="en-US" w:eastAsia="zh-CN" w:bidi="ar-SA"/>
      </w:rPr>
    </w:lvl>
    <w:lvl w:ilvl="8">
      <w:start w:val="0"/>
      <w:numFmt w:val="bullet"/>
      <w:lvlText w:val="•"/>
      <w:lvlJc w:val="left"/>
      <w:pPr>
        <w:ind w:left="7982" w:hanging="420"/>
      </w:pPr>
      <w:rPr>
        <w:rFonts w:hint="default"/>
        <w:lang w:val="en-US" w:eastAsia="zh-CN" w:bidi="ar-SA"/>
      </w:rPr>
    </w:lvl>
  </w:abstractNum>
  <w:abstractNum w:abstractNumId="12">
    <w:nsid w:val="1FE6B09C"/>
    <w:multiLevelType w:val="hybridMultilevel"/>
    <w:tmpl w:val="00000000"/>
    <w:lvl w:ilvl="0">
      <w:start w:val="1"/>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13">
    <w:nsid w:val="2133E3F8"/>
    <w:multiLevelType w:val="hybridMultilevel"/>
    <w:tmpl w:val="00000000"/>
    <w:lvl w:ilvl="0">
      <w:start w:val="1"/>
      <w:numFmt w:val="decimal"/>
      <w:lvlText w:val="[%1]"/>
      <w:lvlJc w:val="left"/>
      <w:pPr>
        <w:ind w:left="1181" w:hanging="526"/>
        <w:jc w:val="left"/>
      </w:pPr>
      <w:rPr>
        <w:rFonts w:ascii="宋体" w:eastAsia="宋体" w:hAnsi="宋体" w:cs="宋体" w:hint="default"/>
        <w:spacing w:val="-2"/>
        <w:w w:val="99"/>
        <w:sz w:val="21"/>
        <w:szCs w:val="21"/>
        <w:lang w:val="en-US" w:eastAsia="zh-CN" w:bidi="ar-SA"/>
      </w:rPr>
    </w:lvl>
    <w:lvl w:ilvl="1">
      <w:start w:val="0"/>
      <w:numFmt w:val="bullet"/>
      <w:lvlText w:val="•"/>
      <w:lvlJc w:val="left"/>
      <w:pPr>
        <w:ind w:left="2054" w:hanging="526"/>
      </w:pPr>
      <w:rPr>
        <w:rFonts w:hint="default"/>
        <w:lang w:val="en-US" w:eastAsia="zh-CN" w:bidi="ar-SA"/>
      </w:rPr>
    </w:lvl>
    <w:lvl w:ilvl="2">
      <w:start w:val="0"/>
      <w:numFmt w:val="bullet"/>
      <w:lvlText w:val="•"/>
      <w:lvlJc w:val="left"/>
      <w:pPr>
        <w:ind w:left="2929" w:hanging="526"/>
      </w:pPr>
      <w:rPr>
        <w:rFonts w:hint="default"/>
        <w:lang w:val="en-US" w:eastAsia="zh-CN" w:bidi="ar-SA"/>
      </w:rPr>
    </w:lvl>
    <w:lvl w:ilvl="3">
      <w:start w:val="0"/>
      <w:numFmt w:val="bullet"/>
      <w:lvlText w:val="•"/>
      <w:lvlJc w:val="left"/>
      <w:pPr>
        <w:ind w:left="3803" w:hanging="526"/>
      </w:pPr>
      <w:rPr>
        <w:rFonts w:hint="default"/>
        <w:lang w:val="en-US" w:eastAsia="zh-CN" w:bidi="ar-SA"/>
      </w:rPr>
    </w:lvl>
    <w:lvl w:ilvl="4">
      <w:start w:val="0"/>
      <w:numFmt w:val="bullet"/>
      <w:lvlText w:val="•"/>
      <w:lvlJc w:val="left"/>
      <w:pPr>
        <w:ind w:left="4678" w:hanging="526"/>
      </w:pPr>
      <w:rPr>
        <w:rFonts w:hint="default"/>
        <w:lang w:val="en-US" w:eastAsia="zh-CN" w:bidi="ar-SA"/>
      </w:rPr>
    </w:lvl>
    <w:lvl w:ilvl="5">
      <w:start w:val="0"/>
      <w:numFmt w:val="bullet"/>
      <w:lvlText w:val="•"/>
      <w:lvlJc w:val="left"/>
      <w:pPr>
        <w:ind w:left="5553" w:hanging="526"/>
      </w:pPr>
      <w:rPr>
        <w:rFonts w:hint="default"/>
        <w:lang w:val="en-US" w:eastAsia="zh-CN" w:bidi="ar-SA"/>
      </w:rPr>
    </w:lvl>
    <w:lvl w:ilvl="6">
      <w:start w:val="0"/>
      <w:numFmt w:val="bullet"/>
      <w:lvlText w:val="•"/>
      <w:lvlJc w:val="left"/>
      <w:pPr>
        <w:ind w:left="6427" w:hanging="526"/>
      </w:pPr>
      <w:rPr>
        <w:rFonts w:hint="default"/>
        <w:lang w:val="en-US" w:eastAsia="zh-CN" w:bidi="ar-SA"/>
      </w:rPr>
    </w:lvl>
    <w:lvl w:ilvl="7">
      <w:start w:val="0"/>
      <w:numFmt w:val="bullet"/>
      <w:lvlText w:val="•"/>
      <w:lvlJc w:val="left"/>
      <w:pPr>
        <w:ind w:left="7302" w:hanging="526"/>
      </w:pPr>
      <w:rPr>
        <w:rFonts w:hint="default"/>
        <w:lang w:val="en-US" w:eastAsia="zh-CN" w:bidi="ar-SA"/>
      </w:rPr>
    </w:lvl>
    <w:lvl w:ilvl="8">
      <w:start w:val="0"/>
      <w:numFmt w:val="bullet"/>
      <w:lvlText w:val="•"/>
      <w:lvlJc w:val="left"/>
      <w:pPr>
        <w:ind w:left="8176" w:hanging="526"/>
      </w:pPr>
      <w:rPr>
        <w:rFonts w:hint="default"/>
        <w:lang w:val="en-US" w:eastAsia="zh-CN" w:bidi="ar-SA"/>
      </w:rPr>
    </w:lvl>
  </w:abstractNum>
  <w:abstractNum w:abstractNumId="14">
    <w:nsid w:val="21E44B90"/>
    <w:multiLevelType w:val="hybridMultilevel"/>
    <w:tmpl w:val="00000000"/>
    <w:lvl w:ilvl="0">
      <w:start w:val="15"/>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15">
    <w:nsid w:val="23FB3D48"/>
    <w:multiLevelType w:val="hybridMultilevel"/>
    <w:tmpl w:val="00000000"/>
    <w:lvl w:ilvl="0">
      <w:start w:val="4"/>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16">
    <w:nsid w:val="272F0F72"/>
    <w:multiLevelType w:val="hybridMultilevel"/>
    <w:tmpl w:val="00000000"/>
    <w:lvl w:ilvl="0">
      <w:start w:val="1"/>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17">
    <w:nsid w:val="292DE963"/>
    <w:multiLevelType w:val="hybridMultilevel"/>
    <w:tmpl w:val="00000000"/>
    <w:lvl w:ilvl="0">
      <w:start w:val="1"/>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18">
    <w:nsid w:val="2FF9F39D"/>
    <w:multiLevelType w:val="hybridMultilevel"/>
    <w:tmpl w:val="00000000"/>
    <w:lvl w:ilvl="0">
      <w:start w:val="1"/>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19">
    <w:nsid w:val="341ACD05"/>
    <w:multiLevelType w:val="hybridMultilevel"/>
    <w:tmpl w:val="00000000"/>
    <w:lvl w:ilvl="0">
      <w:start w:val="6"/>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20">
    <w:nsid w:val="382FC332"/>
    <w:multiLevelType w:val="hybridMultilevel"/>
    <w:tmpl w:val="00000000"/>
    <w:lvl w:ilvl="0">
      <w:start w:val="1"/>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21">
    <w:nsid w:val="3B7F4E5D"/>
    <w:multiLevelType w:val="hybridMultilevel"/>
    <w:tmpl w:val="00000000"/>
    <w:lvl w:ilvl="0">
      <w:start w:val="1"/>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22">
    <w:nsid w:val="3C63949A"/>
    <w:multiLevelType w:val="hybridMultilevel"/>
    <w:tmpl w:val="00000000"/>
    <w:lvl w:ilvl="0">
      <w:start w:val="10"/>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23">
    <w:nsid w:val="3C8C6F3C"/>
    <w:multiLevelType w:val="hybridMultilevel"/>
    <w:tmpl w:val="00000000"/>
    <w:lvl w:ilvl="0">
      <w:start w:val="5"/>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1"/>
      <w:numFmt w:val="decimal"/>
      <w:lvlText w:val="%2）"/>
      <w:lvlJc w:val="left"/>
      <w:pPr>
        <w:ind w:left="1496" w:hanging="420"/>
        <w:jc w:val="left"/>
      </w:pPr>
      <w:rPr>
        <w:rFonts w:ascii="宋体" w:eastAsia="宋体" w:hAnsi="宋体" w:cs="宋体" w:hint="default"/>
        <w:spacing w:val="0"/>
        <w:w w:val="99"/>
        <w:sz w:val="21"/>
        <w:szCs w:val="21"/>
        <w:lang w:val="en-US" w:eastAsia="zh-CN" w:bidi="ar-SA"/>
      </w:rPr>
    </w:lvl>
    <w:lvl w:ilvl="2">
      <w:start w:val="0"/>
      <w:numFmt w:val="bullet"/>
      <w:lvlText w:val="•"/>
      <w:lvlJc w:val="left"/>
      <w:pPr>
        <w:ind w:left="2436" w:hanging="420"/>
      </w:pPr>
      <w:rPr>
        <w:rFonts w:hint="default"/>
        <w:lang w:val="en-US" w:eastAsia="zh-CN" w:bidi="ar-SA"/>
      </w:rPr>
    </w:lvl>
    <w:lvl w:ilvl="3">
      <w:start w:val="0"/>
      <w:numFmt w:val="bullet"/>
      <w:lvlText w:val="•"/>
      <w:lvlJc w:val="left"/>
      <w:pPr>
        <w:ind w:left="3372" w:hanging="420"/>
      </w:pPr>
      <w:rPr>
        <w:rFonts w:hint="default"/>
        <w:lang w:val="en-US" w:eastAsia="zh-CN" w:bidi="ar-SA"/>
      </w:rPr>
    </w:lvl>
    <w:lvl w:ilvl="4">
      <w:start w:val="0"/>
      <w:numFmt w:val="bullet"/>
      <w:lvlText w:val="•"/>
      <w:lvlJc w:val="left"/>
      <w:pPr>
        <w:ind w:left="4308" w:hanging="420"/>
      </w:pPr>
      <w:rPr>
        <w:rFonts w:hint="default"/>
        <w:lang w:val="en-US" w:eastAsia="zh-CN" w:bidi="ar-SA"/>
      </w:rPr>
    </w:lvl>
    <w:lvl w:ilvl="5">
      <w:start w:val="0"/>
      <w:numFmt w:val="bullet"/>
      <w:lvlText w:val="•"/>
      <w:lvlJc w:val="left"/>
      <w:pPr>
        <w:ind w:left="5244" w:hanging="420"/>
      </w:pPr>
      <w:rPr>
        <w:rFonts w:hint="default"/>
        <w:lang w:val="en-US" w:eastAsia="zh-CN" w:bidi="ar-SA"/>
      </w:rPr>
    </w:lvl>
    <w:lvl w:ilvl="6">
      <w:start w:val="0"/>
      <w:numFmt w:val="bullet"/>
      <w:lvlText w:val="•"/>
      <w:lvlJc w:val="left"/>
      <w:pPr>
        <w:ind w:left="6181" w:hanging="420"/>
      </w:pPr>
      <w:rPr>
        <w:rFonts w:hint="default"/>
        <w:lang w:val="en-US" w:eastAsia="zh-CN" w:bidi="ar-SA"/>
      </w:rPr>
    </w:lvl>
    <w:lvl w:ilvl="7">
      <w:start w:val="0"/>
      <w:numFmt w:val="bullet"/>
      <w:lvlText w:val="•"/>
      <w:lvlJc w:val="left"/>
      <w:pPr>
        <w:ind w:left="7117" w:hanging="420"/>
      </w:pPr>
      <w:rPr>
        <w:rFonts w:hint="default"/>
        <w:lang w:val="en-US" w:eastAsia="zh-CN" w:bidi="ar-SA"/>
      </w:rPr>
    </w:lvl>
    <w:lvl w:ilvl="8">
      <w:start w:val="0"/>
      <w:numFmt w:val="bullet"/>
      <w:lvlText w:val="•"/>
      <w:lvlJc w:val="left"/>
      <w:pPr>
        <w:ind w:left="8053" w:hanging="420"/>
      </w:pPr>
      <w:rPr>
        <w:rFonts w:hint="default"/>
        <w:lang w:val="en-US" w:eastAsia="zh-CN" w:bidi="ar-SA"/>
      </w:rPr>
    </w:lvl>
  </w:abstractNum>
  <w:abstractNum w:abstractNumId="24">
    <w:nsid w:val="3E188809"/>
    <w:multiLevelType w:val="hybridMultilevel"/>
    <w:tmpl w:val="00000000"/>
    <w:lvl w:ilvl="0">
      <w:start w:val="1"/>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25">
    <w:nsid w:val="3E3286A5"/>
    <w:multiLevelType w:val="hybridMultilevel"/>
    <w:tmpl w:val="00000000"/>
    <w:lvl w:ilvl="0">
      <w:start w:val="5"/>
      <w:numFmt w:val="decimal"/>
      <w:lvlText w:val="%1"/>
      <w:lvlJc w:val="left"/>
      <w:pPr>
        <w:ind w:left="1601" w:hanging="1366"/>
        <w:jc w:val="left"/>
      </w:pPr>
      <w:rPr>
        <w:rFonts w:hint="default"/>
        <w:lang w:val="en-US" w:eastAsia="zh-CN" w:bidi="ar-SA"/>
      </w:rPr>
    </w:lvl>
    <w:lvl w:ilvl="1">
      <w:start w:val="1"/>
      <w:numFmt w:val="decimal"/>
      <w:lvlText w:val="%1.%2"/>
      <w:lvlJc w:val="left"/>
      <w:pPr>
        <w:ind w:left="1601" w:hanging="1366"/>
        <w:jc w:val="left"/>
      </w:pPr>
      <w:rPr>
        <w:rFonts w:hint="default"/>
        <w:lang w:val="en-US" w:eastAsia="zh-CN" w:bidi="ar-SA"/>
      </w:rPr>
    </w:lvl>
    <w:lvl w:ilvl="2">
      <w:start w:val="1"/>
      <w:numFmt w:val="decimal"/>
      <w:lvlText w:val="%1.%2.%3"/>
      <w:lvlJc w:val="left"/>
      <w:pPr>
        <w:ind w:left="1601" w:hanging="1366"/>
        <w:jc w:val="left"/>
      </w:pPr>
      <w:rPr>
        <w:rFonts w:hint="default"/>
        <w:lang w:val="en-US" w:eastAsia="zh-CN" w:bidi="ar-SA"/>
      </w:rPr>
    </w:lvl>
    <w:lvl w:ilvl="3">
      <w:start w:val="3"/>
      <w:numFmt w:val="decimal"/>
      <w:lvlText w:val="%1.%2.%3.%4"/>
      <w:lvlJc w:val="left"/>
      <w:pPr>
        <w:ind w:left="1601" w:hanging="1366"/>
        <w:jc w:val="left"/>
      </w:pPr>
      <w:rPr>
        <w:rFonts w:hint="default"/>
        <w:lang w:val="en-US" w:eastAsia="zh-CN" w:bidi="ar-SA"/>
      </w:rPr>
    </w:lvl>
    <w:lvl w:ilvl="4">
      <w:start w:val="2"/>
      <w:numFmt w:val="decimal"/>
      <w:lvlText w:val="%1.%2.%3.%4.%5"/>
      <w:lvlJc w:val="left"/>
      <w:pPr>
        <w:ind w:left="1601" w:hanging="1366"/>
        <w:jc w:val="left"/>
      </w:pPr>
      <w:rPr>
        <w:rFonts w:hint="default"/>
        <w:lang w:val="en-US" w:eastAsia="zh-CN" w:bidi="ar-SA"/>
      </w:rPr>
    </w:lvl>
    <w:lvl w:ilvl="5">
      <w:start w:val="2"/>
      <w:numFmt w:val="decimal"/>
      <w:lvlText w:val="%1.%2.%3.%4.%5.%6"/>
      <w:lvlJc w:val="left"/>
      <w:pPr>
        <w:ind w:left="1601" w:hanging="1366"/>
        <w:jc w:val="left"/>
      </w:pPr>
      <w:rPr>
        <w:rFonts w:ascii="黑体" w:eastAsia="黑体" w:hAnsi="黑体" w:cs="黑体" w:hint="default"/>
        <w:spacing w:val="-2"/>
        <w:w w:val="99"/>
        <w:sz w:val="21"/>
        <w:szCs w:val="21"/>
        <w:lang w:val="en-US" w:eastAsia="zh-CN" w:bidi="ar-SA"/>
      </w:rPr>
    </w:lvl>
    <w:lvl w:ilvl="6">
      <w:start w:val="1"/>
      <w:numFmt w:val="lowerLetter"/>
      <w:lvlText w:val="%7）"/>
      <w:lvlJc w:val="left"/>
      <w:pPr>
        <w:ind w:left="1076" w:hanging="420"/>
        <w:jc w:val="left"/>
      </w:pPr>
      <w:rPr>
        <w:rFonts w:ascii="宋体" w:eastAsia="宋体" w:hAnsi="宋体" w:cs="宋体" w:hint="default"/>
        <w:spacing w:val="0"/>
        <w:w w:val="99"/>
        <w:sz w:val="21"/>
        <w:szCs w:val="21"/>
        <w:lang w:val="en-US" w:eastAsia="zh-CN" w:bidi="ar-SA"/>
      </w:rPr>
    </w:lvl>
    <w:lvl w:ilvl="7">
      <w:start w:val="0"/>
      <w:numFmt w:val="bullet"/>
      <w:lvlText w:val="•"/>
      <w:lvlJc w:val="left"/>
      <w:pPr>
        <w:ind w:left="7150" w:hanging="420"/>
      </w:pPr>
      <w:rPr>
        <w:rFonts w:hint="default"/>
        <w:lang w:val="en-US" w:eastAsia="zh-CN" w:bidi="ar-SA"/>
      </w:rPr>
    </w:lvl>
    <w:lvl w:ilvl="8">
      <w:start w:val="0"/>
      <w:numFmt w:val="bullet"/>
      <w:lvlText w:val="•"/>
      <w:lvlJc w:val="left"/>
      <w:pPr>
        <w:ind w:left="8075" w:hanging="420"/>
      </w:pPr>
      <w:rPr>
        <w:rFonts w:hint="default"/>
        <w:lang w:val="en-US" w:eastAsia="zh-CN" w:bidi="ar-SA"/>
      </w:rPr>
    </w:lvl>
  </w:abstractNum>
  <w:abstractNum w:abstractNumId="26">
    <w:nsid w:val="40CD8A30"/>
    <w:multiLevelType w:val="hybridMultilevel"/>
    <w:tmpl w:val="00000000"/>
    <w:lvl w:ilvl="0">
      <w:start w:val="5"/>
      <w:numFmt w:val="decimal"/>
      <w:lvlText w:val="%1"/>
      <w:lvlJc w:val="left"/>
      <w:pPr>
        <w:ind w:left="1601" w:hanging="1366"/>
        <w:jc w:val="left"/>
      </w:pPr>
      <w:rPr>
        <w:rFonts w:hint="default"/>
        <w:lang w:val="en-US" w:eastAsia="zh-CN" w:bidi="ar-SA"/>
      </w:rPr>
    </w:lvl>
    <w:lvl w:ilvl="1">
      <w:start w:val="1"/>
      <w:numFmt w:val="decimal"/>
      <w:lvlText w:val="%1.%2"/>
      <w:lvlJc w:val="left"/>
      <w:pPr>
        <w:ind w:left="1601" w:hanging="1366"/>
        <w:jc w:val="left"/>
      </w:pPr>
      <w:rPr>
        <w:rFonts w:hint="default"/>
        <w:lang w:val="en-US" w:eastAsia="zh-CN" w:bidi="ar-SA"/>
      </w:rPr>
    </w:lvl>
    <w:lvl w:ilvl="2">
      <w:start w:val="1"/>
      <w:numFmt w:val="decimal"/>
      <w:lvlText w:val="%1.%2.%3"/>
      <w:lvlJc w:val="left"/>
      <w:pPr>
        <w:ind w:left="1601" w:hanging="1366"/>
        <w:jc w:val="left"/>
      </w:pPr>
      <w:rPr>
        <w:rFonts w:hint="default"/>
        <w:lang w:val="en-US" w:eastAsia="zh-CN" w:bidi="ar-SA"/>
      </w:rPr>
    </w:lvl>
    <w:lvl w:ilvl="3">
      <w:start w:val="4"/>
      <w:numFmt w:val="decimal"/>
      <w:lvlText w:val="%1.%2.%3.%4"/>
      <w:lvlJc w:val="left"/>
      <w:pPr>
        <w:ind w:left="1601" w:hanging="1366"/>
        <w:jc w:val="left"/>
      </w:pPr>
      <w:rPr>
        <w:rFonts w:hint="default"/>
        <w:lang w:val="en-US" w:eastAsia="zh-CN" w:bidi="ar-SA"/>
      </w:rPr>
    </w:lvl>
    <w:lvl w:ilvl="4">
      <w:start w:val="2"/>
      <w:numFmt w:val="decimal"/>
      <w:lvlText w:val="%1.%2.%3.%4.%5"/>
      <w:lvlJc w:val="left"/>
      <w:pPr>
        <w:ind w:left="1601" w:hanging="1366"/>
        <w:jc w:val="left"/>
      </w:pPr>
      <w:rPr>
        <w:rFonts w:hint="default"/>
        <w:lang w:val="en-US" w:eastAsia="zh-CN" w:bidi="ar-SA"/>
      </w:rPr>
    </w:lvl>
    <w:lvl w:ilvl="5">
      <w:start w:val="2"/>
      <w:numFmt w:val="decimal"/>
      <w:lvlText w:val="%1.%2.%3.%4.%5.%6"/>
      <w:lvlJc w:val="left"/>
      <w:pPr>
        <w:ind w:left="1601" w:hanging="1366"/>
        <w:jc w:val="left"/>
      </w:pPr>
      <w:rPr>
        <w:rFonts w:ascii="黑体" w:eastAsia="黑体" w:hAnsi="黑体" w:cs="黑体" w:hint="default"/>
        <w:spacing w:val="-2"/>
        <w:w w:val="99"/>
        <w:sz w:val="21"/>
        <w:szCs w:val="21"/>
        <w:lang w:val="en-US" w:eastAsia="zh-CN" w:bidi="ar-SA"/>
      </w:rPr>
    </w:lvl>
    <w:lvl w:ilvl="6">
      <w:start w:val="1"/>
      <w:numFmt w:val="lowerLetter"/>
      <w:lvlText w:val="%7）"/>
      <w:lvlJc w:val="left"/>
      <w:pPr>
        <w:ind w:left="1076" w:hanging="420"/>
        <w:jc w:val="left"/>
      </w:pPr>
      <w:rPr>
        <w:rFonts w:ascii="宋体" w:eastAsia="宋体" w:hAnsi="宋体" w:cs="宋体" w:hint="default"/>
        <w:spacing w:val="0"/>
        <w:w w:val="99"/>
        <w:sz w:val="21"/>
        <w:szCs w:val="21"/>
        <w:lang w:val="en-US" w:eastAsia="zh-CN" w:bidi="ar-SA"/>
      </w:rPr>
    </w:lvl>
    <w:lvl w:ilvl="7">
      <w:start w:val="0"/>
      <w:numFmt w:val="bullet"/>
      <w:lvlText w:val="•"/>
      <w:lvlJc w:val="left"/>
      <w:pPr>
        <w:ind w:left="7150" w:hanging="420"/>
      </w:pPr>
      <w:rPr>
        <w:rFonts w:hint="default"/>
        <w:lang w:val="en-US" w:eastAsia="zh-CN" w:bidi="ar-SA"/>
      </w:rPr>
    </w:lvl>
    <w:lvl w:ilvl="8">
      <w:start w:val="0"/>
      <w:numFmt w:val="bullet"/>
      <w:lvlText w:val="•"/>
      <w:lvlJc w:val="left"/>
      <w:pPr>
        <w:ind w:left="8075" w:hanging="420"/>
      </w:pPr>
      <w:rPr>
        <w:rFonts w:hint="default"/>
        <w:lang w:val="en-US" w:eastAsia="zh-CN" w:bidi="ar-SA"/>
      </w:rPr>
    </w:lvl>
  </w:abstractNum>
  <w:abstractNum w:abstractNumId="27">
    <w:nsid w:val="44BD8045"/>
    <w:multiLevelType w:val="hybridMultilevel"/>
    <w:tmpl w:val="00000000"/>
    <w:lvl w:ilvl="0">
      <w:start w:val="5"/>
      <w:numFmt w:val="decimal"/>
      <w:lvlText w:val="%1"/>
      <w:lvlJc w:val="left"/>
      <w:pPr>
        <w:ind w:left="1392" w:hanging="1157"/>
        <w:jc w:val="left"/>
      </w:pPr>
      <w:rPr>
        <w:rFonts w:hint="default"/>
        <w:lang w:val="en-US" w:eastAsia="zh-CN" w:bidi="ar-SA"/>
      </w:rPr>
    </w:lvl>
    <w:lvl w:ilvl="1">
      <w:start w:val="1"/>
      <w:numFmt w:val="decimal"/>
      <w:lvlText w:val="%1.%2"/>
      <w:lvlJc w:val="left"/>
      <w:pPr>
        <w:ind w:left="1392" w:hanging="1157"/>
        <w:jc w:val="left"/>
      </w:pPr>
      <w:rPr>
        <w:rFonts w:hint="default"/>
        <w:lang w:val="en-US" w:eastAsia="zh-CN" w:bidi="ar-SA"/>
      </w:rPr>
    </w:lvl>
    <w:lvl w:ilvl="2">
      <w:start w:val="1"/>
      <w:numFmt w:val="decimal"/>
      <w:lvlText w:val="%1.%2.%3"/>
      <w:lvlJc w:val="left"/>
      <w:pPr>
        <w:ind w:left="1392" w:hanging="1157"/>
        <w:jc w:val="left"/>
      </w:pPr>
      <w:rPr>
        <w:rFonts w:hint="default"/>
        <w:lang w:val="en-US" w:eastAsia="zh-CN" w:bidi="ar-SA"/>
      </w:rPr>
    </w:lvl>
    <w:lvl w:ilvl="3">
      <w:start w:val="4"/>
      <w:numFmt w:val="decimal"/>
      <w:lvlText w:val="%1.%2.%3.%4"/>
      <w:lvlJc w:val="left"/>
      <w:pPr>
        <w:ind w:left="1392" w:hanging="1157"/>
        <w:jc w:val="left"/>
      </w:pPr>
      <w:rPr>
        <w:rFonts w:hint="default"/>
        <w:lang w:val="en-US" w:eastAsia="zh-CN" w:bidi="ar-SA"/>
      </w:rPr>
    </w:lvl>
    <w:lvl w:ilvl="4">
      <w:start w:val="1"/>
      <w:numFmt w:val="decimal"/>
      <w:lvlText w:val="%1.%2.%3.%4.%5"/>
      <w:lvlJc w:val="left"/>
      <w:pPr>
        <w:ind w:left="1392" w:hanging="1157"/>
        <w:jc w:val="left"/>
      </w:pPr>
      <w:rPr>
        <w:rFonts w:ascii="黑体" w:eastAsia="黑体" w:hAnsi="黑体" w:cs="黑体" w:hint="default"/>
        <w:spacing w:val="-2"/>
        <w:w w:val="99"/>
        <w:sz w:val="21"/>
        <w:szCs w:val="21"/>
        <w:lang w:val="en-US" w:eastAsia="zh-CN" w:bidi="ar-SA"/>
      </w:rPr>
    </w:lvl>
    <w:lvl w:ilvl="5">
      <w:start w:val="1"/>
      <w:numFmt w:val="lowerLetter"/>
      <w:lvlText w:val="%6）"/>
      <w:lvlJc w:val="left"/>
      <w:pPr>
        <w:ind w:left="1076" w:hanging="420"/>
        <w:jc w:val="left"/>
      </w:pPr>
      <w:rPr>
        <w:rFonts w:ascii="宋体" w:eastAsia="宋体" w:hAnsi="宋体" w:cs="宋体" w:hint="default"/>
        <w:spacing w:val="0"/>
        <w:w w:val="99"/>
        <w:sz w:val="21"/>
        <w:szCs w:val="21"/>
        <w:lang w:val="en-US" w:eastAsia="zh-CN" w:bidi="ar-SA"/>
      </w:rPr>
    </w:lvl>
    <w:lvl w:ilvl="6">
      <w:start w:val="0"/>
      <w:numFmt w:val="bullet"/>
      <w:lvlText w:val="•"/>
      <w:lvlJc w:val="left"/>
      <w:pPr>
        <w:ind w:left="5663" w:hanging="420"/>
      </w:pPr>
      <w:rPr>
        <w:rFonts w:hint="default"/>
        <w:lang w:val="en-US" w:eastAsia="zh-CN" w:bidi="ar-SA"/>
      </w:rPr>
    </w:lvl>
    <w:lvl w:ilvl="7">
      <w:start w:val="0"/>
      <w:numFmt w:val="bullet"/>
      <w:lvlText w:val="•"/>
      <w:lvlJc w:val="left"/>
      <w:pPr>
        <w:ind w:left="6728" w:hanging="420"/>
      </w:pPr>
      <w:rPr>
        <w:rFonts w:hint="default"/>
        <w:lang w:val="en-US" w:eastAsia="zh-CN" w:bidi="ar-SA"/>
      </w:rPr>
    </w:lvl>
    <w:lvl w:ilvl="8">
      <w:start w:val="0"/>
      <w:numFmt w:val="bullet"/>
      <w:lvlText w:val="•"/>
      <w:lvlJc w:val="left"/>
      <w:pPr>
        <w:ind w:left="7794" w:hanging="420"/>
      </w:pPr>
      <w:rPr>
        <w:rFonts w:hint="default"/>
        <w:lang w:val="en-US" w:eastAsia="zh-CN" w:bidi="ar-SA"/>
      </w:rPr>
    </w:lvl>
  </w:abstractNum>
  <w:abstractNum w:abstractNumId="28">
    <w:nsid w:val="456FC1FB"/>
    <w:multiLevelType w:val="hybridMultilevel"/>
    <w:tmpl w:val="00000000"/>
    <w:lvl w:ilvl="0">
      <w:start w:val="4"/>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29">
    <w:nsid w:val="4626D4DB"/>
    <w:multiLevelType w:val="hybridMultilevel"/>
    <w:tmpl w:val="00000000"/>
    <w:lvl w:ilvl="0">
      <w:start w:val="5"/>
      <w:numFmt w:val="decimal"/>
      <w:lvlText w:val="%1"/>
      <w:lvlJc w:val="left"/>
      <w:pPr>
        <w:ind w:left="761" w:hanging="526"/>
        <w:jc w:val="left"/>
      </w:pPr>
      <w:rPr>
        <w:rFonts w:hint="default"/>
        <w:lang w:val="en-US" w:eastAsia="zh-CN" w:bidi="ar-SA"/>
      </w:rPr>
    </w:lvl>
    <w:lvl w:ilvl="1">
      <w:start w:val="2"/>
      <w:numFmt w:val="decimal"/>
      <w:lvlText w:val="%1.%2"/>
      <w:lvlJc w:val="left"/>
      <w:pPr>
        <w:ind w:left="761" w:hanging="526"/>
        <w:jc w:val="left"/>
      </w:pPr>
      <w:rPr>
        <w:rFonts w:ascii="黑体" w:eastAsia="黑体" w:hAnsi="黑体" w:cs="黑体" w:hint="default"/>
        <w:spacing w:val="-2"/>
        <w:w w:val="99"/>
        <w:sz w:val="21"/>
        <w:szCs w:val="21"/>
        <w:lang w:val="en-US" w:eastAsia="zh-CN" w:bidi="ar-SA"/>
      </w:rPr>
    </w:lvl>
    <w:lvl w:ilvl="2">
      <w:start w:val="1"/>
      <w:numFmt w:val="lowerLetter"/>
      <w:lvlText w:val="%3）"/>
      <w:lvlJc w:val="left"/>
      <w:pPr>
        <w:ind w:left="1076" w:hanging="420"/>
        <w:jc w:val="left"/>
      </w:pPr>
      <w:rPr>
        <w:rFonts w:ascii="宋体" w:eastAsia="宋体" w:hAnsi="宋体" w:cs="宋体" w:hint="default"/>
        <w:spacing w:val="0"/>
        <w:w w:val="99"/>
        <w:sz w:val="21"/>
        <w:szCs w:val="21"/>
        <w:lang w:val="en-US" w:eastAsia="zh-CN" w:bidi="ar-SA"/>
      </w:rPr>
    </w:lvl>
    <w:lvl w:ilvl="3">
      <w:start w:val="1"/>
      <w:numFmt w:val="decimal"/>
      <w:lvlText w:val="%4）"/>
      <w:lvlJc w:val="left"/>
      <w:pPr>
        <w:ind w:left="1496" w:hanging="420"/>
        <w:jc w:val="left"/>
      </w:pPr>
      <w:rPr>
        <w:rFonts w:ascii="宋体" w:eastAsia="宋体" w:hAnsi="宋体" w:cs="宋体" w:hint="default"/>
        <w:spacing w:val="0"/>
        <w:w w:val="99"/>
        <w:sz w:val="21"/>
        <w:szCs w:val="21"/>
        <w:lang w:val="en-US" w:eastAsia="zh-CN" w:bidi="ar-SA"/>
      </w:rPr>
    </w:lvl>
    <w:lvl w:ilvl="4">
      <w:start w:val="0"/>
      <w:numFmt w:val="bullet"/>
      <w:lvlText w:val="•"/>
      <w:lvlJc w:val="left"/>
      <w:pPr>
        <w:ind w:left="3606" w:hanging="420"/>
      </w:pPr>
      <w:rPr>
        <w:rFonts w:hint="default"/>
        <w:lang w:val="en-US" w:eastAsia="zh-CN" w:bidi="ar-SA"/>
      </w:rPr>
    </w:lvl>
    <w:lvl w:ilvl="5">
      <w:start w:val="0"/>
      <w:numFmt w:val="bullet"/>
      <w:lvlText w:val="•"/>
      <w:lvlJc w:val="left"/>
      <w:pPr>
        <w:ind w:left="4659" w:hanging="420"/>
      </w:pPr>
      <w:rPr>
        <w:rFonts w:hint="default"/>
        <w:lang w:val="en-US" w:eastAsia="zh-CN" w:bidi="ar-SA"/>
      </w:rPr>
    </w:lvl>
    <w:lvl w:ilvl="6">
      <w:start w:val="0"/>
      <w:numFmt w:val="bullet"/>
      <w:lvlText w:val="•"/>
      <w:lvlJc w:val="left"/>
      <w:pPr>
        <w:ind w:left="5713" w:hanging="420"/>
      </w:pPr>
      <w:rPr>
        <w:rFonts w:hint="default"/>
        <w:lang w:val="en-US" w:eastAsia="zh-CN" w:bidi="ar-SA"/>
      </w:rPr>
    </w:lvl>
    <w:lvl w:ilvl="7">
      <w:start w:val="0"/>
      <w:numFmt w:val="bullet"/>
      <w:lvlText w:val="•"/>
      <w:lvlJc w:val="left"/>
      <w:pPr>
        <w:ind w:left="6766" w:hanging="420"/>
      </w:pPr>
      <w:rPr>
        <w:rFonts w:hint="default"/>
        <w:lang w:val="en-US" w:eastAsia="zh-CN" w:bidi="ar-SA"/>
      </w:rPr>
    </w:lvl>
    <w:lvl w:ilvl="8">
      <w:start w:val="0"/>
      <w:numFmt w:val="bullet"/>
      <w:lvlText w:val="•"/>
      <w:lvlJc w:val="left"/>
      <w:pPr>
        <w:ind w:left="7819" w:hanging="420"/>
      </w:pPr>
      <w:rPr>
        <w:rFonts w:hint="default"/>
        <w:lang w:val="en-US" w:eastAsia="zh-CN" w:bidi="ar-SA"/>
      </w:rPr>
    </w:lvl>
  </w:abstractNum>
  <w:abstractNum w:abstractNumId="30">
    <w:nsid w:val="46AFAAA2"/>
    <w:multiLevelType w:val="hybridMultilevel"/>
    <w:tmpl w:val="00000000"/>
    <w:lvl w:ilvl="0">
      <w:start w:val="1"/>
      <w:numFmt w:val="lowerLetter"/>
      <w:lvlText w:val="%1）"/>
      <w:lvlJc w:val="left"/>
      <w:pPr>
        <w:ind w:left="475" w:hanging="360"/>
        <w:jc w:val="left"/>
      </w:pPr>
      <w:rPr>
        <w:rFonts w:ascii="宋体" w:eastAsia="宋体" w:hAnsi="宋体" w:cs="宋体" w:hint="default"/>
        <w:spacing w:val="-2"/>
        <w:w w:val="100"/>
        <w:sz w:val="18"/>
        <w:szCs w:val="18"/>
        <w:lang w:val="en-US" w:eastAsia="zh-CN" w:bidi="ar-SA"/>
      </w:rPr>
    </w:lvl>
    <w:lvl w:ilvl="1">
      <w:start w:val="0"/>
      <w:numFmt w:val="bullet"/>
      <w:lvlText w:val="•"/>
      <w:lvlJc w:val="left"/>
      <w:pPr>
        <w:ind w:left="825" w:hanging="360"/>
      </w:pPr>
      <w:rPr>
        <w:rFonts w:hint="default"/>
        <w:lang w:val="en-US" w:eastAsia="zh-CN" w:bidi="ar-SA"/>
      </w:rPr>
    </w:lvl>
    <w:lvl w:ilvl="2">
      <w:start w:val="0"/>
      <w:numFmt w:val="bullet"/>
      <w:lvlText w:val="•"/>
      <w:lvlJc w:val="left"/>
      <w:pPr>
        <w:ind w:left="1171" w:hanging="360"/>
      </w:pPr>
      <w:rPr>
        <w:rFonts w:hint="default"/>
        <w:lang w:val="en-US" w:eastAsia="zh-CN" w:bidi="ar-SA"/>
      </w:rPr>
    </w:lvl>
    <w:lvl w:ilvl="3">
      <w:start w:val="0"/>
      <w:numFmt w:val="bullet"/>
      <w:lvlText w:val="•"/>
      <w:lvlJc w:val="left"/>
      <w:pPr>
        <w:ind w:left="1517" w:hanging="360"/>
      </w:pPr>
      <w:rPr>
        <w:rFonts w:hint="default"/>
        <w:lang w:val="en-US" w:eastAsia="zh-CN" w:bidi="ar-SA"/>
      </w:rPr>
    </w:lvl>
    <w:lvl w:ilvl="4">
      <w:start w:val="0"/>
      <w:numFmt w:val="bullet"/>
      <w:lvlText w:val="•"/>
      <w:lvlJc w:val="left"/>
      <w:pPr>
        <w:ind w:left="1862" w:hanging="360"/>
      </w:pPr>
      <w:rPr>
        <w:rFonts w:hint="default"/>
        <w:lang w:val="en-US" w:eastAsia="zh-CN" w:bidi="ar-SA"/>
      </w:rPr>
    </w:lvl>
    <w:lvl w:ilvl="5">
      <w:start w:val="0"/>
      <w:numFmt w:val="bullet"/>
      <w:lvlText w:val="•"/>
      <w:lvlJc w:val="left"/>
      <w:pPr>
        <w:ind w:left="2208" w:hanging="360"/>
      </w:pPr>
      <w:rPr>
        <w:rFonts w:hint="default"/>
        <w:lang w:val="en-US" w:eastAsia="zh-CN" w:bidi="ar-SA"/>
      </w:rPr>
    </w:lvl>
    <w:lvl w:ilvl="6">
      <w:start w:val="0"/>
      <w:numFmt w:val="bullet"/>
      <w:lvlText w:val="•"/>
      <w:lvlJc w:val="left"/>
      <w:pPr>
        <w:ind w:left="2554" w:hanging="360"/>
      </w:pPr>
      <w:rPr>
        <w:rFonts w:hint="default"/>
        <w:lang w:val="en-US" w:eastAsia="zh-CN" w:bidi="ar-SA"/>
      </w:rPr>
    </w:lvl>
    <w:lvl w:ilvl="7">
      <w:start w:val="0"/>
      <w:numFmt w:val="bullet"/>
      <w:lvlText w:val="•"/>
      <w:lvlJc w:val="left"/>
      <w:pPr>
        <w:ind w:left="2899" w:hanging="360"/>
      </w:pPr>
      <w:rPr>
        <w:rFonts w:hint="default"/>
        <w:lang w:val="en-US" w:eastAsia="zh-CN" w:bidi="ar-SA"/>
      </w:rPr>
    </w:lvl>
    <w:lvl w:ilvl="8">
      <w:start w:val="0"/>
      <w:numFmt w:val="bullet"/>
      <w:lvlText w:val="•"/>
      <w:lvlJc w:val="left"/>
      <w:pPr>
        <w:ind w:left="3245" w:hanging="360"/>
      </w:pPr>
      <w:rPr>
        <w:rFonts w:hint="default"/>
        <w:lang w:val="en-US" w:eastAsia="zh-CN" w:bidi="ar-SA"/>
      </w:rPr>
    </w:lvl>
  </w:abstractNum>
  <w:abstractNum w:abstractNumId="31">
    <w:nsid w:val="4FAD44DC"/>
    <w:multiLevelType w:val="hybridMultilevel"/>
    <w:tmpl w:val="00000000"/>
    <w:lvl w:ilvl="0">
      <w:start w:val="1"/>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32">
    <w:nsid w:val="54C3A40B"/>
    <w:multiLevelType w:val="hybridMultilevel"/>
    <w:tmpl w:val="00000000"/>
    <w:lvl w:ilvl="0">
      <w:start w:val="1"/>
      <w:numFmt w:val="decimal"/>
      <w:lvlText w:val="%1）"/>
      <w:lvlJc w:val="left"/>
      <w:pPr>
        <w:ind w:left="149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2342" w:hanging="420"/>
      </w:pPr>
      <w:rPr>
        <w:rFonts w:hint="default"/>
        <w:lang w:val="en-US" w:eastAsia="zh-CN" w:bidi="ar-SA"/>
      </w:rPr>
    </w:lvl>
    <w:lvl w:ilvl="2">
      <w:start w:val="0"/>
      <w:numFmt w:val="bullet"/>
      <w:lvlText w:val="•"/>
      <w:lvlJc w:val="left"/>
      <w:pPr>
        <w:ind w:left="3185" w:hanging="420"/>
      </w:pPr>
      <w:rPr>
        <w:rFonts w:hint="default"/>
        <w:lang w:val="en-US" w:eastAsia="zh-CN" w:bidi="ar-SA"/>
      </w:rPr>
    </w:lvl>
    <w:lvl w:ilvl="3">
      <w:start w:val="0"/>
      <w:numFmt w:val="bullet"/>
      <w:lvlText w:val="•"/>
      <w:lvlJc w:val="left"/>
      <w:pPr>
        <w:ind w:left="4027" w:hanging="420"/>
      </w:pPr>
      <w:rPr>
        <w:rFonts w:hint="default"/>
        <w:lang w:val="en-US" w:eastAsia="zh-CN" w:bidi="ar-SA"/>
      </w:rPr>
    </w:lvl>
    <w:lvl w:ilvl="4">
      <w:start w:val="0"/>
      <w:numFmt w:val="bullet"/>
      <w:lvlText w:val="•"/>
      <w:lvlJc w:val="left"/>
      <w:pPr>
        <w:ind w:left="4870" w:hanging="420"/>
      </w:pPr>
      <w:rPr>
        <w:rFonts w:hint="default"/>
        <w:lang w:val="en-US" w:eastAsia="zh-CN" w:bidi="ar-SA"/>
      </w:rPr>
    </w:lvl>
    <w:lvl w:ilvl="5">
      <w:start w:val="0"/>
      <w:numFmt w:val="bullet"/>
      <w:lvlText w:val="•"/>
      <w:lvlJc w:val="left"/>
      <w:pPr>
        <w:ind w:left="5713" w:hanging="420"/>
      </w:pPr>
      <w:rPr>
        <w:rFonts w:hint="default"/>
        <w:lang w:val="en-US" w:eastAsia="zh-CN" w:bidi="ar-SA"/>
      </w:rPr>
    </w:lvl>
    <w:lvl w:ilvl="6">
      <w:start w:val="0"/>
      <w:numFmt w:val="bullet"/>
      <w:lvlText w:val="•"/>
      <w:lvlJc w:val="left"/>
      <w:pPr>
        <w:ind w:left="6555" w:hanging="420"/>
      </w:pPr>
      <w:rPr>
        <w:rFonts w:hint="default"/>
        <w:lang w:val="en-US" w:eastAsia="zh-CN" w:bidi="ar-SA"/>
      </w:rPr>
    </w:lvl>
    <w:lvl w:ilvl="7">
      <w:start w:val="0"/>
      <w:numFmt w:val="bullet"/>
      <w:lvlText w:val="•"/>
      <w:lvlJc w:val="left"/>
      <w:pPr>
        <w:ind w:left="7398" w:hanging="420"/>
      </w:pPr>
      <w:rPr>
        <w:rFonts w:hint="default"/>
        <w:lang w:val="en-US" w:eastAsia="zh-CN" w:bidi="ar-SA"/>
      </w:rPr>
    </w:lvl>
    <w:lvl w:ilvl="8">
      <w:start w:val="0"/>
      <w:numFmt w:val="bullet"/>
      <w:lvlText w:val="•"/>
      <w:lvlJc w:val="left"/>
      <w:pPr>
        <w:ind w:left="8240" w:hanging="420"/>
      </w:pPr>
      <w:rPr>
        <w:rFonts w:hint="default"/>
        <w:lang w:val="en-US" w:eastAsia="zh-CN" w:bidi="ar-SA"/>
      </w:rPr>
    </w:lvl>
  </w:abstractNum>
  <w:abstractNum w:abstractNumId="33">
    <w:nsid w:val="54F3C2A6"/>
    <w:multiLevelType w:val="hybridMultilevel"/>
    <w:tmpl w:val="00000000"/>
    <w:lvl w:ilvl="0">
      <w:start w:val="3"/>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34">
    <w:nsid w:val="57931C90"/>
    <w:multiLevelType w:val="hybridMultilevel"/>
    <w:tmpl w:val="00000000"/>
    <w:lvl w:ilvl="0">
      <w:start w:val="1"/>
      <w:numFmt w:val="upperLetter"/>
      <w:lvlText w:val="%1"/>
      <w:lvlJc w:val="left"/>
      <w:pPr>
        <w:ind w:left="761" w:hanging="526"/>
        <w:jc w:val="left"/>
      </w:pPr>
      <w:rPr>
        <w:rFonts w:hint="default"/>
        <w:lang w:val="en-US" w:eastAsia="zh-CN" w:bidi="ar-SA"/>
      </w:rPr>
    </w:lvl>
    <w:lvl w:ilvl="1">
      <w:start w:val="1"/>
      <w:numFmt w:val="decimal"/>
      <w:lvlText w:val="%1.%2"/>
      <w:lvlJc w:val="left"/>
      <w:pPr>
        <w:ind w:left="761" w:hanging="526"/>
        <w:jc w:val="left"/>
      </w:pPr>
      <w:rPr>
        <w:rFonts w:ascii="黑体" w:eastAsia="黑体" w:hAnsi="黑体" w:cs="黑体" w:hint="default"/>
        <w:spacing w:val="-2"/>
        <w:w w:val="99"/>
        <w:sz w:val="21"/>
        <w:szCs w:val="21"/>
        <w:lang w:val="en-US" w:eastAsia="zh-CN" w:bidi="ar-SA"/>
      </w:rPr>
    </w:lvl>
    <w:lvl w:ilvl="2">
      <w:start w:val="1"/>
      <w:numFmt w:val="decimal"/>
      <w:lvlText w:val="%1.%2.%3"/>
      <w:lvlJc w:val="left"/>
      <w:pPr>
        <w:ind w:left="972" w:hanging="737"/>
        <w:jc w:val="left"/>
      </w:pPr>
      <w:rPr>
        <w:rFonts w:ascii="黑体" w:eastAsia="黑体" w:hAnsi="黑体" w:cs="黑体" w:hint="default"/>
        <w:spacing w:val="-2"/>
        <w:w w:val="99"/>
        <w:sz w:val="21"/>
        <w:szCs w:val="21"/>
        <w:lang w:val="en-US" w:eastAsia="zh-CN" w:bidi="ar-SA"/>
      </w:rPr>
    </w:lvl>
    <w:lvl w:ilvl="3">
      <w:start w:val="1"/>
      <w:numFmt w:val="lowerLetter"/>
      <w:lvlText w:val="%4）"/>
      <w:lvlJc w:val="left"/>
      <w:pPr>
        <w:ind w:left="1076" w:hanging="420"/>
        <w:jc w:val="left"/>
      </w:pPr>
      <w:rPr>
        <w:rFonts w:ascii="宋体" w:eastAsia="宋体" w:hAnsi="宋体" w:cs="宋体" w:hint="default"/>
        <w:spacing w:val="0"/>
        <w:w w:val="99"/>
        <w:sz w:val="21"/>
        <w:szCs w:val="21"/>
        <w:lang w:val="en-US" w:eastAsia="zh-CN" w:bidi="ar-SA"/>
      </w:rPr>
    </w:lvl>
    <w:lvl w:ilvl="4">
      <w:start w:val="0"/>
      <w:numFmt w:val="bullet"/>
      <w:lvlText w:val="•"/>
      <w:lvlJc w:val="left"/>
      <w:pPr>
        <w:ind w:left="3291" w:hanging="420"/>
      </w:pPr>
      <w:rPr>
        <w:rFonts w:hint="default"/>
        <w:lang w:val="en-US" w:eastAsia="zh-CN" w:bidi="ar-SA"/>
      </w:rPr>
    </w:lvl>
    <w:lvl w:ilvl="5">
      <w:start w:val="0"/>
      <w:numFmt w:val="bullet"/>
      <w:lvlText w:val="•"/>
      <w:lvlJc w:val="left"/>
      <w:pPr>
        <w:ind w:left="4397" w:hanging="420"/>
      </w:pPr>
      <w:rPr>
        <w:rFonts w:hint="default"/>
        <w:lang w:val="en-US" w:eastAsia="zh-CN" w:bidi="ar-SA"/>
      </w:rPr>
    </w:lvl>
    <w:lvl w:ilvl="6">
      <w:start w:val="0"/>
      <w:numFmt w:val="bullet"/>
      <w:lvlText w:val="•"/>
      <w:lvlJc w:val="left"/>
      <w:pPr>
        <w:ind w:left="5503" w:hanging="420"/>
      </w:pPr>
      <w:rPr>
        <w:rFonts w:hint="default"/>
        <w:lang w:val="en-US" w:eastAsia="zh-CN" w:bidi="ar-SA"/>
      </w:rPr>
    </w:lvl>
    <w:lvl w:ilvl="7">
      <w:start w:val="0"/>
      <w:numFmt w:val="bullet"/>
      <w:lvlText w:val="•"/>
      <w:lvlJc w:val="left"/>
      <w:pPr>
        <w:ind w:left="6608" w:hanging="420"/>
      </w:pPr>
      <w:rPr>
        <w:rFonts w:hint="default"/>
        <w:lang w:val="en-US" w:eastAsia="zh-CN" w:bidi="ar-SA"/>
      </w:rPr>
    </w:lvl>
    <w:lvl w:ilvl="8">
      <w:start w:val="0"/>
      <w:numFmt w:val="bullet"/>
      <w:lvlText w:val="•"/>
      <w:lvlJc w:val="left"/>
      <w:pPr>
        <w:ind w:left="7714" w:hanging="420"/>
      </w:pPr>
      <w:rPr>
        <w:rFonts w:hint="default"/>
        <w:lang w:val="en-US" w:eastAsia="zh-CN" w:bidi="ar-SA"/>
      </w:rPr>
    </w:lvl>
  </w:abstractNum>
  <w:abstractNum w:abstractNumId="35">
    <w:nsid w:val="57EFDC52"/>
    <w:multiLevelType w:val="hybridMultilevel"/>
    <w:tmpl w:val="00000000"/>
    <w:lvl w:ilvl="0">
      <w:start w:val="1"/>
      <w:numFmt w:val="lowerLetter"/>
      <w:lvlText w:val="%1）"/>
      <w:lvlJc w:val="left"/>
      <w:pPr>
        <w:ind w:left="475" w:hanging="360"/>
        <w:jc w:val="left"/>
      </w:pPr>
      <w:rPr>
        <w:rFonts w:ascii="宋体" w:eastAsia="宋体" w:hAnsi="宋体" w:cs="宋体" w:hint="default"/>
        <w:spacing w:val="-2"/>
        <w:w w:val="100"/>
        <w:sz w:val="18"/>
        <w:szCs w:val="18"/>
        <w:lang w:val="en-US" w:eastAsia="zh-CN" w:bidi="ar-SA"/>
      </w:rPr>
    </w:lvl>
    <w:lvl w:ilvl="1">
      <w:start w:val="0"/>
      <w:numFmt w:val="bullet"/>
      <w:lvlText w:val="•"/>
      <w:lvlJc w:val="left"/>
      <w:pPr>
        <w:ind w:left="825" w:hanging="360"/>
      </w:pPr>
      <w:rPr>
        <w:rFonts w:hint="default"/>
        <w:lang w:val="en-US" w:eastAsia="zh-CN" w:bidi="ar-SA"/>
      </w:rPr>
    </w:lvl>
    <w:lvl w:ilvl="2">
      <w:start w:val="0"/>
      <w:numFmt w:val="bullet"/>
      <w:lvlText w:val="•"/>
      <w:lvlJc w:val="left"/>
      <w:pPr>
        <w:ind w:left="1171" w:hanging="360"/>
      </w:pPr>
      <w:rPr>
        <w:rFonts w:hint="default"/>
        <w:lang w:val="en-US" w:eastAsia="zh-CN" w:bidi="ar-SA"/>
      </w:rPr>
    </w:lvl>
    <w:lvl w:ilvl="3">
      <w:start w:val="0"/>
      <w:numFmt w:val="bullet"/>
      <w:lvlText w:val="•"/>
      <w:lvlJc w:val="left"/>
      <w:pPr>
        <w:ind w:left="1517" w:hanging="360"/>
      </w:pPr>
      <w:rPr>
        <w:rFonts w:hint="default"/>
        <w:lang w:val="en-US" w:eastAsia="zh-CN" w:bidi="ar-SA"/>
      </w:rPr>
    </w:lvl>
    <w:lvl w:ilvl="4">
      <w:start w:val="0"/>
      <w:numFmt w:val="bullet"/>
      <w:lvlText w:val="•"/>
      <w:lvlJc w:val="left"/>
      <w:pPr>
        <w:ind w:left="1862" w:hanging="360"/>
      </w:pPr>
      <w:rPr>
        <w:rFonts w:hint="default"/>
        <w:lang w:val="en-US" w:eastAsia="zh-CN" w:bidi="ar-SA"/>
      </w:rPr>
    </w:lvl>
    <w:lvl w:ilvl="5">
      <w:start w:val="0"/>
      <w:numFmt w:val="bullet"/>
      <w:lvlText w:val="•"/>
      <w:lvlJc w:val="left"/>
      <w:pPr>
        <w:ind w:left="2208" w:hanging="360"/>
      </w:pPr>
      <w:rPr>
        <w:rFonts w:hint="default"/>
        <w:lang w:val="en-US" w:eastAsia="zh-CN" w:bidi="ar-SA"/>
      </w:rPr>
    </w:lvl>
    <w:lvl w:ilvl="6">
      <w:start w:val="0"/>
      <w:numFmt w:val="bullet"/>
      <w:lvlText w:val="•"/>
      <w:lvlJc w:val="left"/>
      <w:pPr>
        <w:ind w:left="2554" w:hanging="360"/>
      </w:pPr>
      <w:rPr>
        <w:rFonts w:hint="default"/>
        <w:lang w:val="en-US" w:eastAsia="zh-CN" w:bidi="ar-SA"/>
      </w:rPr>
    </w:lvl>
    <w:lvl w:ilvl="7">
      <w:start w:val="0"/>
      <w:numFmt w:val="bullet"/>
      <w:lvlText w:val="•"/>
      <w:lvlJc w:val="left"/>
      <w:pPr>
        <w:ind w:left="2899" w:hanging="360"/>
      </w:pPr>
      <w:rPr>
        <w:rFonts w:hint="default"/>
        <w:lang w:val="en-US" w:eastAsia="zh-CN" w:bidi="ar-SA"/>
      </w:rPr>
    </w:lvl>
    <w:lvl w:ilvl="8">
      <w:start w:val="0"/>
      <w:numFmt w:val="bullet"/>
      <w:lvlText w:val="•"/>
      <w:lvlJc w:val="left"/>
      <w:pPr>
        <w:ind w:left="3245" w:hanging="360"/>
      </w:pPr>
      <w:rPr>
        <w:rFonts w:hint="default"/>
        <w:lang w:val="en-US" w:eastAsia="zh-CN" w:bidi="ar-SA"/>
      </w:rPr>
    </w:lvl>
  </w:abstractNum>
  <w:abstractNum w:abstractNumId="36">
    <w:nsid w:val="592BCA61"/>
    <w:multiLevelType w:val="hybridMultilevel"/>
    <w:tmpl w:val="00000000"/>
    <w:lvl w:ilvl="0">
      <w:start w:val="4"/>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37">
    <w:nsid w:val="5EA00DFB"/>
    <w:multiLevelType w:val="hybridMultilevel"/>
    <w:tmpl w:val="00000000"/>
    <w:lvl w:ilvl="0">
      <w:start w:val="1"/>
      <w:numFmt w:val="decimal"/>
      <w:lvlText w:val="%1"/>
      <w:lvlJc w:val="left"/>
      <w:pPr>
        <w:ind w:left="552" w:hanging="317"/>
        <w:jc w:val="left"/>
      </w:pPr>
      <w:rPr>
        <w:rFonts w:ascii="黑体" w:eastAsia="黑体" w:hAnsi="黑体" w:cs="黑体" w:hint="default"/>
        <w:w w:val="99"/>
        <w:sz w:val="21"/>
        <w:szCs w:val="21"/>
        <w:lang w:val="en-US" w:eastAsia="zh-CN" w:bidi="ar-SA"/>
      </w:rPr>
    </w:lvl>
    <w:lvl w:ilvl="1">
      <w:start w:val="1"/>
      <w:numFmt w:val="decimal"/>
      <w:lvlText w:val="%1.%2"/>
      <w:lvlJc w:val="left"/>
      <w:pPr>
        <w:ind w:left="550" w:hanging="315"/>
        <w:jc w:val="left"/>
      </w:pPr>
      <w:rPr>
        <w:rFonts w:ascii="黑体" w:eastAsia="黑体" w:hAnsi="黑体" w:cs="黑体" w:hint="default"/>
        <w:spacing w:val="-2"/>
        <w:w w:val="99"/>
        <w:sz w:val="19"/>
        <w:szCs w:val="19"/>
        <w:lang w:val="en-US" w:eastAsia="zh-CN" w:bidi="ar-SA"/>
      </w:rPr>
    </w:lvl>
    <w:lvl w:ilvl="2">
      <w:start w:val="1"/>
      <w:numFmt w:val="decimal"/>
      <w:lvlText w:val="%1.%2.%3"/>
      <w:lvlJc w:val="left"/>
      <w:pPr>
        <w:ind w:left="972" w:hanging="737"/>
        <w:jc w:val="left"/>
      </w:pPr>
      <w:rPr>
        <w:rFonts w:ascii="黑体" w:eastAsia="黑体" w:hAnsi="黑体" w:cs="黑体" w:hint="default"/>
        <w:spacing w:val="-2"/>
        <w:w w:val="99"/>
        <w:sz w:val="21"/>
        <w:szCs w:val="21"/>
        <w:lang w:val="en-US" w:eastAsia="zh-CN" w:bidi="ar-SA"/>
      </w:rPr>
    </w:lvl>
    <w:lvl w:ilvl="3">
      <w:start w:val="1"/>
      <w:numFmt w:val="lowerLetter"/>
      <w:lvlText w:val="%4）"/>
      <w:lvlJc w:val="left"/>
      <w:pPr>
        <w:ind w:left="1076" w:hanging="420"/>
        <w:jc w:val="left"/>
      </w:pPr>
      <w:rPr>
        <w:rFonts w:ascii="宋体" w:eastAsia="宋体" w:hAnsi="宋体" w:cs="宋体" w:hint="default"/>
        <w:spacing w:val="0"/>
        <w:w w:val="99"/>
        <w:sz w:val="21"/>
        <w:szCs w:val="21"/>
        <w:lang w:val="en-US" w:eastAsia="zh-CN" w:bidi="ar-SA"/>
      </w:rPr>
    </w:lvl>
    <w:lvl w:ilvl="4">
      <w:start w:val="0"/>
      <w:numFmt w:val="bullet"/>
      <w:lvlText w:val="•"/>
      <w:lvlJc w:val="left"/>
      <w:pPr>
        <w:ind w:left="1080" w:hanging="420"/>
      </w:pPr>
      <w:rPr>
        <w:rFonts w:hint="default"/>
        <w:lang w:val="en-US" w:eastAsia="zh-CN" w:bidi="ar-SA"/>
      </w:rPr>
    </w:lvl>
    <w:lvl w:ilvl="5">
      <w:start w:val="0"/>
      <w:numFmt w:val="bullet"/>
      <w:lvlText w:val="•"/>
      <w:lvlJc w:val="left"/>
      <w:pPr>
        <w:ind w:left="2554" w:hanging="420"/>
      </w:pPr>
      <w:rPr>
        <w:rFonts w:hint="default"/>
        <w:lang w:val="en-US" w:eastAsia="zh-CN" w:bidi="ar-SA"/>
      </w:rPr>
    </w:lvl>
    <w:lvl w:ilvl="6">
      <w:start w:val="0"/>
      <w:numFmt w:val="bullet"/>
      <w:lvlText w:val="•"/>
      <w:lvlJc w:val="left"/>
      <w:pPr>
        <w:ind w:left="4028" w:hanging="420"/>
      </w:pPr>
      <w:rPr>
        <w:rFonts w:hint="default"/>
        <w:lang w:val="en-US" w:eastAsia="zh-CN" w:bidi="ar-SA"/>
      </w:rPr>
    </w:lvl>
    <w:lvl w:ilvl="7">
      <w:start w:val="0"/>
      <w:numFmt w:val="bullet"/>
      <w:lvlText w:val="•"/>
      <w:lvlJc w:val="left"/>
      <w:pPr>
        <w:ind w:left="5503" w:hanging="420"/>
      </w:pPr>
      <w:rPr>
        <w:rFonts w:hint="default"/>
        <w:lang w:val="en-US" w:eastAsia="zh-CN" w:bidi="ar-SA"/>
      </w:rPr>
    </w:lvl>
    <w:lvl w:ilvl="8">
      <w:start w:val="0"/>
      <w:numFmt w:val="bullet"/>
      <w:lvlText w:val="•"/>
      <w:lvlJc w:val="left"/>
      <w:pPr>
        <w:ind w:left="6977" w:hanging="420"/>
      </w:pPr>
      <w:rPr>
        <w:rFonts w:hint="default"/>
        <w:lang w:val="en-US" w:eastAsia="zh-CN" w:bidi="ar-SA"/>
      </w:rPr>
    </w:lvl>
  </w:abstractNum>
  <w:abstractNum w:abstractNumId="38">
    <w:nsid w:val="60EDFD9C"/>
    <w:multiLevelType w:val="hybridMultilevel"/>
    <w:tmpl w:val="00000000"/>
    <w:lvl w:ilvl="0">
      <w:start w:val="1"/>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39">
    <w:nsid w:val="614C5D90"/>
    <w:multiLevelType w:val="hybridMultilevel"/>
    <w:tmpl w:val="00000000"/>
    <w:lvl w:ilvl="0">
      <w:start w:val="11"/>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40">
    <w:nsid w:val="63513507"/>
    <w:multiLevelType w:val="hybridMultilevel"/>
    <w:tmpl w:val="00000000"/>
    <w:lvl w:ilvl="0">
      <w:start w:val="1"/>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41">
    <w:nsid w:val="65E1C876"/>
    <w:multiLevelType w:val="hybridMultilevel"/>
    <w:tmpl w:val="00000000"/>
    <w:lvl w:ilvl="0">
      <w:start w:val="1"/>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1"/>
      <w:numFmt w:val="decimal"/>
      <w:lvlText w:val="%2）"/>
      <w:lvlJc w:val="left"/>
      <w:pPr>
        <w:ind w:left="1496" w:hanging="420"/>
        <w:jc w:val="left"/>
      </w:pPr>
      <w:rPr>
        <w:rFonts w:ascii="宋体" w:eastAsia="宋体" w:hAnsi="宋体" w:cs="宋体" w:hint="default"/>
        <w:spacing w:val="0"/>
        <w:w w:val="99"/>
        <w:sz w:val="21"/>
        <w:szCs w:val="21"/>
        <w:lang w:val="en-US" w:eastAsia="zh-CN" w:bidi="ar-SA"/>
      </w:rPr>
    </w:lvl>
    <w:lvl w:ilvl="2">
      <w:start w:val="0"/>
      <w:numFmt w:val="bullet"/>
      <w:lvlText w:val="•"/>
      <w:lvlJc w:val="left"/>
      <w:pPr>
        <w:ind w:left="2436" w:hanging="420"/>
      </w:pPr>
      <w:rPr>
        <w:rFonts w:hint="default"/>
        <w:lang w:val="en-US" w:eastAsia="zh-CN" w:bidi="ar-SA"/>
      </w:rPr>
    </w:lvl>
    <w:lvl w:ilvl="3">
      <w:start w:val="0"/>
      <w:numFmt w:val="bullet"/>
      <w:lvlText w:val="•"/>
      <w:lvlJc w:val="left"/>
      <w:pPr>
        <w:ind w:left="3372" w:hanging="420"/>
      </w:pPr>
      <w:rPr>
        <w:rFonts w:hint="default"/>
        <w:lang w:val="en-US" w:eastAsia="zh-CN" w:bidi="ar-SA"/>
      </w:rPr>
    </w:lvl>
    <w:lvl w:ilvl="4">
      <w:start w:val="0"/>
      <w:numFmt w:val="bullet"/>
      <w:lvlText w:val="•"/>
      <w:lvlJc w:val="left"/>
      <w:pPr>
        <w:ind w:left="4308" w:hanging="420"/>
      </w:pPr>
      <w:rPr>
        <w:rFonts w:hint="default"/>
        <w:lang w:val="en-US" w:eastAsia="zh-CN" w:bidi="ar-SA"/>
      </w:rPr>
    </w:lvl>
    <w:lvl w:ilvl="5">
      <w:start w:val="0"/>
      <w:numFmt w:val="bullet"/>
      <w:lvlText w:val="•"/>
      <w:lvlJc w:val="left"/>
      <w:pPr>
        <w:ind w:left="5244" w:hanging="420"/>
      </w:pPr>
      <w:rPr>
        <w:rFonts w:hint="default"/>
        <w:lang w:val="en-US" w:eastAsia="zh-CN" w:bidi="ar-SA"/>
      </w:rPr>
    </w:lvl>
    <w:lvl w:ilvl="6">
      <w:start w:val="0"/>
      <w:numFmt w:val="bullet"/>
      <w:lvlText w:val="•"/>
      <w:lvlJc w:val="left"/>
      <w:pPr>
        <w:ind w:left="6181" w:hanging="420"/>
      </w:pPr>
      <w:rPr>
        <w:rFonts w:hint="default"/>
        <w:lang w:val="en-US" w:eastAsia="zh-CN" w:bidi="ar-SA"/>
      </w:rPr>
    </w:lvl>
    <w:lvl w:ilvl="7">
      <w:start w:val="0"/>
      <w:numFmt w:val="bullet"/>
      <w:lvlText w:val="•"/>
      <w:lvlJc w:val="left"/>
      <w:pPr>
        <w:ind w:left="7117" w:hanging="420"/>
      </w:pPr>
      <w:rPr>
        <w:rFonts w:hint="default"/>
        <w:lang w:val="en-US" w:eastAsia="zh-CN" w:bidi="ar-SA"/>
      </w:rPr>
    </w:lvl>
    <w:lvl w:ilvl="8">
      <w:start w:val="0"/>
      <w:numFmt w:val="bullet"/>
      <w:lvlText w:val="•"/>
      <w:lvlJc w:val="left"/>
      <w:pPr>
        <w:ind w:left="8053" w:hanging="420"/>
      </w:pPr>
      <w:rPr>
        <w:rFonts w:hint="default"/>
        <w:lang w:val="en-US" w:eastAsia="zh-CN" w:bidi="ar-SA"/>
      </w:rPr>
    </w:lvl>
  </w:abstractNum>
  <w:abstractNum w:abstractNumId="42">
    <w:nsid w:val="671B360A"/>
    <w:multiLevelType w:val="hybridMultilevel"/>
    <w:tmpl w:val="00000000"/>
    <w:lvl w:ilvl="0">
      <w:start w:val="5"/>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43">
    <w:nsid w:val="687C14F6"/>
    <w:multiLevelType w:val="hybridMultilevel"/>
    <w:tmpl w:val="00000000"/>
    <w:lvl w:ilvl="0">
      <w:start w:val="1"/>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44">
    <w:nsid w:val="6891A463"/>
    <w:multiLevelType w:val="hybridMultilevel"/>
    <w:tmpl w:val="00000000"/>
    <w:lvl w:ilvl="0">
      <w:start w:val="1"/>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45">
    <w:nsid w:val="6985FD46"/>
    <w:multiLevelType w:val="hybridMultilevel"/>
    <w:tmpl w:val="00000000"/>
    <w:lvl w:ilvl="0">
      <w:start w:val="1"/>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46">
    <w:nsid w:val="6BF1ADDA"/>
    <w:multiLevelType w:val="hybridMultilevel"/>
    <w:tmpl w:val="00000000"/>
    <w:lvl w:ilvl="0">
      <w:start w:val="1"/>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47">
    <w:nsid w:val="714F7948"/>
    <w:multiLevelType w:val="hybridMultilevel"/>
    <w:tmpl w:val="00000000"/>
    <w:lvl w:ilvl="0">
      <w:start w:val="1"/>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48">
    <w:nsid w:val="731FE264"/>
    <w:multiLevelType w:val="hybridMultilevel"/>
    <w:tmpl w:val="00000000"/>
    <w:lvl w:ilvl="0">
      <w:start w:val="7"/>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1"/>
      <w:numFmt w:val="decimal"/>
      <w:lvlText w:val="%2）"/>
      <w:lvlJc w:val="left"/>
      <w:pPr>
        <w:ind w:left="1496" w:hanging="420"/>
        <w:jc w:val="left"/>
      </w:pPr>
      <w:rPr>
        <w:rFonts w:ascii="宋体" w:eastAsia="宋体" w:hAnsi="宋体" w:cs="宋体" w:hint="default"/>
        <w:spacing w:val="0"/>
        <w:w w:val="99"/>
        <w:sz w:val="21"/>
        <w:szCs w:val="21"/>
        <w:lang w:val="en-US" w:eastAsia="zh-CN" w:bidi="ar-SA"/>
      </w:rPr>
    </w:lvl>
    <w:lvl w:ilvl="2">
      <w:start w:val="0"/>
      <w:numFmt w:val="bullet"/>
      <w:lvlText w:val="•"/>
      <w:lvlJc w:val="left"/>
      <w:pPr>
        <w:ind w:left="2436" w:hanging="420"/>
      </w:pPr>
      <w:rPr>
        <w:rFonts w:hint="default"/>
        <w:lang w:val="en-US" w:eastAsia="zh-CN" w:bidi="ar-SA"/>
      </w:rPr>
    </w:lvl>
    <w:lvl w:ilvl="3">
      <w:start w:val="0"/>
      <w:numFmt w:val="bullet"/>
      <w:lvlText w:val="•"/>
      <w:lvlJc w:val="left"/>
      <w:pPr>
        <w:ind w:left="3372" w:hanging="420"/>
      </w:pPr>
      <w:rPr>
        <w:rFonts w:hint="default"/>
        <w:lang w:val="en-US" w:eastAsia="zh-CN" w:bidi="ar-SA"/>
      </w:rPr>
    </w:lvl>
    <w:lvl w:ilvl="4">
      <w:start w:val="0"/>
      <w:numFmt w:val="bullet"/>
      <w:lvlText w:val="•"/>
      <w:lvlJc w:val="left"/>
      <w:pPr>
        <w:ind w:left="4308" w:hanging="420"/>
      </w:pPr>
      <w:rPr>
        <w:rFonts w:hint="default"/>
        <w:lang w:val="en-US" w:eastAsia="zh-CN" w:bidi="ar-SA"/>
      </w:rPr>
    </w:lvl>
    <w:lvl w:ilvl="5">
      <w:start w:val="0"/>
      <w:numFmt w:val="bullet"/>
      <w:lvlText w:val="•"/>
      <w:lvlJc w:val="left"/>
      <w:pPr>
        <w:ind w:left="5244" w:hanging="420"/>
      </w:pPr>
      <w:rPr>
        <w:rFonts w:hint="default"/>
        <w:lang w:val="en-US" w:eastAsia="zh-CN" w:bidi="ar-SA"/>
      </w:rPr>
    </w:lvl>
    <w:lvl w:ilvl="6">
      <w:start w:val="0"/>
      <w:numFmt w:val="bullet"/>
      <w:lvlText w:val="•"/>
      <w:lvlJc w:val="left"/>
      <w:pPr>
        <w:ind w:left="6181" w:hanging="420"/>
      </w:pPr>
      <w:rPr>
        <w:rFonts w:hint="default"/>
        <w:lang w:val="en-US" w:eastAsia="zh-CN" w:bidi="ar-SA"/>
      </w:rPr>
    </w:lvl>
    <w:lvl w:ilvl="7">
      <w:start w:val="0"/>
      <w:numFmt w:val="bullet"/>
      <w:lvlText w:val="•"/>
      <w:lvlJc w:val="left"/>
      <w:pPr>
        <w:ind w:left="7117" w:hanging="420"/>
      </w:pPr>
      <w:rPr>
        <w:rFonts w:hint="default"/>
        <w:lang w:val="en-US" w:eastAsia="zh-CN" w:bidi="ar-SA"/>
      </w:rPr>
    </w:lvl>
    <w:lvl w:ilvl="8">
      <w:start w:val="0"/>
      <w:numFmt w:val="bullet"/>
      <w:lvlText w:val="•"/>
      <w:lvlJc w:val="left"/>
      <w:pPr>
        <w:ind w:left="8053" w:hanging="420"/>
      </w:pPr>
      <w:rPr>
        <w:rFonts w:hint="default"/>
        <w:lang w:val="en-US" w:eastAsia="zh-CN" w:bidi="ar-SA"/>
      </w:rPr>
    </w:lvl>
  </w:abstractNum>
  <w:abstractNum w:abstractNumId="49">
    <w:nsid w:val="7AA6CC18"/>
    <w:multiLevelType w:val="hybridMultilevel"/>
    <w:tmpl w:val="00000000"/>
    <w:lvl w:ilvl="0">
      <w:start w:val="1"/>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abstractNum w:abstractNumId="50">
    <w:nsid w:val="7B374646"/>
    <w:multiLevelType w:val="hybridMultilevel"/>
    <w:tmpl w:val="00000000"/>
    <w:lvl w:ilvl="0">
      <w:start w:val="1"/>
      <w:numFmt w:val="lowerLetter"/>
      <w:lvlText w:val="%1）"/>
      <w:lvlJc w:val="left"/>
      <w:pPr>
        <w:ind w:left="475" w:hanging="360"/>
        <w:jc w:val="left"/>
      </w:pPr>
      <w:rPr>
        <w:rFonts w:ascii="宋体" w:eastAsia="宋体" w:hAnsi="宋体" w:cs="宋体" w:hint="default"/>
        <w:spacing w:val="-2"/>
        <w:w w:val="100"/>
        <w:sz w:val="18"/>
        <w:szCs w:val="18"/>
        <w:lang w:val="en-US" w:eastAsia="zh-CN" w:bidi="ar-SA"/>
      </w:rPr>
    </w:lvl>
    <w:lvl w:ilvl="1">
      <w:start w:val="0"/>
      <w:numFmt w:val="bullet"/>
      <w:lvlText w:val="•"/>
      <w:lvlJc w:val="left"/>
      <w:pPr>
        <w:ind w:left="825" w:hanging="360"/>
      </w:pPr>
      <w:rPr>
        <w:rFonts w:hint="default"/>
        <w:lang w:val="en-US" w:eastAsia="zh-CN" w:bidi="ar-SA"/>
      </w:rPr>
    </w:lvl>
    <w:lvl w:ilvl="2">
      <w:start w:val="0"/>
      <w:numFmt w:val="bullet"/>
      <w:lvlText w:val="•"/>
      <w:lvlJc w:val="left"/>
      <w:pPr>
        <w:ind w:left="1171" w:hanging="360"/>
      </w:pPr>
      <w:rPr>
        <w:rFonts w:hint="default"/>
        <w:lang w:val="en-US" w:eastAsia="zh-CN" w:bidi="ar-SA"/>
      </w:rPr>
    </w:lvl>
    <w:lvl w:ilvl="3">
      <w:start w:val="0"/>
      <w:numFmt w:val="bullet"/>
      <w:lvlText w:val="•"/>
      <w:lvlJc w:val="left"/>
      <w:pPr>
        <w:ind w:left="1517" w:hanging="360"/>
      </w:pPr>
      <w:rPr>
        <w:rFonts w:hint="default"/>
        <w:lang w:val="en-US" w:eastAsia="zh-CN" w:bidi="ar-SA"/>
      </w:rPr>
    </w:lvl>
    <w:lvl w:ilvl="4">
      <w:start w:val="0"/>
      <w:numFmt w:val="bullet"/>
      <w:lvlText w:val="•"/>
      <w:lvlJc w:val="left"/>
      <w:pPr>
        <w:ind w:left="1862" w:hanging="360"/>
      </w:pPr>
      <w:rPr>
        <w:rFonts w:hint="default"/>
        <w:lang w:val="en-US" w:eastAsia="zh-CN" w:bidi="ar-SA"/>
      </w:rPr>
    </w:lvl>
    <w:lvl w:ilvl="5">
      <w:start w:val="0"/>
      <w:numFmt w:val="bullet"/>
      <w:lvlText w:val="•"/>
      <w:lvlJc w:val="left"/>
      <w:pPr>
        <w:ind w:left="2208" w:hanging="360"/>
      </w:pPr>
      <w:rPr>
        <w:rFonts w:hint="default"/>
        <w:lang w:val="en-US" w:eastAsia="zh-CN" w:bidi="ar-SA"/>
      </w:rPr>
    </w:lvl>
    <w:lvl w:ilvl="6">
      <w:start w:val="0"/>
      <w:numFmt w:val="bullet"/>
      <w:lvlText w:val="•"/>
      <w:lvlJc w:val="left"/>
      <w:pPr>
        <w:ind w:left="2554" w:hanging="360"/>
      </w:pPr>
      <w:rPr>
        <w:rFonts w:hint="default"/>
        <w:lang w:val="en-US" w:eastAsia="zh-CN" w:bidi="ar-SA"/>
      </w:rPr>
    </w:lvl>
    <w:lvl w:ilvl="7">
      <w:start w:val="0"/>
      <w:numFmt w:val="bullet"/>
      <w:lvlText w:val="•"/>
      <w:lvlJc w:val="left"/>
      <w:pPr>
        <w:ind w:left="2899" w:hanging="360"/>
      </w:pPr>
      <w:rPr>
        <w:rFonts w:hint="default"/>
        <w:lang w:val="en-US" w:eastAsia="zh-CN" w:bidi="ar-SA"/>
      </w:rPr>
    </w:lvl>
    <w:lvl w:ilvl="8">
      <w:start w:val="0"/>
      <w:numFmt w:val="bullet"/>
      <w:lvlText w:val="•"/>
      <w:lvlJc w:val="left"/>
      <w:pPr>
        <w:ind w:left="3245" w:hanging="360"/>
      </w:pPr>
      <w:rPr>
        <w:rFonts w:hint="default"/>
        <w:lang w:val="en-US" w:eastAsia="zh-CN" w:bidi="ar-SA"/>
      </w:rPr>
    </w:lvl>
  </w:abstractNum>
  <w:abstractNum w:abstractNumId="51">
    <w:nsid w:val="7D4AFA66"/>
    <w:multiLevelType w:val="hybridMultilevel"/>
    <w:tmpl w:val="00000000"/>
    <w:lvl w:ilvl="0">
      <w:start w:val="1"/>
      <w:numFmt w:val="lowerLetter"/>
      <w:lvlText w:val="%1）"/>
      <w:lvlJc w:val="left"/>
      <w:pPr>
        <w:ind w:left="1076" w:hanging="420"/>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64" w:hanging="420"/>
      </w:pPr>
      <w:rPr>
        <w:rFonts w:hint="default"/>
        <w:lang w:val="en-US" w:eastAsia="zh-CN" w:bidi="ar-SA"/>
      </w:rPr>
    </w:lvl>
    <w:lvl w:ilvl="2">
      <w:start w:val="0"/>
      <w:numFmt w:val="bullet"/>
      <w:lvlText w:val="•"/>
      <w:lvlJc w:val="left"/>
      <w:pPr>
        <w:ind w:left="2849" w:hanging="420"/>
      </w:pPr>
      <w:rPr>
        <w:rFonts w:hint="default"/>
        <w:lang w:val="en-US" w:eastAsia="zh-CN" w:bidi="ar-SA"/>
      </w:rPr>
    </w:lvl>
    <w:lvl w:ilvl="3">
      <w:start w:val="0"/>
      <w:numFmt w:val="bullet"/>
      <w:lvlText w:val="•"/>
      <w:lvlJc w:val="left"/>
      <w:pPr>
        <w:ind w:left="3733" w:hanging="420"/>
      </w:pPr>
      <w:rPr>
        <w:rFonts w:hint="default"/>
        <w:lang w:val="en-US" w:eastAsia="zh-CN" w:bidi="ar-SA"/>
      </w:rPr>
    </w:lvl>
    <w:lvl w:ilvl="4">
      <w:start w:val="0"/>
      <w:numFmt w:val="bullet"/>
      <w:lvlText w:val="•"/>
      <w:lvlJc w:val="left"/>
      <w:pPr>
        <w:ind w:left="4618" w:hanging="420"/>
      </w:pPr>
      <w:rPr>
        <w:rFonts w:hint="default"/>
        <w:lang w:val="en-US" w:eastAsia="zh-CN" w:bidi="ar-SA"/>
      </w:rPr>
    </w:lvl>
    <w:lvl w:ilvl="5">
      <w:start w:val="0"/>
      <w:numFmt w:val="bullet"/>
      <w:lvlText w:val="•"/>
      <w:lvlJc w:val="left"/>
      <w:pPr>
        <w:ind w:left="5503" w:hanging="420"/>
      </w:pPr>
      <w:rPr>
        <w:rFonts w:hint="default"/>
        <w:lang w:val="en-US" w:eastAsia="zh-CN" w:bidi="ar-SA"/>
      </w:rPr>
    </w:lvl>
    <w:lvl w:ilvl="6">
      <w:start w:val="0"/>
      <w:numFmt w:val="bullet"/>
      <w:lvlText w:val="•"/>
      <w:lvlJc w:val="left"/>
      <w:pPr>
        <w:ind w:left="6387" w:hanging="420"/>
      </w:pPr>
      <w:rPr>
        <w:rFonts w:hint="default"/>
        <w:lang w:val="en-US" w:eastAsia="zh-CN" w:bidi="ar-SA"/>
      </w:rPr>
    </w:lvl>
    <w:lvl w:ilvl="7">
      <w:start w:val="0"/>
      <w:numFmt w:val="bullet"/>
      <w:lvlText w:val="•"/>
      <w:lvlJc w:val="left"/>
      <w:pPr>
        <w:ind w:left="7272" w:hanging="420"/>
      </w:pPr>
      <w:rPr>
        <w:rFonts w:hint="default"/>
        <w:lang w:val="en-US" w:eastAsia="zh-CN" w:bidi="ar-SA"/>
      </w:rPr>
    </w:lvl>
    <w:lvl w:ilvl="8">
      <w:start w:val="0"/>
      <w:numFmt w:val="bullet"/>
      <w:lvlText w:val="•"/>
      <w:lvlJc w:val="left"/>
      <w:pPr>
        <w:ind w:left="8156" w:hanging="420"/>
      </w:pPr>
      <w:rPr>
        <w:rFonts w:hint="default"/>
        <w:lang w:val="en-US" w:eastAsia="zh-CN" w:bidi="ar-SA"/>
      </w:rPr>
    </w:lvl>
  </w:abstractNum>
  <w:num w:numId="1">
    <w:abstractNumId w:val="13"/>
  </w:num>
  <w:num w:numId="2">
    <w:abstractNumId w:val="2"/>
  </w:num>
  <w:num w:numId="3">
    <w:abstractNumId w:val="35"/>
  </w:num>
  <w:num w:numId="4">
    <w:abstractNumId w:val="50"/>
  </w:num>
  <w:num w:numId="5">
    <w:abstractNumId w:val="30"/>
  </w:num>
  <w:num w:numId="6">
    <w:abstractNumId w:val="16"/>
  </w:num>
  <w:num w:numId="7">
    <w:abstractNumId w:val="34"/>
  </w:num>
  <w:num w:numId="8">
    <w:abstractNumId w:val="41"/>
  </w:num>
  <w:num w:numId="9">
    <w:abstractNumId w:val="48"/>
  </w:num>
  <w:num w:numId="10">
    <w:abstractNumId w:val="31"/>
  </w:num>
  <w:num w:numId="11">
    <w:abstractNumId w:val="6"/>
  </w:num>
  <w:num w:numId="12">
    <w:abstractNumId w:val="43"/>
  </w:num>
  <w:num w:numId="13">
    <w:abstractNumId w:val="14"/>
  </w:num>
  <w:num w:numId="14">
    <w:abstractNumId w:val="39"/>
  </w:num>
  <w:num w:numId="15">
    <w:abstractNumId w:val="49"/>
  </w:num>
  <w:num w:numId="16">
    <w:abstractNumId w:val="38"/>
  </w:num>
  <w:num w:numId="17">
    <w:abstractNumId w:val="17"/>
  </w:num>
  <w:num w:numId="18">
    <w:abstractNumId w:val="47"/>
  </w:num>
  <w:num w:numId="19">
    <w:abstractNumId w:val="10"/>
  </w:num>
  <w:num w:numId="20">
    <w:abstractNumId w:val="18"/>
  </w:num>
  <w:num w:numId="21">
    <w:abstractNumId w:val="42"/>
  </w:num>
  <w:num w:numId="22">
    <w:abstractNumId w:val="12"/>
  </w:num>
  <w:num w:numId="23">
    <w:abstractNumId w:val="32"/>
  </w:num>
  <w:num w:numId="24">
    <w:abstractNumId w:val="23"/>
  </w:num>
  <w:num w:numId="25">
    <w:abstractNumId w:val="46"/>
  </w:num>
  <w:num w:numId="26">
    <w:abstractNumId w:val="29"/>
  </w:num>
  <w:num w:numId="27">
    <w:abstractNumId w:val="4"/>
  </w:num>
  <w:num w:numId="28">
    <w:abstractNumId w:val="21"/>
  </w:num>
  <w:num w:numId="29">
    <w:abstractNumId w:val="24"/>
  </w:num>
  <w:num w:numId="30">
    <w:abstractNumId w:val="33"/>
  </w:num>
  <w:num w:numId="31">
    <w:abstractNumId w:val="8"/>
  </w:num>
  <w:num w:numId="32">
    <w:abstractNumId w:val="26"/>
  </w:num>
  <w:num w:numId="33">
    <w:abstractNumId w:val="36"/>
  </w:num>
  <w:num w:numId="34">
    <w:abstractNumId w:val="27"/>
  </w:num>
  <w:num w:numId="35">
    <w:abstractNumId w:val="25"/>
  </w:num>
  <w:num w:numId="36">
    <w:abstractNumId w:val="44"/>
  </w:num>
  <w:num w:numId="37">
    <w:abstractNumId w:val="22"/>
  </w:num>
  <w:num w:numId="38">
    <w:abstractNumId w:val="5"/>
  </w:num>
  <w:num w:numId="39">
    <w:abstractNumId w:val="28"/>
  </w:num>
  <w:num w:numId="40">
    <w:abstractNumId w:val="20"/>
  </w:num>
  <w:num w:numId="41">
    <w:abstractNumId w:val="15"/>
  </w:num>
  <w:num w:numId="42">
    <w:abstractNumId w:val="11"/>
  </w:num>
  <w:num w:numId="43">
    <w:abstractNumId w:val="51"/>
  </w:num>
  <w:num w:numId="44">
    <w:abstractNumId w:val="19"/>
  </w:num>
  <w:num w:numId="45">
    <w:abstractNumId w:val="1"/>
  </w:num>
  <w:num w:numId="46">
    <w:abstractNumId w:val="40"/>
  </w:num>
  <w:num w:numId="47">
    <w:abstractNumId w:val="45"/>
  </w:num>
  <w:num w:numId="48">
    <w:abstractNumId w:val="0"/>
  </w:num>
  <w:num w:numId="49">
    <w:abstractNumId w:val="9"/>
  </w:num>
  <w:num w:numId="50">
    <w:abstractNumId w:val="7"/>
  </w:num>
  <w:num w:numId="51">
    <w:abstractNumId w:val="3"/>
  </w:num>
  <w:num w:numId="52">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zh-CN" w:bidi="ar-SA"/>
    </w:rPr>
  </w:style>
  <w:style w:type="paragraph" w:styleId="Heading1">
    <w:name w:val="heading 1"/>
    <w:basedOn w:val="Normal"/>
    <w:uiPriority w:val="1"/>
    <w:qFormat/>
    <w:pPr>
      <w:spacing w:before="54"/>
      <w:jc w:val="center"/>
      <w:outlineLvl w:val="0"/>
    </w:pPr>
    <w:rPr>
      <w:rFonts w:ascii="黑体" w:eastAsia="黑体" w:hAnsi="黑体" w:cs="黑体"/>
      <w:sz w:val="32"/>
      <w:szCs w:val="32"/>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21"/>
      <w:szCs w:val="21"/>
      <w:lang w:val="en-US" w:eastAsia="zh-CN" w:bidi="ar-SA"/>
    </w:rPr>
  </w:style>
  <w:style w:type="paragraph" w:styleId="Title">
    <w:name w:val="Title"/>
    <w:basedOn w:val="Normal"/>
    <w:uiPriority w:val="1"/>
    <w:qFormat/>
    <w:pPr>
      <w:ind w:left="129"/>
      <w:jc w:val="center"/>
    </w:pPr>
    <w:rPr>
      <w:rFonts w:ascii="黑体" w:eastAsia="黑体" w:hAnsi="黑体" w:cs="黑体"/>
      <w:sz w:val="52"/>
      <w:szCs w:val="52"/>
      <w:lang w:val="en-US" w:eastAsia="zh-CN" w:bidi="ar-SA"/>
    </w:rPr>
  </w:style>
  <w:style w:type="paragraph" w:styleId="ListParagraph">
    <w:name w:val="List Paragraph"/>
    <w:basedOn w:val="Normal"/>
    <w:uiPriority w:val="1"/>
    <w:qFormat/>
    <w:pPr>
      <w:ind w:left="1076" w:hanging="420"/>
    </w:pPr>
    <w:rPr>
      <w:rFonts w:ascii="宋体" w:eastAsia="宋体" w:hAnsi="宋体" w:cs="宋体"/>
      <w:lang w:val="en-US" w:eastAsia="zh-CN" w:bidi="ar-SA"/>
    </w:rPr>
  </w:style>
  <w:style w:type="paragraph" w:customStyle="1" w:styleId="TableParagraph">
    <w:name w:val="Table Paragraph"/>
    <w:basedOn w:val="Normal"/>
    <w:uiPriority w:val="1"/>
    <w:qFormat/>
    <w:pPr>
      <w:spacing w:before="41"/>
      <w:ind w:left="112"/>
      <w:jc w:val="center"/>
    </w:pPr>
    <w:rPr>
      <w:rFonts w:ascii="宋体" w:eastAsia="宋体" w:hAnsi="宋体" w:cs="宋体"/>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5.xml" /><Relationship Id="rId12" Type="http://schemas.openxmlformats.org/officeDocument/2006/relationships/header" Target="header6.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eader" Target="header7.xml" /><Relationship Id="rId16" Type="http://schemas.openxmlformats.org/officeDocument/2006/relationships/header" Target="header8.xml" /><Relationship Id="rId17" Type="http://schemas.openxmlformats.org/officeDocument/2006/relationships/footer" Target="footer6.xml" /><Relationship Id="rId18" Type="http://schemas.openxmlformats.org/officeDocument/2006/relationships/footer" Target="footer7.xml" /><Relationship Id="rId19" Type="http://schemas.openxmlformats.org/officeDocument/2006/relationships/header" Target="header9.xml" /><Relationship Id="rId2" Type="http://schemas.openxmlformats.org/officeDocument/2006/relationships/webSettings" Target="webSettings.xml" /><Relationship Id="rId20" Type="http://schemas.openxmlformats.org/officeDocument/2006/relationships/header" Target="header10.xml" /><Relationship Id="rId21" Type="http://schemas.openxmlformats.org/officeDocument/2006/relationships/footer" Target="footer8.xml" /><Relationship Id="rId22" Type="http://schemas.openxmlformats.org/officeDocument/2006/relationships/footer" Target="footer9.xml" /><Relationship Id="rId23" Type="http://schemas.openxmlformats.org/officeDocument/2006/relationships/header" Target="header11.xml" /><Relationship Id="rId24" Type="http://schemas.openxmlformats.org/officeDocument/2006/relationships/header" Target="header12.xml" /><Relationship Id="rId25" Type="http://schemas.openxmlformats.org/officeDocument/2006/relationships/footer" Target="footer10.xml" /><Relationship Id="rId26" Type="http://schemas.openxmlformats.org/officeDocument/2006/relationships/footer" Target="footer11.xml" /><Relationship Id="rId27" Type="http://schemas.openxmlformats.org/officeDocument/2006/relationships/header" Target="header13.xml" /><Relationship Id="rId28" Type="http://schemas.openxmlformats.org/officeDocument/2006/relationships/header" Target="header14.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header" Target="header15.xml" /><Relationship Id="rId32" Type="http://schemas.openxmlformats.org/officeDocument/2006/relationships/header" Target="header16.xml" /><Relationship Id="rId33" Type="http://schemas.openxmlformats.org/officeDocument/2006/relationships/footer" Target="footer14.xml" /><Relationship Id="rId34" Type="http://schemas.openxmlformats.org/officeDocument/2006/relationships/footer" Target="footer15.xml" /><Relationship Id="rId35" Type="http://schemas.openxmlformats.org/officeDocument/2006/relationships/header" Target="header17.xml" /><Relationship Id="rId36" Type="http://schemas.openxmlformats.org/officeDocument/2006/relationships/header" Target="header18.xml" /><Relationship Id="rId37" Type="http://schemas.openxmlformats.org/officeDocument/2006/relationships/footer" Target="footer16.xml" /><Relationship Id="rId38" Type="http://schemas.openxmlformats.org/officeDocument/2006/relationships/footer" Target="footer17.xml" /><Relationship Id="rId39" Type="http://schemas.openxmlformats.org/officeDocument/2006/relationships/header" Target="header19.xml" /><Relationship Id="rId4" Type="http://schemas.openxmlformats.org/officeDocument/2006/relationships/header" Target="header1.xml" /><Relationship Id="rId40" Type="http://schemas.openxmlformats.org/officeDocument/2006/relationships/header" Target="header20.xml" /><Relationship Id="rId41" Type="http://schemas.openxmlformats.org/officeDocument/2006/relationships/footer" Target="footer18.xml" /><Relationship Id="rId42" Type="http://schemas.openxmlformats.org/officeDocument/2006/relationships/footer" Target="footer19.xml" /><Relationship Id="rId43" Type="http://schemas.openxmlformats.org/officeDocument/2006/relationships/header" Target="header21.xml" /><Relationship Id="rId44" Type="http://schemas.openxmlformats.org/officeDocument/2006/relationships/header" Target="header22.xml" /><Relationship Id="rId45" Type="http://schemas.openxmlformats.org/officeDocument/2006/relationships/footer" Target="footer20.xml" /><Relationship Id="rId46" Type="http://schemas.openxmlformats.org/officeDocument/2006/relationships/footer" Target="footer21.xml" /><Relationship Id="rId47" Type="http://schemas.openxmlformats.org/officeDocument/2006/relationships/header" Target="header23.xml" /><Relationship Id="rId48" Type="http://schemas.openxmlformats.org/officeDocument/2006/relationships/header" Target="header24.xml" /><Relationship Id="rId49" Type="http://schemas.openxmlformats.org/officeDocument/2006/relationships/footer" Target="footer22.xml" /><Relationship Id="rId5" Type="http://schemas.openxmlformats.org/officeDocument/2006/relationships/header" Target="header2.xml" /><Relationship Id="rId50" Type="http://schemas.openxmlformats.org/officeDocument/2006/relationships/footer" Target="footer23.xml" /><Relationship Id="rId51" Type="http://schemas.openxmlformats.org/officeDocument/2006/relationships/hyperlink" Target="https://d.book118.com/585344012031011041" TargetMode="Externa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4.xml" /><Relationship Id="rId55" Type="http://schemas.openxmlformats.org/officeDocument/2006/relationships/footer" Target="footer25.xml" /><Relationship Id="rId56" Type="http://schemas.openxmlformats.org/officeDocument/2006/relationships/theme" Target="theme/theme1.xml" /><Relationship Id="rId57" Type="http://schemas.openxmlformats.org/officeDocument/2006/relationships/numbering" Target="numbering.xml" /><Relationship Id="rId58" Type="http://schemas.openxmlformats.org/officeDocument/2006/relationships/styles" Target="styles.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header" Target="header4.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灞波儿奔与奔波儿灞 คิดถึง</dc:creator>
  <cp:revision>0</cp:revision>
  <dcterms:created xsi:type="dcterms:W3CDTF">2024-01-10T09:23:35Z</dcterms:created>
  <dcterms:modified xsi:type="dcterms:W3CDTF">2024-01-10T09:23:35Z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2023-12-29T00:00:00Z</vt:filetime>
  </property>
  <property fmtid="{D5CDD505-2E9C-101B-9397-08002B2CF9AE}" pid="3" name="Creator">
    <vt:lpwstr>WPS 文字</vt:lpwstr>
  </property>
  <property fmtid="{D5CDD505-2E9C-101B-9397-08002B2CF9AE}" pid="4" name="LastSaved">
    <vt:filetime>2024-01-10T00:00:00Z</vt:filetime>
  </property>
</Properties>
</file>