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D007D" w:rsidP="00AD007D" w14:paraId="5E1208B5" w14:textId="77777777">
      <w:pPr>
        <w:spacing w:before="48" w:beforeLines="20" w:after="360" w:afterLines="150" w:line="360" w:lineRule="auto"/>
        <w:jc w:val="center"/>
        <w:rPr>
          <w:rFonts w:ascii="华文中宋" w:eastAsia="华文中宋" w:hAnsi="华文中宋"/>
          <w:b/>
          <w:sz w:val="30"/>
        </w:rPr>
      </w:pPr>
      <w:r w:rsidRPr="00AD007D">
        <w:rPr>
          <w:rFonts w:ascii="华文中宋" w:eastAsia="华文中宋" w:hAnsi="华文中宋"/>
          <w:b/>
          <w:sz w:val="30"/>
        </w:rPr>
        <w:t>2024</w:t>
      </w:r>
      <w:r w:rsidRPr="00AD007D">
        <w:rPr>
          <w:rFonts w:ascii="华文中宋" w:eastAsia="华文中宋" w:hAnsi="华文中宋"/>
          <w:b/>
          <w:sz w:val="30"/>
        </w:rPr>
        <w:t>年</w:t>
      </w:r>
      <w:r w:rsidRPr="00AD007D">
        <w:rPr>
          <w:rFonts w:ascii="华文中宋" w:eastAsia="华文中宋" w:hAnsi="华文中宋"/>
          <w:b/>
          <w:sz w:val="30"/>
        </w:rPr>
        <w:t>1</w:t>
      </w:r>
      <w:r w:rsidRPr="00AD007D">
        <w:rPr>
          <w:rFonts w:ascii="华文中宋" w:eastAsia="华文中宋" w:hAnsi="华文中宋"/>
          <w:b/>
          <w:sz w:val="30"/>
        </w:rPr>
        <w:t>月广东深圳市光明区国有资产监督管理局招聘一般专干</w:t>
      </w:r>
      <w:r w:rsidRPr="00AD007D">
        <w:rPr>
          <w:rFonts w:ascii="华文中宋" w:eastAsia="华文中宋" w:hAnsi="华文中宋"/>
          <w:b/>
          <w:sz w:val="30"/>
        </w:rPr>
        <w:t>1</w:t>
      </w:r>
      <w:r w:rsidRPr="00AD007D">
        <w:rPr>
          <w:rFonts w:ascii="华文中宋" w:eastAsia="华文中宋" w:hAnsi="华文中宋"/>
          <w:b/>
          <w:sz w:val="30"/>
        </w:rPr>
        <w:t>人笔试备考试题及答案解析</w:t>
      </w:r>
    </w:p>
    <w:p w:rsidR="00A77B3E" w14:paraId="74E4F0B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F4073C" w14:textId="77777777">
      <w:pPr>
        <w:spacing w:after="260" w:line="360" w:lineRule="auto"/>
      </w:pPr>
      <w:r>
        <w:rPr>
          <w:rFonts w:ascii="微软雅黑" w:eastAsia="微软雅黑" w:cs="微软雅黑"/>
        </w:rPr>
        <w:t>一、选择题</w:t>
      </w:r>
    </w:p>
    <w:p w:rsidR="006D34C4" w14:paraId="65C63F6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17BD5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06C0ED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325A41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4B8F0E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4A39600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625CF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439FBF1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2735E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EEFD4D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1C5DBD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E8F41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8BEDB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CE920D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769D6CC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06339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49B324E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789A7A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5948DB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5B1C7F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5AF18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0EF1A90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67EE66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3FE5113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1D1A7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3014E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42682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456D8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2C61CE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54FE4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4F7EB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0618E7F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4870D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4C113E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C8A50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7150AB5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3EC9BE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https://d.book118.com/586001015232010042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rsidP="00B77510" w14:paraId="10B2B6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007D" w14:paraId="2A0BB7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rsidP="00B77510" w14:paraId="331A28D0" w14:textId="6713B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007D" w14:paraId="761622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paraId="698182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00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rsidP="00B77510" w14:textId="6713B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00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00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rsidP="00B77510" w14:textId="6713B9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00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paraId="2A30D2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paraId="14C20F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paraId="492FBD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0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D007D"/>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557CD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D007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D007D"/>
    <w:rPr>
      <w:sz w:val="18"/>
      <w:szCs w:val="18"/>
    </w:rPr>
  </w:style>
  <w:style w:type="paragraph" w:styleId="Footer">
    <w:name w:val="footer"/>
    <w:basedOn w:val="Normal"/>
    <w:link w:val="a0"/>
    <w:rsid w:val="00AD007D"/>
    <w:pPr>
      <w:tabs>
        <w:tab w:val="center" w:pos="4153"/>
        <w:tab w:val="right" w:pos="8306"/>
      </w:tabs>
      <w:snapToGrid w:val="0"/>
    </w:pPr>
    <w:rPr>
      <w:sz w:val="18"/>
      <w:szCs w:val="18"/>
    </w:rPr>
  </w:style>
  <w:style w:type="character" w:customStyle="1" w:styleId="a0">
    <w:name w:val="页脚 字符"/>
    <w:basedOn w:val="DefaultParagraphFont"/>
    <w:link w:val="Footer"/>
    <w:rsid w:val="00AD007D"/>
    <w:rPr>
      <w:sz w:val="18"/>
      <w:szCs w:val="18"/>
    </w:rPr>
  </w:style>
  <w:style w:type="character" w:styleId="PageNumber">
    <w:name w:val="page number"/>
    <w:basedOn w:val="DefaultParagraphFont"/>
    <w:rsid w:val="00AD0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600101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3138</Words>
  <Characters>17891</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