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adjustRightInd w:val="0"/>
        <w:snapToGrid w:val="0"/>
        <w:spacing w:before="332" w:beforeLines="100"/>
        <w:jc w:val="center"/>
        <w:rPr>
          <w:rFonts w:ascii="隶书" w:eastAsia="隶书" w:hAnsi="隶书" w:cs="隶书" w:hint="eastAsia"/>
          <w:b/>
          <w:bCs/>
          <w:sz w:val="48"/>
          <w:szCs w:val="48"/>
        </w:rPr>
      </w:pPr>
    </w:p>
    <w:p>
      <w:pPr>
        <w:adjustRightInd w:val="0"/>
        <w:snapToGrid w:val="0"/>
        <w:jc w:val="center"/>
        <w:rPr>
          <w:rFonts w:ascii="隶书" w:eastAsia="隶书" w:hAnsi="隶书" w:cs="隶书"/>
          <w:b/>
          <w:bCs/>
          <w:sz w:val="72"/>
          <w:szCs w:val="72"/>
        </w:rPr>
      </w:pPr>
      <w:r>
        <w:rPr>
          <w:rFonts w:ascii="隶书" w:eastAsia="隶书" w:hAnsi="隶书" w:cs="隶书" w:hint="eastAsia"/>
          <w:b/>
          <w:bCs/>
          <w:sz w:val="72"/>
          <w:szCs w:val="72"/>
        </w:rPr>
        <w:t>塔吊安拆专项施工方案</w:t>
      </w:r>
    </w:p>
    <w:p>
      <w:pPr>
        <w:adjustRightInd w:val="0"/>
        <w:snapToGrid w:val="0"/>
        <w:spacing w:line="500" w:lineRule="exact"/>
        <w:jc w:val="center"/>
        <w:rPr>
          <w:rFonts w:asciiTheme="minorEastAsia" w:hAnsiTheme="minorEastAsia" w:cstheme="minorEastAsia"/>
          <w:shd w:val="pct10" w:color="auto" w:fill="FFFFFF"/>
        </w:rPr>
      </w:pPr>
    </w:p>
    <w:p>
      <w:pPr>
        <w:adjustRightInd w:val="0"/>
        <w:snapToGrid w:val="0"/>
        <w:spacing w:line="500" w:lineRule="exact"/>
        <w:jc w:val="center"/>
        <w:rPr>
          <w:rFonts w:asciiTheme="minorEastAsia" w:hAnsiTheme="minorEastAsia" w:cstheme="minorEastAsia"/>
          <w:shd w:val="pct10" w:color="auto" w:fill="FFFFFF"/>
        </w:rPr>
      </w:pPr>
    </w:p>
    <w:p>
      <w:pPr>
        <w:adjustRightInd w:val="0"/>
        <w:snapToGrid w:val="0"/>
        <w:spacing w:line="500" w:lineRule="exact"/>
        <w:jc w:val="center"/>
        <w:rPr>
          <w:rFonts w:asciiTheme="minorEastAsia" w:hAnsiTheme="minorEastAsia" w:cstheme="minorEastAsia"/>
          <w:shd w:val="pct10" w:color="auto" w:fill="FFFFFF"/>
        </w:rPr>
      </w:pPr>
    </w:p>
    <w:p>
      <w:pPr>
        <w:adjustRightInd w:val="0"/>
        <w:snapToGrid w:val="0"/>
        <w:spacing w:line="500" w:lineRule="exact"/>
        <w:ind w:firstLine="600" w:firstLineChars="200"/>
        <w:rPr>
          <w:rFonts w:asciiTheme="minorEastAsia" w:hAnsiTheme="minorEastAsia" w:cstheme="minorEastAsia"/>
          <w:sz w:val="30"/>
          <w:szCs w:val="30"/>
        </w:rPr>
      </w:pPr>
    </w:p>
    <w:p>
      <w:pPr>
        <w:adjustRightInd w:val="0"/>
        <w:snapToGrid w:val="0"/>
        <w:spacing w:line="480" w:lineRule="auto"/>
        <w:rPr>
          <w:rFonts w:asciiTheme="minorEastAsia" w:hAnsiTheme="minorEastAsia" w:cstheme="minorEastAsia"/>
          <w:shd w:val="pct10" w:color="auto" w:fill="FFFFFF"/>
        </w:rPr>
      </w:pPr>
      <w:r>
        <w:rPr>
          <w:rFonts w:ascii="宋体" w:eastAsia="宋体" w:hAnsi="宋体" w:cs="宋体" w:hint="eastAsia"/>
          <w:b/>
          <w:bCs/>
          <w:sz w:val="30"/>
          <w:szCs w:val="30"/>
        </w:rPr>
        <w:t>编制单位：</w:t>
      </w:r>
      <w:r>
        <w:rPr>
          <w:rFonts w:asciiTheme="minorEastAsia" w:hAnsiTheme="minorEastAsia" w:cstheme="minorEastAsia" w:hint="eastAsia"/>
          <w:sz w:val="30"/>
          <w:szCs w:val="30"/>
          <w:u w:val="single"/>
        </w:rPr>
        <w:t xml:space="preserve">  施工技术组   </w:t>
      </w:r>
    </w:p>
    <w:p>
      <w:pPr>
        <w:adjustRightInd w:val="0"/>
        <w:snapToGrid w:val="0"/>
        <w:spacing w:line="480" w:lineRule="auto"/>
        <w:rPr>
          <w:rFonts w:ascii="宋体" w:eastAsia="宋体" w:hAnsi="宋体" w:cs="宋体"/>
          <w:b/>
          <w:bCs/>
          <w:sz w:val="30"/>
          <w:szCs w:val="30"/>
        </w:rPr>
      </w:pPr>
      <w:r>
        <w:rPr>
          <w:rFonts w:ascii="宋体" w:eastAsia="宋体" w:hAnsi="宋体" w:cs="宋体" w:hint="eastAsia"/>
          <w:b/>
          <w:bCs/>
          <w:sz w:val="30"/>
          <w:szCs w:val="30"/>
        </w:rPr>
        <w:t>编制时间：</w:t>
      </w:r>
      <w:r>
        <w:rPr>
          <w:rFonts w:asciiTheme="minorEastAsia" w:hAnsiTheme="minorEastAsia" w:cstheme="minorEastAsia" w:hint="eastAsia"/>
          <w:sz w:val="30"/>
          <w:szCs w:val="30"/>
          <w:u w:val="single"/>
        </w:rPr>
        <w:t xml:space="preserve">             2021年</w:t>
      </w:r>
      <w:r>
        <w:rPr>
          <w:rFonts w:asciiTheme="minorEastAsia" w:hAnsiTheme="minorEastAsia" w:cstheme="minorEastAsia"/>
          <w:sz w:val="30"/>
          <w:szCs w:val="30"/>
          <w:u w:val="single"/>
        </w:rPr>
        <w:t>3</w:t>
      </w:r>
      <w:r>
        <w:rPr>
          <w:rFonts w:asciiTheme="minorEastAsia" w:hAnsiTheme="minorEastAsia" w:cstheme="minorEastAsia" w:hint="eastAsia"/>
          <w:sz w:val="30"/>
          <w:szCs w:val="30"/>
          <w:u w:val="single"/>
        </w:rPr>
        <w:t>月</w:t>
      </w:r>
      <w:r>
        <w:rPr>
          <w:rFonts w:asciiTheme="minorEastAsia" w:hAnsiTheme="minorEastAsia" w:cstheme="minorEastAsia"/>
          <w:sz w:val="30"/>
          <w:szCs w:val="30"/>
          <w:u w:val="single"/>
        </w:rPr>
        <w:t>19</w:t>
      </w:r>
      <w:r>
        <w:rPr>
          <w:rFonts w:asciiTheme="minorEastAsia" w:hAnsiTheme="minorEastAsia" w:cstheme="minorEastAsia" w:hint="eastAsia"/>
          <w:sz w:val="30"/>
          <w:szCs w:val="30"/>
          <w:u w:val="single"/>
        </w:rPr>
        <w:t xml:space="preserve">日              </w:t>
      </w:r>
    </w:p>
    <w:p>
      <w:pPr>
        <w:adjustRightInd w:val="0"/>
        <w:snapToGrid w:val="0"/>
        <w:spacing w:line="480" w:lineRule="auto"/>
        <w:rPr>
          <w:rFonts w:asciiTheme="minorEastAsia" w:hAnsiTheme="minorEastAsia" w:cstheme="minorEastAsia"/>
          <w:sz w:val="30"/>
          <w:szCs w:val="30"/>
        </w:rPr>
      </w:pPr>
      <w:r>
        <w:rPr>
          <w:rFonts w:ascii="宋体" w:eastAsia="宋体" w:hAnsi="宋体" w:cs="宋体" w:hint="eastAsia"/>
          <w:b/>
          <w:bCs/>
          <w:sz w:val="30"/>
          <w:szCs w:val="30"/>
        </w:rPr>
        <w:t>编 制 人：</w:t>
      </w:r>
      <w:r>
        <w:rPr>
          <w:rFonts w:asciiTheme="minorEastAsia" w:hAnsiTheme="minorEastAsia" w:cstheme="minorEastAsia" w:hint="eastAsia"/>
          <w:sz w:val="30"/>
          <w:szCs w:val="30"/>
          <w:u w:val="single"/>
        </w:rPr>
        <w:t xml:space="preserve">                                           </w:t>
      </w:r>
    </w:p>
    <w:p>
      <w:pPr>
        <w:adjustRightInd w:val="0"/>
        <w:snapToGrid w:val="0"/>
        <w:spacing w:line="480" w:lineRule="auto"/>
        <w:rPr>
          <w:rFonts w:asciiTheme="minorEastAsia" w:hAnsiTheme="minorEastAsia" w:cstheme="minorEastAsia"/>
          <w:sz w:val="30"/>
          <w:szCs w:val="30"/>
        </w:rPr>
      </w:pPr>
      <w:r>
        <w:rPr>
          <w:rFonts w:ascii="宋体" w:eastAsia="宋体" w:hAnsi="宋体" w:cs="宋体" w:hint="eastAsia"/>
          <w:b/>
          <w:bCs/>
          <w:sz w:val="30"/>
          <w:szCs w:val="30"/>
        </w:rPr>
        <w:t>审 核 人：</w:t>
      </w:r>
      <w:r>
        <w:rPr>
          <w:rFonts w:asciiTheme="minorEastAsia" w:hAnsiTheme="minorEastAsia" w:cstheme="minorEastAsia" w:hint="eastAsia"/>
          <w:sz w:val="30"/>
          <w:szCs w:val="30"/>
          <w:u w:val="single"/>
        </w:rPr>
        <w:t xml:space="preserve">                                           </w:t>
      </w:r>
    </w:p>
    <w:p>
      <w:pPr>
        <w:adjustRightInd w:val="0"/>
        <w:snapToGrid w:val="0"/>
        <w:spacing w:line="480" w:lineRule="auto"/>
        <w:rPr>
          <w:rFonts w:asciiTheme="minorEastAsia" w:hAnsiTheme="minorEastAsia" w:cstheme="minorEastAsia"/>
          <w:sz w:val="30"/>
          <w:szCs w:val="30"/>
          <w:u w:val="single"/>
        </w:rPr>
      </w:pPr>
      <w:r>
        <w:rPr>
          <w:rFonts w:ascii="宋体" w:eastAsia="宋体" w:hAnsi="宋体" w:cs="宋体" w:hint="eastAsia"/>
          <w:b/>
          <w:bCs/>
          <w:sz w:val="30"/>
          <w:szCs w:val="30"/>
        </w:rPr>
        <w:t>审 批 人：</w:t>
      </w:r>
      <w:r>
        <w:rPr>
          <w:rFonts w:asciiTheme="minorEastAsia" w:hAnsiTheme="minorEastAsia" w:cstheme="minorEastAsia" w:hint="eastAsia"/>
          <w:sz w:val="30"/>
          <w:szCs w:val="30"/>
          <w:u w:val="single"/>
        </w:rPr>
        <w:t xml:space="preserve">                                           </w:t>
      </w:r>
    </w:p>
    <w:p>
      <w:pPr>
        <w:adjustRightInd w:val="0"/>
        <w:snapToGrid w:val="0"/>
        <w:spacing w:line="500" w:lineRule="exact"/>
        <w:rPr>
          <w:rFonts w:asciiTheme="minorEastAsia" w:hAnsiTheme="minorEastAsia" w:cstheme="minorEastAsia"/>
          <w:sz w:val="30"/>
          <w:szCs w:val="30"/>
        </w:rPr>
        <w:sectPr>
          <w:headerReference w:type="default" r:id="rId6"/>
          <w:footerReference w:type="default" r:id="rId7"/>
          <w:pgSz w:w="11906" w:h="16838"/>
          <w:pgMar w:top="1440" w:right="1803" w:bottom="1418" w:left="1803" w:header="851" w:footer="992" w:gutter="0"/>
          <w:pgNumType w:fmt="numberInDash"/>
          <w:cols w:num="1" w:space="0"/>
          <w:docGrid w:type="lines" w:linePitch="332" w:charSpace="0"/>
        </w:sectPr>
      </w:pPr>
    </w:p>
    <w:p>
      <w:pPr>
        <w:pStyle w:val="Default"/>
      </w:pPr>
    </w:p>
    <w:sdt>
      <w:sdtPr>
        <w:rPr>
          <w:rFonts w:ascii="Calibri" w:eastAsia="宋体" w:hAnsi="Calibri" w:cs="Times New Roman"/>
          <w:color w:val="000000"/>
          <w:sz w:val="40"/>
          <w:szCs w:val="40"/>
          <w:lang w:val="zh-CN"/>
        </w:rPr>
        <w:id w:val="422384255"/>
        <w:docPartObj>
          <w:docPartGallery w:val="Table of Contents"/>
          <w:docPartUnique/>
        </w:docPartObj>
      </w:sdtPr>
      <w:sdtEndPr>
        <w:rPr>
          <w:rFonts w:ascii="Calibri" w:eastAsia="宋体" w:hAnsi="Calibri" w:cs="Times New Roman"/>
          <w:b/>
          <w:bCs/>
          <w:color w:val="000000"/>
          <w:sz w:val="32"/>
          <w:szCs w:val="24"/>
          <w:lang w:val="zh-CN"/>
        </w:rPr>
      </w:sdtEndPr>
      <w:sdtContent>
        <w:p>
          <w:pPr>
            <w:pStyle w:val="TOC10"/>
            <w:jc w:val="center"/>
            <w:rPr>
              <w:color w:val="auto"/>
              <w:sz w:val="44"/>
              <w:szCs w:val="44"/>
            </w:rPr>
          </w:pPr>
          <w:r>
            <w:rPr>
              <w:color w:val="auto"/>
              <w:sz w:val="44"/>
              <w:szCs w:val="44"/>
              <w:lang w:val="zh-CN"/>
            </w:rPr>
            <w:t>目录</w:t>
          </w:r>
        </w:p>
        <w:p>
          <w:pPr>
            <w:pStyle w:val="TOC1"/>
            <w:tabs>
              <w:tab w:val="clear" w:pos="426"/>
              <w:tab w:val="right" w:leader="dot" w:pos="8300"/>
              <w:tab w:val="clear" w:pos="8965"/>
            </w:tabs>
          </w:pPr>
          <w:r>
            <w:rPr>
              <w:sz w:val="52"/>
              <w:szCs w:val="40"/>
            </w:rPr>
            <w:fldChar w:fldCharType="begin"/>
          </w:r>
          <w:r>
            <w:rPr>
              <w:sz w:val="52"/>
              <w:szCs w:val="40"/>
            </w:rPr>
            <w:instrText xml:space="preserve"> TOC \o "1-3" \h \z \u </w:instrText>
          </w:r>
          <w:r>
            <w:rPr>
              <w:sz w:val="52"/>
              <w:szCs w:val="40"/>
            </w:rPr>
            <w:fldChar w:fldCharType="separate"/>
          </w:r>
          <w:hyperlink w:anchor="_Toc13375" w:history="1">
            <w:r>
              <w:rPr>
                <w:rFonts w:hint="eastAsia"/>
                <w:bCs/>
                <w:szCs w:val="28"/>
              </w:rPr>
              <w:t>一、编制依据</w:t>
            </w:r>
            <w:r>
              <w:tab/>
            </w:r>
          </w:hyperlink>
        </w:p>
        <w:p>
          <w:pPr>
            <w:pStyle w:val="TOC1"/>
            <w:tabs>
              <w:tab w:val="clear" w:pos="426"/>
              <w:tab w:val="right" w:leader="dot" w:pos="8300"/>
              <w:tab w:val="clear" w:pos="8965"/>
            </w:tabs>
          </w:pPr>
          <w:hyperlink w:anchor="_Toc28982" w:history="1">
            <w:r>
              <w:rPr>
                <w:rFonts w:hint="eastAsia"/>
                <w:bCs/>
                <w:szCs w:val="28"/>
              </w:rPr>
              <w:t>二、工程概况</w:t>
            </w:r>
            <w:r>
              <w:tab/>
            </w:r>
          </w:hyperlink>
        </w:p>
        <w:p>
          <w:pPr>
            <w:pStyle w:val="TOC1"/>
            <w:tabs>
              <w:tab w:val="clear" w:pos="426"/>
              <w:tab w:val="right" w:leader="dot" w:pos="8300"/>
              <w:tab w:val="clear" w:pos="8965"/>
            </w:tabs>
          </w:pPr>
          <w:hyperlink w:anchor="_Toc31614" w:history="1">
            <w:r>
              <w:rPr>
                <w:bCs/>
                <w:szCs w:val="28"/>
              </w:rPr>
              <w:t>三、</w:t>
            </w:r>
            <w:r>
              <w:rPr>
                <w:rFonts w:hint="eastAsia"/>
                <w:bCs/>
                <w:szCs w:val="28"/>
              </w:rPr>
              <w:t>塔机设备基本情况</w:t>
            </w:r>
            <w:r>
              <w:tab/>
            </w:r>
          </w:hyperlink>
        </w:p>
        <w:p>
          <w:pPr>
            <w:pStyle w:val="TOC1"/>
            <w:tabs>
              <w:tab w:val="clear" w:pos="426"/>
              <w:tab w:val="right" w:leader="dot" w:pos="8300"/>
              <w:tab w:val="clear" w:pos="8965"/>
            </w:tabs>
          </w:pPr>
          <w:hyperlink w:anchor="_Toc12196" w:history="1">
            <w:r>
              <w:rPr>
                <w:rFonts w:hint="eastAsia"/>
                <w:bCs/>
                <w:szCs w:val="28"/>
              </w:rPr>
              <w:t>四、塔吊安装位置</w:t>
            </w:r>
            <w:r>
              <w:tab/>
            </w:r>
          </w:hyperlink>
        </w:p>
        <w:p>
          <w:pPr>
            <w:pStyle w:val="TOC1"/>
            <w:tabs>
              <w:tab w:val="clear" w:pos="426"/>
              <w:tab w:val="right" w:leader="dot" w:pos="8300"/>
              <w:tab w:val="clear" w:pos="8965"/>
            </w:tabs>
          </w:pPr>
          <w:hyperlink w:anchor="_Toc23500" w:history="1">
            <w:r>
              <w:rPr>
                <w:rFonts w:hint="eastAsia"/>
                <w:bCs/>
                <w:szCs w:val="28"/>
              </w:rPr>
              <w:t>五、塔机基础</w:t>
            </w:r>
            <w:r>
              <w:tab/>
            </w:r>
          </w:hyperlink>
        </w:p>
        <w:p>
          <w:pPr>
            <w:pStyle w:val="TOC1"/>
            <w:tabs>
              <w:tab w:val="clear" w:pos="426"/>
              <w:tab w:val="right" w:leader="dot" w:pos="8300"/>
              <w:tab w:val="clear" w:pos="8965"/>
            </w:tabs>
          </w:pPr>
          <w:hyperlink w:anchor="_Toc24384" w:history="1">
            <w:r>
              <w:rPr>
                <w:rFonts w:hint="eastAsia"/>
                <w:szCs w:val="28"/>
              </w:rPr>
              <w:t>六、塔机安装安全质量要求</w:t>
            </w:r>
            <w:r>
              <w:tab/>
            </w:r>
          </w:hyperlink>
        </w:p>
        <w:p>
          <w:pPr>
            <w:pStyle w:val="TOC1"/>
            <w:tabs>
              <w:tab w:val="clear" w:pos="426"/>
              <w:tab w:val="right" w:leader="dot" w:pos="8300"/>
              <w:tab w:val="clear" w:pos="8965"/>
            </w:tabs>
          </w:pPr>
          <w:hyperlink w:anchor="_Toc22603" w:history="1">
            <w:r>
              <w:rPr>
                <w:rFonts w:hint="eastAsia"/>
                <w:szCs w:val="28"/>
              </w:rPr>
              <w:t>七、安装顺序及安装工艺程序</w:t>
            </w:r>
            <w:r>
              <w:tab/>
            </w:r>
          </w:hyperlink>
        </w:p>
        <w:p>
          <w:pPr>
            <w:pStyle w:val="TOC1"/>
            <w:tabs>
              <w:tab w:val="clear" w:pos="426"/>
              <w:tab w:val="right" w:leader="dot" w:pos="8300"/>
              <w:tab w:val="clear" w:pos="8965"/>
            </w:tabs>
          </w:pPr>
          <w:hyperlink w:anchor="_Toc20832" w:history="1">
            <w:r>
              <w:rPr>
                <w:rFonts w:hint="eastAsia"/>
                <w:szCs w:val="28"/>
              </w:rPr>
              <w:t>八、塔机顶升及附着装置的设置</w:t>
            </w:r>
            <w:r>
              <w:tab/>
            </w:r>
          </w:hyperlink>
        </w:p>
        <w:p>
          <w:pPr>
            <w:pStyle w:val="TOC1"/>
            <w:tabs>
              <w:tab w:val="clear" w:pos="426"/>
              <w:tab w:val="right" w:leader="dot" w:pos="8300"/>
              <w:tab w:val="clear" w:pos="8965"/>
            </w:tabs>
          </w:pPr>
          <w:hyperlink w:anchor="_Toc4548" w:history="1">
            <w:r>
              <w:rPr>
                <w:rFonts w:hint="eastAsia"/>
                <w:szCs w:val="28"/>
              </w:rPr>
              <w:t>九、辅助安装汽车吊的选择</w:t>
            </w:r>
            <w:r>
              <w:tab/>
            </w:r>
          </w:hyperlink>
        </w:p>
        <w:p>
          <w:pPr>
            <w:pStyle w:val="TOC1"/>
            <w:tabs>
              <w:tab w:val="clear" w:pos="426"/>
              <w:tab w:val="right" w:leader="dot" w:pos="8300"/>
              <w:tab w:val="clear" w:pos="8965"/>
            </w:tabs>
          </w:pPr>
          <w:hyperlink w:anchor="_Toc16862" w:history="1">
            <w:r>
              <w:rPr>
                <w:rFonts w:hint="eastAsia"/>
                <w:bCs/>
                <w:szCs w:val="28"/>
              </w:rPr>
              <w:t>十、施工现场供电及其它要求</w:t>
            </w:r>
            <w:r>
              <w:tab/>
            </w:r>
          </w:hyperlink>
        </w:p>
        <w:p>
          <w:pPr>
            <w:pStyle w:val="TOC1"/>
            <w:tabs>
              <w:tab w:val="clear" w:pos="426"/>
              <w:tab w:val="right" w:leader="dot" w:pos="8300"/>
              <w:tab w:val="clear" w:pos="8965"/>
            </w:tabs>
          </w:pPr>
          <w:hyperlink w:anchor="_Toc3027" w:history="1">
            <w:r>
              <w:rPr>
                <w:rFonts w:hint="eastAsia"/>
                <w:bCs/>
                <w:szCs w:val="28"/>
              </w:rPr>
              <w:t>十一、施工人员配备</w:t>
            </w:r>
            <w:r>
              <w:tab/>
            </w:r>
          </w:hyperlink>
        </w:p>
        <w:p>
          <w:pPr>
            <w:pStyle w:val="TOC1"/>
            <w:tabs>
              <w:tab w:val="clear" w:pos="426"/>
              <w:tab w:val="right" w:leader="dot" w:pos="8300"/>
              <w:tab w:val="clear" w:pos="8965"/>
            </w:tabs>
          </w:pPr>
          <w:hyperlink w:anchor="_Toc10715" w:history="1">
            <w:r>
              <w:rPr>
                <w:rFonts w:hint="eastAsia"/>
                <w:bCs/>
                <w:szCs w:val="28"/>
              </w:rPr>
              <w:t>十二、吊索具和专用工具的配备</w:t>
            </w:r>
            <w:r>
              <w:tab/>
            </w:r>
          </w:hyperlink>
        </w:p>
        <w:p>
          <w:pPr>
            <w:pStyle w:val="TOC1"/>
            <w:tabs>
              <w:tab w:val="clear" w:pos="426"/>
              <w:tab w:val="right" w:leader="dot" w:pos="8300"/>
              <w:tab w:val="clear" w:pos="8965"/>
            </w:tabs>
          </w:pPr>
          <w:hyperlink w:anchor="_Toc31740" w:history="1">
            <w:r>
              <w:rPr>
                <w:rFonts w:hint="eastAsia"/>
                <w:bCs/>
                <w:szCs w:val="28"/>
              </w:rPr>
              <w:t>十三、安全装置的调试</w:t>
            </w:r>
            <w:r>
              <w:tab/>
            </w:r>
          </w:hyperlink>
        </w:p>
        <w:p>
          <w:pPr>
            <w:pStyle w:val="TOC1"/>
            <w:tabs>
              <w:tab w:val="clear" w:pos="426"/>
              <w:tab w:val="right" w:leader="dot" w:pos="8300"/>
              <w:tab w:val="clear" w:pos="8965"/>
            </w:tabs>
          </w:pPr>
          <w:hyperlink w:anchor="_Toc24857" w:history="1">
            <w:r>
              <w:rPr>
                <w:rFonts w:hint="eastAsia"/>
                <w:bCs/>
                <w:szCs w:val="28"/>
              </w:rPr>
              <w:t>十四、重大危险源的控制</w:t>
            </w:r>
            <w:r>
              <w:tab/>
            </w:r>
          </w:hyperlink>
        </w:p>
        <w:p>
          <w:pPr>
            <w:pStyle w:val="TOC1"/>
            <w:tabs>
              <w:tab w:val="clear" w:pos="426"/>
              <w:tab w:val="right" w:leader="dot" w:pos="8300"/>
              <w:tab w:val="clear" w:pos="8965"/>
            </w:tabs>
          </w:pPr>
          <w:hyperlink w:anchor="_Toc16047" w:history="1">
            <w:r>
              <w:rPr>
                <w:rFonts w:hint="eastAsia"/>
                <w:bCs/>
                <w:szCs w:val="28"/>
              </w:rPr>
              <w:t>十五、塔机安装前的检查</w:t>
            </w:r>
            <w:r>
              <w:tab/>
            </w:r>
          </w:hyperlink>
        </w:p>
        <w:p>
          <w:pPr>
            <w:pStyle w:val="TOC1"/>
            <w:tabs>
              <w:tab w:val="clear" w:pos="426"/>
              <w:tab w:val="right" w:leader="dot" w:pos="8300"/>
              <w:tab w:val="clear" w:pos="8965"/>
            </w:tabs>
          </w:pPr>
          <w:hyperlink w:anchor="_Toc24793" w:history="1">
            <w:r>
              <w:rPr>
                <w:rFonts w:hint="eastAsia"/>
                <w:bCs/>
                <w:szCs w:val="28"/>
              </w:rPr>
              <w:t>十六、塔机安装完毕验收标准</w:t>
            </w:r>
            <w:r>
              <w:tab/>
            </w:r>
          </w:hyperlink>
        </w:p>
        <w:p>
          <w:pPr>
            <w:pStyle w:val="TOC1"/>
            <w:tabs>
              <w:tab w:val="clear" w:pos="426"/>
              <w:tab w:val="right" w:leader="dot" w:pos="8300"/>
              <w:tab w:val="clear" w:pos="8965"/>
            </w:tabs>
          </w:pPr>
          <w:hyperlink w:anchor="_Toc25741" w:history="1">
            <w:r>
              <w:rPr>
                <w:rFonts w:hint="eastAsia"/>
              </w:rPr>
              <w:t>十七、塔机的拆卸</w:t>
            </w:r>
            <w:r>
              <w:tab/>
            </w:r>
          </w:hyperlink>
        </w:p>
        <w:p>
          <w:pPr>
            <w:pStyle w:val="Default"/>
            <w:rPr>
              <w:b/>
              <w:bCs/>
              <w:sz w:val="32"/>
              <w:lang w:val="zh-CN"/>
            </w:rPr>
          </w:pPr>
          <w:r>
            <w:rPr>
              <w:bCs/>
              <w:szCs w:val="44"/>
              <w:lang w:val="zh-CN"/>
            </w:rPr>
            <w:fldChar w:fldCharType="end"/>
          </w:r>
        </w:p>
      </w:sdtContent>
    </w:sdt>
    <w:p>
      <w:pPr>
        <w:snapToGrid w:val="0"/>
        <w:outlineLvl w:val="0"/>
        <w:rPr>
          <w:rFonts w:ascii="宋体" w:hAnsi="宋体"/>
          <w:b/>
          <w:bCs/>
          <w:sz w:val="28"/>
          <w:szCs w:val="28"/>
        </w:rPr>
      </w:pPr>
      <w:bookmarkStart w:id="0" w:name="_Toc16209"/>
      <w:bookmarkStart w:id="1" w:name="_Toc13375"/>
    </w:p>
    <w:p>
      <w:pPr>
        <w:snapToGrid w:val="0"/>
        <w:outlineLvl w:val="0"/>
        <w:rPr>
          <w:rFonts w:ascii="宋体" w:hAnsi="宋体"/>
          <w:b/>
          <w:bCs/>
          <w:sz w:val="28"/>
          <w:szCs w:val="28"/>
        </w:rPr>
      </w:pPr>
    </w:p>
    <w:p>
      <w:pPr>
        <w:snapToGrid w:val="0"/>
        <w:outlineLvl w:val="0"/>
        <w:rPr>
          <w:rFonts w:ascii="宋体" w:hAnsi="宋体"/>
          <w:b/>
          <w:bCs/>
          <w:sz w:val="28"/>
          <w:szCs w:val="28"/>
        </w:rPr>
      </w:pPr>
    </w:p>
    <w:p>
      <w:pPr>
        <w:snapToGrid w:val="0"/>
        <w:outlineLvl w:val="0"/>
        <w:rPr>
          <w:rFonts w:ascii="宋体" w:hAnsi="宋体"/>
          <w:b/>
          <w:bCs/>
          <w:sz w:val="28"/>
          <w:szCs w:val="28"/>
        </w:rPr>
      </w:pPr>
    </w:p>
    <w:p>
      <w:pPr>
        <w:snapToGrid w:val="0"/>
        <w:outlineLvl w:val="0"/>
        <w:rPr>
          <w:rFonts w:ascii="宋体" w:hAnsi="宋体"/>
          <w:b/>
          <w:bCs/>
          <w:sz w:val="28"/>
          <w:szCs w:val="28"/>
        </w:rPr>
      </w:pPr>
    </w:p>
    <w:p>
      <w:pPr>
        <w:snapToGrid w:val="0"/>
        <w:outlineLvl w:val="0"/>
        <w:rPr>
          <w:rFonts w:ascii="宋体" w:hAnsi="宋体"/>
          <w:b/>
          <w:bCs/>
          <w:sz w:val="28"/>
          <w:szCs w:val="28"/>
        </w:rPr>
        <w:sectPr>
          <w:headerReference w:type="default" r:id="rId8"/>
          <w:footerReference w:type="default" r:id="rId9"/>
          <w:type w:val="nextPage"/>
          <w:pgSz w:w="11906" w:h="16838"/>
          <w:pgMar w:top="1440" w:right="1803" w:bottom="1418" w:left="1803" w:header="851" w:footer="992" w:gutter="0"/>
          <w:pgNumType w:fmt="numberInDash" w:start="2"/>
          <w:cols w:num="1" w:space="0"/>
          <w:titlePg w:val="0"/>
          <w:docGrid w:type="lines" w:linePitch="332" w:charSpace="0"/>
        </w:sectPr>
      </w:pPr>
    </w:p>
    <w:p>
      <w:pPr>
        <w:snapToGrid w:val="0"/>
        <w:outlineLvl w:val="0"/>
        <w:rPr>
          <w:rFonts w:ascii="宋体" w:hAnsi="宋体"/>
          <w:b/>
          <w:bCs/>
          <w:sz w:val="28"/>
          <w:szCs w:val="28"/>
        </w:rPr>
      </w:pPr>
    </w:p>
    <w:p>
      <w:pPr>
        <w:snapToGrid w:val="0"/>
        <w:outlineLvl w:val="0"/>
        <w:rPr>
          <w:rFonts w:ascii="宋体" w:hAnsi="宋体"/>
          <w:b/>
          <w:bCs/>
          <w:sz w:val="28"/>
          <w:szCs w:val="28"/>
        </w:rPr>
      </w:pPr>
    </w:p>
    <w:p>
      <w:pPr>
        <w:snapToGrid w:val="0"/>
        <w:outlineLvl w:val="0"/>
        <w:rPr>
          <w:rFonts w:ascii="宋体" w:hAnsi="宋体"/>
          <w:b/>
          <w:bCs/>
          <w:sz w:val="28"/>
          <w:szCs w:val="28"/>
        </w:rPr>
      </w:pPr>
      <w:r>
        <w:rPr>
          <w:rFonts w:ascii="宋体" w:hAnsi="宋体" w:hint="eastAsia"/>
          <w:b/>
          <w:bCs/>
          <w:sz w:val="28"/>
          <w:szCs w:val="28"/>
        </w:rPr>
        <w:t>一、编制依据</w:t>
      </w:r>
    </w:p>
    <w:tbl>
      <w:tblPr>
        <w:tblStyle w:val="TableNormal"/>
        <w:tblW w:w="85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12"/>
        <w:gridCol w:w="1828"/>
        <w:gridCol w:w="6038"/>
      </w:tblGrid>
      <w:tr>
        <w:tblPrEx>
          <w:tblW w:w="85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54"/>
        </w:trPr>
        <w:tc>
          <w:tcPr>
            <w:tcW w:w="712" w:type="dxa"/>
            <w:vAlign w:val="center"/>
          </w:tcPr>
          <w:p>
            <w:pPr>
              <w:snapToGrid w:val="0"/>
              <w:jc w:val="center"/>
              <w:rPr>
                <w:rFonts w:ascii="Arial" w:hAnsi="宋体" w:cs="Arial"/>
              </w:rPr>
            </w:pPr>
            <w:bookmarkEnd w:id="0"/>
            <w:bookmarkEnd w:id="1"/>
            <w:r>
              <w:rPr>
                <w:rFonts w:ascii="Arial" w:hAnsi="宋体" w:cs="Arial" w:hint="eastAsia"/>
              </w:rPr>
              <w:t>类别</w:t>
            </w:r>
          </w:p>
        </w:tc>
        <w:tc>
          <w:tcPr>
            <w:tcW w:w="1828" w:type="dxa"/>
            <w:vAlign w:val="center"/>
          </w:tcPr>
          <w:p>
            <w:pPr>
              <w:snapToGrid w:val="0"/>
              <w:jc w:val="center"/>
              <w:rPr>
                <w:rFonts w:ascii="Arial" w:hAnsi="宋体" w:cs="Arial"/>
              </w:rPr>
            </w:pPr>
            <w:r>
              <w:rPr>
                <w:rFonts w:ascii="Arial" w:hAnsi="宋体" w:cs="Arial" w:hint="eastAsia"/>
              </w:rPr>
              <w:t>文 号</w:t>
            </w:r>
          </w:p>
        </w:tc>
        <w:tc>
          <w:tcPr>
            <w:tcW w:w="6038" w:type="dxa"/>
            <w:vAlign w:val="center"/>
          </w:tcPr>
          <w:p>
            <w:pPr>
              <w:snapToGrid w:val="0"/>
              <w:jc w:val="center"/>
              <w:rPr>
                <w:rFonts w:ascii="Arial" w:hAnsi="宋体" w:cs="Arial"/>
              </w:rPr>
            </w:pPr>
            <w:r>
              <w:rPr>
                <w:rFonts w:ascii="Arial" w:hAnsi="宋体" w:cs="Arial" w:hint="eastAsia"/>
              </w:rPr>
              <w:t>名  称</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restart"/>
            <w:vAlign w:val="center"/>
          </w:tcPr>
          <w:p>
            <w:pPr>
              <w:snapToGrid w:val="0"/>
              <w:jc w:val="center"/>
              <w:rPr>
                <w:rFonts w:ascii="Arial" w:hAnsi="宋体" w:cs="Arial"/>
              </w:rPr>
            </w:pPr>
            <w:r>
              <w:rPr>
                <w:rFonts w:ascii="Arial" w:hAnsi="宋体" w:cs="Arial" w:hint="eastAsia"/>
              </w:rPr>
              <w:t>国</w:t>
            </w:r>
          </w:p>
          <w:p>
            <w:pPr>
              <w:snapToGrid w:val="0"/>
              <w:jc w:val="center"/>
              <w:rPr>
                <w:rFonts w:ascii="Arial" w:hAnsi="宋体" w:cs="Arial"/>
              </w:rPr>
            </w:pPr>
            <w:r>
              <w:rPr>
                <w:rFonts w:ascii="Arial" w:hAnsi="宋体" w:cs="Arial" w:hint="eastAsia"/>
              </w:rPr>
              <w:t>家</w:t>
            </w:r>
          </w:p>
          <w:p>
            <w:pPr>
              <w:snapToGrid w:val="0"/>
              <w:jc w:val="center"/>
              <w:rPr>
                <w:rFonts w:ascii="Arial" w:hAnsi="宋体" w:cs="Arial"/>
              </w:rPr>
            </w:pPr>
            <w:r>
              <w:rPr>
                <w:rFonts w:ascii="Arial" w:hAnsi="宋体" w:cs="Arial" w:hint="eastAsia"/>
              </w:rPr>
              <w:t>标</w:t>
            </w:r>
          </w:p>
          <w:p>
            <w:pPr>
              <w:snapToGrid w:val="0"/>
              <w:jc w:val="center"/>
              <w:rPr>
                <w:rFonts w:ascii="Arial" w:hAnsi="宋体" w:cs="Arial"/>
              </w:rPr>
            </w:pPr>
            <w:r>
              <w:rPr>
                <w:rFonts w:ascii="Arial" w:hAnsi="宋体" w:cs="Arial" w:hint="eastAsia"/>
              </w:rPr>
              <w:t>准</w:t>
            </w:r>
          </w:p>
        </w:tc>
        <w:tc>
          <w:tcPr>
            <w:tcW w:w="1828" w:type="dxa"/>
            <w:vAlign w:val="center"/>
          </w:tcPr>
          <w:p>
            <w:pPr>
              <w:snapToGrid w:val="0"/>
              <w:rPr>
                <w:rFonts w:ascii="Arial" w:hAnsi="宋体" w:cs="Arial"/>
              </w:rPr>
            </w:pPr>
            <w:r>
              <w:rPr>
                <w:rFonts w:ascii="Arial" w:hAnsi="宋体" w:cs="Arial"/>
              </w:rPr>
              <w:t>GB5144-20</w:t>
            </w:r>
            <w:r>
              <w:rPr>
                <w:rFonts w:ascii="Arial" w:hAnsi="宋体" w:cs="Arial" w:hint="eastAsia"/>
              </w:rPr>
              <w:t>06</w:t>
            </w:r>
          </w:p>
        </w:tc>
        <w:tc>
          <w:tcPr>
            <w:tcW w:w="6038" w:type="dxa"/>
            <w:vAlign w:val="center"/>
          </w:tcPr>
          <w:p>
            <w:pPr>
              <w:snapToGrid w:val="0"/>
              <w:rPr>
                <w:rFonts w:ascii="Arial" w:hAnsi="宋体" w:cs="Arial"/>
              </w:rPr>
            </w:pPr>
            <w:r>
              <w:rPr>
                <w:rFonts w:ascii="Arial" w:hAnsi="宋体" w:cs="Arial" w:hint="eastAsia"/>
              </w:rPr>
              <w:t>塔式起重机安全规程</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jc w:val="center"/>
              <w:rPr>
                <w:rFonts w:ascii="Arial" w:hAnsi="宋体" w:cs="Arial"/>
              </w:rPr>
            </w:pPr>
          </w:p>
        </w:tc>
        <w:tc>
          <w:tcPr>
            <w:tcW w:w="1828" w:type="dxa"/>
            <w:vAlign w:val="center"/>
          </w:tcPr>
          <w:p>
            <w:pPr>
              <w:snapToGrid w:val="0"/>
              <w:rPr>
                <w:rFonts w:ascii="Arial" w:hAnsi="宋体" w:cs="Arial"/>
              </w:rPr>
            </w:pPr>
            <w:r>
              <w:rPr>
                <w:rFonts w:ascii="Arial" w:hAnsi="宋体" w:cs="Arial"/>
              </w:rPr>
              <w:t>GB/T13752-</w:t>
            </w:r>
            <w:r>
              <w:rPr>
                <w:rFonts w:ascii="Arial" w:hAnsi="宋体" w:cs="Arial" w:hint="eastAsia"/>
              </w:rPr>
              <w:t>2017</w:t>
            </w:r>
          </w:p>
        </w:tc>
        <w:tc>
          <w:tcPr>
            <w:tcW w:w="6038" w:type="dxa"/>
            <w:vAlign w:val="center"/>
          </w:tcPr>
          <w:p>
            <w:pPr>
              <w:snapToGrid w:val="0"/>
              <w:rPr>
                <w:rFonts w:ascii="Arial" w:hAnsi="宋体" w:cs="Arial"/>
              </w:rPr>
            </w:pPr>
            <w:r>
              <w:rPr>
                <w:rFonts w:ascii="Arial" w:hAnsi="宋体" w:cs="Arial" w:hint="eastAsia"/>
              </w:rPr>
              <w:t>塔式起重机设计规范</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jc w:val="center"/>
              <w:rPr>
                <w:rFonts w:ascii="Arial" w:hAnsi="宋体" w:cs="Arial"/>
              </w:rPr>
            </w:pPr>
          </w:p>
        </w:tc>
        <w:tc>
          <w:tcPr>
            <w:tcW w:w="1828" w:type="dxa"/>
            <w:vAlign w:val="center"/>
          </w:tcPr>
          <w:p>
            <w:pPr>
              <w:snapToGrid w:val="0"/>
              <w:rPr>
                <w:rFonts w:ascii="Arial" w:eastAsia="宋体" w:hAnsi="宋体" w:cs="Arial"/>
              </w:rPr>
            </w:pPr>
            <w:r>
              <w:rPr>
                <w:rFonts w:ascii="Arial" w:hAnsi="宋体" w:cs="Arial"/>
              </w:rPr>
              <w:t>GB/T5031-20</w:t>
            </w:r>
            <w:r>
              <w:rPr>
                <w:rFonts w:ascii="Arial" w:hAnsi="宋体" w:cs="Arial" w:hint="eastAsia"/>
              </w:rPr>
              <w:t>19</w:t>
            </w:r>
          </w:p>
        </w:tc>
        <w:tc>
          <w:tcPr>
            <w:tcW w:w="6038" w:type="dxa"/>
            <w:vAlign w:val="center"/>
          </w:tcPr>
          <w:p>
            <w:pPr>
              <w:snapToGrid w:val="0"/>
              <w:rPr>
                <w:rFonts w:ascii="Arial" w:hAnsi="宋体" w:cs="Arial"/>
              </w:rPr>
            </w:pPr>
            <w:r>
              <w:rPr>
                <w:rFonts w:ascii="Arial" w:hAnsi="宋体" w:cs="Arial" w:hint="eastAsia"/>
              </w:rPr>
              <w:t>塔式起重机（代替GB/T9462  塔式起重机技术条件）</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rPr>
                <w:rFonts w:ascii="Arial" w:hAnsi="宋体" w:cs="Arial"/>
              </w:rPr>
            </w:pPr>
          </w:p>
        </w:tc>
        <w:tc>
          <w:tcPr>
            <w:tcW w:w="1828" w:type="dxa"/>
            <w:vAlign w:val="center"/>
          </w:tcPr>
          <w:p>
            <w:pPr>
              <w:snapToGrid w:val="0"/>
              <w:rPr>
                <w:rFonts w:ascii="Arial" w:hAnsi="宋体" w:cs="Arial"/>
              </w:rPr>
            </w:pPr>
            <w:r>
              <w:rPr>
                <w:rFonts w:ascii="Arial" w:hAnsi="宋体" w:cs="Arial"/>
              </w:rPr>
              <w:t>GB/T5972-20</w:t>
            </w:r>
            <w:r>
              <w:rPr>
                <w:rFonts w:ascii="Arial" w:hAnsi="宋体" w:cs="Arial" w:hint="eastAsia"/>
              </w:rPr>
              <w:t>16</w:t>
            </w:r>
          </w:p>
        </w:tc>
        <w:tc>
          <w:tcPr>
            <w:tcW w:w="6038" w:type="dxa"/>
            <w:vAlign w:val="center"/>
          </w:tcPr>
          <w:p>
            <w:pPr>
              <w:snapToGrid w:val="0"/>
              <w:rPr>
                <w:rFonts w:ascii="Arial" w:hAnsi="宋体" w:cs="Arial"/>
              </w:rPr>
            </w:pPr>
            <w:r>
              <w:rPr>
                <w:rFonts w:ascii="Arial" w:hAnsi="宋体" w:cs="Arial" w:hint="eastAsia"/>
              </w:rPr>
              <w:t>起重机钢丝绳保养、维护、安装、检验和报废</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rPr>
                <w:rFonts w:ascii="Arial" w:hAnsi="宋体" w:cs="Arial"/>
              </w:rPr>
            </w:pPr>
          </w:p>
        </w:tc>
        <w:tc>
          <w:tcPr>
            <w:tcW w:w="1828" w:type="dxa"/>
            <w:vAlign w:val="center"/>
          </w:tcPr>
          <w:p>
            <w:pPr>
              <w:snapToGrid w:val="0"/>
              <w:rPr>
                <w:rFonts w:ascii="Arial" w:hAnsi="宋体" w:cs="Arial"/>
              </w:rPr>
            </w:pPr>
            <w:r>
              <w:rPr>
                <w:rFonts w:ascii="Arial" w:hAnsi="宋体" w:cs="Arial"/>
              </w:rPr>
              <w:t>GB50017-20</w:t>
            </w:r>
            <w:r>
              <w:rPr>
                <w:rFonts w:ascii="Arial" w:hAnsi="宋体" w:cs="Arial" w:hint="eastAsia"/>
              </w:rPr>
              <w:t>17</w:t>
            </w:r>
          </w:p>
        </w:tc>
        <w:tc>
          <w:tcPr>
            <w:tcW w:w="6038" w:type="dxa"/>
            <w:vAlign w:val="center"/>
          </w:tcPr>
          <w:p>
            <w:pPr>
              <w:snapToGrid w:val="0"/>
              <w:rPr>
                <w:rFonts w:ascii="Arial" w:hAnsi="宋体" w:cs="Arial"/>
              </w:rPr>
            </w:pPr>
            <w:r>
              <w:rPr>
                <w:rFonts w:ascii="Arial" w:hAnsi="宋体" w:cs="Arial" w:hint="eastAsia"/>
              </w:rPr>
              <w:t>钢结构设计规范</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rPr>
                <w:rFonts w:ascii="Arial" w:hAnsi="宋体" w:cs="Arial"/>
              </w:rPr>
            </w:pPr>
          </w:p>
        </w:tc>
        <w:tc>
          <w:tcPr>
            <w:tcW w:w="1828" w:type="dxa"/>
            <w:vAlign w:val="center"/>
          </w:tcPr>
          <w:p>
            <w:pPr>
              <w:snapToGrid w:val="0"/>
              <w:rPr>
                <w:rFonts w:ascii="Arial" w:hAnsi="宋体" w:cs="Arial"/>
              </w:rPr>
            </w:pPr>
            <w:r>
              <w:rPr>
                <w:rFonts w:ascii="Arial" w:hAnsi="宋体" w:cs="Arial"/>
              </w:rPr>
              <w:t>GB50010-2010</w:t>
            </w:r>
          </w:p>
        </w:tc>
        <w:tc>
          <w:tcPr>
            <w:tcW w:w="6038" w:type="dxa"/>
            <w:vAlign w:val="center"/>
          </w:tcPr>
          <w:p>
            <w:pPr>
              <w:snapToGrid w:val="0"/>
              <w:rPr>
                <w:rFonts w:ascii="Arial" w:hAnsi="宋体" w:cs="Arial"/>
              </w:rPr>
            </w:pPr>
            <w:r>
              <w:rPr>
                <w:rFonts w:ascii="Arial" w:hAnsi="宋体" w:cs="Arial" w:hint="eastAsia"/>
              </w:rPr>
              <w:t>混凝土结构设计规范</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restart"/>
            <w:vAlign w:val="center"/>
          </w:tcPr>
          <w:p>
            <w:pPr>
              <w:snapToGrid w:val="0"/>
              <w:jc w:val="center"/>
              <w:rPr>
                <w:rFonts w:ascii="Arial" w:hAnsi="宋体" w:cs="Arial"/>
              </w:rPr>
            </w:pPr>
            <w:r>
              <w:rPr>
                <w:rFonts w:ascii="Arial" w:hAnsi="宋体" w:cs="Arial" w:hint="eastAsia"/>
              </w:rPr>
              <w:t>部</w:t>
            </w:r>
          </w:p>
          <w:p>
            <w:pPr>
              <w:snapToGrid w:val="0"/>
              <w:jc w:val="center"/>
              <w:rPr>
                <w:rFonts w:ascii="Arial" w:hAnsi="宋体" w:cs="Arial"/>
              </w:rPr>
            </w:pPr>
            <w:r>
              <w:rPr>
                <w:rFonts w:ascii="Arial" w:hAnsi="宋体" w:cs="Arial" w:hint="eastAsia"/>
              </w:rPr>
              <w:t>颁</w:t>
            </w:r>
          </w:p>
          <w:p>
            <w:pPr>
              <w:snapToGrid w:val="0"/>
              <w:jc w:val="center"/>
              <w:rPr>
                <w:rFonts w:ascii="Arial" w:hAnsi="宋体" w:cs="Arial"/>
              </w:rPr>
            </w:pPr>
            <w:r>
              <w:rPr>
                <w:rFonts w:ascii="Arial" w:hAnsi="宋体" w:cs="Arial" w:hint="eastAsia"/>
              </w:rPr>
              <w:t>标</w:t>
            </w:r>
          </w:p>
          <w:p>
            <w:pPr>
              <w:snapToGrid w:val="0"/>
              <w:jc w:val="center"/>
              <w:rPr>
                <w:rFonts w:ascii="Arial" w:hAnsi="宋体" w:cs="Arial"/>
              </w:rPr>
            </w:pPr>
            <w:r>
              <w:rPr>
                <w:rFonts w:ascii="Arial" w:hAnsi="宋体" w:cs="Arial" w:hint="eastAsia"/>
              </w:rPr>
              <w:t>准</w:t>
            </w:r>
          </w:p>
        </w:tc>
        <w:tc>
          <w:tcPr>
            <w:tcW w:w="1828" w:type="dxa"/>
            <w:vAlign w:val="center"/>
          </w:tcPr>
          <w:p>
            <w:pPr>
              <w:snapToGrid w:val="0"/>
              <w:rPr>
                <w:rFonts w:ascii="Arial" w:hAnsi="宋体" w:cs="Arial"/>
              </w:rPr>
            </w:pPr>
            <w:r>
              <w:rPr>
                <w:rFonts w:ascii="Arial" w:hAnsi="宋体" w:cs="Arial"/>
              </w:rPr>
              <w:t>JGJ33-2012</w:t>
            </w:r>
          </w:p>
        </w:tc>
        <w:tc>
          <w:tcPr>
            <w:tcW w:w="6038" w:type="dxa"/>
            <w:vAlign w:val="center"/>
          </w:tcPr>
          <w:p>
            <w:pPr>
              <w:snapToGrid w:val="0"/>
              <w:rPr>
                <w:rFonts w:ascii="Arial" w:hAnsi="宋体" w:cs="Arial"/>
              </w:rPr>
            </w:pPr>
            <w:r>
              <w:rPr>
                <w:rFonts w:ascii="Arial" w:hAnsi="宋体" w:cs="Arial" w:hint="eastAsia"/>
              </w:rPr>
              <w:t>建筑机械使用安全技术规程</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rPr>
                <w:rFonts w:ascii="Arial" w:hAnsi="宋体" w:cs="Arial"/>
              </w:rPr>
            </w:pPr>
          </w:p>
        </w:tc>
        <w:tc>
          <w:tcPr>
            <w:tcW w:w="1828" w:type="dxa"/>
            <w:vAlign w:val="center"/>
          </w:tcPr>
          <w:p>
            <w:pPr>
              <w:snapToGrid w:val="0"/>
              <w:rPr>
                <w:rFonts w:ascii="Arial" w:hAnsi="宋体" w:cs="Arial"/>
              </w:rPr>
            </w:pPr>
            <w:r>
              <w:rPr>
                <w:rFonts w:ascii="Arial" w:hAnsi="宋体" w:cs="Arial"/>
              </w:rPr>
              <w:t>JGJ46-20</w:t>
            </w:r>
            <w:r>
              <w:rPr>
                <w:rFonts w:ascii="Arial" w:hAnsi="宋体" w:cs="Arial" w:hint="eastAsia"/>
              </w:rPr>
              <w:t>05</w:t>
            </w:r>
          </w:p>
        </w:tc>
        <w:tc>
          <w:tcPr>
            <w:tcW w:w="6038" w:type="dxa"/>
            <w:vAlign w:val="center"/>
          </w:tcPr>
          <w:p>
            <w:pPr>
              <w:snapToGrid w:val="0"/>
              <w:rPr>
                <w:rFonts w:ascii="Arial" w:hAnsi="宋体" w:cs="Arial"/>
              </w:rPr>
            </w:pPr>
            <w:r>
              <w:rPr>
                <w:rFonts w:ascii="Arial" w:hAnsi="宋体" w:cs="Arial" w:hint="eastAsia"/>
              </w:rPr>
              <w:t>施工现场临时用电安全技术规范</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rPr>
                <w:rFonts w:ascii="Arial" w:hAnsi="宋体" w:cs="Arial"/>
              </w:rPr>
            </w:pPr>
          </w:p>
        </w:tc>
        <w:tc>
          <w:tcPr>
            <w:tcW w:w="1828" w:type="dxa"/>
            <w:vAlign w:val="center"/>
          </w:tcPr>
          <w:p>
            <w:pPr>
              <w:snapToGrid w:val="0"/>
              <w:rPr>
                <w:rFonts w:ascii="Arial" w:hAnsi="宋体" w:cs="Arial"/>
              </w:rPr>
            </w:pPr>
            <w:r>
              <w:rPr>
                <w:rFonts w:ascii="Arial" w:hAnsi="宋体" w:cs="Arial"/>
              </w:rPr>
              <w:t>JGJ59-2011</w:t>
            </w:r>
          </w:p>
        </w:tc>
        <w:tc>
          <w:tcPr>
            <w:tcW w:w="6038" w:type="dxa"/>
            <w:vAlign w:val="center"/>
          </w:tcPr>
          <w:p>
            <w:pPr>
              <w:snapToGrid w:val="0"/>
              <w:rPr>
                <w:rFonts w:ascii="Arial" w:hAnsi="宋体" w:cs="Arial"/>
              </w:rPr>
            </w:pPr>
            <w:r>
              <w:rPr>
                <w:rFonts w:ascii="Arial" w:hAnsi="宋体" w:cs="Arial" w:hint="eastAsia"/>
              </w:rPr>
              <w:t>建筑施工安全检查标准</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rPr>
                <w:rFonts w:ascii="Arial" w:hAnsi="宋体" w:cs="Arial"/>
              </w:rPr>
            </w:pPr>
          </w:p>
        </w:tc>
        <w:tc>
          <w:tcPr>
            <w:tcW w:w="1828" w:type="dxa"/>
            <w:vAlign w:val="center"/>
          </w:tcPr>
          <w:p>
            <w:pPr>
              <w:snapToGrid w:val="0"/>
              <w:rPr>
                <w:rFonts w:ascii="Arial" w:hAnsi="宋体" w:cs="Arial"/>
              </w:rPr>
            </w:pPr>
            <w:r>
              <w:rPr>
                <w:rFonts w:ascii="Arial" w:hAnsi="宋体" w:cs="Arial"/>
              </w:rPr>
              <w:t>JGJ80-</w:t>
            </w:r>
            <w:r>
              <w:rPr>
                <w:rFonts w:ascii="Arial" w:hAnsi="宋体" w:cs="Arial" w:hint="eastAsia"/>
              </w:rPr>
              <w:t>2016</w:t>
            </w:r>
          </w:p>
        </w:tc>
        <w:tc>
          <w:tcPr>
            <w:tcW w:w="6038" w:type="dxa"/>
            <w:vAlign w:val="center"/>
          </w:tcPr>
          <w:p>
            <w:pPr>
              <w:snapToGrid w:val="0"/>
              <w:rPr>
                <w:rFonts w:ascii="Arial" w:hAnsi="宋体" w:cs="Arial"/>
              </w:rPr>
            </w:pPr>
            <w:r>
              <w:rPr>
                <w:rFonts w:ascii="Arial" w:hAnsi="宋体" w:cs="Arial" w:hint="eastAsia"/>
              </w:rPr>
              <w:t>建筑施工高处作业安全技术规范</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rPr>
                <w:rFonts w:ascii="Arial" w:hAnsi="宋体" w:cs="Arial"/>
              </w:rPr>
            </w:pPr>
          </w:p>
        </w:tc>
        <w:tc>
          <w:tcPr>
            <w:tcW w:w="1828" w:type="dxa"/>
            <w:vAlign w:val="center"/>
          </w:tcPr>
          <w:p>
            <w:pPr>
              <w:snapToGrid w:val="0"/>
              <w:rPr>
                <w:rFonts w:ascii="Arial" w:hAnsi="宋体" w:cs="Arial"/>
              </w:rPr>
            </w:pPr>
            <w:r>
              <w:rPr>
                <w:rFonts w:ascii="Arial" w:hAnsi="宋体" w:cs="Arial"/>
              </w:rPr>
              <w:t>JG/T100-1999</w:t>
            </w:r>
          </w:p>
        </w:tc>
        <w:tc>
          <w:tcPr>
            <w:tcW w:w="6038" w:type="dxa"/>
            <w:vAlign w:val="center"/>
          </w:tcPr>
          <w:p>
            <w:pPr>
              <w:snapToGrid w:val="0"/>
              <w:rPr>
                <w:rFonts w:ascii="Arial" w:hAnsi="宋体" w:cs="Arial"/>
              </w:rPr>
            </w:pPr>
            <w:r>
              <w:rPr>
                <w:rFonts w:ascii="Arial" w:hAnsi="宋体" w:cs="Arial" w:hint="eastAsia"/>
              </w:rPr>
              <w:t>塔式起重机操作使用规程</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rPr>
                <w:rFonts w:ascii="Arial" w:hAnsi="宋体" w:cs="Arial"/>
              </w:rPr>
            </w:pPr>
          </w:p>
        </w:tc>
        <w:tc>
          <w:tcPr>
            <w:tcW w:w="1828" w:type="dxa"/>
            <w:vAlign w:val="center"/>
          </w:tcPr>
          <w:p>
            <w:pPr>
              <w:snapToGrid w:val="0"/>
              <w:rPr>
                <w:rFonts w:ascii="Arial" w:hAnsi="宋体" w:cs="Arial"/>
              </w:rPr>
            </w:pPr>
            <w:r>
              <w:rPr>
                <w:rFonts w:ascii="Arial" w:hAnsi="宋体" w:cs="Arial"/>
              </w:rPr>
              <w:t>JGJ196-2010</w:t>
            </w:r>
          </w:p>
        </w:tc>
        <w:tc>
          <w:tcPr>
            <w:tcW w:w="6038" w:type="dxa"/>
            <w:vAlign w:val="center"/>
          </w:tcPr>
          <w:p>
            <w:pPr>
              <w:snapToGrid w:val="0"/>
              <w:rPr>
                <w:rFonts w:ascii="Arial" w:hAnsi="宋体" w:cs="Arial"/>
              </w:rPr>
            </w:pPr>
            <w:r>
              <w:rPr>
                <w:rFonts w:ascii="Arial" w:hAnsi="宋体" w:cs="Arial" w:hint="eastAsia"/>
              </w:rPr>
              <w:t>建筑施工塔式起重机安装、使用、拆卸安全技术规程</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rPr>
                <w:rFonts w:ascii="Arial" w:hAnsi="宋体" w:cs="Arial"/>
              </w:rPr>
            </w:pPr>
          </w:p>
        </w:tc>
        <w:tc>
          <w:tcPr>
            <w:tcW w:w="1828" w:type="dxa"/>
            <w:vAlign w:val="center"/>
          </w:tcPr>
          <w:p>
            <w:pPr>
              <w:snapToGrid w:val="0"/>
              <w:rPr>
                <w:rFonts w:ascii="Arial" w:eastAsia="宋体" w:hAnsi="宋体" w:cs="Arial"/>
              </w:rPr>
            </w:pPr>
            <w:r>
              <w:rPr>
                <w:rFonts w:ascii="Arial" w:hAnsi="宋体" w:cs="Arial"/>
              </w:rPr>
              <w:t>JGJ187-20</w:t>
            </w:r>
            <w:r>
              <w:rPr>
                <w:rFonts w:ascii="Arial" w:hAnsi="宋体" w:cs="Arial" w:hint="eastAsia"/>
              </w:rPr>
              <w:t>19</w:t>
            </w:r>
          </w:p>
        </w:tc>
        <w:tc>
          <w:tcPr>
            <w:tcW w:w="6038" w:type="dxa"/>
            <w:vAlign w:val="center"/>
          </w:tcPr>
          <w:p>
            <w:pPr>
              <w:snapToGrid w:val="0"/>
              <w:rPr>
                <w:rFonts w:ascii="Arial" w:hAnsi="宋体" w:cs="Arial"/>
              </w:rPr>
            </w:pPr>
            <w:r>
              <w:rPr>
                <w:rFonts w:ascii="Arial" w:hAnsi="宋体" w:cs="Arial" w:hint="eastAsia"/>
              </w:rPr>
              <w:t>塔式起重机混凝土基础工程技术规程</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rPr>
                <w:rFonts w:ascii="Arial" w:hAnsi="宋体" w:cs="Arial"/>
              </w:rPr>
            </w:pPr>
          </w:p>
        </w:tc>
        <w:tc>
          <w:tcPr>
            <w:tcW w:w="1828" w:type="dxa"/>
            <w:vAlign w:val="center"/>
          </w:tcPr>
          <w:p>
            <w:pPr>
              <w:snapToGrid w:val="0"/>
              <w:rPr>
                <w:rFonts w:ascii="Arial" w:hAnsi="宋体" w:cs="Arial"/>
              </w:rPr>
            </w:pPr>
            <w:r>
              <w:rPr>
                <w:rFonts w:ascii="Arial" w:hAnsi="宋体" w:cs="Arial"/>
              </w:rPr>
              <w:t>LD48-1993</w:t>
            </w:r>
          </w:p>
        </w:tc>
        <w:tc>
          <w:tcPr>
            <w:tcW w:w="6038" w:type="dxa"/>
            <w:vAlign w:val="center"/>
          </w:tcPr>
          <w:p>
            <w:pPr>
              <w:snapToGrid w:val="0"/>
              <w:rPr>
                <w:rFonts w:ascii="Arial" w:hAnsi="宋体" w:cs="Arial"/>
              </w:rPr>
            </w:pPr>
            <w:r>
              <w:rPr>
                <w:rFonts w:ascii="Arial" w:hAnsi="宋体" w:cs="Arial" w:hint="eastAsia"/>
              </w:rPr>
              <w:t>起重机械吊具与索具安全规程</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rPr>
                <w:rFonts w:ascii="Arial" w:hAnsi="宋体" w:cs="Arial"/>
              </w:rPr>
            </w:pPr>
          </w:p>
        </w:tc>
        <w:tc>
          <w:tcPr>
            <w:tcW w:w="1828" w:type="dxa"/>
            <w:vAlign w:val="center"/>
          </w:tcPr>
          <w:p>
            <w:pPr>
              <w:snapToGrid w:val="0"/>
              <w:rPr>
                <w:rFonts w:ascii="Arial" w:hAnsi="宋体" w:cs="Arial"/>
              </w:rPr>
            </w:pPr>
          </w:p>
        </w:tc>
        <w:tc>
          <w:tcPr>
            <w:tcW w:w="6038" w:type="dxa"/>
            <w:vAlign w:val="center"/>
          </w:tcPr>
          <w:p>
            <w:pPr>
              <w:snapToGrid w:val="0"/>
              <w:rPr>
                <w:rFonts w:ascii="Arial" w:hAnsi="宋体" w:cs="Arial"/>
              </w:rPr>
            </w:pP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restart"/>
            <w:vAlign w:val="center"/>
          </w:tcPr>
          <w:p>
            <w:pPr>
              <w:snapToGrid w:val="0"/>
              <w:jc w:val="center"/>
              <w:rPr>
                <w:rFonts w:ascii="Arial" w:hAnsi="宋体" w:cs="Arial"/>
              </w:rPr>
            </w:pPr>
            <w:r>
              <w:rPr>
                <w:rFonts w:ascii="Arial" w:hAnsi="宋体" w:cs="Arial" w:hint="eastAsia"/>
              </w:rPr>
              <w:t>政</w:t>
            </w:r>
          </w:p>
          <w:p>
            <w:pPr>
              <w:snapToGrid w:val="0"/>
              <w:jc w:val="center"/>
              <w:rPr>
                <w:rFonts w:ascii="Arial" w:hAnsi="宋体" w:cs="Arial"/>
              </w:rPr>
            </w:pPr>
            <w:r>
              <w:rPr>
                <w:rFonts w:ascii="Arial" w:hAnsi="宋体" w:cs="Arial" w:hint="eastAsia"/>
              </w:rPr>
              <w:t>令</w:t>
            </w:r>
          </w:p>
          <w:p>
            <w:pPr>
              <w:snapToGrid w:val="0"/>
              <w:jc w:val="center"/>
              <w:rPr>
                <w:rFonts w:ascii="Arial" w:hAnsi="宋体" w:cs="Arial"/>
              </w:rPr>
            </w:pPr>
          </w:p>
          <w:p>
            <w:pPr>
              <w:snapToGrid w:val="0"/>
              <w:jc w:val="center"/>
              <w:rPr>
                <w:rFonts w:ascii="Arial" w:hAnsi="宋体" w:cs="Arial"/>
              </w:rPr>
            </w:pPr>
            <w:r>
              <w:rPr>
                <w:rFonts w:ascii="Arial" w:hAnsi="宋体" w:cs="Arial" w:hint="eastAsia"/>
              </w:rPr>
              <w:t>法</w:t>
            </w:r>
          </w:p>
          <w:p>
            <w:pPr>
              <w:snapToGrid w:val="0"/>
              <w:jc w:val="center"/>
              <w:rPr>
                <w:rFonts w:ascii="Arial" w:hAnsi="宋体" w:cs="Arial"/>
              </w:rPr>
            </w:pPr>
            <w:r>
              <w:rPr>
                <w:rFonts w:ascii="Arial" w:hAnsi="宋体" w:cs="Arial" w:hint="eastAsia"/>
              </w:rPr>
              <w:t>规</w:t>
            </w:r>
          </w:p>
        </w:tc>
        <w:tc>
          <w:tcPr>
            <w:tcW w:w="1828" w:type="dxa"/>
            <w:vAlign w:val="center"/>
          </w:tcPr>
          <w:p>
            <w:pPr>
              <w:snapToGrid w:val="0"/>
              <w:rPr>
                <w:rFonts w:ascii="Arial" w:hAnsi="宋体" w:cs="Arial"/>
              </w:rPr>
            </w:pPr>
            <w:r>
              <w:rPr>
                <w:rFonts w:ascii="Arial" w:hAnsi="宋体" w:cs="Arial" w:hint="eastAsia"/>
              </w:rPr>
              <w:t>中华人民共和国建设部令第166号</w:t>
            </w:r>
          </w:p>
        </w:tc>
        <w:tc>
          <w:tcPr>
            <w:tcW w:w="6038" w:type="dxa"/>
            <w:vAlign w:val="center"/>
          </w:tcPr>
          <w:p>
            <w:pPr>
              <w:snapToGrid w:val="0"/>
              <w:rPr>
                <w:rFonts w:ascii="Arial" w:hAnsi="宋体" w:cs="Arial"/>
              </w:rPr>
            </w:pPr>
            <w:r>
              <w:rPr>
                <w:rFonts w:ascii="Arial" w:hAnsi="宋体" w:cs="Arial" w:hint="eastAsia"/>
              </w:rPr>
              <w:t>建筑起重机械安全监督管理规定</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jc w:val="center"/>
              <w:rPr>
                <w:rFonts w:ascii="Arial" w:hAnsi="宋体" w:cs="Arial"/>
              </w:rPr>
            </w:pPr>
          </w:p>
        </w:tc>
        <w:tc>
          <w:tcPr>
            <w:tcW w:w="1828" w:type="dxa"/>
            <w:vAlign w:val="center"/>
          </w:tcPr>
          <w:p>
            <w:pPr>
              <w:snapToGrid w:val="0"/>
              <w:rPr>
                <w:rFonts w:ascii="Arial" w:hAnsi="宋体" w:cs="Arial"/>
              </w:rPr>
            </w:pPr>
            <w:r>
              <w:rPr>
                <w:rFonts w:ascii="宋体 ，Arial" w:eastAsia="宋体 ，Arial" w:hAnsi="宋体 ，Arial" w:cs="宋体 ，Arial"/>
                <w:color w:val="000000"/>
                <w:sz w:val="18"/>
                <w:szCs w:val="18"/>
              </w:rPr>
              <w:t>中华人民共和国住房和城乡建设部令第37号</w:t>
            </w:r>
          </w:p>
        </w:tc>
        <w:tc>
          <w:tcPr>
            <w:tcW w:w="6038" w:type="dxa"/>
            <w:vAlign w:val="center"/>
          </w:tcPr>
          <w:p>
            <w:pPr>
              <w:snapToGrid w:val="0"/>
              <w:rPr>
                <w:rFonts w:ascii="Arial" w:hAnsi="宋体" w:cs="Arial"/>
              </w:rPr>
            </w:pPr>
            <w:r>
              <w:rPr>
                <w:rFonts w:ascii="Arial" w:hAnsi="宋体" w:cs="Arial" w:hint="eastAsia"/>
              </w:rPr>
              <w:t>危险性较大的分部分项工程安全管理办法</w:t>
            </w:r>
          </w:p>
        </w:tc>
      </w:tr>
    </w:tbl>
    <w:p>
      <w:pPr>
        <w:sectPr>
          <w:headerReference w:type="default" r:id="rId10"/>
          <w:footerReference w:type="default" r:id="rId11"/>
          <w:type w:val="nextPage"/>
          <w:pgSz w:w="11906" w:h="16838"/>
          <w:pgMar w:top="1440" w:right="1803" w:bottom="1418" w:left="1803" w:header="851" w:footer="992" w:gutter="0"/>
          <w:pgNumType w:fmt="numberInDash" w:start="3"/>
          <w:cols w:num="1" w:space="0"/>
          <w:titlePg w:val="0"/>
          <w:docGrid w:type="lines" w:linePitch="332" w:charSpace="0"/>
        </w:sectPr>
      </w:pPr>
    </w:p>
    <w:tbl>
      <w:tblPr>
        <w:tblStyle w:val="TableNormal"/>
        <w:tblW w:w="85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12"/>
        <w:gridCol w:w="1828"/>
        <w:gridCol w:w="6038"/>
      </w:tblGrid>
      <w:tr>
        <w:tblPrEx>
          <w:tblW w:w="85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54"/>
        </w:trPr>
        <w:tc>
          <w:tcPr>
            <w:tcW w:w="712" w:type="dxa"/>
            <w:vMerge w:val="restart"/>
            <w:vAlign w:val="center"/>
          </w:tcPr>
          <w:p>
            <w:pPr>
              <w:snapToGrid w:val="0"/>
              <w:jc w:val="center"/>
              <w:rPr>
                <w:rFonts w:ascii="Arial" w:hAnsi="宋体" w:cs="Arial"/>
              </w:rPr>
            </w:pPr>
          </w:p>
        </w:tc>
        <w:tc>
          <w:tcPr>
            <w:tcW w:w="1828" w:type="dxa"/>
            <w:vAlign w:val="center"/>
          </w:tcPr>
          <w:p>
            <w:pPr>
              <w:snapToGrid w:val="0"/>
              <w:rPr>
                <w:rFonts w:ascii="Arial" w:hAnsi="宋体" w:cs="Arial"/>
              </w:rPr>
            </w:pPr>
            <w:r>
              <w:rPr>
                <w:rFonts w:ascii="Arial" w:hAnsi="宋体" w:cs="Arial" w:hint="eastAsia"/>
              </w:rPr>
              <w:t>建质[2008]91号</w:t>
            </w:r>
          </w:p>
        </w:tc>
        <w:tc>
          <w:tcPr>
            <w:tcW w:w="6038" w:type="dxa"/>
            <w:vAlign w:val="center"/>
          </w:tcPr>
          <w:p>
            <w:pPr>
              <w:snapToGrid w:val="0"/>
              <w:rPr>
                <w:rFonts w:ascii="Arial" w:hAnsi="宋体" w:cs="Arial"/>
              </w:rPr>
            </w:pPr>
            <w:r>
              <w:rPr>
                <w:rFonts w:ascii="Arial" w:hAnsi="宋体" w:cs="Arial" w:hint="eastAsia"/>
              </w:rPr>
              <w:t>建筑施工企业安全生产管理机构设置及专职安全生产管理人员配备方法</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jc w:val="center"/>
              <w:rPr>
                <w:rFonts w:ascii="Arial" w:hAnsi="宋体" w:cs="Arial"/>
              </w:rPr>
            </w:pPr>
          </w:p>
        </w:tc>
        <w:tc>
          <w:tcPr>
            <w:tcW w:w="1828" w:type="dxa"/>
            <w:vAlign w:val="center"/>
          </w:tcPr>
          <w:p>
            <w:pPr>
              <w:snapToGrid w:val="0"/>
              <w:rPr>
                <w:rFonts w:ascii="Arial" w:hAnsi="宋体" w:cs="Arial"/>
              </w:rPr>
            </w:pPr>
            <w:r>
              <w:rPr>
                <w:rFonts w:ascii="Arial" w:hAnsi="宋体" w:cs="Arial" w:hint="eastAsia"/>
              </w:rPr>
              <w:t>国家质量监督检验检疫局令第 140 号</w:t>
            </w:r>
          </w:p>
        </w:tc>
        <w:tc>
          <w:tcPr>
            <w:tcW w:w="6038" w:type="dxa"/>
            <w:vAlign w:val="center"/>
          </w:tcPr>
          <w:p>
            <w:pPr>
              <w:snapToGrid w:val="0"/>
              <w:rPr>
                <w:rFonts w:ascii="Arial" w:hAnsi="宋体" w:cs="Arial"/>
              </w:rPr>
            </w:pPr>
            <w:r>
              <w:rPr>
                <w:rFonts w:ascii="Arial" w:hAnsi="宋体" w:cs="Arial" w:hint="eastAsia"/>
              </w:rPr>
              <w:t>特种设备作业人员监督与安全监察规定</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jc w:val="center"/>
              <w:rPr>
                <w:rFonts w:ascii="Arial" w:hAnsi="宋体" w:cs="Arial"/>
              </w:rPr>
            </w:pPr>
          </w:p>
        </w:tc>
        <w:tc>
          <w:tcPr>
            <w:tcW w:w="1828" w:type="dxa"/>
            <w:vAlign w:val="center"/>
          </w:tcPr>
          <w:p>
            <w:pPr>
              <w:snapToGrid w:val="0"/>
              <w:rPr>
                <w:rFonts w:ascii="Arial" w:hAnsi="宋体" w:cs="Arial"/>
              </w:rPr>
            </w:pPr>
            <w:r>
              <w:rPr>
                <w:rFonts w:ascii="Arial" w:hAnsi="宋体" w:cs="Arial" w:hint="eastAsia"/>
              </w:rPr>
              <w:t>建质〔2008〕75号</w:t>
            </w:r>
          </w:p>
        </w:tc>
        <w:tc>
          <w:tcPr>
            <w:tcW w:w="6038" w:type="dxa"/>
            <w:vAlign w:val="center"/>
          </w:tcPr>
          <w:p>
            <w:pPr>
              <w:snapToGrid w:val="0"/>
              <w:rPr>
                <w:rFonts w:ascii="Arial" w:hAnsi="宋体" w:cs="Arial"/>
              </w:rPr>
            </w:pPr>
            <w:r>
              <w:rPr>
                <w:rFonts w:ascii="Arial" w:hAnsi="宋体" w:cs="Arial" w:hint="eastAsia"/>
              </w:rPr>
              <w:t>建筑施工特种作业人员管理规定</w:t>
            </w:r>
          </w:p>
        </w:tc>
      </w:tr>
      <w:tr>
        <w:tblPrEx>
          <w:tblW w:w="8578" w:type="dxa"/>
          <w:tblInd w:w="108" w:type="dxa"/>
          <w:tblLayout w:type="fixed"/>
          <w:tblCellMar>
            <w:top w:w="0" w:type="dxa"/>
            <w:left w:w="108" w:type="dxa"/>
            <w:bottom w:w="0" w:type="dxa"/>
            <w:right w:w="108" w:type="dxa"/>
          </w:tblCellMar>
        </w:tblPrEx>
        <w:trPr>
          <w:trHeight w:val="454"/>
        </w:trPr>
        <w:tc>
          <w:tcPr>
            <w:tcW w:w="712" w:type="dxa"/>
            <w:vMerge/>
            <w:vAlign w:val="center"/>
          </w:tcPr>
          <w:p>
            <w:pPr>
              <w:snapToGrid w:val="0"/>
              <w:jc w:val="center"/>
              <w:rPr>
                <w:rFonts w:ascii="Arial" w:hAnsi="宋体" w:cs="Arial"/>
              </w:rPr>
            </w:pPr>
          </w:p>
        </w:tc>
        <w:tc>
          <w:tcPr>
            <w:tcW w:w="1828" w:type="dxa"/>
            <w:vAlign w:val="center"/>
          </w:tcPr>
          <w:p>
            <w:pPr>
              <w:snapToGrid w:val="0"/>
              <w:rPr>
                <w:rFonts w:ascii="Arial" w:hAnsi="宋体" w:cs="Arial"/>
              </w:rPr>
            </w:pPr>
            <w:r>
              <w:rPr>
                <w:rFonts w:ascii="Arial" w:hAnsi="宋体" w:cs="Arial" w:hint="eastAsia"/>
              </w:rPr>
              <w:t>国务院令第373号</w:t>
            </w:r>
          </w:p>
        </w:tc>
        <w:tc>
          <w:tcPr>
            <w:tcW w:w="6038" w:type="dxa"/>
            <w:vAlign w:val="center"/>
          </w:tcPr>
          <w:p>
            <w:pPr>
              <w:snapToGrid w:val="0"/>
              <w:rPr>
                <w:rFonts w:ascii="Arial" w:hAnsi="宋体" w:cs="Arial"/>
              </w:rPr>
            </w:pPr>
            <w:r>
              <w:rPr>
                <w:rFonts w:ascii="Arial" w:hAnsi="宋体" w:cs="Arial" w:hint="eastAsia"/>
              </w:rPr>
              <w:t>特种设备安全监察条例</w:t>
            </w:r>
          </w:p>
        </w:tc>
      </w:tr>
    </w:tbl>
    <w:p>
      <w:pPr>
        <w:snapToGrid w:val="0"/>
        <w:spacing w:before="166" w:beforeLines="50"/>
        <w:outlineLvl w:val="0"/>
        <w:rPr>
          <w:rFonts w:ascii="宋体" w:hAnsi="宋体"/>
          <w:b/>
          <w:bCs/>
          <w:sz w:val="28"/>
          <w:szCs w:val="28"/>
        </w:rPr>
      </w:pPr>
      <w:bookmarkStart w:id="2" w:name="_Toc28444"/>
      <w:bookmarkStart w:id="3" w:name="_Toc28982"/>
      <w:r>
        <w:rPr>
          <w:rFonts w:ascii="宋体" w:hAnsi="宋体" w:hint="eastAsia"/>
          <w:b/>
          <w:bCs/>
          <w:sz w:val="28"/>
          <w:szCs w:val="28"/>
        </w:rPr>
        <w:t>二、工程概况</w:t>
      </w:r>
      <w:bookmarkEnd w:id="2"/>
      <w:bookmarkEnd w:id="3"/>
    </w:p>
    <w:p>
      <w:pPr>
        <w:numPr>
          <w:ilvl w:val="0"/>
          <w:numId w:val="3"/>
        </w:numPr>
        <w:snapToGrid w:val="0"/>
        <w:spacing w:before="166" w:beforeLines="50"/>
        <w:outlineLvl w:val="0"/>
        <w:rPr>
          <w:rFonts w:ascii="宋体" w:hAnsi="宋体"/>
          <w:b/>
          <w:bCs/>
          <w:sz w:val="28"/>
          <w:szCs w:val="28"/>
        </w:rPr>
      </w:pPr>
      <w:bookmarkStart w:id="4" w:name="_Toc14587"/>
      <w:bookmarkStart w:id="5" w:name="_Toc31614"/>
      <w:r>
        <w:rPr>
          <w:rFonts w:ascii="宋体" w:hAnsi="宋体" w:hint="eastAsia"/>
          <w:b/>
          <w:bCs/>
          <w:sz w:val="28"/>
          <w:szCs w:val="28"/>
        </w:rPr>
        <w:t>塔机设备基本情况</w:t>
      </w:r>
      <w:bookmarkEnd w:id="4"/>
      <w:bookmarkEnd w:id="5"/>
    </w:p>
    <w:p>
      <w:pPr>
        <w:adjustRightInd w:val="0"/>
        <w:spacing w:line="425" w:lineRule="exact"/>
        <w:rPr>
          <w:rFonts w:ascii="宋体" w:hAnsi="宋体" w:cs="Arial"/>
        </w:rPr>
      </w:pPr>
      <w:r>
        <w:rPr>
          <w:rFonts w:ascii="宋体" w:hAnsi="宋体" w:cs="Arial" w:hint="eastAsia"/>
        </w:rPr>
        <w:t>1、考虑到施工经济性、合理性，根据建筑物的平面布置，在施工现场使用6台</w:t>
      </w:r>
      <w:r>
        <w:rPr>
          <w:rFonts w:ascii="宋体" w:hAnsi="宋体" w:hint="eastAsia"/>
        </w:rPr>
        <w:t>W7527-20D</w:t>
      </w:r>
      <w:r>
        <w:rPr>
          <w:rFonts w:ascii="宋体" w:hAnsi="宋体" w:cs="Arial" w:hint="eastAsia"/>
        </w:rPr>
        <w:t>塔机。</w:t>
      </w:r>
    </w:p>
    <w:tbl>
      <w:tblPr>
        <w:tblStyle w:val="TableNormal"/>
        <w:tblW w:w="8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515"/>
        <w:gridCol w:w="1904"/>
        <w:gridCol w:w="1885"/>
        <w:gridCol w:w="1415"/>
        <w:gridCol w:w="1685"/>
      </w:tblGrid>
      <w:tr>
        <w:tblPrEx>
          <w:tblW w:w="8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89"/>
          <w:jc w:val="center"/>
        </w:trPr>
        <w:tc>
          <w:tcPr>
            <w:tcW w:w="1515" w:type="dxa"/>
            <w:vAlign w:val="center"/>
          </w:tcPr>
          <w:p>
            <w:pPr>
              <w:snapToGrid w:val="0"/>
              <w:spacing w:before="166" w:beforeLines="50"/>
              <w:jc w:val="center"/>
              <w:rPr>
                <w:rFonts w:ascii="宋体" w:hAnsi="宋体"/>
              </w:rPr>
            </w:pPr>
            <w:bookmarkStart w:id="6" w:name="_Toc23437"/>
            <w:r>
              <w:rPr>
                <w:rFonts w:ascii="宋体" w:hAnsi="宋体" w:hint="eastAsia"/>
              </w:rPr>
              <w:t>现场编号</w:t>
            </w:r>
            <w:bookmarkEnd w:id="6"/>
          </w:p>
        </w:tc>
        <w:tc>
          <w:tcPr>
            <w:tcW w:w="1904" w:type="dxa"/>
            <w:vAlign w:val="center"/>
          </w:tcPr>
          <w:p>
            <w:pPr>
              <w:snapToGrid w:val="0"/>
              <w:spacing w:before="166" w:beforeLines="50"/>
              <w:jc w:val="center"/>
              <w:rPr>
                <w:rFonts w:ascii="宋体" w:hAnsi="宋体"/>
              </w:rPr>
            </w:pPr>
            <w:bookmarkStart w:id="7" w:name="_Toc14173"/>
            <w:r>
              <w:rPr>
                <w:rFonts w:ascii="宋体" w:hAnsi="宋体" w:hint="eastAsia"/>
              </w:rPr>
              <w:t>塔型</w:t>
            </w:r>
            <w:bookmarkEnd w:id="7"/>
          </w:p>
        </w:tc>
        <w:tc>
          <w:tcPr>
            <w:tcW w:w="1885" w:type="dxa"/>
            <w:vAlign w:val="center"/>
          </w:tcPr>
          <w:p>
            <w:pPr>
              <w:snapToGrid w:val="0"/>
              <w:spacing w:before="166" w:beforeLines="50"/>
              <w:jc w:val="center"/>
              <w:rPr>
                <w:rFonts w:ascii="宋体" w:hAnsi="宋体"/>
              </w:rPr>
            </w:pPr>
            <w:bookmarkStart w:id="8" w:name="_Toc1511"/>
            <w:r>
              <w:rPr>
                <w:rFonts w:ascii="宋体" w:hAnsi="宋体" w:hint="eastAsia"/>
              </w:rPr>
              <w:t>基础形式</w:t>
            </w:r>
            <w:bookmarkEnd w:id="8"/>
          </w:p>
        </w:tc>
        <w:tc>
          <w:tcPr>
            <w:tcW w:w="1415" w:type="dxa"/>
            <w:vAlign w:val="center"/>
          </w:tcPr>
          <w:p>
            <w:pPr>
              <w:snapToGrid w:val="0"/>
              <w:spacing w:before="166" w:beforeLines="50"/>
              <w:jc w:val="center"/>
              <w:rPr>
                <w:rFonts w:ascii="宋体" w:hAnsi="宋体"/>
              </w:rPr>
            </w:pPr>
            <w:bookmarkStart w:id="9" w:name="_Toc12938"/>
            <w:r>
              <w:rPr>
                <w:rFonts w:ascii="宋体" w:hAnsi="宋体" w:hint="eastAsia"/>
              </w:rPr>
              <w:t>起重臂长</w:t>
            </w:r>
            <w:bookmarkEnd w:id="9"/>
          </w:p>
        </w:tc>
        <w:tc>
          <w:tcPr>
            <w:tcW w:w="1685" w:type="dxa"/>
            <w:vAlign w:val="center"/>
          </w:tcPr>
          <w:p>
            <w:pPr>
              <w:snapToGrid w:val="0"/>
              <w:spacing w:before="166" w:beforeLines="50"/>
              <w:jc w:val="center"/>
              <w:rPr>
                <w:rFonts w:ascii="宋体" w:hAnsi="宋体"/>
              </w:rPr>
            </w:pPr>
            <w:bookmarkStart w:id="10" w:name="_Toc26954"/>
            <w:r>
              <w:rPr>
                <w:rFonts w:ascii="宋体" w:hAnsi="宋体" w:hint="eastAsia"/>
              </w:rPr>
              <w:t>顶升方向</w:t>
            </w:r>
            <w:bookmarkEnd w:id="10"/>
          </w:p>
        </w:tc>
      </w:tr>
      <w:tr>
        <w:tblPrEx>
          <w:tblW w:w="8404" w:type="dxa"/>
          <w:jc w:val="center"/>
          <w:tblLayout w:type="fixed"/>
          <w:tblCellMar>
            <w:top w:w="0" w:type="dxa"/>
            <w:left w:w="108" w:type="dxa"/>
            <w:bottom w:w="0" w:type="dxa"/>
            <w:right w:w="108" w:type="dxa"/>
          </w:tblCellMar>
        </w:tblPrEx>
        <w:trPr>
          <w:trHeight w:val="450"/>
          <w:jc w:val="center"/>
        </w:trPr>
        <w:tc>
          <w:tcPr>
            <w:tcW w:w="1515" w:type="dxa"/>
            <w:vAlign w:val="center"/>
          </w:tcPr>
          <w:p>
            <w:pPr>
              <w:snapToGrid w:val="0"/>
              <w:spacing w:before="166" w:beforeLines="50"/>
              <w:jc w:val="center"/>
              <w:rPr>
                <w:rFonts w:ascii="宋体" w:hAnsi="宋体"/>
              </w:rPr>
            </w:pPr>
            <w:bookmarkStart w:id="11" w:name="_Toc16066"/>
            <w:r>
              <w:rPr>
                <w:rFonts w:ascii="宋体" w:hAnsi="宋体" w:hint="eastAsia"/>
              </w:rPr>
              <w:t>1#</w:t>
            </w:r>
            <w:bookmarkEnd w:id="11"/>
          </w:p>
        </w:tc>
        <w:tc>
          <w:tcPr>
            <w:tcW w:w="1904" w:type="dxa"/>
            <w:vAlign w:val="center"/>
          </w:tcPr>
          <w:p>
            <w:pPr>
              <w:snapToGrid w:val="0"/>
              <w:spacing w:before="166" w:beforeLines="50"/>
              <w:jc w:val="center"/>
              <w:rPr>
                <w:rFonts w:ascii="宋体" w:hAnsi="宋体"/>
              </w:rPr>
            </w:pPr>
            <w:bookmarkStart w:id="12" w:name="_Toc546"/>
            <w:r>
              <w:rPr>
                <w:rFonts w:ascii="宋体" w:hAnsi="宋体" w:hint="eastAsia"/>
              </w:rPr>
              <w:t>W7527-20D</w:t>
            </w:r>
            <w:bookmarkEnd w:id="12"/>
          </w:p>
        </w:tc>
        <w:tc>
          <w:tcPr>
            <w:tcW w:w="1885" w:type="dxa"/>
            <w:vAlign w:val="center"/>
          </w:tcPr>
          <w:p>
            <w:pPr>
              <w:snapToGrid w:val="0"/>
              <w:spacing w:before="166" w:beforeLines="50"/>
              <w:jc w:val="center"/>
              <w:rPr>
                <w:rFonts w:ascii="宋体" w:hAnsi="宋体"/>
              </w:rPr>
            </w:pPr>
            <w:r>
              <w:rPr>
                <w:rFonts w:ascii="宋体" w:hAnsi="宋体" w:hint="eastAsia"/>
              </w:rPr>
              <w:t>预埋固定式</w:t>
            </w:r>
          </w:p>
        </w:tc>
        <w:tc>
          <w:tcPr>
            <w:tcW w:w="1415" w:type="dxa"/>
            <w:vAlign w:val="center"/>
          </w:tcPr>
          <w:p>
            <w:pPr>
              <w:snapToGrid w:val="0"/>
              <w:spacing w:before="166" w:beforeLines="50"/>
              <w:jc w:val="center"/>
              <w:rPr>
                <w:rFonts w:ascii="宋体" w:hAnsi="宋体"/>
              </w:rPr>
            </w:pPr>
            <w:r>
              <w:rPr>
                <w:rFonts w:ascii="宋体" w:hAnsi="宋体" w:hint="eastAsia"/>
              </w:rPr>
              <w:t>75m</w:t>
            </w:r>
          </w:p>
        </w:tc>
        <w:tc>
          <w:tcPr>
            <w:tcW w:w="1685" w:type="dxa"/>
            <w:vAlign w:val="center"/>
          </w:tcPr>
          <w:p>
            <w:pPr>
              <w:snapToGrid w:val="0"/>
              <w:spacing w:before="166" w:beforeLines="50"/>
              <w:jc w:val="center"/>
              <w:rPr>
                <w:rFonts w:ascii="宋体" w:hAnsi="宋体"/>
              </w:rPr>
            </w:pPr>
            <w:r>
              <w:rPr>
                <w:rFonts w:ascii="宋体" w:hAnsi="宋体" w:hint="eastAsia"/>
              </w:rPr>
              <w:t>西偏北</w:t>
            </w:r>
          </w:p>
        </w:tc>
      </w:tr>
      <w:tr>
        <w:tblPrEx>
          <w:tblW w:w="8404" w:type="dxa"/>
          <w:jc w:val="center"/>
          <w:tblLayout w:type="fixed"/>
          <w:tblCellMar>
            <w:top w:w="0" w:type="dxa"/>
            <w:left w:w="108" w:type="dxa"/>
            <w:bottom w:w="0" w:type="dxa"/>
            <w:right w:w="108" w:type="dxa"/>
          </w:tblCellMar>
        </w:tblPrEx>
        <w:trPr>
          <w:trHeight w:val="450"/>
          <w:jc w:val="center"/>
        </w:trPr>
        <w:tc>
          <w:tcPr>
            <w:tcW w:w="1515" w:type="dxa"/>
            <w:vAlign w:val="center"/>
          </w:tcPr>
          <w:p>
            <w:pPr>
              <w:snapToGrid w:val="0"/>
              <w:spacing w:before="166" w:beforeLines="50"/>
              <w:jc w:val="center"/>
              <w:rPr>
                <w:rFonts w:ascii="宋体" w:hAnsi="宋体"/>
              </w:rPr>
            </w:pPr>
            <w:bookmarkStart w:id="13" w:name="_Toc6613"/>
            <w:r>
              <w:rPr>
                <w:rFonts w:ascii="宋体" w:hAnsi="宋体" w:hint="eastAsia"/>
              </w:rPr>
              <w:t>2#</w:t>
            </w:r>
            <w:bookmarkEnd w:id="13"/>
          </w:p>
        </w:tc>
        <w:tc>
          <w:tcPr>
            <w:tcW w:w="1904" w:type="dxa"/>
            <w:vAlign w:val="center"/>
          </w:tcPr>
          <w:p>
            <w:pPr>
              <w:snapToGrid w:val="0"/>
              <w:spacing w:before="166" w:beforeLines="50"/>
              <w:jc w:val="center"/>
              <w:rPr>
                <w:rFonts w:ascii="宋体" w:hAnsi="宋体"/>
              </w:rPr>
            </w:pPr>
            <w:r>
              <w:rPr>
                <w:rFonts w:ascii="宋体" w:hAnsi="宋体" w:hint="eastAsia"/>
              </w:rPr>
              <w:t>W7527-20D</w:t>
            </w:r>
          </w:p>
        </w:tc>
        <w:tc>
          <w:tcPr>
            <w:tcW w:w="1885" w:type="dxa"/>
            <w:vAlign w:val="center"/>
          </w:tcPr>
          <w:p>
            <w:pPr>
              <w:snapToGrid w:val="0"/>
              <w:spacing w:before="166" w:beforeLines="50"/>
              <w:jc w:val="center"/>
              <w:rPr>
                <w:rFonts w:ascii="宋体" w:hAnsi="宋体"/>
              </w:rPr>
            </w:pPr>
            <w:r>
              <w:rPr>
                <w:rFonts w:ascii="宋体" w:hAnsi="宋体" w:hint="eastAsia"/>
              </w:rPr>
              <w:t>预埋固定式</w:t>
            </w:r>
          </w:p>
        </w:tc>
        <w:tc>
          <w:tcPr>
            <w:tcW w:w="1415" w:type="dxa"/>
            <w:vAlign w:val="center"/>
          </w:tcPr>
          <w:p>
            <w:pPr>
              <w:snapToGrid w:val="0"/>
              <w:spacing w:before="166" w:beforeLines="50"/>
              <w:jc w:val="center"/>
              <w:rPr>
                <w:rFonts w:ascii="宋体" w:hAnsi="宋体"/>
              </w:rPr>
            </w:pPr>
            <w:r>
              <w:rPr>
                <w:rFonts w:ascii="宋体" w:hAnsi="宋体" w:hint="eastAsia"/>
              </w:rPr>
              <w:t>75m</w:t>
            </w:r>
          </w:p>
        </w:tc>
        <w:tc>
          <w:tcPr>
            <w:tcW w:w="1685" w:type="dxa"/>
            <w:vAlign w:val="center"/>
          </w:tcPr>
          <w:p>
            <w:pPr>
              <w:snapToGrid w:val="0"/>
              <w:spacing w:before="166" w:beforeLines="50"/>
              <w:jc w:val="center"/>
              <w:rPr>
                <w:rFonts w:ascii="宋体" w:hAnsi="宋体"/>
              </w:rPr>
            </w:pPr>
            <w:r>
              <w:rPr>
                <w:rFonts w:ascii="宋体" w:hAnsi="宋体" w:hint="eastAsia"/>
              </w:rPr>
              <w:t>南</w:t>
            </w:r>
          </w:p>
        </w:tc>
      </w:tr>
      <w:tr>
        <w:tblPrEx>
          <w:tblW w:w="8404" w:type="dxa"/>
          <w:jc w:val="center"/>
          <w:tblLayout w:type="fixed"/>
          <w:tblCellMar>
            <w:top w:w="0" w:type="dxa"/>
            <w:left w:w="108" w:type="dxa"/>
            <w:bottom w:w="0" w:type="dxa"/>
            <w:right w:w="108" w:type="dxa"/>
          </w:tblCellMar>
        </w:tblPrEx>
        <w:trPr>
          <w:trHeight w:val="450"/>
          <w:jc w:val="center"/>
        </w:trPr>
        <w:tc>
          <w:tcPr>
            <w:tcW w:w="1515" w:type="dxa"/>
            <w:vAlign w:val="center"/>
          </w:tcPr>
          <w:p>
            <w:pPr>
              <w:snapToGrid w:val="0"/>
              <w:spacing w:before="166" w:beforeLines="50"/>
              <w:jc w:val="center"/>
              <w:rPr>
                <w:rFonts w:ascii="宋体" w:hAnsi="宋体"/>
              </w:rPr>
            </w:pPr>
            <w:bookmarkStart w:id="14" w:name="_Toc26035"/>
            <w:r>
              <w:rPr>
                <w:rFonts w:ascii="宋体" w:hAnsi="宋体" w:hint="eastAsia"/>
              </w:rPr>
              <w:t>3#</w:t>
            </w:r>
            <w:bookmarkEnd w:id="14"/>
          </w:p>
        </w:tc>
        <w:tc>
          <w:tcPr>
            <w:tcW w:w="1904" w:type="dxa"/>
            <w:vAlign w:val="center"/>
          </w:tcPr>
          <w:p>
            <w:pPr>
              <w:snapToGrid w:val="0"/>
              <w:spacing w:before="166" w:beforeLines="50"/>
              <w:jc w:val="center"/>
              <w:rPr>
                <w:rFonts w:ascii="宋体" w:hAnsi="宋体"/>
              </w:rPr>
            </w:pPr>
            <w:r>
              <w:rPr>
                <w:rFonts w:ascii="宋体" w:hAnsi="宋体" w:hint="eastAsia"/>
              </w:rPr>
              <w:t>W7527-20D</w:t>
            </w:r>
          </w:p>
        </w:tc>
        <w:tc>
          <w:tcPr>
            <w:tcW w:w="1885" w:type="dxa"/>
            <w:vAlign w:val="center"/>
          </w:tcPr>
          <w:p>
            <w:pPr>
              <w:snapToGrid w:val="0"/>
              <w:spacing w:before="166" w:beforeLines="50"/>
              <w:jc w:val="center"/>
              <w:rPr>
                <w:rFonts w:ascii="宋体" w:hAnsi="宋体"/>
              </w:rPr>
            </w:pPr>
            <w:r>
              <w:rPr>
                <w:rFonts w:ascii="宋体" w:hAnsi="宋体" w:hint="eastAsia"/>
              </w:rPr>
              <w:t>预埋固定式</w:t>
            </w:r>
          </w:p>
        </w:tc>
        <w:tc>
          <w:tcPr>
            <w:tcW w:w="1415" w:type="dxa"/>
            <w:vAlign w:val="center"/>
          </w:tcPr>
          <w:p>
            <w:pPr>
              <w:snapToGrid w:val="0"/>
              <w:spacing w:before="166" w:beforeLines="50"/>
              <w:jc w:val="center"/>
              <w:rPr>
                <w:rFonts w:ascii="宋体" w:hAnsi="宋体"/>
              </w:rPr>
            </w:pPr>
            <w:r>
              <w:rPr>
                <w:rFonts w:ascii="宋体" w:hAnsi="宋体" w:hint="eastAsia"/>
              </w:rPr>
              <w:t>75m</w:t>
            </w:r>
          </w:p>
        </w:tc>
        <w:tc>
          <w:tcPr>
            <w:tcW w:w="1685" w:type="dxa"/>
            <w:vAlign w:val="center"/>
          </w:tcPr>
          <w:p>
            <w:pPr>
              <w:snapToGrid w:val="0"/>
              <w:spacing w:before="166" w:beforeLines="50"/>
              <w:jc w:val="center"/>
              <w:rPr>
                <w:rFonts w:ascii="宋体" w:hAnsi="宋体"/>
              </w:rPr>
            </w:pPr>
            <w:r>
              <w:rPr>
                <w:rFonts w:ascii="宋体" w:hAnsi="宋体" w:hint="eastAsia"/>
              </w:rPr>
              <w:t>东</w:t>
            </w:r>
          </w:p>
        </w:tc>
      </w:tr>
      <w:tr>
        <w:tblPrEx>
          <w:tblW w:w="8404" w:type="dxa"/>
          <w:jc w:val="center"/>
          <w:tblLayout w:type="fixed"/>
          <w:tblCellMar>
            <w:top w:w="0" w:type="dxa"/>
            <w:left w:w="108" w:type="dxa"/>
            <w:bottom w:w="0" w:type="dxa"/>
            <w:right w:w="108" w:type="dxa"/>
          </w:tblCellMar>
        </w:tblPrEx>
        <w:trPr>
          <w:trHeight w:val="450"/>
          <w:jc w:val="center"/>
        </w:trPr>
        <w:tc>
          <w:tcPr>
            <w:tcW w:w="1515" w:type="dxa"/>
            <w:vAlign w:val="center"/>
          </w:tcPr>
          <w:p>
            <w:pPr>
              <w:snapToGrid w:val="0"/>
              <w:spacing w:before="166" w:beforeLines="50"/>
              <w:jc w:val="center"/>
              <w:rPr>
                <w:rFonts w:ascii="宋体" w:hAnsi="宋体"/>
              </w:rPr>
            </w:pPr>
            <w:bookmarkStart w:id="15" w:name="_Toc24551"/>
            <w:r>
              <w:rPr>
                <w:rFonts w:ascii="宋体" w:hAnsi="宋体" w:hint="eastAsia"/>
              </w:rPr>
              <w:t>4#</w:t>
            </w:r>
            <w:bookmarkEnd w:id="15"/>
          </w:p>
        </w:tc>
        <w:tc>
          <w:tcPr>
            <w:tcW w:w="1904" w:type="dxa"/>
            <w:vAlign w:val="center"/>
          </w:tcPr>
          <w:p>
            <w:pPr>
              <w:snapToGrid w:val="0"/>
              <w:spacing w:before="166" w:beforeLines="50"/>
              <w:jc w:val="center"/>
              <w:rPr>
                <w:rFonts w:ascii="宋体" w:hAnsi="宋体"/>
              </w:rPr>
            </w:pPr>
            <w:r>
              <w:rPr>
                <w:rFonts w:ascii="宋体" w:hAnsi="宋体" w:hint="eastAsia"/>
              </w:rPr>
              <w:t>W7527-20D</w:t>
            </w:r>
          </w:p>
        </w:tc>
        <w:tc>
          <w:tcPr>
            <w:tcW w:w="1885" w:type="dxa"/>
            <w:vAlign w:val="center"/>
          </w:tcPr>
          <w:p>
            <w:pPr>
              <w:snapToGrid w:val="0"/>
              <w:spacing w:before="166" w:beforeLines="50"/>
              <w:jc w:val="center"/>
              <w:rPr>
                <w:rFonts w:ascii="宋体" w:hAnsi="宋体"/>
              </w:rPr>
            </w:pPr>
            <w:r>
              <w:rPr>
                <w:rFonts w:ascii="宋体" w:hAnsi="宋体" w:hint="eastAsia"/>
              </w:rPr>
              <w:t>预埋固定式</w:t>
            </w:r>
          </w:p>
        </w:tc>
        <w:tc>
          <w:tcPr>
            <w:tcW w:w="1415" w:type="dxa"/>
            <w:vAlign w:val="center"/>
          </w:tcPr>
          <w:p>
            <w:pPr>
              <w:snapToGrid w:val="0"/>
              <w:spacing w:before="166" w:beforeLines="50"/>
              <w:jc w:val="center"/>
              <w:rPr>
                <w:rFonts w:ascii="宋体" w:hAnsi="宋体"/>
              </w:rPr>
            </w:pPr>
            <w:r>
              <w:rPr>
                <w:rFonts w:ascii="宋体" w:hAnsi="宋体" w:hint="eastAsia"/>
              </w:rPr>
              <w:t>75m</w:t>
            </w:r>
          </w:p>
        </w:tc>
        <w:tc>
          <w:tcPr>
            <w:tcW w:w="1685" w:type="dxa"/>
            <w:vAlign w:val="center"/>
          </w:tcPr>
          <w:p>
            <w:pPr>
              <w:snapToGrid w:val="0"/>
              <w:spacing w:before="166" w:beforeLines="50"/>
              <w:jc w:val="center"/>
              <w:rPr>
                <w:rFonts w:ascii="宋体" w:hAnsi="宋体"/>
              </w:rPr>
            </w:pPr>
            <w:r>
              <w:rPr>
                <w:rFonts w:ascii="宋体" w:hAnsi="宋体" w:hint="eastAsia"/>
              </w:rPr>
              <w:t>西北</w:t>
            </w:r>
          </w:p>
        </w:tc>
      </w:tr>
      <w:tr>
        <w:tblPrEx>
          <w:tblW w:w="8404" w:type="dxa"/>
          <w:jc w:val="center"/>
          <w:tblLayout w:type="fixed"/>
          <w:tblCellMar>
            <w:top w:w="0" w:type="dxa"/>
            <w:left w:w="108" w:type="dxa"/>
            <w:bottom w:w="0" w:type="dxa"/>
            <w:right w:w="108" w:type="dxa"/>
          </w:tblCellMar>
        </w:tblPrEx>
        <w:trPr>
          <w:trHeight w:val="450"/>
          <w:jc w:val="center"/>
        </w:trPr>
        <w:tc>
          <w:tcPr>
            <w:tcW w:w="1515" w:type="dxa"/>
            <w:vAlign w:val="center"/>
          </w:tcPr>
          <w:p>
            <w:pPr>
              <w:snapToGrid w:val="0"/>
              <w:spacing w:before="166" w:beforeLines="50"/>
              <w:jc w:val="center"/>
              <w:rPr>
                <w:rFonts w:ascii="宋体" w:hAnsi="宋体"/>
              </w:rPr>
            </w:pPr>
            <w:bookmarkStart w:id="16" w:name="_Toc21458"/>
            <w:r>
              <w:rPr>
                <w:rFonts w:ascii="宋体" w:hAnsi="宋体" w:hint="eastAsia"/>
              </w:rPr>
              <w:t>5#</w:t>
            </w:r>
            <w:bookmarkEnd w:id="16"/>
          </w:p>
        </w:tc>
        <w:tc>
          <w:tcPr>
            <w:tcW w:w="1904" w:type="dxa"/>
            <w:vAlign w:val="center"/>
          </w:tcPr>
          <w:p>
            <w:pPr>
              <w:snapToGrid w:val="0"/>
              <w:spacing w:before="166" w:beforeLines="50"/>
              <w:jc w:val="center"/>
              <w:rPr>
                <w:rFonts w:ascii="宋体" w:hAnsi="宋体"/>
              </w:rPr>
            </w:pPr>
            <w:r>
              <w:rPr>
                <w:rFonts w:ascii="宋体" w:hAnsi="宋体" w:hint="eastAsia"/>
              </w:rPr>
              <w:t>W7527-20D</w:t>
            </w:r>
          </w:p>
        </w:tc>
        <w:tc>
          <w:tcPr>
            <w:tcW w:w="1885" w:type="dxa"/>
            <w:vAlign w:val="center"/>
          </w:tcPr>
          <w:p>
            <w:pPr>
              <w:snapToGrid w:val="0"/>
              <w:spacing w:before="166" w:beforeLines="50"/>
              <w:jc w:val="center"/>
              <w:rPr>
                <w:rFonts w:ascii="宋体" w:hAnsi="宋体"/>
              </w:rPr>
            </w:pPr>
            <w:r>
              <w:rPr>
                <w:rFonts w:ascii="宋体" w:hAnsi="宋体" w:hint="eastAsia"/>
              </w:rPr>
              <w:t>预埋固定式</w:t>
            </w:r>
          </w:p>
        </w:tc>
        <w:tc>
          <w:tcPr>
            <w:tcW w:w="1415" w:type="dxa"/>
            <w:vAlign w:val="center"/>
          </w:tcPr>
          <w:p>
            <w:pPr>
              <w:snapToGrid w:val="0"/>
              <w:spacing w:before="166" w:beforeLines="50"/>
              <w:jc w:val="center"/>
              <w:rPr>
                <w:rFonts w:ascii="宋体" w:hAnsi="宋体"/>
              </w:rPr>
            </w:pPr>
            <w:r>
              <w:rPr>
                <w:rFonts w:ascii="宋体" w:hAnsi="宋体" w:hint="eastAsia"/>
              </w:rPr>
              <w:t>75m</w:t>
            </w:r>
          </w:p>
        </w:tc>
        <w:tc>
          <w:tcPr>
            <w:tcW w:w="1685" w:type="dxa"/>
            <w:vAlign w:val="center"/>
          </w:tcPr>
          <w:p>
            <w:pPr>
              <w:snapToGrid w:val="0"/>
              <w:spacing w:before="166" w:beforeLines="50"/>
              <w:jc w:val="center"/>
              <w:rPr>
                <w:rFonts w:ascii="宋体" w:hAnsi="宋体"/>
              </w:rPr>
            </w:pPr>
            <w:r>
              <w:rPr>
                <w:rFonts w:ascii="宋体" w:hAnsi="宋体" w:hint="eastAsia"/>
              </w:rPr>
              <w:t>南</w:t>
            </w:r>
          </w:p>
        </w:tc>
      </w:tr>
      <w:tr>
        <w:tblPrEx>
          <w:tblW w:w="8404" w:type="dxa"/>
          <w:jc w:val="center"/>
          <w:tblLayout w:type="fixed"/>
          <w:tblCellMar>
            <w:top w:w="0" w:type="dxa"/>
            <w:left w:w="108" w:type="dxa"/>
            <w:bottom w:w="0" w:type="dxa"/>
            <w:right w:w="108" w:type="dxa"/>
          </w:tblCellMar>
        </w:tblPrEx>
        <w:trPr>
          <w:trHeight w:val="450"/>
          <w:jc w:val="center"/>
        </w:trPr>
        <w:tc>
          <w:tcPr>
            <w:tcW w:w="1515" w:type="dxa"/>
            <w:vAlign w:val="center"/>
          </w:tcPr>
          <w:p>
            <w:pPr>
              <w:snapToGrid w:val="0"/>
              <w:spacing w:before="166" w:beforeLines="50"/>
              <w:jc w:val="center"/>
              <w:rPr>
                <w:rFonts w:ascii="宋体" w:hAnsi="宋体"/>
              </w:rPr>
            </w:pPr>
            <w:bookmarkStart w:id="17" w:name="_Toc7345"/>
            <w:r>
              <w:rPr>
                <w:rFonts w:ascii="宋体" w:hAnsi="宋体" w:hint="eastAsia"/>
              </w:rPr>
              <w:t>6#</w:t>
            </w:r>
            <w:bookmarkEnd w:id="17"/>
          </w:p>
        </w:tc>
        <w:tc>
          <w:tcPr>
            <w:tcW w:w="1904" w:type="dxa"/>
            <w:vAlign w:val="center"/>
          </w:tcPr>
          <w:p>
            <w:pPr>
              <w:snapToGrid w:val="0"/>
              <w:spacing w:before="166" w:beforeLines="50"/>
              <w:jc w:val="center"/>
              <w:rPr>
                <w:rFonts w:ascii="宋体" w:hAnsi="宋体"/>
              </w:rPr>
            </w:pPr>
            <w:r>
              <w:rPr>
                <w:rFonts w:ascii="宋体" w:hAnsi="宋体" w:hint="eastAsia"/>
              </w:rPr>
              <w:t>W7527-20D</w:t>
            </w:r>
          </w:p>
        </w:tc>
        <w:tc>
          <w:tcPr>
            <w:tcW w:w="1885" w:type="dxa"/>
            <w:vAlign w:val="center"/>
          </w:tcPr>
          <w:p>
            <w:pPr>
              <w:snapToGrid w:val="0"/>
              <w:spacing w:before="166" w:beforeLines="50"/>
              <w:jc w:val="center"/>
              <w:rPr>
                <w:rFonts w:ascii="宋体" w:hAnsi="宋体"/>
              </w:rPr>
            </w:pPr>
            <w:r>
              <w:rPr>
                <w:rFonts w:ascii="宋体" w:hAnsi="宋体" w:hint="eastAsia"/>
              </w:rPr>
              <w:t>预埋固定式</w:t>
            </w:r>
          </w:p>
        </w:tc>
        <w:tc>
          <w:tcPr>
            <w:tcW w:w="1415" w:type="dxa"/>
            <w:vAlign w:val="center"/>
          </w:tcPr>
          <w:p>
            <w:pPr>
              <w:snapToGrid w:val="0"/>
              <w:spacing w:before="166" w:beforeLines="50"/>
              <w:jc w:val="center"/>
              <w:rPr>
                <w:rFonts w:ascii="宋体" w:hAnsi="宋体"/>
              </w:rPr>
            </w:pPr>
            <w:r>
              <w:rPr>
                <w:rFonts w:ascii="宋体" w:hAnsi="宋体" w:hint="eastAsia"/>
              </w:rPr>
              <w:t>75m</w:t>
            </w:r>
          </w:p>
        </w:tc>
        <w:tc>
          <w:tcPr>
            <w:tcW w:w="1685" w:type="dxa"/>
            <w:vAlign w:val="center"/>
          </w:tcPr>
          <w:p>
            <w:pPr>
              <w:snapToGrid w:val="0"/>
              <w:spacing w:before="166" w:beforeLines="50"/>
              <w:jc w:val="center"/>
              <w:rPr>
                <w:rFonts w:ascii="宋体" w:hAnsi="宋体"/>
              </w:rPr>
            </w:pPr>
            <w:r>
              <w:rPr>
                <w:rFonts w:ascii="宋体" w:hAnsi="宋体" w:hint="eastAsia"/>
              </w:rPr>
              <w:t>东北</w:t>
            </w:r>
          </w:p>
        </w:tc>
      </w:tr>
    </w:tbl>
    <w:p>
      <w:pPr>
        <w:adjustRightInd w:val="0"/>
        <w:spacing w:line="425" w:lineRule="exact"/>
        <w:rPr>
          <w:rFonts w:ascii="宋体" w:hAnsi="宋体" w:cs="Arial"/>
        </w:rPr>
      </w:pPr>
      <w:r>
        <w:rPr>
          <w:rFonts w:ascii="宋体" w:hAnsi="宋体" w:cs="Arial" w:hint="eastAsia"/>
        </w:rPr>
        <w:t>2、W7527-20D塔吊起重性能</w:t>
      </w:r>
    </w:p>
    <w:p>
      <w:pPr>
        <w:tabs>
          <w:tab w:val="left" w:pos="8100"/>
        </w:tabs>
        <w:rPr>
          <w:rFonts w:ascii="宋体" w:hAnsi="宋体" w:cs="Arial"/>
        </w:rPr>
        <w:sectPr>
          <w:headerReference w:type="default" r:id="rId12"/>
          <w:footerReference w:type="default" r:id="rId13"/>
          <w:type w:val="nextPage"/>
          <w:pgSz w:w="11906" w:h="16838"/>
          <w:pgMar w:top="1440" w:right="1803" w:bottom="1418" w:left="1803" w:header="851" w:footer="992" w:gutter="0"/>
          <w:pgNumType w:fmt="numberInDash" w:start="4"/>
          <w:cols w:num="1" w:space="0"/>
          <w:titlePg w:val="0"/>
          <w:docGrid w:type="lines" w:linePitch="332" w:charSpace="0"/>
        </w:sectPr>
      </w:pPr>
      <w:r>
        <w:drawing>
          <wp:inline distT="0" distB="0" distL="114300" distR="114300">
            <wp:extent cx="5270500" cy="1464945"/>
            <wp:effectExtent l="0" t="0" r="6350" b="190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xmlns:r="http://schemas.openxmlformats.org/officeDocument/2006/relationships" r:embed="rId14"/>
                    <a:stretch>
                      <a:fillRect/>
                    </a:stretch>
                  </pic:blipFill>
                  <pic:spPr>
                    <a:xfrm>
                      <a:off x="0" y="0"/>
                      <a:ext cx="5270500" cy="1464945"/>
                    </a:xfrm>
                    <a:prstGeom prst="rect">
                      <a:avLst/>
                    </a:prstGeom>
                    <a:noFill/>
                    <a:ln>
                      <a:noFill/>
                    </a:ln>
                  </pic:spPr>
                </pic:pic>
              </a:graphicData>
            </a:graphic>
          </wp:inline>
        </w:drawing>
      </w:r>
    </w:p>
    <w:p>
      <w:pPr>
        <w:tabs>
          <w:tab w:val="left" w:pos="8100"/>
        </w:tabs>
        <w:rPr>
          <w:rFonts w:ascii="宋体" w:hAnsi="宋体" w:cs="Arial"/>
        </w:rPr>
      </w:pPr>
      <w:r>
        <w:rPr>
          <w:rFonts w:ascii="宋体" w:hAnsi="宋体" w:cs="Arial" w:hint="eastAsia"/>
        </w:rPr>
        <w:t>3、W7527-20D（75m起重臂）主要部件重量表</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628"/>
        <w:gridCol w:w="2520"/>
        <w:gridCol w:w="324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628" w:type="dxa"/>
          </w:tcPr>
          <w:p>
            <w:pPr>
              <w:snapToGrid w:val="0"/>
              <w:spacing w:before="166" w:beforeLines="50"/>
              <w:jc w:val="center"/>
              <w:rPr>
                <w:rFonts w:ascii="宋体" w:hAnsi="宋体"/>
              </w:rPr>
            </w:pPr>
            <w:r>
              <w:rPr>
                <w:rFonts w:ascii="宋体" w:hAnsi="宋体" w:hint="eastAsia"/>
              </w:rPr>
              <w:t>部件名称</w:t>
            </w:r>
          </w:p>
        </w:tc>
        <w:tc>
          <w:tcPr>
            <w:tcW w:w="2520" w:type="dxa"/>
          </w:tcPr>
          <w:p>
            <w:pPr>
              <w:snapToGrid w:val="0"/>
              <w:spacing w:before="166" w:beforeLines="50"/>
              <w:jc w:val="center"/>
              <w:rPr>
                <w:rFonts w:ascii="宋体" w:hAnsi="宋体"/>
              </w:rPr>
            </w:pPr>
            <w:r>
              <w:rPr>
                <w:rFonts w:ascii="宋体" w:hAnsi="宋体" w:hint="eastAsia"/>
              </w:rPr>
              <w:t>部件重量</w:t>
            </w:r>
          </w:p>
        </w:tc>
        <w:tc>
          <w:tcPr>
            <w:tcW w:w="3240" w:type="dxa"/>
          </w:tcPr>
          <w:p>
            <w:pPr>
              <w:snapToGrid w:val="0"/>
              <w:spacing w:before="166" w:beforeLines="50"/>
              <w:jc w:val="center"/>
              <w:rPr>
                <w:rFonts w:ascii="宋体" w:hAnsi="宋体"/>
              </w:rPr>
            </w:pPr>
            <w:r>
              <w:rPr>
                <w:rFonts w:ascii="宋体" w:hAnsi="宋体" w:hint="eastAsia"/>
              </w:rPr>
              <w:t>吊点位置</w:t>
            </w:r>
          </w:p>
        </w:tc>
      </w:tr>
      <w:tr>
        <w:tblPrEx>
          <w:tblW w:w="0" w:type="auto"/>
          <w:tblInd w:w="0" w:type="dxa"/>
          <w:tblLayout w:type="fixed"/>
          <w:tblCellMar>
            <w:top w:w="0" w:type="dxa"/>
            <w:left w:w="108" w:type="dxa"/>
            <w:bottom w:w="0" w:type="dxa"/>
            <w:right w:w="108" w:type="dxa"/>
          </w:tblCellMar>
        </w:tblPrEx>
        <w:trPr>
          <w:trHeight w:val="217"/>
        </w:trPr>
        <w:tc>
          <w:tcPr>
            <w:tcW w:w="2628" w:type="dxa"/>
          </w:tcPr>
          <w:p>
            <w:pPr>
              <w:snapToGrid w:val="0"/>
              <w:spacing w:before="166" w:beforeLines="50"/>
              <w:jc w:val="center"/>
              <w:rPr>
                <w:rFonts w:ascii="宋体" w:hAnsi="宋体"/>
              </w:rPr>
            </w:pPr>
            <w:r>
              <w:rPr>
                <w:rFonts w:ascii="宋体" w:hAnsi="宋体" w:hint="eastAsia"/>
              </w:rPr>
              <w:t>基础节</w:t>
            </w:r>
          </w:p>
        </w:tc>
        <w:tc>
          <w:tcPr>
            <w:tcW w:w="2520" w:type="dxa"/>
          </w:tcPr>
          <w:p>
            <w:pPr>
              <w:snapToGrid w:val="0"/>
              <w:spacing w:before="166" w:beforeLines="50"/>
              <w:jc w:val="center"/>
              <w:rPr>
                <w:rFonts w:ascii="宋体" w:hAnsi="宋体"/>
              </w:rPr>
            </w:pPr>
            <w:r>
              <w:rPr>
                <w:rFonts w:ascii="宋体" w:hAnsi="宋体" w:hint="eastAsia"/>
              </w:rPr>
              <w:t>5.0t</w:t>
            </w:r>
          </w:p>
        </w:tc>
        <w:tc>
          <w:tcPr>
            <w:tcW w:w="3240" w:type="dxa"/>
          </w:tcPr>
          <w:p>
            <w:pPr>
              <w:snapToGrid w:val="0"/>
              <w:spacing w:before="166" w:beforeLines="50"/>
              <w:jc w:val="center"/>
              <w:rPr>
                <w:rFonts w:ascii="宋体" w:hAnsi="宋体"/>
              </w:rPr>
            </w:pPr>
            <w:r>
              <w:rPr>
                <w:rFonts w:ascii="宋体" w:hAnsi="宋体" w:hint="eastAsia"/>
              </w:rPr>
              <w:t>上接口四点吊挂</w:t>
            </w:r>
          </w:p>
        </w:tc>
      </w:tr>
      <w:tr>
        <w:tblPrEx>
          <w:tblW w:w="0" w:type="auto"/>
          <w:tblInd w:w="0" w:type="dxa"/>
          <w:tblLayout w:type="fixed"/>
          <w:tblCellMar>
            <w:top w:w="0" w:type="dxa"/>
            <w:left w:w="108" w:type="dxa"/>
            <w:bottom w:w="0" w:type="dxa"/>
            <w:right w:w="108" w:type="dxa"/>
          </w:tblCellMar>
        </w:tblPrEx>
        <w:trPr>
          <w:trHeight w:val="217"/>
        </w:trPr>
        <w:tc>
          <w:tcPr>
            <w:tcW w:w="2628" w:type="dxa"/>
          </w:tcPr>
          <w:p>
            <w:pPr>
              <w:snapToGrid w:val="0"/>
              <w:spacing w:before="166" w:beforeLines="50"/>
              <w:jc w:val="center"/>
              <w:rPr>
                <w:rFonts w:ascii="宋体" w:hAnsi="宋体"/>
              </w:rPr>
            </w:pPr>
            <w:r>
              <w:rPr>
                <w:rFonts w:ascii="宋体" w:hAnsi="宋体" w:hint="eastAsia"/>
              </w:rPr>
              <w:t>加强节</w:t>
            </w:r>
          </w:p>
        </w:tc>
        <w:tc>
          <w:tcPr>
            <w:tcW w:w="2520" w:type="dxa"/>
          </w:tcPr>
          <w:p>
            <w:pPr>
              <w:snapToGrid w:val="0"/>
              <w:spacing w:before="166" w:beforeLines="50"/>
              <w:jc w:val="center"/>
              <w:rPr>
                <w:rFonts w:ascii="宋体" w:hAnsi="宋体"/>
              </w:rPr>
            </w:pPr>
            <w:r>
              <w:rPr>
                <w:rFonts w:ascii="宋体" w:hAnsi="宋体" w:hint="eastAsia"/>
              </w:rPr>
              <w:t>0.5t</w:t>
            </w:r>
          </w:p>
        </w:tc>
        <w:tc>
          <w:tcPr>
            <w:tcW w:w="3240" w:type="dxa"/>
          </w:tcPr>
          <w:p>
            <w:pPr>
              <w:snapToGrid w:val="0"/>
              <w:spacing w:before="166" w:beforeLines="50"/>
              <w:jc w:val="center"/>
              <w:rPr>
                <w:rFonts w:ascii="宋体" w:hAnsi="宋体"/>
              </w:rPr>
            </w:pPr>
            <w:r>
              <w:rPr>
                <w:rFonts w:ascii="宋体" w:hAnsi="宋体" w:hint="eastAsia"/>
              </w:rPr>
              <w:t>上接口四点吊挂</w:t>
            </w:r>
          </w:p>
        </w:tc>
      </w:tr>
      <w:tr>
        <w:tblPrEx>
          <w:tblW w:w="0" w:type="auto"/>
          <w:tblInd w:w="0" w:type="dxa"/>
          <w:tblLayout w:type="fixed"/>
          <w:tblCellMar>
            <w:top w:w="0" w:type="dxa"/>
            <w:left w:w="108" w:type="dxa"/>
            <w:bottom w:w="0" w:type="dxa"/>
            <w:right w:w="108" w:type="dxa"/>
          </w:tblCellMar>
        </w:tblPrEx>
        <w:trPr>
          <w:trHeight w:val="300"/>
        </w:trPr>
        <w:tc>
          <w:tcPr>
            <w:tcW w:w="2628" w:type="dxa"/>
          </w:tcPr>
          <w:p>
            <w:pPr>
              <w:snapToGrid w:val="0"/>
              <w:spacing w:before="166" w:beforeLines="50"/>
              <w:jc w:val="center"/>
              <w:rPr>
                <w:rFonts w:ascii="宋体" w:hAnsi="宋体"/>
              </w:rPr>
            </w:pPr>
            <w:r>
              <w:rPr>
                <w:rFonts w:ascii="宋体" w:hAnsi="宋体" w:hint="eastAsia"/>
              </w:rPr>
              <w:t>标准节</w:t>
            </w:r>
          </w:p>
        </w:tc>
        <w:tc>
          <w:tcPr>
            <w:tcW w:w="2520" w:type="dxa"/>
          </w:tcPr>
          <w:p>
            <w:pPr>
              <w:snapToGrid w:val="0"/>
              <w:spacing w:before="166" w:beforeLines="50"/>
              <w:jc w:val="center"/>
              <w:rPr>
                <w:rFonts w:ascii="宋体" w:hAnsi="宋体"/>
              </w:rPr>
            </w:pPr>
            <w:r>
              <w:rPr>
                <w:rFonts w:ascii="宋体" w:hAnsi="宋体" w:hint="eastAsia"/>
              </w:rPr>
              <w:t>0.5t</w:t>
            </w:r>
          </w:p>
        </w:tc>
        <w:tc>
          <w:tcPr>
            <w:tcW w:w="3240" w:type="dxa"/>
          </w:tcPr>
          <w:p>
            <w:pPr>
              <w:snapToGrid w:val="0"/>
              <w:spacing w:before="166" w:beforeLines="50"/>
              <w:jc w:val="center"/>
              <w:rPr>
                <w:rFonts w:ascii="宋体" w:hAnsi="宋体"/>
              </w:rPr>
            </w:pPr>
            <w:r>
              <w:rPr>
                <w:rFonts w:ascii="宋体" w:hAnsi="宋体" w:hint="eastAsia"/>
              </w:rPr>
              <w:t>上接口四点吊挂</w:t>
            </w:r>
          </w:p>
        </w:tc>
      </w:tr>
      <w:tr>
        <w:tblPrEx>
          <w:tblW w:w="0" w:type="auto"/>
          <w:tblInd w:w="0" w:type="dxa"/>
          <w:tblLayout w:type="fixed"/>
          <w:tblCellMar>
            <w:top w:w="0" w:type="dxa"/>
            <w:left w:w="108" w:type="dxa"/>
            <w:bottom w:w="0" w:type="dxa"/>
            <w:right w:w="108" w:type="dxa"/>
          </w:tblCellMar>
        </w:tblPrEx>
        <w:tc>
          <w:tcPr>
            <w:tcW w:w="2628" w:type="dxa"/>
          </w:tcPr>
          <w:p>
            <w:pPr>
              <w:snapToGrid w:val="0"/>
              <w:spacing w:before="166" w:beforeLines="50"/>
              <w:jc w:val="center"/>
              <w:rPr>
                <w:rFonts w:ascii="宋体" w:hAnsi="宋体"/>
              </w:rPr>
            </w:pPr>
            <w:r>
              <w:rPr>
                <w:rFonts w:ascii="宋体" w:hAnsi="宋体" w:hint="eastAsia"/>
              </w:rPr>
              <w:t>顶升套架</w:t>
            </w:r>
          </w:p>
        </w:tc>
        <w:tc>
          <w:tcPr>
            <w:tcW w:w="2520" w:type="dxa"/>
          </w:tcPr>
          <w:p>
            <w:pPr>
              <w:snapToGrid w:val="0"/>
              <w:spacing w:before="166" w:beforeLines="50"/>
              <w:jc w:val="center"/>
              <w:rPr>
                <w:rFonts w:ascii="宋体" w:hAnsi="宋体"/>
              </w:rPr>
            </w:pPr>
            <w:r>
              <w:rPr>
                <w:rFonts w:ascii="宋体" w:hAnsi="宋体" w:hint="eastAsia"/>
              </w:rPr>
              <w:t>3.8t</w:t>
            </w:r>
          </w:p>
        </w:tc>
        <w:tc>
          <w:tcPr>
            <w:tcW w:w="3240" w:type="dxa"/>
          </w:tcPr>
          <w:p>
            <w:pPr>
              <w:snapToGrid w:val="0"/>
              <w:spacing w:before="166" w:beforeLines="50"/>
              <w:jc w:val="center"/>
              <w:rPr>
                <w:rFonts w:ascii="宋体" w:hAnsi="宋体"/>
              </w:rPr>
            </w:pPr>
            <w:r>
              <w:rPr>
                <w:rFonts w:ascii="宋体" w:hAnsi="宋体" w:hint="eastAsia"/>
              </w:rPr>
              <w:t>上接口四点吊挂</w:t>
            </w:r>
          </w:p>
        </w:tc>
      </w:tr>
      <w:tr>
        <w:tblPrEx>
          <w:tblW w:w="0" w:type="auto"/>
          <w:tblInd w:w="0" w:type="dxa"/>
          <w:tblLayout w:type="fixed"/>
          <w:tblCellMar>
            <w:top w:w="0" w:type="dxa"/>
            <w:left w:w="108" w:type="dxa"/>
            <w:bottom w:w="0" w:type="dxa"/>
            <w:right w:w="108" w:type="dxa"/>
          </w:tblCellMar>
        </w:tblPrEx>
        <w:trPr>
          <w:trHeight w:val="218"/>
        </w:trPr>
        <w:tc>
          <w:tcPr>
            <w:tcW w:w="2628" w:type="dxa"/>
          </w:tcPr>
          <w:p>
            <w:pPr>
              <w:snapToGrid w:val="0"/>
              <w:spacing w:before="166" w:beforeLines="50"/>
              <w:jc w:val="center"/>
              <w:rPr>
                <w:rFonts w:ascii="宋体" w:eastAsia="宋体" w:hAnsi="宋体"/>
              </w:rPr>
            </w:pPr>
            <w:r>
              <w:rPr>
                <w:rFonts w:ascii="宋体" w:hAnsi="宋体" w:hint="eastAsia"/>
              </w:rPr>
              <w:t>回转总承</w:t>
            </w:r>
          </w:p>
        </w:tc>
        <w:tc>
          <w:tcPr>
            <w:tcW w:w="2520" w:type="dxa"/>
          </w:tcPr>
          <w:p>
            <w:pPr>
              <w:snapToGrid w:val="0"/>
              <w:spacing w:before="166" w:beforeLines="50"/>
              <w:jc w:val="center"/>
              <w:rPr>
                <w:rFonts w:ascii="宋体" w:hAnsi="宋体"/>
              </w:rPr>
            </w:pPr>
            <w:r>
              <w:rPr>
                <w:rFonts w:ascii="宋体" w:hAnsi="宋体" w:hint="eastAsia"/>
              </w:rPr>
              <w:t>9.5t</w:t>
            </w:r>
          </w:p>
        </w:tc>
        <w:tc>
          <w:tcPr>
            <w:tcW w:w="3240" w:type="dxa"/>
          </w:tcPr>
          <w:p>
            <w:pPr>
              <w:snapToGrid w:val="0"/>
              <w:spacing w:before="166" w:beforeLines="50"/>
              <w:jc w:val="center"/>
              <w:rPr>
                <w:rFonts w:ascii="宋体" w:hAnsi="宋体"/>
              </w:rPr>
            </w:pPr>
            <w:r>
              <w:rPr>
                <w:rFonts w:ascii="宋体" w:hAnsi="宋体" w:hint="eastAsia"/>
              </w:rPr>
              <w:t>专用吊点吊挂</w:t>
            </w:r>
          </w:p>
        </w:tc>
      </w:tr>
      <w:tr>
        <w:tblPrEx>
          <w:tblW w:w="0" w:type="auto"/>
          <w:tblInd w:w="0" w:type="dxa"/>
          <w:tblLayout w:type="fixed"/>
          <w:tblCellMar>
            <w:top w:w="0" w:type="dxa"/>
            <w:left w:w="108" w:type="dxa"/>
            <w:bottom w:w="0" w:type="dxa"/>
            <w:right w:w="108" w:type="dxa"/>
          </w:tblCellMar>
        </w:tblPrEx>
        <w:trPr>
          <w:trHeight w:val="217"/>
        </w:trPr>
        <w:tc>
          <w:tcPr>
            <w:tcW w:w="2628" w:type="dxa"/>
          </w:tcPr>
          <w:p>
            <w:pPr>
              <w:snapToGrid w:val="0"/>
              <w:spacing w:before="166" w:beforeLines="50"/>
              <w:jc w:val="center"/>
              <w:rPr>
                <w:rFonts w:ascii="宋体" w:eastAsia="宋体" w:hAnsi="宋体"/>
              </w:rPr>
            </w:pPr>
            <w:r>
              <w:rPr>
                <w:rFonts w:ascii="宋体" w:hAnsi="宋体" w:hint="eastAsia"/>
              </w:rPr>
              <w:t>过渡节</w:t>
            </w:r>
          </w:p>
        </w:tc>
        <w:tc>
          <w:tcPr>
            <w:tcW w:w="2520" w:type="dxa"/>
          </w:tcPr>
          <w:p>
            <w:pPr>
              <w:snapToGrid w:val="0"/>
              <w:spacing w:before="166" w:beforeLines="50"/>
              <w:jc w:val="center"/>
              <w:rPr>
                <w:rFonts w:ascii="宋体" w:hAnsi="宋体"/>
              </w:rPr>
            </w:pPr>
            <w:bookmarkStart w:id="18" w:name="_GoBack"/>
            <w:bookmarkEnd w:id="18"/>
            <w:r>
              <w:rPr>
                <w:rFonts w:ascii="宋体" w:hAnsi="宋体" w:hint="eastAsia"/>
              </w:rPr>
              <w:t>1.8t</w:t>
            </w:r>
          </w:p>
        </w:tc>
        <w:tc>
          <w:tcPr>
            <w:tcW w:w="3240" w:type="dxa"/>
          </w:tcPr>
          <w:p>
            <w:pPr>
              <w:snapToGrid w:val="0"/>
              <w:spacing w:before="166" w:beforeLines="50"/>
              <w:jc w:val="center"/>
              <w:rPr>
                <w:rFonts w:ascii="宋体" w:hAnsi="宋体"/>
              </w:rPr>
            </w:pPr>
            <w:r>
              <w:rPr>
                <w:rFonts w:ascii="宋体" w:hAnsi="宋体" w:hint="eastAsia"/>
              </w:rPr>
              <w:t>上接口四点吊挂</w:t>
            </w:r>
          </w:p>
        </w:tc>
      </w:tr>
      <w:tr>
        <w:tblPrEx>
          <w:tblW w:w="0" w:type="auto"/>
          <w:tblInd w:w="0" w:type="dxa"/>
          <w:tblLayout w:type="fixed"/>
          <w:tblCellMar>
            <w:top w:w="0" w:type="dxa"/>
            <w:left w:w="108" w:type="dxa"/>
            <w:bottom w:w="0" w:type="dxa"/>
            <w:right w:w="108" w:type="dxa"/>
          </w:tblCellMar>
        </w:tblPrEx>
        <w:trPr>
          <w:trHeight w:val="217"/>
        </w:trPr>
        <w:tc>
          <w:tcPr>
            <w:tcW w:w="2628" w:type="dxa"/>
          </w:tcPr>
          <w:p>
            <w:pPr>
              <w:snapToGrid w:val="0"/>
              <w:spacing w:before="166" w:beforeLines="50"/>
              <w:jc w:val="center"/>
              <w:rPr>
                <w:rFonts w:ascii="宋体" w:eastAsia="宋体" w:hAnsi="宋体"/>
              </w:rPr>
            </w:pPr>
            <w:r>
              <w:rPr>
                <w:rFonts w:ascii="宋体" w:hAnsi="宋体" w:hint="eastAsia"/>
              </w:rPr>
              <w:t>司机室</w:t>
            </w:r>
          </w:p>
        </w:tc>
        <w:tc>
          <w:tcPr>
            <w:tcW w:w="2520" w:type="dxa"/>
          </w:tcPr>
          <w:p>
            <w:pPr>
              <w:snapToGrid w:val="0"/>
              <w:spacing w:before="166" w:beforeLines="50"/>
              <w:jc w:val="center"/>
              <w:rPr>
                <w:rFonts w:ascii="宋体" w:eastAsia="宋体" w:hAnsi="宋体"/>
              </w:rPr>
            </w:pPr>
            <w:r>
              <w:rPr>
                <w:rFonts w:ascii="宋体" w:hAnsi="宋体" w:hint="eastAsia"/>
              </w:rPr>
              <w:t>0.7t</w:t>
            </w:r>
          </w:p>
        </w:tc>
        <w:tc>
          <w:tcPr>
            <w:tcW w:w="3240" w:type="dxa"/>
          </w:tcPr>
          <w:p>
            <w:pPr>
              <w:snapToGrid w:val="0"/>
              <w:spacing w:before="166" w:beforeLines="50"/>
              <w:jc w:val="center"/>
              <w:rPr>
                <w:rFonts w:ascii="宋体" w:hAnsi="宋体"/>
              </w:rPr>
            </w:pPr>
            <w:r>
              <w:rPr>
                <w:rFonts w:ascii="宋体" w:hAnsi="宋体" w:hint="eastAsia"/>
              </w:rPr>
              <w:t>专用吊点吊挂</w:t>
            </w:r>
          </w:p>
        </w:tc>
      </w:tr>
      <w:tr>
        <w:tblPrEx>
          <w:tblW w:w="0" w:type="auto"/>
          <w:tblInd w:w="0" w:type="dxa"/>
          <w:tblLayout w:type="fixed"/>
          <w:tblCellMar>
            <w:top w:w="0" w:type="dxa"/>
            <w:left w:w="108" w:type="dxa"/>
            <w:bottom w:w="0" w:type="dxa"/>
            <w:right w:w="108" w:type="dxa"/>
          </w:tblCellMar>
        </w:tblPrEx>
        <w:trPr>
          <w:trHeight w:val="290"/>
        </w:trPr>
        <w:tc>
          <w:tcPr>
            <w:tcW w:w="2628" w:type="dxa"/>
          </w:tcPr>
          <w:p>
            <w:pPr>
              <w:snapToGrid w:val="0"/>
              <w:spacing w:before="166" w:beforeLines="50"/>
              <w:jc w:val="center"/>
              <w:rPr>
                <w:rFonts w:ascii="宋体" w:eastAsia="宋体" w:hAnsi="宋体"/>
              </w:rPr>
            </w:pPr>
            <w:r>
              <w:rPr>
                <w:rFonts w:ascii="宋体" w:hAnsi="宋体" w:hint="eastAsia"/>
              </w:rPr>
              <w:t>平衡臂前臂节</w:t>
            </w:r>
          </w:p>
        </w:tc>
        <w:tc>
          <w:tcPr>
            <w:tcW w:w="2520" w:type="dxa"/>
          </w:tcPr>
          <w:p>
            <w:pPr>
              <w:snapToGrid w:val="0"/>
              <w:spacing w:before="166" w:beforeLines="50"/>
              <w:jc w:val="center"/>
              <w:rPr>
                <w:rFonts w:ascii="宋体" w:hAnsi="宋体"/>
              </w:rPr>
            </w:pPr>
            <w:r>
              <w:rPr>
                <w:rFonts w:ascii="宋体" w:hAnsi="宋体" w:hint="eastAsia"/>
              </w:rPr>
              <w:t>4.3t</w:t>
            </w:r>
          </w:p>
        </w:tc>
        <w:tc>
          <w:tcPr>
            <w:tcW w:w="3240" w:type="dxa"/>
          </w:tcPr>
          <w:p>
            <w:pPr>
              <w:snapToGrid w:val="0"/>
              <w:spacing w:before="166" w:beforeLines="50"/>
              <w:jc w:val="center"/>
              <w:rPr>
                <w:rFonts w:ascii="宋体" w:hAnsi="宋体"/>
              </w:rPr>
            </w:pPr>
            <w:r>
              <w:rPr>
                <w:rFonts w:ascii="宋体" w:hAnsi="宋体" w:hint="eastAsia"/>
              </w:rPr>
              <w:t>专用吊点四点吊吊挂</w:t>
            </w:r>
          </w:p>
        </w:tc>
      </w:tr>
      <w:tr>
        <w:tblPrEx>
          <w:tblW w:w="0" w:type="auto"/>
          <w:tblInd w:w="0" w:type="dxa"/>
          <w:tblLayout w:type="fixed"/>
          <w:tblCellMar>
            <w:top w:w="0" w:type="dxa"/>
            <w:left w:w="108" w:type="dxa"/>
            <w:bottom w:w="0" w:type="dxa"/>
            <w:right w:w="108" w:type="dxa"/>
          </w:tblCellMar>
        </w:tblPrEx>
        <w:trPr>
          <w:trHeight w:val="290"/>
        </w:trPr>
        <w:tc>
          <w:tcPr>
            <w:tcW w:w="2628" w:type="dxa"/>
          </w:tcPr>
          <w:p>
            <w:pPr>
              <w:snapToGrid w:val="0"/>
              <w:spacing w:before="166" w:beforeLines="50"/>
              <w:jc w:val="center"/>
              <w:rPr>
                <w:rFonts w:ascii="宋体" w:eastAsia="宋体" w:hAnsi="宋体"/>
                <w:sz w:val="21"/>
              </w:rPr>
            </w:pPr>
            <w:r>
              <w:rPr>
                <w:rFonts w:ascii="宋体" w:hAnsi="宋体" w:hint="eastAsia"/>
              </w:rPr>
              <w:t>平衡臂中臂节</w:t>
            </w:r>
          </w:p>
        </w:tc>
        <w:tc>
          <w:tcPr>
            <w:tcW w:w="2520" w:type="dxa"/>
          </w:tcPr>
          <w:p>
            <w:pPr>
              <w:snapToGrid w:val="0"/>
              <w:spacing w:before="166" w:beforeLines="50"/>
              <w:jc w:val="center"/>
              <w:rPr>
                <w:rFonts w:ascii="宋体" w:hAnsi="宋体"/>
                <w:sz w:val="21"/>
              </w:rPr>
            </w:pPr>
            <w:r>
              <w:rPr>
                <w:rFonts w:ascii="宋体" w:hAnsi="宋体" w:hint="eastAsia"/>
              </w:rPr>
              <w:t>1.6t</w:t>
            </w:r>
          </w:p>
        </w:tc>
        <w:tc>
          <w:tcPr>
            <w:tcW w:w="3240" w:type="dxa"/>
          </w:tcPr>
          <w:p>
            <w:pPr>
              <w:snapToGrid w:val="0"/>
              <w:spacing w:before="166" w:beforeLines="50"/>
              <w:jc w:val="center"/>
              <w:rPr>
                <w:rFonts w:ascii="宋体" w:hAnsi="宋体"/>
                <w:sz w:val="21"/>
              </w:rPr>
            </w:pPr>
            <w:r>
              <w:rPr>
                <w:rFonts w:ascii="宋体" w:hAnsi="宋体" w:hint="eastAsia"/>
              </w:rPr>
              <w:t>专用吊点四点吊吊挂</w:t>
            </w:r>
          </w:p>
        </w:tc>
      </w:tr>
      <w:tr>
        <w:tblPrEx>
          <w:tblW w:w="0" w:type="auto"/>
          <w:tblInd w:w="0" w:type="dxa"/>
          <w:tblLayout w:type="fixed"/>
          <w:tblCellMar>
            <w:top w:w="0" w:type="dxa"/>
            <w:left w:w="108" w:type="dxa"/>
            <w:bottom w:w="0" w:type="dxa"/>
            <w:right w:w="108" w:type="dxa"/>
          </w:tblCellMar>
        </w:tblPrEx>
        <w:trPr>
          <w:trHeight w:val="290"/>
        </w:trPr>
        <w:tc>
          <w:tcPr>
            <w:tcW w:w="2628" w:type="dxa"/>
          </w:tcPr>
          <w:p>
            <w:pPr>
              <w:snapToGrid w:val="0"/>
              <w:spacing w:before="166" w:beforeLines="50"/>
              <w:jc w:val="center"/>
              <w:rPr>
                <w:rFonts w:ascii="宋体" w:eastAsia="宋体" w:hAnsi="宋体"/>
                <w:sz w:val="21"/>
              </w:rPr>
            </w:pPr>
            <w:r>
              <w:rPr>
                <w:rFonts w:ascii="宋体" w:hAnsi="宋体" w:hint="eastAsia"/>
              </w:rPr>
              <w:t>平衡臂后臂节</w:t>
            </w:r>
          </w:p>
        </w:tc>
        <w:tc>
          <w:tcPr>
            <w:tcW w:w="2520" w:type="dxa"/>
          </w:tcPr>
          <w:p>
            <w:pPr>
              <w:snapToGrid w:val="0"/>
              <w:spacing w:before="166" w:beforeLines="50"/>
              <w:jc w:val="center"/>
              <w:rPr>
                <w:rFonts w:ascii="宋体" w:hAnsi="宋体"/>
                <w:sz w:val="21"/>
              </w:rPr>
            </w:pPr>
            <w:r>
              <w:rPr>
                <w:rFonts w:ascii="宋体" w:hAnsi="宋体" w:hint="eastAsia"/>
              </w:rPr>
              <w:t>9.2t</w:t>
            </w:r>
          </w:p>
        </w:tc>
        <w:tc>
          <w:tcPr>
            <w:tcW w:w="3240" w:type="dxa"/>
          </w:tcPr>
          <w:p>
            <w:pPr>
              <w:snapToGrid w:val="0"/>
              <w:spacing w:before="166" w:beforeLines="50"/>
              <w:jc w:val="center"/>
              <w:rPr>
                <w:rFonts w:ascii="宋体" w:hAnsi="宋体"/>
                <w:sz w:val="21"/>
              </w:rPr>
            </w:pPr>
            <w:r>
              <w:rPr>
                <w:rFonts w:ascii="宋体" w:hAnsi="宋体" w:hint="eastAsia"/>
              </w:rPr>
              <w:t>专用吊点四点吊吊挂</w:t>
            </w:r>
          </w:p>
        </w:tc>
      </w:tr>
      <w:tr>
        <w:tblPrEx>
          <w:tblW w:w="0" w:type="auto"/>
          <w:tblInd w:w="0" w:type="dxa"/>
          <w:tblLayout w:type="fixed"/>
          <w:tblCellMar>
            <w:top w:w="0" w:type="dxa"/>
            <w:left w:w="108" w:type="dxa"/>
            <w:bottom w:w="0" w:type="dxa"/>
            <w:right w:w="108" w:type="dxa"/>
          </w:tblCellMar>
        </w:tblPrEx>
        <w:tc>
          <w:tcPr>
            <w:tcW w:w="2628" w:type="dxa"/>
          </w:tcPr>
          <w:p>
            <w:pPr>
              <w:snapToGrid w:val="0"/>
              <w:spacing w:before="166" w:beforeLines="50"/>
              <w:jc w:val="center"/>
              <w:rPr>
                <w:rFonts w:ascii="宋体" w:hAnsi="宋体"/>
              </w:rPr>
            </w:pPr>
            <w:r>
              <w:rPr>
                <w:rFonts w:ascii="宋体" w:hAnsi="宋体" w:hint="eastAsia"/>
              </w:rPr>
              <w:t>起重臂总成（75m）</w:t>
            </w:r>
          </w:p>
        </w:tc>
        <w:tc>
          <w:tcPr>
            <w:tcW w:w="2520" w:type="dxa"/>
          </w:tcPr>
          <w:p>
            <w:pPr>
              <w:snapToGrid w:val="0"/>
              <w:spacing w:before="166" w:beforeLines="50"/>
              <w:jc w:val="center"/>
              <w:rPr>
                <w:rFonts w:ascii="宋体" w:hAnsi="宋体"/>
              </w:rPr>
            </w:pPr>
            <w:r>
              <w:rPr>
                <w:rFonts w:ascii="宋体" w:hAnsi="宋体" w:hint="eastAsia"/>
              </w:rPr>
              <w:t>15.5t</w:t>
            </w:r>
          </w:p>
        </w:tc>
        <w:tc>
          <w:tcPr>
            <w:tcW w:w="3240" w:type="dxa"/>
          </w:tcPr>
          <w:p>
            <w:pPr>
              <w:snapToGrid w:val="0"/>
              <w:spacing w:before="166" w:beforeLines="50"/>
              <w:jc w:val="center"/>
              <w:rPr>
                <w:rFonts w:ascii="宋体" w:hAnsi="宋体"/>
              </w:rPr>
            </w:pPr>
            <w:r>
              <w:rPr>
                <w:rFonts w:ascii="宋体" w:hint="eastAsia"/>
              </w:rPr>
              <w:t>距起重臂根部24.7米位置两点吊挂</w:t>
            </w:r>
          </w:p>
        </w:tc>
      </w:tr>
      <w:tr>
        <w:tblPrEx>
          <w:tblW w:w="0" w:type="auto"/>
          <w:tblInd w:w="0" w:type="dxa"/>
          <w:tblLayout w:type="fixed"/>
          <w:tblCellMar>
            <w:top w:w="0" w:type="dxa"/>
            <w:left w:w="108" w:type="dxa"/>
            <w:bottom w:w="0" w:type="dxa"/>
            <w:right w:w="108" w:type="dxa"/>
          </w:tblCellMar>
        </w:tblPrEx>
        <w:tc>
          <w:tcPr>
            <w:tcW w:w="2628" w:type="dxa"/>
          </w:tcPr>
          <w:p>
            <w:pPr>
              <w:snapToGrid w:val="0"/>
              <w:spacing w:before="166" w:beforeLines="50"/>
              <w:jc w:val="center"/>
              <w:rPr>
                <w:rFonts w:ascii="宋体" w:hAnsi="宋体"/>
              </w:rPr>
            </w:pPr>
            <w:r>
              <w:rPr>
                <w:rFonts w:ascii="宋体" w:hAnsi="宋体" w:hint="eastAsia"/>
              </w:rPr>
              <w:t>平衡重总成</w:t>
            </w:r>
          </w:p>
        </w:tc>
        <w:tc>
          <w:tcPr>
            <w:tcW w:w="2520" w:type="dxa"/>
          </w:tcPr>
          <w:p>
            <w:pPr>
              <w:snapToGrid w:val="0"/>
              <w:spacing w:before="166" w:beforeLines="50"/>
              <w:jc w:val="center"/>
              <w:rPr>
                <w:rFonts w:ascii="宋体" w:hAnsi="宋体"/>
              </w:rPr>
            </w:pPr>
            <w:r>
              <w:rPr>
                <w:rFonts w:ascii="宋体" w:hAnsi="宋体" w:hint="eastAsia"/>
              </w:rPr>
              <w:t>2+3+4×3.9t=20.6t</w:t>
            </w:r>
          </w:p>
        </w:tc>
        <w:tc>
          <w:tcPr>
            <w:tcW w:w="3240" w:type="dxa"/>
          </w:tcPr>
          <w:p>
            <w:pPr>
              <w:snapToGrid w:val="0"/>
              <w:spacing w:before="166" w:beforeLines="50"/>
              <w:jc w:val="center"/>
              <w:rPr>
                <w:rFonts w:ascii="宋体" w:hAnsi="宋体"/>
              </w:rPr>
            </w:pPr>
            <w:r>
              <w:rPr>
                <w:rFonts w:ascii="宋体" w:hAnsi="宋体" w:hint="eastAsia"/>
              </w:rPr>
              <w:t>专用吊点单点吊挂</w:t>
            </w:r>
          </w:p>
        </w:tc>
      </w:tr>
    </w:tbl>
    <w:p>
      <w:pPr>
        <w:snapToGrid w:val="0"/>
        <w:spacing w:before="166" w:beforeLines="50"/>
        <w:outlineLvl w:val="0"/>
        <w:rPr>
          <w:rFonts w:ascii="宋体" w:hAnsi="宋体" w:cs="Arial"/>
        </w:rPr>
      </w:pPr>
      <w:bookmarkStart w:id="19" w:name="_Toc6676"/>
      <w:bookmarkStart w:id="20" w:name="_Toc12196"/>
      <w:r>
        <w:rPr>
          <w:rFonts w:ascii="宋体" w:hAnsi="宋体" w:hint="eastAsia"/>
          <w:b/>
          <w:bCs/>
          <w:sz w:val="28"/>
          <w:szCs w:val="28"/>
        </w:rPr>
        <w:t>四、塔吊安装位置</w:t>
      </w:r>
      <w:r>
        <w:rPr>
          <w:rFonts w:ascii="宋体" w:hAnsi="宋体" w:cs="System" w:hint="eastAsia"/>
          <w:color w:val="FFFFFF"/>
          <w:kern w:val="0"/>
        </w:rPr>
        <w:t>）</w:t>
      </w:r>
      <w:r>
        <w:rPr>
          <w:rFonts w:ascii="宋体" w:hAnsi="宋体" w:cs="System"/>
          <w:color w:val="FFFFFF"/>
          <w:kern w:val="0"/>
        </w:rPr>
        <w:t>2#</w:t>
      </w:r>
      <w:r>
        <w:rPr>
          <w:rFonts w:ascii="宋体" w:hAnsi="宋体" w:cs="System" w:hint="eastAsia"/>
          <w:color w:val="FFFFFF"/>
          <w:kern w:val="0"/>
        </w:rPr>
        <w:t>塔吊的塔中在</w:t>
      </w:r>
      <w:r>
        <w:rPr>
          <w:rFonts w:ascii="宋体" w:hAnsi="宋体" w:cs="System"/>
          <w:color w:val="FFFFFF"/>
          <w:kern w:val="0"/>
        </w:rPr>
        <w:t>G</w:t>
      </w:r>
      <w:r>
        <w:rPr>
          <w:rFonts w:ascii="宋体" w:hAnsi="宋体" w:cs="System" w:hint="eastAsia"/>
          <w:color w:val="FFFFFF"/>
          <w:kern w:val="0"/>
        </w:rPr>
        <w:t>轴</w:t>
      </w:r>
      <w:r>
        <w:rPr>
          <w:rFonts w:ascii="宋体" w:hAnsi="宋体" w:cs="System"/>
          <w:color w:val="FFFFFF"/>
          <w:kern w:val="0"/>
        </w:rPr>
        <w:t>/8</w:t>
      </w:r>
      <w:r>
        <w:rPr>
          <w:rFonts w:ascii="宋体" w:hAnsi="宋体" w:cs="System" w:hint="eastAsia"/>
          <w:color w:val="FFFFFF"/>
          <w:kern w:val="0"/>
        </w:rPr>
        <w:t>轴交点处以东</w:t>
      </w:r>
      <w:r>
        <w:rPr>
          <w:rFonts w:ascii="宋体" w:hAnsi="宋体" w:cs="System"/>
          <w:color w:val="FFFFFF"/>
          <w:kern w:val="0"/>
        </w:rPr>
        <w:t>2500</w:t>
      </w:r>
      <w:bookmarkEnd w:id="19"/>
      <w:bookmarkEnd w:id="20"/>
    </w:p>
    <w:p>
      <w:pPr>
        <w:adjustRightInd w:val="0"/>
        <w:spacing w:line="425" w:lineRule="exact"/>
        <w:ind w:firstLine="480" w:firstLineChars="200"/>
        <w:rPr>
          <w:rFonts w:ascii="Arial" w:eastAsia="宋体" w:hAnsi="宋体" w:cs="Arial"/>
        </w:rPr>
      </w:pPr>
      <w:r>
        <w:rPr>
          <w:rFonts w:ascii="Arial" w:hAnsi="宋体" w:cs="Arial" w:hint="eastAsia"/>
        </w:rPr>
        <w:t>本工程根据测量坐标系。</w:t>
      </w:r>
    </w:p>
    <w:p>
      <w:pPr>
        <w:adjustRightInd w:val="0"/>
        <w:spacing w:line="425" w:lineRule="exact"/>
        <w:ind w:firstLine="480" w:firstLineChars="200"/>
        <w:rPr>
          <w:rFonts w:ascii="Arial" w:hAnsi="宋体" w:cs="Arial"/>
        </w:rPr>
      </w:pPr>
      <w:r>
        <w:rPr>
          <w:rFonts w:ascii="Arial" w:hAnsi="宋体" w:cs="Arial" w:hint="eastAsia"/>
        </w:rPr>
        <w:t>1#塔吊基础中心坐标为X=-2439.293、Y=3943.516；</w:t>
      </w:r>
    </w:p>
    <w:p>
      <w:pPr>
        <w:adjustRightInd w:val="0"/>
        <w:spacing w:line="425" w:lineRule="exact"/>
        <w:ind w:firstLine="480" w:firstLineChars="200"/>
        <w:rPr>
          <w:rFonts w:ascii="Arial" w:hAnsi="宋体" w:cs="Arial"/>
        </w:rPr>
      </w:pPr>
      <w:r>
        <w:rPr>
          <w:rFonts w:ascii="Arial" w:hAnsi="宋体" w:cs="Arial" w:hint="eastAsia"/>
        </w:rPr>
        <w:t>2#塔吊基础中心坐标为X=-2567.315、Y=4000.226；</w:t>
      </w:r>
    </w:p>
    <w:p>
      <w:pPr>
        <w:adjustRightInd w:val="0"/>
        <w:spacing w:line="425" w:lineRule="exact"/>
        <w:ind w:firstLine="480" w:firstLineChars="200"/>
        <w:rPr>
          <w:rFonts w:ascii="Arial" w:hAnsi="宋体" w:cs="Arial"/>
        </w:rPr>
      </w:pPr>
      <w:r>
        <w:rPr>
          <w:rFonts w:ascii="Arial" w:hAnsi="宋体" w:cs="Arial" w:hint="eastAsia"/>
        </w:rPr>
        <w:t>3#塔吊基础中心为X=-2673.768、Y=3950.552；</w:t>
      </w:r>
    </w:p>
    <w:p>
      <w:pPr>
        <w:adjustRightInd w:val="0"/>
        <w:spacing w:line="425" w:lineRule="exact"/>
        <w:ind w:firstLine="480" w:firstLineChars="200"/>
        <w:rPr>
          <w:rFonts w:ascii="Arial" w:hAnsi="宋体" w:cs="Arial"/>
        </w:rPr>
      </w:pPr>
      <w:r>
        <w:rPr>
          <w:rFonts w:ascii="Arial" w:hAnsi="宋体" w:cs="Arial" w:hint="eastAsia"/>
        </w:rPr>
        <w:t>4#塔吊基础中心坐标为X=-2666.021、Y=3833.112；</w:t>
      </w:r>
    </w:p>
    <w:p>
      <w:pPr>
        <w:adjustRightInd w:val="0"/>
        <w:spacing w:line="425" w:lineRule="exact"/>
        <w:ind w:firstLine="480" w:firstLineChars="200"/>
        <w:rPr>
          <w:rFonts w:ascii="Arial" w:hAnsi="宋体" w:cs="Arial"/>
        </w:rPr>
      </w:pPr>
      <w:r>
        <w:rPr>
          <w:rFonts w:ascii="Arial" w:hAnsi="宋体" w:cs="Arial" w:hint="eastAsia"/>
        </w:rPr>
        <w:t>5#塔吊基础中心坐标为X=-2561.723、Y=3792.467；</w:t>
      </w:r>
    </w:p>
    <w:p>
      <w:pPr>
        <w:adjustRightInd w:val="0"/>
        <w:spacing w:line="425" w:lineRule="exact"/>
        <w:ind w:firstLine="480" w:firstLineChars="200"/>
        <w:rPr>
          <w:rFonts w:ascii="Arial" w:hAnsi="宋体" w:cs="Arial"/>
        </w:rPr>
      </w:pPr>
      <w:r>
        <w:rPr>
          <w:rFonts w:ascii="Arial" w:hAnsi="宋体" w:cs="Arial" w:hint="eastAsia"/>
        </w:rPr>
        <w:t>6#塔吊基础中心坐标为X=-2455.164、Y=3824.963。</w:t>
      </w:r>
    </w:p>
    <w:p>
      <w:pPr>
        <w:adjustRightInd w:val="0"/>
        <w:spacing w:line="425" w:lineRule="exact"/>
        <w:ind w:firstLine="480" w:firstLineChars="200"/>
        <w:rPr>
          <w:color w:val="FF0000"/>
        </w:rPr>
      </w:pPr>
      <w:r>
        <w:rPr>
          <w:rFonts w:ascii="Arial" w:hAnsi="宋体" w:cs="Arial" w:hint="eastAsia"/>
        </w:rPr>
        <w:t>详见附图一《塔吊基础定位图》。</w:t>
      </w:r>
    </w:p>
    <w:p>
      <w:pPr>
        <w:snapToGrid w:val="0"/>
        <w:spacing w:before="166" w:beforeLines="50"/>
        <w:outlineLvl w:val="0"/>
        <w:rPr>
          <w:rFonts w:ascii="宋体" w:hAnsi="宋体"/>
          <w:b/>
          <w:bCs/>
          <w:sz w:val="28"/>
          <w:szCs w:val="28"/>
        </w:rPr>
        <w:sectPr>
          <w:headerReference w:type="default" r:id="rId15"/>
          <w:footerReference w:type="default" r:id="rId16"/>
          <w:type w:val="nextPage"/>
          <w:pgSz w:w="11906" w:h="16838"/>
          <w:pgMar w:top="1440" w:right="1803" w:bottom="1418" w:left="1803" w:header="851" w:footer="992" w:gutter="0"/>
          <w:pgNumType w:fmt="numberInDash" w:start="5"/>
          <w:cols w:num="1" w:space="0"/>
          <w:titlePg w:val="0"/>
          <w:docGrid w:type="lines" w:linePitch="332" w:charSpace="0"/>
        </w:sectPr>
      </w:pPr>
      <w:bookmarkStart w:id="21" w:name="_Toc6749"/>
      <w:bookmarkStart w:id="22" w:name="_Toc23500"/>
      <w:r>
        <w:rPr>
          <w:rFonts w:ascii="宋体" w:hAnsi="宋体" w:hint="eastAsia"/>
          <w:b/>
          <w:bCs/>
          <w:sz w:val="28"/>
          <w:szCs w:val="28"/>
        </w:rPr>
        <w:t>五、塔机基础</w:t>
      </w:r>
      <w:bookmarkEnd w:id="21"/>
      <w:bookmarkEnd w:id="22"/>
    </w:p>
    <w:p>
      <w:pPr>
        <w:ind w:firstLine="480" w:firstLineChars="200"/>
        <w:rPr>
          <w:rFonts w:ascii="宋体" w:hAnsi="宋体"/>
        </w:rPr>
      </w:pPr>
      <w:r>
        <w:rPr>
          <w:rFonts w:ascii="宋体" w:hAnsi="宋体" w:hint="eastAsia"/>
        </w:rPr>
        <w:t>安装形式采用预埋固定式，厂家根据施工方提供地耐力情况和塔机基础要求，确定基础尺寸。</w:t>
      </w:r>
    </w:p>
    <w:p>
      <w:pPr>
        <w:ind w:firstLine="480" w:firstLineChars="200"/>
        <w:rPr>
          <w:rFonts w:ascii="宋体" w:hAnsi="宋体"/>
        </w:rPr>
      </w:pPr>
      <w:r>
        <w:rPr>
          <w:rFonts w:ascii="宋体" w:hAnsi="宋体" w:hint="eastAsia"/>
        </w:rPr>
        <w:t>塔吊基础施工工艺、做法相关内容及基础配筋图均由厂家提供。</w:t>
      </w:r>
    </w:p>
    <w:p>
      <w:pPr>
        <w:ind w:firstLine="480" w:firstLineChars="200"/>
        <w:rPr>
          <w:rFonts w:ascii="宋体" w:hAnsi="宋体"/>
        </w:rPr>
      </w:pPr>
      <w:r>
        <w:rPr>
          <w:rFonts w:ascii="宋体" w:hAnsi="宋体" w:hint="eastAsia"/>
        </w:rPr>
        <w:t>其中需要注意的有：</w:t>
      </w:r>
    </w:p>
    <w:p>
      <w:pPr>
        <w:rPr>
          <w:rFonts w:ascii="宋体" w:hAnsi="宋体"/>
          <w:color w:val="FF0000"/>
        </w:rPr>
      </w:pPr>
      <w:r>
        <w:rPr>
          <w:rFonts w:ascii="宋体" w:hAnsi="宋体" w:hint="eastAsia"/>
        </w:rPr>
        <w:t>1、 混凝土基础应满足现场承载力。</w:t>
      </w:r>
    </w:p>
    <w:p>
      <w:pPr>
        <w:rPr>
          <w:rFonts w:ascii="宋体" w:hAnsi="宋体"/>
        </w:rPr>
      </w:pPr>
      <w:r>
        <w:rPr>
          <w:rFonts w:ascii="宋体" w:hAnsi="宋体" w:hint="eastAsia"/>
        </w:rPr>
        <w:t>2 、混凝土强度等级：不小于C35，安装时混凝土强度不小于该强度的90%。</w:t>
      </w:r>
    </w:p>
    <w:p>
      <w:pPr>
        <w:rPr>
          <w:rFonts w:ascii="宋体" w:hAnsi="宋体"/>
        </w:rPr>
      </w:pPr>
      <w:r>
        <w:rPr>
          <w:rFonts w:ascii="宋体" w:hAnsi="宋体" w:hint="eastAsia"/>
        </w:rPr>
        <w:t>3、塔吊基础的排水</w:t>
      </w:r>
    </w:p>
    <w:p>
      <w:pPr>
        <w:rPr>
          <w:rFonts w:ascii="宋体" w:hAnsi="宋体"/>
        </w:rPr>
      </w:pPr>
      <w:r>
        <w:rPr>
          <w:rFonts w:ascii="宋体" w:hAnsi="宋体" w:hint="eastAsia"/>
        </w:rPr>
        <w:t>4、保护接地必须与基础施工同时进行，每台塔机至少设置两组接地，用接地摇表测试接地电阻不超过4Ω，塔机安装完毕，并与垫板焊接。</w:t>
      </w:r>
    </w:p>
    <w:p>
      <w:pPr>
        <w:rPr>
          <w:rFonts w:ascii="宋体" w:hAnsi="宋体"/>
        </w:rPr>
      </w:pPr>
      <w:r>
        <w:rPr>
          <w:rFonts w:ascii="宋体" w:hAnsi="宋体" w:hint="eastAsia"/>
        </w:rPr>
        <w:t>5、具体做法见附图（由厂家提供）。</w:t>
      </w:r>
    </w:p>
    <w:p>
      <w:pPr>
        <w:snapToGrid w:val="0"/>
        <w:spacing w:before="166" w:beforeLines="50"/>
        <w:outlineLvl w:val="0"/>
        <w:rPr>
          <w:rFonts w:ascii="宋体" w:hAnsi="宋体"/>
          <w:b/>
          <w:sz w:val="28"/>
          <w:szCs w:val="28"/>
        </w:rPr>
      </w:pPr>
      <w:bookmarkStart w:id="23" w:name="_Toc14104"/>
      <w:bookmarkStart w:id="24" w:name="_Toc24384"/>
      <w:r>
        <w:rPr>
          <w:rFonts w:ascii="宋体" w:hAnsi="宋体" w:hint="eastAsia"/>
          <w:b/>
          <w:sz w:val="28"/>
          <w:szCs w:val="28"/>
        </w:rPr>
        <w:t>六、塔机安装安全质量要求</w:t>
      </w:r>
      <w:bookmarkEnd w:id="23"/>
      <w:bookmarkEnd w:id="24"/>
    </w:p>
    <w:p>
      <w:pPr>
        <w:snapToGrid w:val="0"/>
        <w:ind w:left="480" w:hanging="480" w:hangingChars="200"/>
        <w:rPr>
          <w:rFonts w:ascii="宋体" w:hAnsi="宋体"/>
        </w:rPr>
      </w:pPr>
      <w:r>
        <w:rPr>
          <w:rFonts w:ascii="宋体" w:hAnsi="宋体" w:hint="eastAsia"/>
        </w:rPr>
        <w:t>1、</w:t>
      </w:r>
      <w:r>
        <w:rPr>
          <w:rFonts w:ascii="Arial" w:hAnsi="宋体" w:cs="Arial" w:hint="eastAsia"/>
        </w:rPr>
        <w:t>所有参与拆装作业人员需持证上岗，</w:t>
      </w:r>
      <w:r>
        <w:rPr>
          <w:rFonts w:ascii="宋体" w:hAnsi="宋体" w:hint="eastAsia"/>
        </w:rPr>
        <w:t>塔式起重机在安装拆卸工作过程中，</w:t>
      </w:r>
    </w:p>
    <w:p>
      <w:pPr>
        <w:snapToGrid w:val="0"/>
        <w:ind w:left="480" w:hanging="240" w:leftChars="100" w:hangingChars="100"/>
        <w:rPr>
          <w:rFonts w:ascii="宋体" w:hAnsi="宋体"/>
        </w:rPr>
      </w:pPr>
      <w:r>
        <w:rPr>
          <w:rFonts w:ascii="宋体" w:hAnsi="宋体" w:hint="eastAsia"/>
        </w:rPr>
        <w:t>严格按本塔工艺规程进行施工。</w:t>
      </w:r>
    </w:p>
    <w:p>
      <w:pPr>
        <w:snapToGrid w:val="0"/>
        <w:ind w:left="240" w:hanging="240" w:hangingChars="100"/>
        <w:rPr>
          <w:rFonts w:ascii="宋体" w:hAnsi="宋体"/>
        </w:rPr>
      </w:pPr>
      <w:r>
        <w:rPr>
          <w:rFonts w:ascii="宋体" w:hAnsi="宋体" w:hint="eastAsia"/>
        </w:rPr>
        <w:t>2、在塔式起重机安装、拆卸过程中所用钢丝，绳索具、吊钩、吊环、钢丝绳卡、棕绳、尼龙绳等吊装用工具，安全系数应不小于6。</w:t>
      </w:r>
    </w:p>
    <w:p>
      <w:pPr>
        <w:snapToGrid w:val="0"/>
        <w:ind w:left="240" w:right="-84" w:hanging="240" w:rightChars="-35" w:hangingChars="100"/>
        <w:rPr>
          <w:rFonts w:ascii="宋体" w:hAnsi="宋体"/>
        </w:rPr>
      </w:pPr>
      <w:r>
        <w:rPr>
          <w:rFonts w:ascii="宋体" w:hAnsi="宋体" w:hint="eastAsia"/>
        </w:rPr>
        <w:t>3、在工作中，塔机结构上凡没有工作平台，护栏的任何位置，工作人员均应系好安全带，并应在有人监护的情况下进行工作。</w:t>
      </w:r>
    </w:p>
    <w:p>
      <w:pPr>
        <w:snapToGrid w:val="0"/>
        <w:ind w:left="240" w:hanging="240" w:hangingChars="100"/>
        <w:rPr>
          <w:rFonts w:ascii="宋体" w:hAnsi="宋体"/>
        </w:rPr>
      </w:pPr>
      <w:r>
        <w:rPr>
          <w:rFonts w:ascii="宋体" w:hAnsi="宋体" w:hint="eastAsia"/>
        </w:rPr>
        <w:t>4、在工作现场，所有工作人员应戴好安全帽。工作中，禁止从高处向下抛掷物件，以防止伤人和损坏机件。所有于高空中使用的工具应放置在合适的容器中，用吊车升降。</w:t>
      </w:r>
    </w:p>
    <w:p>
      <w:pPr>
        <w:snapToGrid w:val="0"/>
        <w:ind w:left="240" w:hanging="240" w:hangingChars="100"/>
        <w:rPr>
          <w:rFonts w:ascii="宋体" w:hAnsi="宋体"/>
        </w:rPr>
      </w:pPr>
      <w:r>
        <w:rPr>
          <w:rFonts w:ascii="宋体" w:hAnsi="宋体" w:hint="eastAsia"/>
        </w:rPr>
        <w:t>5、在安装过程中，螺栓应按要求紧固，平光垫、弹簧垫、螺母应齐全。在有斜面的结构上的螺栓连接应有斜垫。重要部位螺栓连接应按要求用双螺母或异型螺母紧固，各结构连接部位所有销轴，应安装到位，并上好盖板、端板或开口销，开口销的开口角度应大于60°。以上所用零件不允许用不同材料或规格的代用品。</w:t>
      </w:r>
    </w:p>
    <w:p>
      <w:pPr>
        <w:snapToGrid w:val="0"/>
        <w:rPr>
          <w:rFonts w:ascii="宋体" w:hAnsi="宋体"/>
        </w:rPr>
      </w:pPr>
      <w:r>
        <w:rPr>
          <w:rFonts w:ascii="宋体" w:hAnsi="宋体" w:hint="eastAsia"/>
        </w:rPr>
        <w:t>6、在塔机安装区域要设置警戒区域，并设专人看管，非安装人员严禁入内。</w:t>
      </w:r>
    </w:p>
    <w:p>
      <w:pPr>
        <w:snapToGrid w:val="0"/>
        <w:ind w:left="240" w:hanging="240" w:hangingChars="100"/>
        <w:rPr>
          <w:rFonts w:ascii="宋体" w:hAnsi="宋体"/>
        </w:rPr>
        <w:sectPr>
          <w:headerReference w:type="default" r:id="rId17"/>
          <w:footerReference w:type="default" r:id="rId18"/>
          <w:type w:val="nextPage"/>
          <w:pgSz w:w="11906" w:h="16838"/>
          <w:pgMar w:top="1440" w:right="1803" w:bottom="1418" w:left="1803" w:header="851" w:footer="992" w:gutter="0"/>
          <w:pgNumType w:fmt="numberInDash" w:start="6"/>
          <w:cols w:num="1" w:space="0"/>
          <w:titlePg w:val="0"/>
          <w:docGrid w:type="lines" w:linePitch="332" w:charSpace="0"/>
        </w:sectPr>
      </w:pPr>
    </w:p>
    <w:p>
      <w:pPr>
        <w:snapToGrid w:val="0"/>
        <w:ind w:left="240" w:hanging="240" w:hangingChars="100"/>
        <w:rPr>
          <w:rFonts w:ascii="宋体" w:hAnsi="宋体"/>
        </w:rPr>
      </w:pPr>
      <w:r>
        <w:rPr>
          <w:rFonts w:ascii="宋体" w:hAnsi="宋体" w:hint="eastAsia"/>
        </w:rPr>
        <w:t>7、在安装或拆卸前，应熟知工作吊机和所安装、拆卸塔机的技术性能；工作机构；钢结构；钢丝绳；起重能力等技术数据。工作前应仔细检查各部位传动装置、安全装置、结构、焊缝、连接销轴及钢丝绳吊具，发现问题应立即停止工作，待问题查清解决后再进行吊装，以保证安装、拆卸的安全和可靠。</w:t>
      </w:r>
    </w:p>
    <w:p>
      <w:pPr>
        <w:snapToGrid w:val="0"/>
        <w:ind w:left="240" w:hanging="240" w:hangingChars="100"/>
        <w:rPr>
          <w:rFonts w:ascii="宋体" w:hAnsi="宋体"/>
        </w:rPr>
      </w:pPr>
      <w:r>
        <w:rPr>
          <w:rFonts w:ascii="宋体" w:hAnsi="宋体" w:hint="eastAsia"/>
        </w:rPr>
        <w:t>8、在安装塔机每一工序前、中、后应有专职人员进行交待、工作监护和工作检查，以达到安全生产和较高的工作质量。</w:t>
      </w:r>
    </w:p>
    <w:p>
      <w:pPr>
        <w:snapToGrid w:val="0"/>
        <w:ind w:left="240" w:hanging="240" w:hangingChars="100"/>
        <w:rPr>
          <w:rFonts w:ascii="宋体" w:hAnsi="宋体"/>
        </w:rPr>
      </w:pPr>
      <w:r>
        <w:rPr>
          <w:rFonts w:ascii="宋体" w:hAnsi="宋体" w:hint="eastAsia"/>
        </w:rPr>
        <w:t>9、码放塔机部件时，应注意地面承压状况，并用木方垫好，使之保持合理位置和稳定。</w:t>
      </w:r>
    </w:p>
    <w:p>
      <w:pPr>
        <w:adjustRightInd w:val="0"/>
        <w:snapToGrid w:val="0"/>
        <w:ind w:left="360" w:hanging="360" w:hangingChars="150"/>
        <w:rPr>
          <w:rFonts w:ascii="宋体" w:hAnsi="宋体"/>
        </w:rPr>
      </w:pPr>
      <w:r>
        <w:rPr>
          <w:rFonts w:ascii="宋体" w:hAnsi="宋体" w:hint="eastAsia"/>
        </w:rPr>
        <w:t>10、作业前，由项目技术负责人组织所有参加拆装人员进行安全和技术交底，交待有关注意事项。向汽车吊司机交代安拆过程及吊装主要部件的尺寸、重量。协商好位置，臂杆长度及仰角等主要技术参数。</w:t>
      </w:r>
    </w:p>
    <w:p>
      <w:pPr>
        <w:adjustRightInd w:val="0"/>
        <w:snapToGrid w:val="0"/>
        <w:rPr>
          <w:rFonts w:ascii="宋体" w:hAnsi="宋体"/>
        </w:rPr>
      </w:pPr>
      <w:r>
        <w:rPr>
          <w:rFonts w:ascii="宋体" w:hAnsi="宋体" w:hint="eastAsia"/>
        </w:rPr>
        <w:t>11、生产副经理要合理安排人员。明确分工，各项工作落实到人，做到人人心中有数。</w:t>
      </w:r>
    </w:p>
    <w:p>
      <w:pPr>
        <w:adjustRightInd w:val="0"/>
        <w:snapToGrid w:val="0"/>
        <w:ind w:left="360" w:hanging="360" w:hangingChars="150"/>
        <w:rPr>
          <w:rFonts w:ascii="宋体" w:hAnsi="宋体"/>
        </w:rPr>
      </w:pPr>
      <w:r>
        <w:rPr>
          <w:rFonts w:ascii="宋体" w:hAnsi="宋体" w:hint="eastAsia"/>
        </w:rPr>
        <w:t>12、安全员要坚守岗位，对违反安全规定的人员，有权停止工作，认真履行职责。所有作业人员在作业时，如果发现存在违规违章行为，均有权停止工作。</w:t>
      </w:r>
    </w:p>
    <w:p>
      <w:pPr>
        <w:adjustRightInd w:val="0"/>
        <w:snapToGrid w:val="0"/>
        <w:ind w:left="360" w:hanging="360" w:hangingChars="150"/>
        <w:rPr>
          <w:rFonts w:ascii="宋体" w:hAnsi="宋体"/>
        </w:rPr>
      </w:pPr>
      <w:r>
        <w:rPr>
          <w:rFonts w:ascii="宋体" w:hAnsi="宋体" w:hint="eastAsia"/>
        </w:rPr>
        <w:t>13、班长对所有参加作业人员的身心状况进行检查，对当天身体不适应高空作业人员，严禁上高。</w:t>
      </w:r>
    </w:p>
    <w:p>
      <w:pPr>
        <w:adjustRightInd w:val="0"/>
        <w:snapToGrid w:val="0"/>
        <w:ind w:left="360" w:hanging="360" w:hangingChars="150"/>
        <w:rPr>
          <w:rFonts w:ascii="宋体" w:hAnsi="宋体"/>
        </w:rPr>
      </w:pPr>
      <w:r>
        <w:rPr>
          <w:rFonts w:ascii="宋体" w:hAnsi="宋体" w:hint="eastAsia"/>
        </w:rPr>
        <w:t>14、作业人员在作业前检查劳动保护用品，满足作业安全要求方可进行作业。</w:t>
      </w:r>
    </w:p>
    <w:p>
      <w:pPr>
        <w:snapToGrid w:val="0"/>
        <w:ind w:left="240" w:hanging="240" w:hangingChars="100"/>
        <w:rPr>
          <w:rFonts w:ascii="宋体" w:hAnsi="宋体"/>
        </w:rPr>
      </w:pPr>
      <w:r>
        <w:rPr>
          <w:rFonts w:ascii="宋体" w:hAnsi="宋体" w:hint="eastAsia"/>
        </w:rPr>
        <w:t>15、施工现场指定专人统一指挥，上下一致，密切配合，一切程序必须通过指挥实施。</w:t>
      </w:r>
    </w:p>
    <w:p>
      <w:pPr>
        <w:snapToGrid w:val="0"/>
        <w:spacing w:before="166" w:beforeLines="50"/>
        <w:outlineLvl w:val="0"/>
        <w:rPr>
          <w:rFonts w:ascii="宋体" w:hAnsi="宋体"/>
          <w:b/>
          <w:sz w:val="28"/>
          <w:szCs w:val="28"/>
        </w:rPr>
      </w:pPr>
      <w:bookmarkStart w:id="25" w:name="_Toc11923"/>
      <w:bookmarkStart w:id="26" w:name="_Toc22603"/>
      <w:r>
        <w:rPr>
          <w:rFonts w:ascii="宋体" w:hAnsi="宋体" w:hint="eastAsia"/>
          <w:b/>
          <w:sz w:val="28"/>
          <w:szCs w:val="28"/>
        </w:rPr>
        <w:t>七、安装顺序及安装工艺程序</w:t>
      </w:r>
      <w:bookmarkEnd w:id="25"/>
      <w:bookmarkEnd w:id="26"/>
    </w:p>
    <w:p>
      <w:pPr>
        <w:rPr>
          <w:rFonts w:ascii="宋体" w:hAnsi="宋体"/>
        </w:rPr>
      </w:pPr>
      <w:r>
        <w:rPr>
          <w:rFonts w:ascii="宋体" w:hAnsi="宋体" w:hint="eastAsia"/>
          <w:color w:val="FF0000"/>
        </w:rPr>
        <mc:AlternateContent>
          <mc:Choice Requires="wps">
            <w:drawing>
              <wp:anchor distT="0" distB="0" distL="114300" distR="114300" simplePos="0" relativeHeight="251677696" behindDoc="0" locked="0" layoutInCell="1" allowOverlap="1">
                <wp:simplePos x="0" y="0"/>
                <wp:positionH relativeFrom="column">
                  <wp:posOffset>2499995</wp:posOffset>
                </wp:positionH>
                <wp:positionV relativeFrom="paragraph">
                  <wp:posOffset>269240</wp:posOffset>
                </wp:positionV>
                <wp:extent cx="2856230" cy="332740"/>
                <wp:effectExtent l="4445" t="4445" r="15875" b="5715"/>
                <wp:wrapNone/>
                <wp:docPr id="7" name="流程图: 过程 7"/>
                <wp:cNvGraphicFramePr/>
                <a:graphic xmlns:a="http://schemas.openxmlformats.org/drawingml/2006/main">
                  <a:graphicData uri="http://schemas.microsoft.com/office/word/2010/wordprocessingShape">
                    <wps:wsp xmlns:wps="http://schemas.microsoft.com/office/word/2010/wordprocessingShape">
                      <wps:cNvSpPr/>
                      <wps:spPr>
                        <a:xfrm>
                          <a:off x="0" y="0"/>
                          <a:ext cx="2856230" cy="332740"/>
                        </a:xfrm>
                        <a:prstGeom prst="flowChartProcess">
                          <a:avLst/>
                        </a:prstGeom>
                        <a:solidFill>
                          <a:srgbClr val="FFFFFF"/>
                        </a:solidFill>
                        <a:ln w="9525">
                          <a:solidFill>
                            <a:srgbClr val="000000"/>
                          </a:solidFill>
                          <a:prstDash val="solid"/>
                          <a:miter lim="0"/>
                          <a:headEnd/>
                          <a:tailEnd/>
                        </a:ln>
                      </wps:spPr>
                      <wps:txbx>
                        <w:txbxContent>
                          <w:p>
                            <w:pPr>
                              <w:jc w:val="center"/>
                            </w:pPr>
                            <w:r>
                              <w:rPr>
                                <w:rFonts w:hint="eastAsia"/>
                              </w:rPr>
                              <w:t>安装起重臂总成</w:t>
                            </w:r>
                          </w:p>
                          <w:p/>
                        </w:txbxContent>
                      </wps:txbx>
                      <wps:bodyPr upright="1"/>
                    </wps:wsp>
                  </a:graphicData>
                </a:graphic>
              </wp:anchor>
            </w:drawing>
          </mc:Choice>
          <mc:Fallback>
            <w:pict>
              <v:shapetype id="_x0000_t109" coordsize="21600,21600" o:spt="109" path="m,l,21600r21600,l21600,xe">
                <v:stroke joinstyle="miter"/>
                <v:path gradientshapeok="t" o:connecttype="rect"/>
              </v:shapetype>
              <v:shape id="流程图: 过程 7" o:spid="_x0000_s1025" type="#_x0000_t109" style="width:224.9pt;height:26.2pt;margin-top:21.2pt;margin-left:196.85pt;mso-wrap-distance-bottom:0;mso-wrap-distance-left:9pt;mso-wrap-distance-right:9pt;mso-wrap-distance-top:0;position:absolute;v-text-anchor:top;z-index:251676672" fillcolor="white" stroked="t" strokecolor="black" strokeweight="0.75pt">
                <v:stroke joinstyle="miter"/>
                <v:textbox>
                  <w:txbxContent>
                    <w:p>
                      <w:pPr>
                        <w:jc w:val="center"/>
                      </w:pPr>
                      <w:r>
                        <w:rPr>
                          <w:rFonts w:hint="eastAsia"/>
                        </w:rPr>
                        <w:t>安装起重臂总成</w:t>
                      </w:r>
                    </w:p>
                    <w:p/>
                  </w:txbxContent>
                </v:textbox>
              </v:shape>
            </w:pict>
          </mc:Fallback>
        </mc:AlternateContent>
      </w:r>
      <w:r>
        <w:rPr>
          <w:rFonts w:ascii="宋体" w:hAnsi="宋体" w:hint="eastAsia"/>
        </w:rPr>
        <w:t>1、</w:t>
      </w:r>
      <w:bookmarkStart w:id="27" w:name="_Toc287614474"/>
      <w:bookmarkStart w:id="28" w:name="_Toc285631388"/>
      <w:r>
        <w:rPr>
          <w:rFonts w:ascii="宋体" w:hAnsi="宋体" w:hint="eastAsia"/>
        </w:rPr>
        <w:t>工艺流程：</w:t>
      </w:r>
      <w:bookmarkEnd w:id="27"/>
      <w:bookmarkEnd w:id="28"/>
    </w:p>
    <w:p>
      <w:pPr>
        <w:ind w:firstLine="118" w:firstLineChars="49"/>
        <w:rPr>
          <w:rFonts w:ascii="宋体" w:hAnsi="宋体"/>
          <w:color w:val="FF0000"/>
        </w:rPr>
      </w:pPr>
      <w:bookmarkStart w:id="29" w:name="_Toc300858153"/>
      <w:bookmarkStart w:id="30" w:name="_Toc291768606"/>
      <w:bookmarkStart w:id="31" w:name="_Toc285631389"/>
      <w:bookmarkStart w:id="32" w:name="_Toc291769294"/>
      <w:bookmarkStart w:id="33" w:name="_Toc291767872"/>
      <w:bookmarkStart w:id="34" w:name="_Toc301767548"/>
      <w:bookmarkStart w:id="35" w:name="_Toc301546077"/>
      <w:bookmarkStart w:id="36" w:name="_Toc291767947"/>
      <w:bookmarkStart w:id="37" w:name="_Toc287813369"/>
      <w:bookmarkStart w:id="38" w:name="_Toc291768277"/>
      <w:bookmarkStart w:id="39" w:name="_Toc291768020"/>
      <w:bookmarkStart w:id="40" w:name="_Toc287614475"/>
      <w:bookmarkStart w:id="41" w:name="_Toc291769685"/>
      <w:r>
        <w:rPr>
          <w:rFonts w:ascii="宋体" w:hAnsi="宋体" w:hint="eastAsia"/>
          <w:color w:val="FF0000"/>
        </w:rPr>
        <mc:AlternateContent>
          <mc:Choice Requires="wps">
            <w:drawing>
              <wp:anchor distT="0" distB="0" distL="114300" distR="114300" simplePos="0" relativeHeight="251665408" behindDoc="0" locked="0" layoutInCell="1" allowOverlap="1">
                <wp:simplePos x="0" y="0"/>
                <wp:positionH relativeFrom="column">
                  <wp:posOffset>2752725</wp:posOffset>
                </wp:positionH>
                <wp:positionV relativeFrom="paragraph">
                  <wp:posOffset>398145</wp:posOffset>
                </wp:positionV>
                <wp:extent cx="297180" cy="114300"/>
                <wp:effectExtent l="9525" t="7620" r="9525" b="19050"/>
                <wp:wrapNone/>
                <wp:docPr id="9" name="右箭头 9"/>
                <wp:cNvGraphicFramePr/>
                <a:graphic xmlns:a="http://schemas.openxmlformats.org/drawingml/2006/main">
                  <a:graphicData uri="http://schemas.microsoft.com/office/word/2010/wordprocessingShape">
                    <wps:wsp xmlns:wps="http://schemas.microsoft.com/office/word/2010/wordprocessingShape">
                      <wps:cNvSpPr/>
                      <wps:spPr>
                        <a:xfrm rot="16200000">
                          <a:off x="0" y="0"/>
                          <a:ext cx="297180" cy="114300"/>
                        </a:xfrm>
                        <a:prstGeom prst="rightArrow">
                          <a:avLst>
                            <a:gd name="adj1" fmla="val 50000"/>
                            <a:gd name="adj2" fmla="val 65000"/>
                          </a:avLst>
                        </a:prstGeom>
                        <a:solidFill>
                          <a:srgbClr val="C0C0C0"/>
                        </a:solidFill>
                        <a:ln w="9525">
                          <a:solidFill>
                            <a:srgbClr val="000000"/>
                          </a:solidFill>
                          <a:prstDash val="solid"/>
                          <a:miter lim="0"/>
                          <a:headEnd/>
                          <a:tailEnd/>
                        </a:ln>
                      </wps:spPr>
                      <wps:bodyPr upright="1"/>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箭头 9" o:spid="_x0000_s1026" type="#_x0000_t13" style="width:23.4pt;height:9pt;margin-top:31.35pt;margin-left:216.75pt;mso-wrap-distance-bottom:0;mso-wrap-distance-left:9pt;mso-wrap-distance-right:9pt;mso-wrap-distance-top:0;position:absolute;rotation:270;v-text-anchor:top;z-index:251664384" adj="17446" fillcolor="silver" stroked="t" strokecolor="black" strokeweight="0.75pt">
                <v:stroke joinstyle="miter"/>
              </v:shape>
            </w:pict>
          </mc:Fallback>
        </mc:AlternateContent>
      </w:r>
      <w:r>
        <w:rPr>
          <w:rFonts w:ascii="宋体" w:hAnsi="宋体" w:hint="eastAsia"/>
          <w:color w:val="FF0000"/>
        </w:rPr>
        <mc:AlternateContent>
          <mc:Choice Requires="wpg">
            <w:drawing>
              <wp:anchor distT="0" distB="0" distL="114300" distR="114300" simplePos="0" relativeHeight="251685888" behindDoc="0" locked="0" layoutInCell="1" allowOverlap="1">
                <wp:simplePos x="0" y="0"/>
                <wp:positionH relativeFrom="column">
                  <wp:posOffset>152400</wp:posOffset>
                </wp:positionH>
                <wp:positionV relativeFrom="paragraph">
                  <wp:posOffset>0</wp:posOffset>
                </wp:positionV>
                <wp:extent cx="1820545" cy="457835"/>
                <wp:effectExtent l="8890" t="4445" r="18415" b="13970"/>
                <wp:wrapNone/>
                <wp:docPr id="3" name="组合 3"/>
                <wp:cNvGraphicFramePr/>
                <a:graphic xmlns:a="http://schemas.openxmlformats.org/drawingml/2006/main">
                  <a:graphicData uri="http://schemas.microsoft.com/office/word/2010/wordprocessingGroup">
                    <wpg:wgp xmlns:wpg="http://schemas.microsoft.com/office/word/2010/wordprocessingGroup">
                      <wpg:cNvGrpSpPr/>
                      <wpg:grpSpPr>
                        <a:xfrm>
                          <a:off x="0" y="0"/>
                          <a:ext cx="1820545" cy="457835"/>
                          <a:chOff x="0" y="0"/>
                          <a:chExt cx="2730" cy="780"/>
                        </a:xfrm>
                      </wpg:grpSpPr>
                      <wps:wsp xmlns:wps="http://schemas.microsoft.com/office/word/2010/wordprocessingShape">
                        <wps:cNvPr id="1" name="流程图: 准备 1"/>
                        <wps:cNvSpPr/>
                        <wps:spPr>
                          <a:xfrm>
                            <a:off x="0" y="0"/>
                            <a:ext cx="2730" cy="780"/>
                          </a:xfrm>
                          <a:prstGeom prst="flowChartPreparation">
                            <a:avLst/>
                          </a:prstGeom>
                          <a:solidFill>
                            <a:srgbClr val="FFFFFF"/>
                          </a:solidFill>
                          <a:ln w="9525">
                            <a:solidFill>
                              <a:srgbClr val="000000"/>
                            </a:solidFill>
                            <a:prstDash val="solid"/>
                            <a:miter lim="0"/>
                            <a:headEnd/>
                            <a:tailEnd/>
                          </a:ln>
                        </wps:spPr>
                        <wps:bodyPr upright="1"/>
                      </wps:wsp>
                      <wps:wsp xmlns:wps="http://schemas.microsoft.com/office/word/2010/wordprocessingShape">
                        <wps:cNvPr id="2" name="流程图: 过程 2"/>
                        <wps:cNvSpPr/>
                        <wps:spPr>
                          <a:xfrm>
                            <a:off x="420" y="32"/>
                            <a:ext cx="1785" cy="593"/>
                          </a:xfrm>
                          <a:prstGeom prst="flowChartProcess">
                            <a:avLst/>
                          </a:prstGeom>
                          <a:solidFill>
                            <a:srgbClr val="FFFFFF"/>
                          </a:solidFill>
                          <a:ln>
                            <a:noFill/>
                          </a:ln>
                        </wps:spPr>
                        <wps:txbx>
                          <w:txbxContent>
                            <w:p>
                              <w:pPr>
                                <w:jc w:val="center"/>
                              </w:pPr>
                              <w:r>
                                <w:rPr>
                                  <w:rFonts w:hint="eastAsia"/>
                                </w:rPr>
                                <w:t>检查各零部件</w:t>
                              </w:r>
                            </w:p>
                          </w:txbxContent>
                        </wps:txbx>
                        <wps:bodyPr upright="1"/>
                      </wps:wsp>
                    </wpg:wgp>
                  </a:graphicData>
                </a:graphic>
              </wp:anchor>
            </w:drawing>
          </mc:Choice>
          <mc:Fallback>
            <w:pict>
              <v:group id="组合 3" o:spid="_x0000_s1027" style="width:145.5pt;height:37.5pt;margin-top:0;margin-left:12pt;mso-wrap-distance-bottom:0;mso-wrap-distance-left:9pt;mso-wrap-distance-right:9pt;mso-wrap-distance-top:0;position:absolute;z-index:251684864" coordorigin="0,0" coordsize="21600,21600">
                <v:shapetype id="_x0000_t117" coordsize="21600,21600" o:spt="117" path="m4353,l17214,r4386,10800l17214,21600r-12861,l,10800xe">
                  <v:stroke joinstyle="miter"/>
                  <v:path gradientshapeok="t" o:connecttype="rect" textboxrect="4353,0,17214,21600"/>
                </v:shapetype>
                <v:shape id="_x0000_s1028" type="#_x0000_t117" style="width:21600;height:21600;position:absolute;v-text-anchor:top" fillcolor="white" stroked="t" strokecolor="black" strokeweight="0.75pt">
                  <v:stroke joinstyle="miter"/>
                </v:shape>
                <v:shape id="_x0000_s1029" type="#_x0000_t109" style="width:14123;height:16422;left:3323;position:absolute;top:886;v-text-anchor:top" fillcolor="white" stroked="f">
                  <v:textbox>
                    <w:txbxContent>
                      <w:p>
                        <w:pPr>
                          <w:jc w:val="center"/>
                        </w:pPr>
                        <w:r>
                          <w:rPr>
                            <w:rFonts w:hint="eastAsia"/>
                          </w:rPr>
                          <w:t>检查各零部件</w:t>
                        </w:r>
                      </w:p>
                    </w:txbxContent>
                  </v:textbox>
                </v:shape>
              </v:group>
            </w:pict>
          </mc:Fallback>
        </mc:AlternateContent>
      </w:r>
      <w:bookmarkEnd w:id="29"/>
      <w:bookmarkEnd w:id="30"/>
      <w:bookmarkEnd w:id="31"/>
      <w:bookmarkEnd w:id="32"/>
      <w:bookmarkEnd w:id="33"/>
      <w:bookmarkEnd w:id="34"/>
      <w:bookmarkEnd w:id="35"/>
      <w:bookmarkEnd w:id="36"/>
      <w:bookmarkEnd w:id="37"/>
      <w:bookmarkEnd w:id="38"/>
      <w:bookmarkEnd w:id="39"/>
      <w:bookmarkEnd w:id="40"/>
      <w:bookmarkEnd w:id="41"/>
    </w:p>
    <w:p>
      <w:pPr>
        <w:ind w:firstLine="118" w:firstLineChars="49"/>
        <w:rPr>
          <w:rFonts w:ascii="宋体" w:hAnsi="宋体"/>
          <w:color w:val="FF0000"/>
        </w:rPr>
      </w:pPr>
      <w:bookmarkStart w:id="42" w:name="_Toc285631393"/>
      <w:bookmarkStart w:id="43" w:name="_Toc291769296"/>
      <w:bookmarkStart w:id="44" w:name="_Toc287813373"/>
      <w:bookmarkStart w:id="45" w:name="_Toc287614479"/>
      <w:bookmarkStart w:id="46" w:name="_Toc291767874"/>
      <w:bookmarkStart w:id="47" w:name="_Toc291767949"/>
      <w:bookmarkStart w:id="48" w:name="_Toc291769687"/>
      <w:bookmarkStart w:id="49" w:name="_Toc287813371"/>
      <w:bookmarkStart w:id="50" w:name="_Toc291768281"/>
      <w:bookmarkStart w:id="51" w:name="_Toc301767550"/>
      <w:bookmarkStart w:id="52" w:name="_Toc285631391"/>
      <w:bookmarkStart w:id="53" w:name="_Toc291768022"/>
      <w:bookmarkStart w:id="54" w:name="_Toc291768610"/>
      <w:bookmarkStart w:id="55" w:name="_Toc287614477"/>
      <w:bookmarkStart w:id="56" w:name="_Toc291767876"/>
      <w:bookmarkStart w:id="57" w:name="_Toc301546079"/>
      <w:bookmarkStart w:id="58" w:name="_Toc291769298"/>
      <w:bookmarkStart w:id="59" w:name="_Toc291768608"/>
      <w:bookmarkStart w:id="60" w:name="_Toc291767951"/>
      <w:bookmarkStart w:id="61" w:name="_Toc300858155"/>
      <w:bookmarkStart w:id="62" w:name="_Toc291768279"/>
      <w:bookmarkStart w:id="63" w:name="_Toc291768024"/>
      <w:bookmarkStart w:id="64" w:name="_Toc291769689"/>
      <w:bookmarkStart w:id="65" w:name="_Toc287614476"/>
      <w:bookmarkStart w:id="66" w:name="_Toc287813370"/>
      <w:bookmarkStart w:id="67" w:name="_Toc291769686"/>
      <w:bookmarkStart w:id="68" w:name="_Toc291767948"/>
      <w:bookmarkStart w:id="69" w:name="_Toc285631390"/>
      <w:bookmarkStart w:id="70" w:name="_Toc301546078"/>
      <w:bookmarkStart w:id="71" w:name="_Toc291767873"/>
      <w:bookmarkStart w:id="72" w:name="_Toc291769295"/>
      <w:bookmarkStart w:id="73" w:name="_Toc291768021"/>
      <w:bookmarkStart w:id="74" w:name="_Toc291768278"/>
      <w:bookmarkStart w:id="75" w:name="_Toc300858154"/>
      <w:bookmarkStart w:id="76" w:name="_Toc291768607"/>
      <w:bookmarkStart w:id="77" w:name="_Toc301767549"/>
      <w:r>
        <w:rPr>
          <w:rFonts w:ascii="宋体" w:hAnsi="宋体" w:hint="eastAsia"/>
          <w:color w:val="FF0000"/>
        </w:rPr>
        <mc:AlternateContent>
          <mc:Choice Requires="wps">
            <w:drawing>
              <wp:anchor distT="0" distB="0" distL="114300" distR="114300" simplePos="0" relativeHeight="251683840" behindDoc="0" locked="0" layoutInCell="1" allowOverlap="1">
                <wp:simplePos x="0" y="0"/>
                <wp:positionH relativeFrom="column">
                  <wp:posOffset>2022475</wp:posOffset>
                </wp:positionH>
                <wp:positionV relativeFrom="paragraph">
                  <wp:posOffset>311150</wp:posOffset>
                </wp:positionV>
                <wp:extent cx="1733550" cy="413385"/>
                <wp:effectExtent l="4445" t="5080" r="14605" b="19685"/>
                <wp:wrapNone/>
                <wp:docPr id="4" name="流程图: 过程 4"/>
                <wp:cNvGraphicFramePr/>
                <a:graphic xmlns:a="http://schemas.openxmlformats.org/drawingml/2006/main">
                  <a:graphicData uri="http://schemas.microsoft.com/office/word/2010/wordprocessingShape">
                    <wps:wsp xmlns:wps="http://schemas.microsoft.com/office/word/2010/wordprocessingShape">
                      <wps:cNvSpPr/>
                      <wps:spPr>
                        <a:xfrm>
                          <a:off x="0" y="0"/>
                          <a:ext cx="1733550" cy="413385"/>
                        </a:xfrm>
                        <a:prstGeom prst="flowChartProcess">
                          <a:avLst/>
                        </a:prstGeom>
                        <a:solidFill>
                          <a:srgbClr val="FFFFFF"/>
                        </a:solidFill>
                        <a:ln w="9525">
                          <a:solidFill>
                            <a:srgbClr val="000000"/>
                          </a:solidFill>
                          <a:prstDash val="solid"/>
                          <a:miter lim="0"/>
                          <a:headEnd/>
                          <a:tailEnd/>
                        </a:ln>
                      </wps:spPr>
                      <wps:txbx>
                        <w:txbxContent>
                          <w:p>
                            <w:pPr>
                              <w:spacing w:line="240" w:lineRule="atLeast"/>
                              <w:jc w:val="center"/>
                            </w:pPr>
                            <w:r>
                              <w:rPr>
                                <w:rFonts w:hint="eastAsia"/>
                              </w:rPr>
                              <w:t>吊装一块3.9t平衡重</w:t>
                            </w:r>
                          </w:p>
                          <w:p>
                            <w:pPr>
                              <w:spacing w:line="240" w:lineRule="atLeast"/>
                            </w:pPr>
                          </w:p>
                        </w:txbxContent>
                      </wps:txbx>
                      <wps:bodyPr upright="1"/>
                    </wps:wsp>
                  </a:graphicData>
                </a:graphic>
              </wp:anchor>
            </w:drawing>
          </mc:Choice>
          <mc:Fallback>
            <w:pict>
              <v:shape id="流程图: 过程 4" o:spid="_x0000_s1030" type="#_x0000_t109" style="width:136.5pt;height:32.55pt;margin-top:24.5pt;margin-left:159.25pt;mso-wrap-distance-bottom:0;mso-wrap-distance-left:9pt;mso-wrap-distance-right:9pt;mso-wrap-distance-top:0;position:absolute;v-text-anchor:top;z-index:251682816" fillcolor="white" stroked="t" strokecolor="black" strokeweight="0.75pt">
                <v:stroke joinstyle="miter"/>
                <v:textbox>
                  <w:txbxContent>
                    <w:p>
                      <w:pPr>
                        <w:spacing w:line="240" w:lineRule="atLeast"/>
                        <w:jc w:val="center"/>
                      </w:pPr>
                      <w:r>
                        <w:rPr>
                          <w:rFonts w:hint="eastAsia"/>
                        </w:rPr>
                        <w:t>吊装一块3.9t平衡重</w:t>
                      </w:r>
                    </w:p>
                    <w:p>
                      <w:pPr>
                        <w:spacing w:line="240" w:lineRule="atLeast"/>
                      </w:pPr>
                    </w:p>
                  </w:txbxContent>
                </v:textbox>
              </v:shape>
            </w:pict>
          </mc:Fallback>
        </mc:AlternateConten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Fonts w:ascii="宋体" w:hAnsi="宋体" w:hint="eastAsia"/>
          <w:color w:val="FF0000"/>
        </w:rPr>
        <mc:AlternateContent>
          <mc:Choice Requires="wps">
            <w:drawing>
              <wp:anchor distT="0" distB="0" distL="114300" distR="114300" simplePos="0" relativeHeight="251671552" behindDoc="0" locked="0" layoutInCell="1" allowOverlap="1">
                <wp:simplePos x="0" y="0"/>
                <wp:positionH relativeFrom="column">
                  <wp:posOffset>1039495</wp:posOffset>
                </wp:positionH>
                <wp:positionV relativeFrom="paragraph">
                  <wp:posOffset>99060</wp:posOffset>
                </wp:positionV>
                <wp:extent cx="123190" cy="594360"/>
                <wp:effectExtent l="6985" t="5080" r="22225" b="29210"/>
                <wp:wrapNone/>
                <wp:docPr id="10" name="下箭头 10"/>
                <wp:cNvGraphicFramePr/>
                <a:graphic xmlns:a="http://schemas.openxmlformats.org/drawingml/2006/main">
                  <a:graphicData uri="http://schemas.microsoft.com/office/word/2010/wordprocessingShape">
                    <wps:wsp xmlns:wps="http://schemas.microsoft.com/office/word/2010/wordprocessingShape">
                      <wps:cNvSpPr/>
                      <wps:spPr>
                        <a:xfrm>
                          <a:off x="0" y="0"/>
                          <a:ext cx="123190" cy="594360"/>
                        </a:xfrm>
                        <a:prstGeom prst="downArrow">
                          <a:avLst>
                            <a:gd name="adj1" fmla="val 50000"/>
                            <a:gd name="adj2" fmla="val 120618"/>
                          </a:avLst>
                        </a:prstGeom>
                        <a:solidFill>
                          <a:srgbClr val="C0C0C0"/>
                        </a:solidFill>
                        <a:ln w="9525">
                          <a:solidFill>
                            <a:srgbClr val="000000"/>
                          </a:solidFill>
                          <a:prstDash val="solid"/>
                          <a:miter lim="0"/>
                          <a:headEnd/>
                          <a:tailEnd/>
                        </a:ln>
                      </wps:spPr>
                      <wps:bodyPr vert="eaVert" upright="1"/>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10" o:spid="_x0000_s1031" type="#_x0000_t67" style="width:9.7pt;height:46.8pt;margin-top:7.8pt;margin-left:81.85pt;mso-wrap-distance-bottom:0;mso-wrap-distance-left:9pt;mso-wrap-distance-right:9pt;mso-wrap-distance-top:0;position:absolute;v-text-anchor:top;z-index:251670528" adj="19362" fillcolor="silver" stroked="t" strokecolor="black" strokeweight="0.75pt">
                <v:stroke joinstyle="miter"/>
              </v:shape>
            </w:pict>
          </mc:Fallback>
        </mc:AlternateContent>
      </w:r>
      <w:r>
        <w:rPr>
          <w:rFonts w:ascii="宋体" w:hAnsi="宋体" w:hint="eastAsia"/>
          <w:color w:val="FF0000"/>
        </w:rPr>
        <mc:AlternateContent>
          <mc:Choice Requires="wps">
            <w:drawing>
              <wp:anchor distT="0" distB="0" distL="114300" distR="114300" simplePos="0" relativeHeight="251659264" behindDoc="0" locked="0" layoutInCell="1" allowOverlap="1">
                <wp:simplePos x="0" y="0"/>
                <wp:positionH relativeFrom="column">
                  <wp:posOffset>4914900</wp:posOffset>
                </wp:positionH>
                <wp:positionV relativeFrom="paragraph">
                  <wp:posOffset>99060</wp:posOffset>
                </wp:positionV>
                <wp:extent cx="119380" cy="770255"/>
                <wp:effectExtent l="6350" t="4445" r="7620" b="25400"/>
                <wp:wrapNone/>
                <wp:docPr id="6" name="下箭头 6"/>
                <wp:cNvGraphicFramePr/>
                <a:graphic xmlns:a="http://schemas.openxmlformats.org/drawingml/2006/main">
                  <a:graphicData uri="http://schemas.microsoft.com/office/word/2010/wordprocessingShape">
                    <wps:wsp xmlns:wps="http://schemas.microsoft.com/office/word/2010/wordprocessingShape">
                      <wps:cNvSpPr/>
                      <wps:spPr>
                        <a:xfrm>
                          <a:off x="0" y="0"/>
                          <a:ext cx="119380" cy="770255"/>
                        </a:xfrm>
                        <a:prstGeom prst="downArrow">
                          <a:avLst>
                            <a:gd name="adj1" fmla="val 50000"/>
                            <a:gd name="adj2" fmla="val 161303"/>
                          </a:avLst>
                        </a:prstGeom>
                        <a:solidFill>
                          <a:srgbClr val="C0C0C0"/>
                        </a:solidFill>
                        <a:ln w="9525">
                          <a:solidFill>
                            <a:srgbClr val="000000"/>
                          </a:solidFill>
                          <a:prstDash val="solid"/>
                          <a:miter lim="0"/>
                          <a:headEnd/>
                          <a:tailEnd/>
                        </a:ln>
                      </wps:spPr>
                      <wps:bodyPr vert="eaVert" upright="1"/>
                    </wps:wsp>
                  </a:graphicData>
                </a:graphic>
              </wp:anchor>
            </w:drawing>
          </mc:Choice>
          <mc:Fallback>
            <w:pict>
              <v:shape id="下箭头 6" o:spid="_x0000_s1032" type="#_x0000_t67" style="width:9.4pt;height:60.65pt;margin-top:7.8pt;margin-left:387pt;mso-wrap-distance-bottom:0;mso-wrap-distance-left:9pt;mso-wrap-distance-right:9pt;mso-wrap-distance-top:0;position:absolute;v-text-anchor:top;z-index:251658240" adj="19926" fillcolor="silver" stroked="t" strokecolor="black" strokeweight="0.75pt">
                <v:stroke joinstyle="miter"/>
              </v:shape>
            </w:pict>
          </mc:Fallback>
        </mc:AlternateContent>
      </w:r>
      <w:bookmarkEnd w:id="65"/>
      <w:bookmarkEnd w:id="66"/>
      <w:bookmarkEnd w:id="67"/>
      <w:bookmarkEnd w:id="68"/>
      <w:bookmarkEnd w:id="69"/>
      <w:bookmarkEnd w:id="70"/>
      <w:bookmarkEnd w:id="71"/>
      <w:bookmarkEnd w:id="72"/>
      <w:bookmarkEnd w:id="73"/>
      <w:bookmarkEnd w:id="74"/>
      <w:bookmarkEnd w:id="75"/>
      <w:bookmarkEnd w:id="76"/>
      <w:bookmarkEnd w:id="77"/>
    </w:p>
    <w:p>
      <w:pPr>
        <w:ind w:firstLine="118" w:firstLineChars="49"/>
        <w:rPr>
          <w:rFonts w:ascii="宋体" w:hAnsi="宋体"/>
          <w:color w:val="FF0000"/>
        </w:rPr>
      </w:pPr>
    </w:p>
    <w:p>
      <w:pPr>
        <w:ind w:firstLine="118" w:firstLineChars="49"/>
        <w:rPr>
          <w:rFonts w:ascii="宋体" w:hAnsi="宋体"/>
          <w:color w:val="FF0000"/>
        </w:rPr>
      </w:pPr>
      <w:bookmarkStart w:id="78" w:name="_Toc291768609"/>
      <w:bookmarkStart w:id="79" w:name="_Toc291769688"/>
      <w:bookmarkStart w:id="80" w:name="_Toc300858156"/>
      <w:bookmarkStart w:id="81" w:name="_Toc291769297"/>
      <w:bookmarkStart w:id="82" w:name="_Toc287813372"/>
      <w:bookmarkStart w:id="83" w:name="_Toc301767551"/>
      <w:bookmarkStart w:id="84" w:name="_Toc291767950"/>
      <w:bookmarkStart w:id="85" w:name="_Toc285631392"/>
      <w:bookmarkStart w:id="86" w:name="_Toc291767875"/>
      <w:bookmarkStart w:id="87" w:name="_Toc291768280"/>
      <w:bookmarkStart w:id="88" w:name="_Toc291768023"/>
      <w:bookmarkStart w:id="89" w:name="_Toc301546080"/>
      <w:bookmarkStart w:id="90" w:name="_Toc287614478"/>
      <w:r>
        <w:rPr>
          <w:rFonts w:ascii="宋体" w:hAnsi="宋体" w:hint="eastAsia"/>
          <w:color w:val="FF0000"/>
        </w:rPr>
        <mc:AlternateContent>
          <mc:Choice Requires="wps">
            <w:drawing>
              <wp:anchor distT="0" distB="0" distL="114300" distR="114300" simplePos="0" relativeHeight="251667456" behindDoc="0" locked="0" layoutInCell="1" allowOverlap="1">
                <wp:simplePos x="0" y="0"/>
                <wp:positionH relativeFrom="column">
                  <wp:posOffset>2752725</wp:posOffset>
                </wp:positionH>
                <wp:positionV relativeFrom="paragraph">
                  <wp:posOffset>177165</wp:posOffset>
                </wp:positionV>
                <wp:extent cx="297180" cy="114300"/>
                <wp:effectExtent l="9525" t="7620" r="9525" b="19050"/>
                <wp:wrapNone/>
                <wp:docPr id="5" name="右箭头 5"/>
                <wp:cNvGraphicFramePr/>
                <a:graphic xmlns:a="http://schemas.openxmlformats.org/drawingml/2006/main">
                  <a:graphicData uri="http://schemas.microsoft.com/office/word/2010/wordprocessingShape">
                    <wps:wsp xmlns:wps="http://schemas.microsoft.com/office/word/2010/wordprocessingShape">
                      <wps:cNvSpPr/>
                      <wps:spPr>
                        <a:xfrm rot="16200000">
                          <a:off x="0" y="0"/>
                          <a:ext cx="297180" cy="114300"/>
                        </a:xfrm>
                        <a:prstGeom prst="rightArrow">
                          <a:avLst>
                            <a:gd name="adj1" fmla="val 50000"/>
                            <a:gd name="adj2" fmla="val 65000"/>
                          </a:avLst>
                        </a:prstGeom>
                        <a:solidFill>
                          <a:srgbClr val="C0C0C0"/>
                        </a:solidFill>
                        <a:ln w="9525">
                          <a:solidFill>
                            <a:srgbClr val="000000"/>
                          </a:solidFill>
                          <a:prstDash val="solid"/>
                          <a:miter lim="0"/>
                          <a:headEnd/>
                          <a:tailEnd/>
                        </a:ln>
                      </wps:spPr>
                      <wps:bodyPr upright="1"/>
                    </wps:wsp>
                  </a:graphicData>
                </a:graphic>
              </wp:anchor>
            </w:drawing>
          </mc:Choice>
          <mc:Fallback>
            <w:pict>
              <v:shape id="右箭头 5" o:spid="_x0000_s1033" type="#_x0000_t13" style="width:23.4pt;height:9pt;margin-top:13.95pt;margin-left:216.75pt;mso-wrap-distance-bottom:0;mso-wrap-distance-left:9pt;mso-wrap-distance-right:9pt;mso-wrap-distance-top:0;position:absolute;rotation:270;v-text-anchor:top;z-index:251666432" adj="17446" fillcolor="silver" stroked="t" strokecolor="black" strokeweight="0.75pt">
                <v:stroke joinstyle="miter"/>
              </v:shape>
            </w:pict>
          </mc:Fallback>
        </mc:AlternateContent>
      </w:r>
      <w:r>
        <w:rPr>
          <w:rFonts w:ascii="宋体" w:hAnsi="宋体" w:hint="eastAsia"/>
          <w:color w:val="FF0000"/>
        </w:rPr>
        <mc:AlternateContent>
          <mc:Choice Requires="wps">
            <w:drawing>
              <wp:anchor distT="0" distB="0" distL="114300" distR="114300" simplePos="0" relativeHeight="251673600" behindDoc="0" locked="0" layoutInCell="1" allowOverlap="1">
                <wp:simplePos x="0" y="0"/>
                <wp:positionH relativeFrom="column">
                  <wp:posOffset>342900</wp:posOffset>
                </wp:positionH>
                <wp:positionV relativeFrom="paragraph">
                  <wp:posOffset>99060</wp:posOffset>
                </wp:positionV>
                <wp:extent cx="1680210" cy="340995"/>
                <wp:effectExtent l="4445" t="4445" r="10795" b="16510"/>
                <wp:wrapNone/>
                <wp:docPr id="13" name="流程图: 过程 13"/>
                <wp:cNvGraphicFramePr/>
                <a:graphic xmlns:a="http://schemas.openxmlformats.org/drawingml/2006/main">
                  <a:graphicData uri="http://schemas.microsoft.com/office/word/2010/wordprocessingShape">
                    <wps:wsp xmlns:wps="http://schemas.microsoft.com/office/word/2010/wordprocessingShape">
                      <wps:cNvSpPr/>
                      <wps:spPr>
                        <a:xfrm>
                          <a:off x="0" y="0"/>
                          <a:ext cx="1680210" cy="340995"/>
                        </a:xfrm>
                        <a:prstGeom prst="flowChartProcess">
                          <a:avLst/>
                        </a:prstGeom>
                        <a:solidFill>
                          <a:srgbClr val="FFFFFF"/>
                        </a:solidFill>
                        <a:ln w="9525">
                          <a:solidFill>
                            <a:srgbClr val="000000"/>
                          </a:solidFill>
                          <a:prstDash val="solid"/>
                          <a:miter lim="0"/>
                          <a:headEnd/>
                          <a:tailEnd/>
                        </a:ln>
                      </wps:spPr>
                      <wps:txbx>
                        <w:txbxContent>
                          <w:p>
                            <w:pPr>
                              <w:jc w:val="center"/>
                            </w:pPr>
                            <w:r>
                              <w:rPr>
                                <w:rFonts w:hint="eastAsia"/>
                              </w:rPr>
                              <w:t>安装塔吊固定基节</w:t>
                            </w:r>
                          </w:p>
                          <w:p>
                            <w:pPr>
                              <w:spacing w:line="240" w:lineRule="atLeast"/>
                              <w:ind w:firstLine="120" w:firstLineChars="50"/>
                              <w:jc w:val="center"/>
                            </w:pPr>
                          </w:p>
                        </w:txbxContent>
                      </wps:txbx>
                      <wps:bodyPr upright="1"/>
                    </wps:wsp>
                  </a:graphicData>
                </a:graphic>
              </wp:anchor>
            </w:drawing>
          </mc:Choice>
          <mc:Fallback>
            <w:pict>
              <v:shape id="流程图: 过程 13" o:spid="_x0000_s1034" type="#_x0000_t109" style="width:132.3pt;height:26.85pt;margin-top:7.8pt;margin-left:27pt;mso-wrap-distance-bottom:0;mso-wrap-distance-left:9pt;mso-wrap-distance-right:9pt;mso-wrap-distance-top:0;position:absolute;v-text-anchor:top;z-index:251672576" fillcolor="white" stroked="t" strokecolor="black" strokeweight="0.75pt">
                <v:stroke joinstyle="miter"/>
                <v:textbox>
                  <w:txbxContent>
                    <w:p>
                      <w:pPr>
                        <w:jc w:val="center"/>
                      </w:pPr>
                      <w:r>
                        <w:rPr>
                          <w:rFonts w:hint="eastAsia"/>
                        </w:rPr>
                        <w:t>安装塔吊固定基节</w:t>
                      </w:r>
                    </w:p>
                    <w:p>
                      <w:pPr>
                        <w:spacing w:line="240" w:lineRule="atLeast"/>
                        <w:ind w:firstLine="120" w:firstLineChars="50"/>
                        <w:jc w:val="center"/>
                      </w:pPr>
                    </w:p>
                  </w:txbxContent>
                </v:textbox>
              </v:shape>
            </w:pict>
          </mc:Fallback>
        </mc:AlternateContent>
      </w:r>
      <w:bookmarkEnd w:id="78"/>
      <w:bookmarkEnd w:id="79"/>
      <w:bookmarkEnd w:id="80"/>
      <w:bookmarkEnd w:id="81"/>
      <w:bookmarkEnd w:id="82"/>
      <w:bookmarkEnd w:id="83"/>
      <w:bookmarkEnd w:id="84"/>
      <w:bookmarkEnd w:id="85"/>
      <w:bookmarkEnd w:id="86"/>
      <w:bookmarkEnd w:id="87"/>
      <w:bookmarkEnd w:id="88"/>
      <w:bookmarkEnd w:id="89"/>
      <w:bookmarkEnd w:id="90"/>
    </w:p>
    <w:p>
      <w:pPr>
        <w:ind w:firstLine="118" w:firstLineChars="49"/>
        <w:rPr>
          <w:rFonts w:ascii="宋体" w:hAnsi="宋体"/>
          <w:color w:val="FF0000"/>
        </w:rPr>
      </w:pPr>
      <w:bookmarkStart w:id="91" w:name="_Toc291768612"/>
      <w:bookmarkStart w:id="92" w:name="_Toc291769300"/>
      <w:bookmarkStart w:id="93" w:name="_Toc301546081"/>
      <w:bookmarkStart w:id="94" w:name="_Toc301767552"/>
      <w:bookmarkStart w:id="95" w:name="_Toc291769691"/>
      <w:bookmarkStart w:id="96" w:name="_Toc285631395"/>
      <w:bookmarkStart w:id="97" w:name="_Toc300858157"/>
      <w:bookmarkStart w:id="98" w:name="_Toc291768283"/>
      <w:bookmarkStart w:id="99" w:name="_Toc287813375"/>
      <w:bookmarkStart w:id="100" w:name="_Toc291767878"/>
      <w:bookmarkStart w:id="101" w:name="_Toc291767953"/>
      <w:bookmarkStart w:id="102" w:name="_Toc287614481"/>
      <w:bookmarkStart w:id="103" w:name="_Toc291768026"/>
      <w:r>
        <w:rPr>
          <w:rFonts w:ascii="宋体" w:hAnsi="宋体" w:hint="eastAsia"/>
          <w:color w:val="FF0000"/>
        </w:rPr>
        <mc:AlternateContent>
          <mc:Choice Requires="wps">
            <w:drawing>
              <wp:anchor distT="0" distB="0" distL="114300" distR="114300" simplePos="0" relativeHeight="251661312" behindDoc="0" locked="0" layoutInCell="1" allowOverlap="1">
                <wp:simplePos x="0" y="0"/>
                <wp:positionH relativeFrom="column">
                  <wp:posOffset>1021715</wp:posOffset>
                </wp:positionH>
                <wp:positionV relativeFrom="paragraph">
                  <wp:posOffset>99060</wp:posOffset>
                </wp:positionV>
                <wp:extent cx="114300" cy="535940"/>
                <wp:effectExtent l="6985" t="4445" r="12065" b="31115"/>
                <wp:wrapNone/>
                <wp:docPr id="15" name="下箭头 15"/>
                <wp:cNvGraphicFramePr/>
                <a:graphic xmlns:a="http://schemas.openxmlformats.org/drawingml/2006/main">
                  <a:graphicData uri="http://schemas.microsoft.com/office/word/2010/wordprocessingShape">
                    <wps:wsp xmlns:wps="http://schemas.microsoft.com/office/word/2010/wordprocessingShape">
                      <wps:cNvSpPr/>
                      <wps:spPr>
                        <a:xfrm>
                          <a:off x="0" y="0"/>
                          <a:ext cx="114300" cy="535940"/>
                        </a:xfrm>
                        <a:prstGeom prst="downArrow">
                          <a:avLst>
                            <a:gd name="adj1" fmla="val 50000"/>
                            <a:gd name="adj2" fmla="val 130000"/>
                          </a:avLst>
                        </a:prstGeom>
                        <a:solidFill>
                          <a:srgbClr val="C0C0C0"/>
                        </a:solidFill>
                        <a:ln w="9525">
                          <a:solidFill>
                            <a:srgbClr val="000000"/>
                          </a:solidFill>
                          <a:prstDash val="solid"/>
                          <a:miter lim="0"/>
                          <a:headEnd/>
                          <a:tailEnd/>
                        </a:ln>
                      </wps:spPr>
                      <wps:bodyPr vert="eaVert" upright="1"/>
                    </wps:wsp>
                  </a:graphicData>
                </a:graphic>
              </wp:anchor>
            </w:drawing>
          </mc:Choice>
          <mc:Fallback>
            <w:pict>
              <v:shape id="下箭头 15" o:spid="_x0000_s1035" type="#_x0000_t67" style="width:9pt;height:42.2pt;margin-top:7.8pt;margin-left:80.45pt;mso-wrap-distance-bottom:0;mso-wrap-distance-left:9pt;mso-wrap-distance-right:9pt;mso-wrap-distance-top:0;position:absolute;v-text-anchor:top;z-index:251660288" adj="19297" fillcolor="silver" stroked="t" strokecolor="black" strokeweight="0.75pt">
                <v:stroke joinstyle="miter"/>
              </v:shape>
            </w:pict>
          </mc:Fallback>
        </mc:AlternateContent>
      </w:r>
      <w:r>
        <w:rPr>
          <w:rFonts w:ascii="宋体" w:hAnsi="宋体" w:hint="eastAsia"/>
          <w:color w:val="FF0000"/>
        </w:rPr>
        <mc:AlternateContent>
          <mc:Choice Requires="wps">
            <w:drawing>
              <wp:anchor distT="0" distB="0" distL="114300" distR="114300" simplePos="0" relativeHeight="251679744" behindDoc="0" locked="0" layoutInCell="1" allowOverlap="1">
                <wp:simplePos x="0" y="0"/>
                <wp:positionH relativeFrom="column">
                  <wp:posOffset>2171700</wp:posOffset>
                </wp:positionH>
                <wp:positionV relativeFrom="paragraph">
                  <wp:posOffset>99060</wp:posOffset>
                </wp:positionV>
                <wp:extent cx="1400175" cy="354965"/>
                <wp:effectExtent l="4445" t="4445" r="5080" b="21590"/>
                <wp:wrapNone/>
                <wp:docPr id="14" name="流程图: 过程 14"/>
                <wp:cNvGraphicFramePr/>
                <a:graphic xmlns:a="http://schemas.openxmlformats.org/drawingml/2006/main">
                  <a:graphicData uri="http://schemas.microsoft.com/office/word/2010/wordprocessingShape">
                    <wps:wsp xmlns:wps="http://schemas.microsoft.com/office/word/2010/wordprocessingShape">
                      <wps:cNvSpPr/>
                      <wps:spPr>
                        <a:xfrm>
                          <a:off x="0" y="0"/>
                          <a:ext cx="1400175" cy="354965"/>
                        </a:xfrm>
                        <a:prstGeom prst="flowChartProcess">
                          <a:avLst/>
                        </a:prstGeom>
                        <a:solidFill>
                          <a:srgbClr val="FFFFFF"/>
                        </a:solidFill>
                        <a:ln w="9525">
                          <a:solidFill>
                            <a:srgbClr val="000000"/>
                          </a:solidFill>
                          <a:prstDash val="solid"/>
                          <a:miter lim="0"/>
                          <a:headEnd/>
                          <a:tailEnd/>
                        </a:ln>
                      </wps:spPr>
                      <wps:txbx>
                        <w:txbxContent>
                          <w:p>
                            <w:pPr>
                              <w:jc w:val="center"/>
                            </w:pPr>
                            <w:r>
                              <w:rPr>
                                <w:rFonts w:hint="eastAsia"/>
                              </w:rPr>
                              <w:t>安装起升机构</w:t>
                            </w:r>
                          </w:p>
                        </w:txbxContent>
                      </wps:txbx>
                      <wps:bodyPr upright="1"/>
                    </wps:wsp>
                  </a:graphicData>
                </a:graphic>
              </wp:anchor>
            </w:drawing>
          </mc:Choice>
          <mc:Fallback>
            <w:pict>
              <v:shape id="流程图: 过程 14" o:spid="_x0000_s1036" type="#_x0000_t109" style="width:110.25pt;height:27.95pt;margin-top:7.8pt;margin-left:171pt;mso-wrap-distance-bottom:0;mso-wrap-distance-left:9pt;mso-wrap-distance-right:9pt;mso-wrap-distance-top:0;position:absolute;v-text-anchor:top;z-index:251678720" fillcolor="white" stroked="t" strokecolor="black" strokeweight="0.75pt">
                <v:stroke joinstyle="miter"/>
                <v:textbox>
                  <w:txbxContent>
                    <w:p>
                      <w:pPr>
                        <w:jc w:val="center"/>
                      </w:pPr>
                      <w:r>
                        <w:rPr>
                          <w:rFonts w:hint="eastAsia"/>
                        </w:rPr>
                        <w:t>安装起升机构</w:t>
                      </w:r>
                    </w:p>
                  </w:txbxContent>
                </v:textbox>
              </v:shape>
            </w:pict>
          </mc:Fallback>
        </mc:AlternateContent>
      </w:r>
      <w:r>
        <w:rPr>
          <w:rFonts w:ascii="宋体" w:hAnsi="宋体" w:hint="eastAsia"/>
          <w:color w:val="FF0000"/>
        </w:rPr>
        <mc:AlternateContent>
          <mc:Choice Requires="wps">
            <w:drawing>
              <wp:anchor distT="0" distB="0" distL="114300" distR="114300" simplePos="0" relativeHeight="251681792" behindDoc="0" locked="0" layoutInCell="1" allowOverlap="1">
                <wp:simplePos x="0" y="0"/>
                <wp:positionH relativeFrom="column">
                  <wp:posOffset>4114800</wp:posOffset>
                </wp:positionH>
                <wp:positionV relativeFrom="paragraph">
                  <wp:posOffset>0</wp:posOffset>
                </wp:positionV>
                <wp:extent cx="1680210" cy="361950"/>
                <wp:effectExtent l="4445" t="4445" r="10795" b="14605"/>
                <wp:wrapNone/>
                <wp:docPr id="16" name="流程图: 过程 16"/>
                <wp:cNvGraphicFramePr/>
                <a:graphic xmlns:a="http://schemas.openxmlformats.org/drawingml/2006/main">
                  <a:graphicData uri="http://schemas.microsoft.com/office/word/2010/wordprocessingShape">
                    <wps:wsp xmlns:wps="http://schemas.microsoft.com/office/word/2010/wordprocessingShape">
                      <wps:cNvSpPr/>
                      <wps:spPr>
                        <a:xfrm>
                          <a:off x="0" y="0"/>
                          <a:ext cx="1680210" cy="361950"/>
                        </a:xfrm>
                        <a:prstGeom prst="flowChartProcess">
                          <a:avLst/>
                        </a:prstGeom>
                        <a:solidFill>
                          <a:srgbClr val="FFFFFF"/>
                        </a:solidFill>
                        <a:ln w="9525">
                          <a:solidFill>
                            <a:srgbClr val="000000"/>
                          </a:solidFill>
                          <a:prstDash val="solid"/>
                          <a:miter lim="0"/>
                          <a:headEnd/>
                          <a:tailEnd/>
                        </a:ln>
                      </wps:spPr>
                      <wps:txbx>
                        <w:txbxContent>
                          <w:p>
                            <w:pPr>
                              <w:jc w:val="center"/>
                            </w:pPr>
                            <w:r>
                              <w:rPr>
                                <w:rFonts w:hint="eastAsia"/>
                              </w:rPr>
                              <w:t>根据臂长装配平衡重</w:t>
                            </w:r>
                          </w:p>
                          <w:p/>
                        </w:txbxContent>
                      </wps:txbx>
                      <wps:bodyPr upright="1"/>
                    </wps:wsp>
                  </a:graphicData>
                </a:graphic>
              </wp:anchor>
            </w:drawing>
          </mc:Choice>
          <mc:Fallback>
            <w:pict>
              <v:shape id="流程图: 过程 16" o:spid="_x0000_s1037" type="#_x0000_t109" style="width:132.3pt;height:28.5pt;margin-top:0;margin-left:324pt;mso-wrap-distance-bottom:0;mso-wrap-distance-left:9pt;mso-wrap-distance-right:9pt;mso-wrap-distance-top:0;position:absolute;v-text-anchor:top;z-index:251680768" fillcolor="white" stroked="t" strokecolor="black" strokeweight="0.75pt">
                <v:stroke joinstyle="miter"/>
                <v:textbox>
                  <w:txbxContent>
                    <w:p>
                      <w:pPr>
                        <w:jc w:val="center"/>
                      </w:pPr>
                      <w:r>
                        <w:rPr>
                          <w:rFonts w:hint="eastAsia"/>
                        </w:rPr>
                        <w:t>根据臂长装配平衡重</w:t>
                      </w:r>
                    </w:p>
                    <w:p/>
                  </w:txbxContent>
                </v:textbox>
              </v:shape>
            </w:pict>
          </mc:Fallback>
        </mc:AlternateContent>
      </w:r>
      <w:bookmarkEnd w:id="91"/>
      <w:bookmarkEnd w:id="92"/>
      <w:bookmarkEnd w:id="93"/>
      <w:bookmarkEnd w:id="94"/>
      <w:bookmarkEnd w:id="95"/>
      <w:bookmarkEnd w:id="96"/>
      <w:bookmarkEnd w:id="97"/>
      <w:bookmarkEnd w:id="98"/>
      <w:bookmarkEnd w:id="99"/>
      <w:bookmarkEnd w:id="100"/>
      <w:bookmarkEnd w:id="101"/>
      <w:bookmarkEnd w:id="102"/>
      <w:bookmarkEnd w:id="103"/>
    </w:p>
    <w:p>
      <w:pPr>
        <w:ind w:firstLine="118" w:firstLineChars="49"/>
        <w:rPr>
          <w:rFonts w:ascii="宋体" w:hAnsi="宋体"/>
          <w:color w:val="FF0000"/>
        </w:rPr>
      </w:pPr>
      <w:bookmarkStart w:id="104" w:name="_Toc285631394"/>
      <w:bookmarkStart w:id="105" w:name="_Toc291768028"/>
      <w:bookmarkStart w:id="106" w:name="_Toc291769690"/>
      <w:bookmarkStart w:id="107" w:name="_Toc291768285"/>
      <w:bookmarkStart w:id="108" w:name="_Toc291769302"/>
      <w:bookmarkStart w:id="109" w:name="_Toc287813377"/>
      <w:bookmarkStart w:id="110" w:name="_Toc287614483"/>
      <w:bookmarkStart w:id="111" w:name="_Toc287813374"/>
      <w:bookmarkStart w:id="112" w:name="_Toc291767880"/>
      <w:bookmarkStart w:id="113" w:name="_Toc291768614"/>
      <w:bookmarkStart w:id="114" w:name="_Toc285631397"/>
      <w:bookmarkStart w:id="115" w:name="_Toc291767955"/>
      <w:bookmarkStart w:id="116" w:name="_Toc291769693"/>
      <w:bookmarkStart w:id="117" w:name="_Toc300858158"/>
      <w:bookmarkStart w:id="118" w:name="_Toc301546082"/>
      <w:bookmarkStart w:id="119" w:name="_Toc287614480"/>
      <w:bookmarkStart w:id="120" w:name="_Toc291768025"/>
      <w:bookmarkStart w:id="121" w:name="_Toc291767952"/>
      <w:bookmarkStart w:id="122" w:name="_Toc301767553"/>
      <w:bookmarkStart w:id="123" w:name="_Toc291767877"/>
      <w:bookmarkStart w:id="124" w:name="_Toc291768611"/>
      <w:bookmarkStart w:id="125" w:name="_Toc291768282"/>
      <w:bookmarkStart w:id="126" w:name="_Toc291769299"/>
      <w:r>
        <w:rPr>
          <w:rFonts w:ascii="宋体" w:hAnsi="宋体" w:hint="eastAsia"/>
          <w:color w:val="FF0000"/>
        </w:rPr>
        <mc:AlternateContent>
          <mc:Choice Requires="wps">
            <w:drawing>
              <wp:anchor distT="0" distB="0" distL="114300" distR="114300" simplePos="0" relativeHeight="251669504" behindDoc="0" locked="0" layoutInCell="1" allowOverlap="1">
                <wp:simplePos x="0" y="0"/>
                <wp:positionH relativeFrom="column">
                  <wp:posOffset>2736215</wp:posOffset>
                </wp:positionH>
                <wp:positionV relativeFrom="paragraph">
                  <wp:posOffset>252730</wp:posOffset>
                </wp:positionV>
                <wp:extent cx="337820" cy="121285"/>
                <wp:effectExtent l="8255" t="10160" r="22860" b="13970"/>
                <wp:wrapNone/>
                <wp:docPr id="17" name="右箭头 17"/>
                <wp:cNvGraphicFramePr/>
                <a:graphic xmlns:a="http://schemas.openxmlformats.org/drawingml/2006/main">
                  <a:graphicData uri="http://schemas.microsoft.com/office/word/2010/wordprocessingShape">
                    <wps:wsp xmlns:wps="http://schemas.microsoft.com/office/word/2010/wordprocessingShape">
                      <wps:cNvSpPr/>
                      <wps:spPr>
                        <a:xfrm rot="16200000">
                          <a:off x="0" y="0"/>
                          <a:ext cx="337820" cy="121285"/>
                        </a:xfrm>
                        <a:prstGeom prst="rightArrow">
                          <a:avLst>
                            <a:gd name="adj1" fmla="val 50000"/>
                            <a:gd name="adj2" fmla="val 86666"/>
                          </a:avLst>
                        </a:prstGeom>
                        <a:solidFill>
                          <a:srgbClr val="C0C0C0"/>
                        </a:solidFill>
                        <a:ln w="9525">
                          <a:solidFill>
                            <a:srgbClr val="000000"/>
                          </a:solidFill>
                          <a:prstDash val="solid"/>
                          <a:miter lim="0"/>
                          <a:headEnd/>
                          <a:tailEnd/>
                        </a:ln>
                      </wps:spPr>
                      <wps:bodyPr upright="1"/>
                    </wps:wsp>
                  </a:graphicData>
                </a:graphic>
              </wp:anchor>
            </w:drawing>
          </mc:Choice>
          <mc:Fallback>
            <w:pict>
              <v:shape id="右箭头 17" o:spid="_x0000_s1038" type="#_x0000_t13" style="width:26.6pt;height:9.55pt;margin-top:19.9pt;margin-left:215.45pt;mso-wrap-distance-bottom:0;mso-wrap-distance-left:9pt;mso-wrap-distance-right:9pt;mso-wrap-distance-top:0;position:absolute;rotation:270;v-text-anchor:top;z-index:251668480" adj="17722" fillcolor="silver" stroked="t" strokecolor="black" strokeweight="0.75pt">
                <v:stroke joinstyle="miter"/>
              </v:shape>
            </w:pict>
          </mc:Fallback>
        </mc:AlternateContent>
      </w:r>
      <w:r>
        <w:rPr>
          <w:rFonts w:ascii="宋体" w:hAnsi="宋体" w:hint="eastAsia"/>
          <w:color w:val="FF0000"/>
        </w:rPr>
        <mc:AlternateContent>
          <mc:Choice Requires="wps">
            <w:drawing>
              <wp:anchor distT="0" distB="0" distL="114300" distR="114300" simplePos="0" relativeHeight="251663360" behindDoc="0" locked="0" layoutInCell="1" allowOverlap="1">
                <wp:simplePos x="0" y="0"/>
                <wp:positionH relativeFrom="column">
                  <wp:posOffset>4875530</wp:posOffset>
                </wp:positionH>
                <wp:positionV relativeFrom="paragraph">
                  <wp:posOffset>95250</wp:posOffset>
                </wp:positionV>
                <wp:extent cx="161290" cy="1584960"/>
                <wp:effectExtent l="5715" t="4445" r="23495" b="29845"/>
                <wp:wrapNone/>
                <wp:docPr id="18" name="下箭头 18"/>
                <wp:cNvGraphicFramePr/>
                <a:graphic xmlns:a="http://schemas.openxmlformats.org/drawingml/2006/main">
                  <a:graphicData uri="http://schemas.microsoft.com/office/word/2010/wordprocessingShape">
                    <wps:wsp xmlns:wps="http://schemas.microsoft.com/office/word/2010/wordprocessingShape">
                      <wps:cNvSpPr/>
                      <wps:spPr>
                        <a:xfrm>
                          <a:off x="0" y="0"/>
                          <a:ext cx="161290" cy="1584960"/>
                        </a:xfrm>
                        <a:prstGeom prst="downArrow">
                          <a:avLst>
                            <a:gd name="adj1" fmla="val 50000"/>
                            <a:gd name="adj2" fmla="val 245669"/>
                          </a:avLst>
                        </a:prstGeom>
                        <a:solidFill>
                          <a:srgbClr val="C0C0C0"/>
                        </a:solidFill>
                        <a:ln w="9525">
                          <a:solidFill>
                            <a:srgbClr val="000000"/>
                          </a:solidFill>
                          <a:prstDash val="solid"/>
                          <a:miter lim="0"/>
                          <a:headEnd/>
                          <a:tailEnd/>
                        </a:ln>
                      </wps:spPr>
                      <wps:bodyPr vert="eaVert" upright="1"/>
                    </wps:wsp>
                  </a:graphicData>
                </a:graphic>
              </wp:anchor>
            </w:drawing>
          </mc:Choice>
          <mc:Fallback>
            <w:pict>
              <v:shape id="下箭头 18" o:spid="_x0000_s1039" type="#_x0000_t67" style="width:12.7pt;height:124.8pt;margin-top:7.5pt;margin-left:383.9pt;mso-wrap-distance-bottom:0;mso-wrap-distance-left:9pt;mso-wrap-distance-right:9pt;mso-wrap-distance-top:0;position:absolute;v-text-anchor:top;z-index:251662336" adj="20501" fillcolor="silver" stroked="t" strokecolor="black" strokeweight="0.75pt">
                <v:stroke joinstyle="miter"/>
              </v:shape>
            </w:pict>
          </mc:Fallback>
        </mc:AlternateConten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ind w:firstLine="118" w:firstLineChars="49"/>
        <w:rPr>
          <w:rFonts w:ascii="宋体" w:hAnsi="宋体"/>
          <w:color w:val="FF0000"/>
        </w:rPr>
      </w:pPr>
      <w:bookmarkStart w:id="127" w:name="_Toc300858159"/>
      <w:bookmarkStart w:id="128" w:name="_Toc301546083"/>
      <w:bookmarkStart w:id="129" w:name="_Toc301767554"/>
      <w:r>
        <w:rPr>
          <w:rFonts w:ascii="宋体" w:hAnsi="宋体" w:hint="eastAsia"/>
          <w:color w:val="FF0000"/>
        </w:rPr>
        <mc:AlternateContent>
          <mc:Choice Requires="wps">
            <w:drawing>
              <wp:anchor distT="0" distB="0" distL="114300" distR="114300" simplePos="0" relativeHeight="251675648" behindDoc="0" locked="0" layoutInCell="1" allowOverlap="1">
                <wp:simplePos x="0" y="0"/>
                <wp:positionH relativeFrom="column">
                  <wp:posOffset>133985</wp:posOffset>
                </wp:positionH>
                <wp:positionV relativeFrom="paragraph">
                  <wp:posOffset>26035</wp:posOffset>
                </wp:positionV>
                <wp:extent cx="1889125" cy="370205"/>
                <wp:effectExtent l="4445" t="5080" r="11430" b="5715"/>
                <wp:wrapNone/>
                <wp:docPr id="20" name="流程图: 过程 20"/>
                <wp:cNvGraphicFramePr/>
                <a:graphic xmlns:a="http://schemas.openxmlformats.org/drawingml/2006/main">
                  <a:graphicData uri="http://schemas.microsoft.com/office/word/2010/wordprocessingShape">
                    <wps:wsp xmlns:wps="http://schemas.microsoft.com/office/word/2010/wordprocessingShape">
                      <wps:cNvSpPr/>
                      <wps:spPr>
                        <a:xfrm>
                          <a:off x="0" y="0"/>
                          <a:ext cx="1889125" cy="370205"/>
                        </a:xfrm>
                        <a:prstGeom prst="flowChartProcess">
                          <a:avLst/>
                        </a:prstGeom>
                        <a:solidFill>
                          <a:srgbClr val="FFFFFF"/>
                        </a:solidFill>
                        <a:ln w="9525">
                          <a:solidFill>
                            <a:srgbClr val="000000"/>
                          </a:solidFill>
                          <a:prstDash val="solid"/>
                          <a:miter lim="0"/>
                          <a:headEnd/>
                          <a:tailEnd/>
                        </a:ln>
                      </wps:spPr>
                      <wps:txbx>
                        <w:txbxContent>
                          <w:p>
                            <w:pPr>
                              <w:jc w:val="center"/>
                            </w:pPr>
                            <w:r>
                              <w:rPr>
                                <w:rFonts w:hint="eastAsia"/>
                              </w:rPr>
                              <w:t>安装加强节及标准节</w:t>
                            </w:r>
                          </w:p>
                          <w:p/>
                        </w:txbxContent>
                      </wps:txbx>
                      <wps:bodyPr upright="1"/>
                    </wps:wsp>
                  </a:graphicData>
                </a:graphic>
              </wp:anchor>
            </w:drawing>
          </mc:Choice>
          <mc:Fallback>
            <w:pict>
              <v:shape id="流程图: 过程 20" o:spid="_x0000_s1040" type="#_x0000_t109" style="width:148.75pt;height:29.15pt;margin-top:2.05pt;margin-left:10.55pt;mso-wrap-distance-bottom:0;mso-wrap-distance-left:9pt;mso-wrap-distance-right:9pt;mso-wrap-distance-top:0;position:absolute;v-text-anchor:top;z-index:251674624" fillcolor="white" stroked="t" strokecolor="black" strokeweight="0.75pt">
                <v:stroke joinstyle="miter"/>
                <v:textbox>
                  <w:txbxContent>
                    <w:p>
                      <w:pPr>
                        <w:jc w:val="center"/>
                      </w:pPr>
                      <w:r>
                        <w:rPr>
                          <w:rFonts w:hint="eastAsia"/>
                        </w:rPr>
                        <w:t>安装加强节及标准节</w:t>
                      </w:r>
                    </w:p>
                    <w:p/>
                  </w:txbxContent>
                </v:textbox>
              </v:shape>
            </w:pict>
          </mc:Fallback>
        </mc:AlternateContent>
      </w:r>
      <w:r>
        <w:rPr>
          <w:rFonts w:ascii="宋体" w:hAnsi="宋体" w:hint="eastAsia"/>
          <w:color w:val="FF0000"/>
        </w:rPr>
        <mc:AlternateContent>
          <mc:Choice Requires="wps">
            <w:drawing>
              <wp:anchor distT="0" distB="0" distL="114300" distR="114300" simplePos="0" relativeHeight="251687936" behindDoc="0" locked="0" layoutInCell="1" allowOverlap="1">
                <wp:simplePos x="0" y="0"/>
                <wp:positionH relativeFrom="column">
                  <wp:posOffset>2171700</wp:posOffset>
                </wp:positionH>
                <wp:positionV relativeFrom="paragraph">
                  <wp:posOffset>198120</wp:posOffset>
                </wp:positionV>
                <wp:extent cx="1600200" cy="355600"/>
                <wp:effectExtent l="4445" t="4445" r="14605" b="20955"/>
                <wp:wrapNone/>
                <wp:docPr id="19" name="流程图: 过程 19"/>
                <wp:cNvGraphicFramePr/>
                <a:graphic xmlns:a="http://schemas.openxmlformats.org/drawingml/2006/main">
                  <a:graphicData uri="http://schemas.microsoft.com/office/word/2010/wordprocessingShape">
                    <wps:wsp xmlns:wps="http://schemas.microsoft.com/office/word/2010/wordprocessingShape">
                      <wps:cNvSpPr/>
                      <wps:spPr>
                        <a:xfrm>
                          <a:off x="0" y="0"/>
                          <a:ext cx="1600200" cy="355600"/>
                        </a:xfrm>
                        <a:prstGeom prst="flowChartProcess">
                          <a:avLst/>
                        </a:prstGeom>
                        <a:solidFill>
                          <a:srgbClr val="FFFFFF"/>
                        </a:solidFill>
                        <a:ln w="9525">
                          <a:solidFill>
                            <a:srgbClr val="000000"/>
                          </a:solidFill>
                          <a:prstDash val="solid"/>
                          <a:miter lim="0"/>
                          <a:headEnd/>
                          <a:tailEnd/>
                        </a:ln>
                      </wps:spPr>
                      <wps:txbx>
                        <w:txbxContent>
                          <w:p>
                            <w:pPr>
                              <w:jc w:val="center"/>
                            </w:pPr>
                            <w:r>
                              <w:rPr>
                                <w:rFonts w:hint="eastAsia"/>
                              </w:rPr>
                              <w:t>安装平衡臂</w:t>
                            </w:r>
                          </w:p>
                          <w:p/>
                        </w:txbxContent>
                      </wps:txbx>
                      <wps:bodyPr upright="1"/>
                    </wps:wsp>
                  </a:graphicData>
                </a:graphic>
              </wp:anchor>
            </w:drawing>
          </mc:Choice>
          <mc:Fallback>
            <w:pict>
              <v:shape id="流程图: 过程 19" o:spid="_x0000_s1041" type="#_x0000_t109" style="width:126pt;height:28pt;margin-top:15.6pt;margin-left:171pt;mso-wrap-distance-bottom:0;mso-wrap-distance-left:9pt;mso-wrap-distance-right:9pt;mso-wrap-distance-top:0;position:absolute;v-text-anchor:top;z-index:251686912" fillcolor="white" stroked="t" strokecolor="black" strokeweight="0.75pt">
                <v:stroke joinstyle="miter"/>
                <v:textbox>
                  <w:txbxContent>
                    <w:p>
                      <w:pPr>
                        <w:jc w:val="center"/>
                      </w:pPr>
                      <w:r>
                        <w:rPr>
                          <w:rFonts w:hint="eastAsia"/>
                        </w:rPr>
                        <w:t>安装平衡臂</w:t>
                      </w:r>
                    </w:p>
                    <w:p/>
                  </w:txbxContent>
                </v:textbox>
              </v:shape>
            </w:pict>
          </mc:Fallback>
        </mc:AlternateContent>
      </w:r>
      <w:bookmarkEnd w:id="127"/>
      <w:bookmarkEnd w:id="128"/>
      <w:bookmarkEnd w:id="129"/>
    </w:p>
    <w:p>
      <w:pPr>
        <w:ind w:firstLine="118" w:firstLineChars="49"/>
        <w:rPr>
          <w:rFonts w:ascii="宋体" w:hAnsi="宋体"/>
          <w:color w:val="FF0000"/>
        </w:rPr>
        <w:sectPr>
          <w:headerReference w:type="default" r:id="rId19"/>
          <w:footerReference w:type="default" r:id="rId20"/>
          <w:type w:val="nextPage"/>
          <w:pgSz w:w="11906" w:h="16838"/>
          <w:pgMar w:top="1440" w:right="1803" w:bottom="1418" w:left="1803" w:header="851" w:footer="992" w:gutter="0"/>
          <w:pgNumType w:fmt="numberInDash" w:start="7"/>
          <w:cols w:num="1" w:space="0"/>
          <w:titlePg w:val="0"/>
          <w:docGrid w:type="lines" w:linePitch="332" w:charSpace="0"/>
        </w:sectPr>
      </w:pPr>
      <w:bookmarkStart w:id="130" w:name="_Toc301767556"/>
      <w:bookmarkStart w:id="131" w:name="_Toc301546085"/>
      <w:bookmarkStart w:id="132" w:name="_Toc300858161"/>
      <w:bookmarkStart w:id="133" w:name="_Toc291768284"/>
      <w:bookmarkStart w:id="134" w:name="_Toc301546084"/>
      <w:bookmarkStart w:id="135" w:name="_Toc291768613"/>
      <w:bookmarkStart w:id="136" w:name="_Toc301767555"/>
      <w:bookmarkStart w:id="137" w:name="_Toc291769301"/>
      <w:bookmarkStart w:id="138" w:name="_Toc291769692"/>
      <w:bookmarkStart w:id="139" w:name="_Toc300858160"/>
      <w:bookmarkStart w:id="140" w:name="_Toc287614482"/>
      <w:bookmarkStart w:id="141" w:name="_Toc285631396"/>
      <w:bookmarkStart w:id="142" w:name="_Toc287813376"/>
      <w:bookmarkStart w:id="143" w:name="_Toc291767954"/>
      <w:bookmarkStart w:id="144" w:name="_Toc291768027"/>
      <w:bookmarkStart w:id="145" w:name="_Toc291767879"/>
      <w:r>
        <w:rPr>
          <w:rFonts w:ascii="宋体" w:hAnsi="宋体" w:hint="eastAsia"/>
          <w:color w:val="FF0000"/>
        </w:rPr>
        <mc:AlternateContent>
          <mc:Choice Requires="wps">
            <w:drawing>
              <wp:anchor distT="0" distB="0" distL="114300" distR="114300" simplePos="0" relativeHeight="251692032" behindDoc="0" locked="0" layoutInCell="1" allowOverlap="1">
                <wp:simplePos x="0" y="0"/>
                <wp:positionH relativeFrom="column">
                  <wp:posOffset>2703195</wp:posOffset>
                </wp:positionH>
                <wp:positionV relativeFrom="paragraph">
                  <wp:posOffset>384810</wp:posOffset>
                </wp:positionV>
                <wp:extent cx="396240" cy="114300"/>
                <wp:effectExtent l="8255" t="9525" r="10795" b="13335"/>
                <wp:wrapNone/>
                <wp:docPr id="21" name="右箭头 21"/>
                <wp:cNvGraphicFramePr/>
                <a:graphic xmlns:a="http://schemas.openxmlformats.org/drawingml/2006/main">
                  <a:graphicData uri="http://schemas.microsoft.com/office/word/2010/wordprocessingShape">
                    <wps:wsp xmlns:wps="http://schemas.microsoft.com/office/word/2010/wordprocessingShape">
                      <wps:cNvSpPr/>
                      <wps:spPr>
                        <a:xfrm rot="16200000">
                          <a:off x="0" y="0"/>
                          <a:ext cx="396240" cy="114300"/>
                        </a:xfrm>
                        <a:prstGeom prst="rightArrow">
                          <a:avLst>
                            <a:gd name="adj1" fmla="val 50000"/>
                            <a:gd name="adj2" fmla="val 86666"/>
                          </a:avLst>
                        </a:prstGeom>
                        <a:solidFill>
                          <a:srgbClr val="C0C0C0"/>
                        </a:solidFill>
                        <a:ln w="9525">
                          <a:solidFill>
                            <a:srgbClr val="000000"/>
                          </a:solidFill>
                          <a:prstDash val="solid"/>
                          <a:miter lim="0"/>
                          <a:headEnd/>
                          <a:tailEnd/>
                        </a:ln>
                      </wps:spPr>
                      <wps:bodyPr upright="1"/>
                    </wps:wsp>
                  </a:graphicData>
                </a:graphic>
              </wp:anchor>
            </w:drawing>
          </mc:Choice>
          <mc:Fallback>
            <w:pict>
              <v:shape id="右箭头 21" o:spid="_x0000_s1042" type="#_x0000_t13" style="width:31.2pt;height:9pt;margin-top:30.3pt;margin-left:212.85pt;mso-wrap-distance-bottom:0;mso-wrap-distance-left:9pt;mso-wrap-distance-right:9pt;mso-wrap-distance-top:0;position:absolute;rotation:270;v-text-anchor:top;z-index:251691008" adj="18484" fillcolor="silver" stroked="t" strokecolor="black" strokeweight="0.75pt">
                <v:stroke joinstyle="miter"/>
              </v:shape>
            </w:pict>
          </mc:Fallback>
        </mc:AlternateContent>
      </w:r>
      <w:bookmarkEnd w:id="130"/>
      <w:bookmarkEnd w:id="131"/>
      <w:bookmarkEnd w:id="132"/>
      <w:r>
        <w:rPr>
          <w:rFonts w:ascii="宋体" w:hAnsi="宋体" w:hint="eastAsia"/>
          <w:color w:val="FF0000"/>
        </w:rPr>
        <mc:AlternateContent>
          <mc:Choice Requires="wps">
            <w:drawing>
              <wp:anchor distT="0" distB="0" distL="114300" distR="114300" simplePos="0" relativeHeight="251689984" behindDoc="0" locked="0" layoutInCell="1" allowOverlap="1">
                <wp:simplePos x="0" y="0"/>
                <wp:positionH relativeFrom="column">
                  <wp:posOffset>1028700</wp:posOffset>
                </wp:positionH>
                <wp:positionV relativeFrom="paragraph">
                  <wp:posOffset>99060</wp:posOffset>
                </wp:positionV>
                <wp:extent cx="128905" cy="429260"/>
                <wp:effectExtent l="7620" t="5080" r="15875" b="22860"/>
                <wp:wrapNone/>
                <wp:docPr id="22" name="下箭头 22"/>
                <wp:cNvGraphicFramePr/>
                <a:graphic xmlns:a="http://schemas.openxmlformats.org/drawingml/2006/main">
                  <a:graphicData uri="http://schemas.microsoft.com/office/word/2010/wordprocessingShape">
                    <wps:wsp xmlns:wps="http://schemas.microsoft.com/office/word/2010/wordprocessingShape">
                      <wps:cNvSpPr/>
                      <wps:spPr>
                        <a:xfrm>
                          <a:off x="0" y="0"/>
                          <a:ext cx="128905" cy="429260"/>
                        </a:xfrm>
                        <a:prstGeom prst="downArrow">
                          <a:avLst>
                            <a:gd name="adj1" fmla="val 50000"/>
                            <a:gd name="adj2" fmla="val 108333"/>
                          </a:avLst>
                        </a:prstGeom>
                        <a:solidFill>
                          <a:srgbClr val="C0C0C0"/>
                        </a:solidFill>
                        <a:ln w="9525">
                          <a:solidFill>
                            <a:srgbClr val="000000"/>
                          </a:solidFill>
                          <a:prstDash val="solid"/>
                          <a:miter lim="0"/>
                          <a:headEnd/>
                          <a:tailEnd/>
                        </a:ln>
                      </wps:spPr>
                      <wps:bodyPr vert="eaVert" upright="1"/>
                    </wps:wsp>
                  </a:graphicData>
                </a:graphic>
              </wp:anchor>
            </w:drawing>
          </mc:Choice>
          <mc:Fallback>
            <w:pict>
              <v:shape id="下箭头 22" o:spid="_x0000_s1043" type="#_x0000_t67" style="width:10.15pt;height:33.8pt;margin-top:7.8pt;margin-left:81pt;mso-wrap-distance-bottom:0;mso-wrap-distance-left:9pt;mso-wrap-distance-right:9pt;mso-wrap-distance-top:0;position:absolute;v-text-anchor:top;z-index:251688960" adj="18357" fillcolor="silver" stroked="t" strokecolor="black" strokeweight="0.75pt">
                <v:stroke joinstyle="miter"/>
              </v:shape>
            </w:pict>
          </mc:Fallback>
        </mc:AlternateContent>
      </w:r>
      <w:bookmarkEnd w:id="133"/>
      <w:bookmarkEnd w:id="134"/>
      <w:bookmarkEnd w:id="135"/>
      <w:bookmarkEnd w:id="136"/>
      <w:bookmarkEnd w:id="137"/>
      <w:bookmarkEnd w:id="138"/>
      <w:bookmarkEnd w:id="139"/>
      <w:bookmarkEnd w:id="140"/>
      <w:bookmarkEnd w:id="141"/>
      <w:bookmarkEnd w:id="142"/>
      <w:bookmarkEnd w:id="143"/>
      <w:bookmarkEnd w:id="144"/>
      <w:bookmarkEnd w:id="145"/>
    </w:p>
    <w:p>
      <w:pPr>
        <w:ind w:firstLine="118" w:firstLineChars="49"/>
        <w:rPr>
          <w:rFonts w:ascii="宋体" w:hAnsi="宋体"/>
          <w:color w:val="FF0000"/>
        </w:rPr>
      </w:pPr>
      <w:r>
        <w:rPr>
          <w:rFonts w:ascii="宋体" w:hAnsi="宋体" w:hint="eastAsia"/>
          <w:color w:val="FF0000"/>
        </w:rPr>
        <mc:AlternateContent>
          <mc:Choice Requires="wps">
            <w:drawing>
              <wp:anchor distT="0" distB="0" distL="114300" distR="114300" simplePos="0" relativeHeight="251710464" behindDoc="0" locked="0" layoutInCell="1" allowOverlap="1">
                <wp:simplePos x="0" y="0"/>
                <wp:positionH relativeFrom="column">
                  <wp:posOffset>228600</wp:posOffset>
                </wp:positionH>
                <wp:positionV relativeFrom="paragraph">
                  <wp:posOffset>257810</wp:posOffset>
                </wp:positionV>
                <wp:extent cx="1680210" cy="355600"/>
                <wp:effectExtent l="4445" t="4445" r="10795" b="20955"/>
                <wp:wrapNone/>
                <wp:docPr id="24" name="流程图: 过程 24"/>
                <wp:cNvGraphicFramePr/>
                <a:graphic xmlns:a="http://schemas.openxmlformats.org/drawingml/2006/main">
                  <a:graphicData uri="http://schemas.microsoft.com/office/word/2010/wordprocessingShape">
                    <wps:wsp xmlns:wps="http://schemas.microsoft.com/office/word/2010/wordprocessingShape">
                      <wps:cNvSpPr/>
                      <wps:spPr>
                        <a:xfrm>
                          <a:off x="0" y="0"/>
                          <a:ext cx="1680210" cy="355600"/>
                        </a:xfrm>
                        <a:prstGeom prst="flowChartProcess">
                          <a:avLst/>
                        </a:prstGeom>
                        <a:solidFill>
                          <a:srgbClr val="FFFFFF"/>
                        </a:solidFill>
                        <a:ln w="9525">
                          <a:solidFill>
                            <a:srgbClr val="000000"/>
                          </a:solidFill>
                          <a:prstDash val="solid"/>
                          <a:miter lim="0"/>
                          <a:headEnd/>
                          <a:tailEnd/>
                        </a:ln>
                      </wps:spPr>
                      <wps:txbx>
                        <w:txbxContent>
                          <w:p>
                            <w:pPr>
                              <w:jc w:val="center"/>
                            </w:pPr>
                            <w:r>
                              <w:rPr>
                                <w:rFonts w:hint="eastAsia"/>
                              </w:rPr>
                              <w:t>安装套架总成</w:t>
                            </w:r>
                          </w:p>
                          <w:p/>
                        </w:txbxContent>
                      </wps:txbx>
                      <wps:bodyPr upright="1"/>
                    </wps:wsp>
                  </a:graphicData>
                </a:graphic>
              </wp:anchor>
            </w:drawing>
          </mc:Choice>
          <mc:Fallback>
            <w:pict>
              <v:shape id="流程图: 过程 24" o:spid="_x0000_s1044" type="#_x0000_t109" style="width:132.3pt;height:28pt;margin-top:20.3pt;margin-left:18pt;mso-wrap-distance-bottom:0;mso-wrap-distance-left:9pt;mso-wrap-distance-right:9pt;mso-wrap-distance-top:0;position:absolute;v-text-anchor:top;z-index:251709440" fillcolor="white" stroked="t" strokecolor="black" strokeweight="0.75pt">
                <v:stroke joinstyle="miter"/>
                <v:textbox>
                  <w:txbxContent>
                    <w:p>
                      <w:pPr>
                        <w:jc w:val="center"/>
                      </w:pPr>
                      <w:r>
                        <w:rPr>
                          <w:rFonts w:hint="eastAsia"/>
                        </w:rPr>
                        <w:t>安装套架总成</w:t>
                      </w:r>
                    </w:p>
                    <w:p/>
                  </w:txbxContent>
                </v:textbox>
              </v:shape>
            </w:pict>
          </mc:Fallback>
        </mc:AlternateContent>
      </w:r>
    </w:p>
    <w:p>
      <w:pPr>
        <w:ind w:firstLine="118" w:firstLineChars="49"/>
        <w:rPr>
          <w:rFonts w:ascii="宋体" w:hAnsi="宋体"/>
          <w:color w:val="FF0000"/>
        </w:rPr>
      </w:pPr>
      <w:bookmarkStart w:id="146" w:name="_Toc300858162"/>
      <w:bookmarkStart w:id="147" w:name="_Toc301767557"/>
      <w:bookmarkStart w:id="148" w:name="_Toc301546086"/>
      <w:r>
        <w:rPr>
          <w:rFonts w:ascii="宋体" w:hAnsi="宋体" w:hint="eastAsia"/>
          <w:color w:val="FF0000"/>
        </w:rPr>
        <mc:AlternateContent>
          <mc:Choice Requires="wps">
            <w:drawing>
              <wp:anchor distT="0" distB="0" distL="114300" distR="114300" simplePos="0" relativeHeight="251712512" behindDoc="0" locked="0" layoutInCell="1" allowOverlap="1">
                <wp:simplePos x="0" y="0"/>
                <wp:positionH relativeFrom="column">
                  <wp:posOffset>2400300</wp:posOffset>
                </wp:positionH>
                <wp:positionV relativeFrom="paragraph">
                  <wp:posOffset>0</wp:posOffset>
                </wp:positionV>
                <wp:extent cx="1371600" cy="340995"/>
                <wp:effectExtent l="4445" t="4445" r="14605" b="16510"/>
                <wp:wrapNone/>
                <wp:docPr id="23" name="流程图: 过程 23"/>
                <wp:cNvGraphicFramePr/>
                <a:graphic xmlns:a="http://schemas.openxmlformats.org/drawingml/2006/main">
                  <a:graphicData uri="http://schemas.microsoft.com/office/word/2010/wordprocessingShape">
                    <wps:wsp xmlns:wps="http://schemas.microsoft.com/office/word/2010/wordprocessingShape">
                      <wps:cNvSpPr/>
                      <wps:spPr>
                        <a:xfrm>
                          <a:off x="0" y="0"/>
                          <a:ext cx="1371600" cy="340995"/>
                        </a:xfrm>
                        <a:prstGeom prst="flowChartProcess">
                          <a:avLst/>
                        </a:prstGeom>
                        <a:solidFill>
                          <a:srgbClr val="FFFFFF"/>
                        </a:solidFill>
                        <a:ln w="9525">
                          <a:solidFill>
                            <a:srgbClr val="000000"/>
                          </a:solidFill>
                          <a:prstDash val="solid"/>
                          <a:miter lim="0"/>
                          <a:headEnd/>
                          <a:tailEnd/>
                        </a:ln>
                      </wps:spPr>
                      <wps:txbx>
                        <w:txbxContent>
                          <w:p>
                            <w:pPr>
                              <w:spacing w:line="240" w:lineRule="atLeast"/>
                              <w:jc w:val="center"/>
                            </w:pPr>
                            <w:r>
                              <w:rPr>
                                <w:rFonts w:hint="eastAsia"/>
                              </w:rPr>
                              <w:t>安装回转总成</w:t>
                            </w:r>
                          </w:p>
                          <w:p>
                            <w:pPr>
                              <w:spacing w:line="240" w:lineRule="atLeast"/>
                              <w:ind w:firstLine="120" w:firstLineChars="50"/>
                              <w:jc w:val="center"/>
                            </w:pPr>
                          </w:p>
                        </w:txbxContent>
                      </wps:txbx>
                      <wps:bodyPr upright="1"/>
                    </wps:wsp>
                  </a:graphicData>
                </a:graphic>
              </wp:anchor>
            </w:drawing>
          </mc:Choice>
          <mc:Fallback>
            <w:pict>
              <v:shape id="流程图: 过程 23" o:spid="_x0000_s1045" type="#_x0000_t109" style="width:108pt;height:26.85pt;margin-top:0;margin-left:189pt;mso-wrap-distance-bottom:0;mso-wrap-distance-left:9pt;mso-wrap-distance-right:9pt;mso-wrap-distance-top:0;position:absolute;v-text-anchor:top;z-index:251711488" fillcolor="white" stroked="t" strokecolor="black" strokeweight="0.75pt">
                <v:stroke joinstyle="miter"/>
                <v:textbox>
                  <w:txbxContent>
                    <w:p>
                      <w:pPr>
                        <w:spacing w:line="240" w:lineRule="atLeast"/>
                        <w:jc w:val="center"/>
                      </w:pPr>
                      <w:r>
                        <w:rPr>
                          <w:rFonts w:hint="eastAsia"/>
                        </w:rPr>
                        <w:t>安装回转总成</w:t>
                      </w:r>
                    </w:p>
                    <w:p>
                      <w:pPr>
                        <w:spacing w:line="240" w:lineRule="atLeast"/>
                        <w:ind w:firstLine="120" w:firstLineChars="50"/>
                        <w:jc w:val="center"/>
                      </w:pPr>
                    </w:p>
                  </w:txbxContent>
                </v:textbox>
              </v:shape>
            </w:pict>
          </mc:Fallback>
        </mc:AlternateContent>
      </w:r>
      <w:r>
        <w:rPr>
          <w:rFonts w:ascii="宋体" w:hAnsi="宋体" w:hint="eastAsia"/>
          <w:color w:val="FF0000"/>
        </w:rPr>
        <mc:AlternateContent>
          <mc:Choice Requires="wps">
            <w:drawing>
              <wp:anchor distT="0" distB="0" distL="114300" distR="114300" simplePos="0" relativeHeight="251694080" behindDoc="0" locked="0" layoutInCell="1" allowOverlap="1">
                <wp:simplePos x="0" y="0"/>
                <wp:positionH relativeFrom="column">
                  <wp:posOffset>1828800</wp:posOffset>
                </wp:positionH>
                <wp:positionV relativeFrom="paragraph">
                  <wp:posOffset>99060</wp:posOffset>
                </wp:positionV>
                <wp:extent cx="571500" cy="99060"/>
                <wp:effectExtent l="4445" t="6985" r="14605" b="8255"/>
                <wp:wrapNone/>
                <wp:docPr id="25" name="右箭头 25"/>
                <wp:cNvGraphicFramePr/>
                <a:graphic xmlns:a="http://schemas.openxmlformats.org/drawingml/2006/main">
                  <a:graphicData uri="http://schemas.microsoft.com/office/word/2010/wordprocessingShape">
                    <wps:wsp xmlns:wps="http://schemas.microsoft.com/office/word/2010/wordprocessingShape">
                      <wps:cNvSpPr/>
                      <wps:spPr>
                        <a:xfrm>
                          <a:off x="0" y="0"/>
                          <a:ext cx="571500" cy="99060"/>
                        </a:xfrm>
                        <a:prstGeom prst="rightArrow">
                          <a:avLst>
                            <a:gd name="adj1" fmla="val 50000"/>
                            <a:gd name="adj2" fmla="val 144230"/>
                          </a:avLst>
                        </a:prstGeom>
                        <a:solidFill>
                          <a:srgbClr val="C0C0C0"/>
                        </a:solidFill>
                        <a:ln w="9525">
                          <a:solidFill>
                            <a:srgbClr val="000000"/>
                          </a:solidFill>
                          <a:prstDash val="solid"/>
                          <a:miter lim="0"/>
                          <a:headEnd/>
                          <a:tailEnd/>
                        </a:ln>
                      </wps:spPr>
                      <wps:bodyPr upright="1"/>
                    </wps:wsp>
                  </a:graphicData>
                </a:graphic>
              </wp:anchor>
            </w:drawing>
          </mc:Choice>
          <mc:Fallback>
            <w:pict>
              <v:shape id="右箭头 25" o:spid="_x0000_s1046" type="#_x0000_t13" style="width:45pt;height:7.8pt;margin-top:7.8pt;margin-left:2in;mso-wrap-distance-bottom:0;mso-wrap-distance-left:9pt;mso-wrap-distance-right:9pt;mso-wrap-distance-top:0;position:absolute;v-text-anchor:top;z-index:251693056" adj="19728" fillcolor="silver" stroked="t" strokecolor="black" strokeweight="0.75pt">
                <v:stroke joinstyle="miter"/>
              </v:shape>
            </w:pict>
          </mc:Fallback>
        </mc:AlternateContent>
      </w:r>
      <w:bookmarkEnd w:id="146"/>
      <w:bookmarkEnd w:id="147"/>
      <w:bookmarkEnd w:id="148"/>
    </w:p>
    <w:p>
      <w:pPr>
        <w:ind w:firstLine="118" w:firstLineChars="49"/>
        <w:rPr>
          <w:rFonts w:ascii="宋体" w:hAnsi="宋体"/>
          <w:color w:val="FF0000"/>
        </w:rPr>
      </w:pPr>
      <w:bookmarkStart w:id="149" w:name="_Toc300858163"/>
      <w:bookmarkStart w:id="150" w:name="_Toc291767957"/>
      <w:bookmarkStart w:id="151" w:name="_Toc291768287"/>
      <w:bookmarkStart w:id="152" w:name="_Toc291768030"/>
      <w:bookmarkStart w:id="153" w:name="_Toc285631399"/>
      <w:bookmarkStart w:id="154" w:name="_Toc291767882"/>
      <w:bookmarkStart w:id="155" w:name="_Toc301767558"/>
      <w:bookmarkStart w:id="156" w:name="_Toc301546087"/>
      <w:bookmarkStart w:id="157" w:name="_Toc291769304"/>
      <w:bookmarkStart w:id="158" w:name="_Toc291768616"/>
      <w:bookmarkStart w:id="159" w:name="_Toc287614485"/>
      <w:bookmarkStart w:id="160" w:name="_Toc287813379"/>
      <w:bookmarkStart w:id="161" w:name="_Toc291769695"/>
      <w:r>
        <w:rPr>
          <w:rFonts w:ascii="宋体" w:hAnsi="宋体" w:hint="eastAsia"/>
          <w:color w:val="FF0000"/>
        </w:rPr>
        <mc:AlternateContent>
          <mc:Choice Requires="wps">
            <w:drawing>
              <wp:anchor distT="0" distB="0" distL="114300" distR="114300" simplePos="0" relativeHeight="251702272" behindDoc="0" locked="0" layoutInCell="1" allowOverlap="1">
                <wp:simplePos x="0" y="0"/>
                <wp:positionH relativeFrom="column">
                  <wp:posOffset>1943100</wp:posOffset>
                </wp:positionH>
                <wp:positionV relativeFrom="paragraph">
                  <wp:posOffset>92075</wp:posOffset>
                </wp:positionV>
                <wp:extent cx="1028700" cy="361950"/>
                <wp:effectExtent l="4445" t="4445" r="14605" b="14605"/>
                <wp:wrapNone/>
                <wp:docPr id="30" name="流程图: 过程 30"/>
                <wp:cNvGraphicFramePr/>
                <a:graphic xmlns:a="http://schemas.openxmlformats.org/drawingml/2006/main">
                  <a:graphicData uri="http://schemas.microsoft.com/office/word/2010/wordprocessingShape">
                    <wps:wsp xmlns:wps="http://schemas.microsoft.com/office/word/2010/wordprocessingShape">
                      <wps:cNvSpPr/>
                      <wps:spPr>
                        <a:xfrm>
                          <a:off x="0" y="0"/>
                          <a:ext cx="1028700" cy="361950"/>
                        </a:xfrm>
                        <a:prstGeom prst="flowChartProcess">
                          <a:avLst/>
                        </a:prstGeom>
                        <a:solidFill>
                          <a:srgbClr val="FFFFFF"/>
                        </a:solidFill>
                        <a:ln w="9525">
                          <a:solidFill>
                            <a:srgbClr val="000000"/>
                          </a:solidFill>
                          <a:prstDash val="solid"/>
                          <a:miter lim="0"/>
                          <a:headEnd/>
                          <a:tailEnd/>
                        </a:ln>
                      </wps:spPr>
                      <wps:txbx>
                        <w:txbxContent>
                          <w:p>
                            <w:pPr>
                              <w:jc w:val="center"/>
                            </w:pPr>
                            <w:r>
                              <w:rPr>
                                <w:rFonts w:hint="eastAsia"/>
                              </w:rPr>
                              <w:t>调试各限位</w:t>
                            </w:r>
                            <w:r>
                              <w:drawing>
                                <wp:inline distT="0" distB="0" distL="114300" distR="114300">
                                  <wp:extent cx="647065" cy="173355"/>
                                  <wp:effectExtent l="0" t="0" r="635" b="17145"/>
                                  <wp:docPr id="207707410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074101" name="图片 4"/>
                                          <pic:cNvPicPr>
                                            <a:picLocks noChangeAspect="1"/>
                                          </pic:cNvPicPr>
                                        </pic:nvPicPr>
                                        <pic:blipFill>
                                          <a:blip xmlns:r="http://schemas.openxmlformats.org/officeDocument/2006/relationships" r:embed="rId21"/>
                                          <a:stretch>
                                            <a:fillRect/>
                                          </a:stretch>
                                        </pic:blipFill>
                                        <pic:spPr>
                                          <a:xfrm>
                                            <a:off x="0" y="0"/>
                                            <a:ext cx="647065" cy="173355"/>
                                          </a:xfrm>
                                          <a:prstGeom prst="rect">
                                            <a:avLst/>
                                          </a:prstGeom>
                                          <a:noFill/>
                                          <a:ln>
                                            <a:noFill/>
                                          </a:ln>
                                        </pic:spPr>
                                      </pic:pic>
                                    </a:graphicData>
                                  </a:graphic>
                                </wp:inline>
                              </w:drawing>
                            </w:r>
                          </w:p>
                          <w:p>
                            <w:pPr>
                              <w:jc w:val="center"/>
                            </w:pPr>
                            <w:r>
                              <w:rPr>
                                <w:rFonts w:hint="eastAsia"/>
                              </w:rPr>
                              <w:t>件</w:t>
                            </w:r>
                          </w:p>
                          <w:p>
                            <w:pPr>
                              <w:spacing w:line="240" w:lineRule="atLeast"/>
                              <w:ind w:firstLine="120" w:firstLineChars="50"/>
                              <w:jc w:val="center"/>
                            </w:pPr>
                            <w:r>
                              <w:rPr>
                                <w:rFonts w:hint="eastAsia"/>
                              </w:rPr>
                              <w:t>装</w:t>
                            </w:r>
                          </w:p>
                        </w:txbxContent>
                      </wps:txbx>
                      <wps:bodyPr upright="1"/>
                    </wps:wsp>
                  </a:graphicData>
                </a:graphic>
              </wp:anchor>
            </w:drawing>
          </mc:Choice>
          <mc:Fallback>
            <w:pict>
              <v:shape id="流程图: 过程 30" o:spid="_x0000_s1047" type="#_x0000_t109" style="width:81pt;height:28.5pt;margin-top:7.25pt;margin-left:153pt;mso-wrap-distance-bottom:0;mso-wrap-distance-left:9pt;mso-wrap-distance-right:9pt;mso-wrap-distance-top:0;position:absolute;v-text-anchor:top;z-index:251701248" fillcolor="white" stroked="t" strokecolor="black" strokeweight="0.75pt">
                <v:stroke joinstyle="miter"/>
                <v:textbox>
                  <w:txbxContent>
                    <w:p>
                      <w:pPr>
                        <w:jc w:val="center"/>
                      </w:pPr>
                      <w:r>
                        <w:rPr>
                          <w:rFonts w:hint="eastAsia"/>
                        </w:rPr>
                        <w:t>调试各限位</w:t>
                      </w:r>
                      <w:drawing>
                        <wp:inline distT="0" distB="0" distL="114300" distR="114300">
                          <wp:extent cx="647065" cy="173355"/>
                          <wp:effectExtent l="0" t="0" r="635" b="17145"/>
                          <wp:docPr id="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
                                  <pic:cNvPicPr>
                                    <a:picLocks noChangeAspect="1"/>
                                  </pic:cNvPicPr>
                                </pic:nvPicPr>
                                <pic:blipFill>
                                  <a:blip xmlns:r="http://schemas.openxmlformats.org/officeDocument/2006/relationships" r:embed="rId21"/>
                                  <a:stretch>
                                    <a:fillRect/>
                                  </a:stretch>
                                </pic:blipFill>
                                <pic:spPr>
                                  <a:xfrm>
                                    <a:off x="0" y="0"/>
                                    <a:ext cx="647065" cy="173355"/>
                                  </a:xfrm>
                                  <a:prstGeom prst="rect">
                                    <a:avLst/>
                                  </a:prstGeom>
                                  <a:noFill/>
                                  <a:ln>
                                    <a:noFill/>
                                  </a:ln>
                                </pic:spPr>
                              </pic:pic>
                            </a:graphicData>
                          </a:graphic>
                        </wp:inline>
                      </w:drawing>
                    </w:p>
                    <w:p>
                      <w:pPr>
                        <w:jc w:val="center"/>
                      </w:pPr>
                      <w:r>
                        <w:rPr>
                          <w:rFonts w:hint="eastAsia"/>
                        </w:rPr>
                        <w:t>件</w:t>
                      </w:r>
                    </w:p>
                    <w:p>
                      <w:pPr>
                        <w:spacing w:line="240" w:lineRule="atLeast"/>
                        <w:ind w:firstLine="120" w:firstLineChars="50"/>
                        <w:jc w:val="center"/>
                      </w:pPr>
                      <w:r>
                        <w:rPr>
                          <w:rFonts w:hint="eastAsia"/>
                        </w:rPr>
                        <w:t>装</w:t>
                      </w:r>
                    </w:p>
                  </w:txbxContent>
                </v:textbox>
              </v:shape>
            </w:pict>
          </mc:Fallback>
        </mc:AlternateContent>
      </w:r>
      <w:r>
        <w:rPr>
          <w:rFonts w:ascii="宋体" w:hAnsi="宋体" w:hint="eastAsia"/>
          <w:color w:val="FF0000"/>
        </w:rPr>
        <mc:AlternateContent>
          <mc:Choice Requires="wps">
            <w:drawing>
              <wp:anchor distT="0" distB="0" distL="114300" distR="114300" simplePos="0" relativeHeight="251696128" behindDoc="0" locked="0" layoutInCell="1" allowOverlap="1">
                <wp:simplePos x="0" y="0"/>
                <wp:positionH relativeFrom="column">
                  <wp:posOffset>4114800</wp:posOffset>
                </wp:positionH>
                <wp:positionV relativeFrom="paragraph">
                  <wp:posOffset>99060</wp:posOffset>
                </wp:positionV>
                <wp:extent cx="1680210" cy="274320"/>
                <wp:effectExtent l="4445" t="4445" r="10795" b="6985"/>
                <wp:wrapNone/>
                <wp:docPr id="27" name="流程图: 过程 27"/>
                <wp:cNvGraphicFramePr/>
                <a:graphic xmlns:a="http://schemas.openxmlformats.org/drawingml/2006/main">
                  <a:graphicData uri="http://schemas.microsoft.com/office/word/2010/wordprocessingShape">
                    <wps:wsp xmlns:wps="http://schemas.microsoft.com/office/word/2010/wordprocessingShape">
                      <wps:cNvSpPr/>
                      <wps:spPr>
                        <a:xfrm>
                          <a:off x="0" y="0"/>
                          <a:ext cx="1680210" cy="274320"/>
                        </a:xfrm>
                        <a:prstGeom prst="flowChartProcess">
                          <a:avLst/>
                        </a:prstGeom>
                        <a:solidFill>
                          <a:srgbClr val="FFFFFF"/>
                        </a:solidFill>
                        <a:ln w="9525">
                          <a:solidFill>
                            <a:srgbClr val="000000"/>
                          </a:solidFill>
                          <a:prstDash val="solid"/>
                          <a:miter lim="0"/>
                          <a:headEnd/>
                          <a:tailEnd/>
                        </a:ln>
                      </wps:spPr>
                      <wps:txbx>
                        <w:txbxContent>
                          <w:p>
                            <w:pPr>
                              <w:spacing w:line="240" w:lineRule="atLeast"/>
                              <w:ind w:firstLine="120" w:firstLineChars="50"/>
                              <w:jc w:val="center"/>
                            </w:pPr>
                            <w:r>
                              <w:rPr>
                                <w:rFonts w:hint="eastAsia"/>
                              </w:rPr>
                              <w:t>穿绕钢丝绳</w:t>
                            </w:r>
                          </w:p>
                        </w:txbxContent>
                      </wps:txbx>
                      <wps:bodyPr upright="1"/>
                    </wps:wsp>
                  </a:graphicData>
                </a:graphic>
              </wp:anchor>
            </w:drawing>
          </mc:Choice>
          <mc:Fallback>
            <w:pict>
              <v:shape id="流程图: 过程 27" o:spid="_x0000_s1048" type="#_x0000_t109" style="width:132.3pt;height:21.6pt;margin-top:7.8pt;margin-left:324pt;mso-wrap-distance-bottom:0;mso-wrap-distance-left:9pt;mso-wrap-distance-right:9pt;mso-wrap-distance-top:0;position:absolute;v-text-anchor:top;z-index:251695104" fillcolor="white" stroked="t" strokecolor="black" strokeweight="0.75pt">
                <v:stroke joinstyle="miter"/>
                <v:textbox>
                  <w:txbxContent>
                    <w:p>
                      <w:pPr>
                        <w:spacing w:line="240" w:lineRule="atLeast"/>
                        <w:ind w:firstLine="120" w:firstLineChars="50"/>
                        <w:jc w:val="center"/>
                      </w:pPr>
                      <w:r>
                        <w:rPr>
                          <w:rFonts w:hint="eastAsia"/>
                        </w:rPr>
                        <w:t>穿绕钢丝绳</w:t>
                      </w:r>
                    </w:p>
                  </w:txbxContent>
                </v:textbox>
              </v:shape>
            </w:pict>
          </mc:Fallback>
        </mc:AlternateContent>
      </w:r>
      <w:r>
        <w:rPr>
          <w:rFonts w:ascii="宋体" w:hAnsi="宋体" w:hint="eastAsia"/>
          <w:color w:val="FF0000"/>
        </w:rPr>
        <mc:AlternateContent>
          <mc:Choice Requires="wps">
            <w:drawing>
              <wp:anchor distT="0" distB="0" distL="114300" distR="114300" simplePos="0" relativeHeight="251708416" behindDoc="0" locked="0" layoutInCell="1" allowOverlap="1">
                <wp:simplePos x="0" y="0"/>
                <wp:positionH relativeFrom="column">
                  <wp:posOffset>2971800</wp:posOffset>
                </wp:positionH>
                <wp:positionV relativeFrom="paragraph">
                  <wp:posOffset>198120</wp:posOffset>
                </wp:positionV>
                <wp:extent cx="1143000" cy="99060"/>
                <wp:effectExtent l="27940" t="5715" r="10160" b="9525"/>
                <wp:wrapNone/>
                <wp:docPr id="28" name="左箭头 28"/>
                <wp:cNvGraphicFramePr/>
                <a:graphic xmlns:a="http://schemas.openxmlformats.org/drawingml/2006/main">
                  <a:graphicData uri="http://schemas.microsoft.com/office/word/2010/wordprocessingShape">
                    <wps:wsp xmlns:wps="http://schemas.microsoft.com/office/word/2010/wordprocessingShape">
                      <wps:cNvSpPr/>
                      <wps:spPr>
                        <a:xfrm>
                          <a:off x="0" y="0"/>
                          <a:ext cx="1143000" cy="99060"/>
                        </a:xfrm>
                        <a:prstGeom prst="leftArrow">
                          <a:avLst>
                            <a:gd name="adj1" fmla="val 50000"/>
                            <a:gd name="adj2" fmla="val 288461"/>
                          </a:avLst>
                        </a:prstGeom>
                        <a:solidFill>
                          <a:srgbClr val="C0C0C0"/>
                        </a:solidFill>
                        <a:ln w="9525">
                          <a:solidFill>
                            <a:srgbClr val="000000"/>
                          </a:solidFill>
                          <a:prstDash val="solid"/>
                          <a:miter lim="0"/>
                          <a:headEnd/>
                          <a:tailEnd/>
                        </a:ln>
                      </wps:spPr>
                      <wps:bodyPr upright="1"/>
                    </wps:wsp>
                  </a:graphicData>
                </a:graphic>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左箭头 28" o:spid="_x0000_s1049" type="#_x0000_t66" style="width:90pt;height:7.8pt;margin-top:15.6pt;margin-left:234pt;mso-wrap-distance-bottom:0;mso-wrap-distance-left:9pt;mso-wrap-distance-right:9pt;mso-wrap-distance-top:0;position:absolute;v-text-anchor:top;z-index:251707392" adj="936" fillcolor="silver" stroked="t" strokecolor="black" strokeweight="0.75pt">
                <v:stroke joinstyle="miter"/>
              </v:shape>
            </w:pict>
          </mc:Fallback>
        </mc:AlternateContent>
      </w:r>
      <w:r>
        <w:rPr>
          <w:rFonts w:ascii="宋体" w:hAnsi="宋体" w:hint="eastAsia"/>
          <w:color w:val="FF0000"/>
        </w:rPr>
        <mc:AlternateContent>
          <mc:Choice Requires="wps">
            <w:drawing>
              <wp:anchor distT="0" distB="0" distL="114300" distR="114300" simplePos="0" relativeHeight="251706368" behindDoc="0" locked="0" layoutInCell="1" allowOverlap="1">
                <wp:simplePos x="0" y="0"/>
                <wp:positionH relativeFrom="column">
                  <wp:posOffset>1485900</wp:posOffset>
                </wp:positionH>
                <wp:positionV relativeFrom="paragraph">
                  <wp:posOffset>198120</wp:posOffset>
                </wp:positionV>
                <wp:extent cx="342900" cy="132080"/>
                <wp:effectExtent l="7620" t="9525" r="11430" b="10795"/>
                <wp:wrapNone/>
                <wp:docPr id="29" name="左箭头 29"/>
                <wp:cNvGraphicFramePr/>
                <a:graphic xmlns:a="http://schemas.openxmlformats.org/drawingml/2006/main">
                  <a:graphicData uri="http://schemas.microsoft.com/office/word/2010/wordprocessingShape">
                    <wps:wsp xmlns:wps="http://schemas.microsoft.com/office/word/2010/wordprocessingShape">
                      <wps:cNvSpPr/>
                      <wps:spPr>
                        <a:xfrm>
                          <a:off x="0" y="0"/>
                          <a:ext cx="342900" cy="132080"/>
                        </a:xfrm>
                        <a:prstGeom prst="leftArrow">
                          <a:avLst>
                            <a:gd name="adj1" fmla="val 50000"/>
                            <a:gd name="adj2" fmla="val 64903"/>
                          </a:avLst>
                        </a:prstGeom>
                        <a:solidFill>
                          <a:srgbClr val="C0C0C0"/>
                        </a:solidFill>
                        <a:ln w="9525">
                          <a:solidFill>
                            <a:srgbClr val="000000"/>
                          </a:solidFill>
                          <a:prstDash val="solid"/>
                          <a:miter lim="0"/>
                          <a:headEnd/>
                          <a:tailEnd/>
                        </a:ln>
                      </wps:spPr>
                      <wps:bodyPr upright="1"/>
                    </wps:wsp>
                  </a:graphicData>
                </a:graphic>
              </wp:anchor>
            </w:drawing>
          </mc:Choice>
          <mc:Fallback>
            <w:pict>
              <v:shape id="左箭头 29" o:spid="_x0000_s1050" type="#_x0000_t66" style="width:27pt;height:10.4pt;margin-top:15.6pt;margin-left:117pt;mso-wrap-distance-bottom:0;mso-wrap-distance-left:9pt;mso-wrap-distance-right:9pt;mso-wrap-distance-top:0;position:absolute;v-text-anchor:top;z-index:251705344" adj="4160" fillcolor="silver" stroked="t" strokecolor="black" strokeweight="0.75pt">
                <v:stroke joinstyle="miter"/>
              </v:shape>
            </w:pict>
          </mc:Fallback>
        </mc:AlternateContent>
      </w:r>
      <w:r>
        <w:rPr>
          <w:rFonts w:ascii="宋体" w:hAnsi="宋体" w:hint="eastAsia"/>
          <w:b/>
          <w:color w:val="FF0000"/>
        </w:rPr>
        <mc:AlternateContent>
          <mc:Choice Requires="wps">
            <w:drawing>
              <wp:anchor distT="0" distB="0" distL="114300" distR="114300" simplePos="0" relativeHeight="251704320" behindDoc="0" locked="0" layoutInCell="1" allowOverlap="1">
                <wp:simplePos x="0" y="0"/>
                <wp:positionH relativeFrom="column">
                  <wp:posOffset>571500</wp:posOffset>
                </wp:positionH>
                <wp:positionV relativeFrom="paragraph">
                  <wp:posOffset>99060</wp:posOffset>
                </wp:positionV>
                <wp:extent cx="914400" cy="274320"/>
                <wp:effectExtent l="4445" t="4445" r="14605" b="6985"/>
                <wp:wrapNone/>
                <wp:docPr id="32" name="流程图: 过程 32"/>
                <wp:cNvGraphicFramePr/>
                <a:graphic xmlns:a="http://schemas.openxmlformats.org/drawingml/2006/main">
                  <a:graphicData uri="http://schemas.microsoft.com/office/word/2010/wordprocessingShape">
                    <wps:wsp xmlns:wps="http://schemas.microsoft.com/office/word/2010/wordprocessingShape">
                      <wps:cNvSpPr/>
                      <wps:spPr>
                        <a:xfrm>
                          <a:off x="0" y="0"/>
                          <a:ext cx="914400" cy="274320"/>
                        </a:xfrm>
                        <a:prstGeom prst="flowChartProcess">
                          <a:avLst/>
                        </a:prstGeom>
                        <a:solidFill>
                          <a:srgbClr val="FFFFFF"/>
                        </a:solidFill>
                        <a:ln w="9525">
                          <a:solidFill>
                            <a:srgbClr val="000000"/>
                          </a:solidFill>
                          <a:prstDash val="solid"/>
                          <a:miter lim="0"/>
                          <a:headEnd/>
                          <a:tailEnd/>
                        </a:ln>
                      </wps:spPr>
                      <wps:txbx>
                        <w:txbxContent>
                          <w:p>
                            <w:pPr>
                              <w:spacing w:line="240" w:lineRule="atLeast"/>
                              <w:jc w:val="center"/>
                            </w:pPr>
                            <w:r>
                              <w:rPr>
                                <w:rFonts w:hint="eastAsia"/>
                              </w:rPr>
                              <w:t>负载试验</w:t>
                            </w:r>
                          </w:p>
                        </w:txbxContent>
                      </wps:txbx>
                      <wps:bodyPr upright="1"/>
                    </wps:wsp>
                  </a:graphicData>
                </a:graphic>
              </wp:anchor>
            </w:drawing>
          </mc:Choice>
          <mc:Fallback>
            <w:pict>
              <v:shape id="流程图: 过程 32" o:spid="_x0000_s1051" type="#_x0000_t109" style="width:1in;height:21.6pt;margin-top:7.8pt;margin-left:45pt;mso-wrap-distance-bottom:0;mso-wrap-distance-left:9pt;mso-wrap-distance-right:9pt;mso-wrap-distance-top:0;position:absolute;v-text-anchor:top;z-index:251703296" fillcolor="white" stroked="t" strokecolor="black" strokeweight="0.75pt">
                <v:stroke joinstyle="miter"/>
                <v:textbox>
                  <w:txbxContent>
                    <w:p>
                      <w:pPr>
                        <w:spacing w:line="240" w:lineRule="atLeast"/>
                        <w:jc w:val="center"/>
                      </w:pPr>
                      <w:r>
                        <w:rPr>
                          <w:rFonts w:hint="eastAsia"/>
                        </w:rPr>
                        <w:t>负载试验</w:t>
                      </w:r>
                    </w:p>
                  </w:txbxContent>
                </v:textbox>
              </v:shape>
            </w:pict>
          </mc:Fallback>
        </mc:AlternateContent>
      </w:r>
      <w:bookmarkEnd w:id="149"/>
      <w:bookmarkEnd w:id="150"/>
      <w:bookmarkEnd w:id="151"/>
      <w:bookmarkEnd w:id="152"/>
      <w:bookmarkEnd w:id="153"/>
      <w:bookmarkEnd w:id="154"/>
      <w:bookmarkEnd w:id="155"/>
      <w:bookmarkEnd w:id="156"/>
      <w:bookmarkEnd w:id="157"/>
      <w:bookmarkEnd w:id="158"/>
      <w:bookmarkEnd w:id="159"/>
      <w:bookmarkEnd w:id="160"/>
      <w:bookmarkEnd w:id="161"/>
    </w:p>
    <w:p>
      <w:pPr>
        <w:ind w:firstLine="118" w:firstLineChars="49"/>
        <w:rPr>
          <w:rFonts w:ascii="宋体" w:hAnsi="宋体"/>
          <w:color w:val="FF0000"/>
        </w:rPr>
      </w:pPr>
      <w:bookmarkStart w:id="162" w:name="_Toc291769305"/>
      <w:bookmarkStart w:id="163" w:name="_Toc300858164"/>
      <w:bookmarkStart w:id="164" w:name="_Toc301546088"/>
      <w:bookmarkStart w:id="165" w:name="_Toc291769696"/>
      <w:bookmarkStart w:id="166" w:name="_Toc291768617"/>
      <w:bookmarkStart w:id="167" w:name="_Toc291768031"/>
      <w:bookmarkStart w:id="168" w:name="_Toc301767559"/>
      <w:bookmarkStart w:id="169" w:name="_Toc291767883"/>
      <w:bookmarkStart w:id="170" w:name="_Toc291768288"/>
      <w:bookmarkStart w:id="171" w:name="_Toc287813382"/>
      <w:bookmarkStart w:id="172" w:name="_Toc291767958"/>
      <w:bookmarkStart w:id="173" w:name="_Toc287614488"/>
      <w:r>
        <w:rPr>
          <w:rFonts w:ascii="宋体" w:hAnsi="宋体" w:hint="eastAsia"/>
          <w:color w:val="FF0000"/>
        </w:rPr>
        <mc:AlternateContent>
          <mc:Choice Requires="wps">
            <w:drawing>
              <wp:anchor distT="0" distB="0" distL="114300" distR="114300" simplePos="0" relativeHeight="251700224" behindDoc="0" locked="0" layoutInCell="1" allowOverlap="1">
                <wp:simplePos x="0" y="0"/>
                <wp:positionH relativeFrom="column">
                  <wp:posOffset>1028700</wp:posOffset>
                </wp:positionH>
                <wp:positionV relativeFrom="paragraph">
                  <wp:posOffset>99060</wp:posOffset>
                </wp:positionV>
                <wp:extent cx="119380" cy="374015"/>
                <wp:effectExtent l="8890" t="4445" r="24130" b="21590"/>
                <wp:wrapNone/>
                <wp:docPr id="26" name="下箭头 26"/>
                <wp:cNvGraphicFramePr/>
                <a:graphic xmlns:a="http://schemas.openxmlformats.org/drawingml/2006/main">
                  <a:graphicData uri="http://schemas.microsoft.com/office/word/2010/wordprocessingShape">
                    <wps:wsp xmlns:wps="http://schemas.microsoft.com/office/word/2010/wordprocessingShape">
                      <wps:cNvSpPr/>
                      <wps:spPr>
                        <a:xfrm>
                          <a:off x="0" y="0"/>
                          <a:ext cx="119380" cy="374015"/>
                        </a:xfrm>
                        <a:prstGeom prst="downArrow">
                          <a:avLst>
                            <a:gd name="adj1" fmla="val 50000"/>
                            <a:gd name="adj2" fmla="val 78324"/>
                          </a:avLst>
                        </a:prstGeom>
                        <a:solidFill>
                          <a:srgbClr val="C0C0C0"/>
                        </a:solidFill>
                        <a:ln w="9525">
                          <a:solidFill>
                            <a:srgbClr val="000000"/>
                          </a:solidFill>
                          <a:prstDash val="solid"/>
                          <a:miter lim="0"/>
                          <a:headEnd/>
                          <a:tailEnd/>
                        </a:ln>
                      </wps:spPr>
                      <wps:bodyPr vert="eaVert" upright="1"/>
                    </wps:wsp>
                  </a:graphicData>
                </a:graphic>
              </wp:anchor>
            </w:drawing>
          </mc:Choice>
          <mc:Fallback>
            <w:pict>
              <v:shape id="下箭头 26" o:spid="_x0000_s1052" type="#_x0000_t67" style="width:9.4pt;height:29.45pt;margin-top:7.8pt;margin-left:81pt;mso-wrap-distance-bottom:0;mso-wrap-distance-left:9pt;mso-wrap-distance-right:9pt;mso-wrap-distance-top:0;position:absolute;v-text-anchor:top;z-index:251699200" adj="18153" fillcolor="silver" stroked="t" strokecolor="black" strokeweight="0.75pt">
                <v:stroke joinstyle="miter"/>
              </v:shape>
            </w:pict>
          </mc:Fallback>
        </mc:AlternateContent>
      </w:r>
      <w:bookmarkEnd w:id="162"/>
      <w:bookmarkEnd w:id="163"/>
      <w:bookmarkEnd w:id="164"/>
      <w:bookmarkEnd w:id="165"/>
      <w:bookmarkEnd w:id="166"/>
      <w:bookmarkEnd w:id="167"/>
      <w:bookmarkEnd w:id="168"/>
      <w:bookmarkEnd w:id="169"/>
      <w:bookmarkEnd w:id="170"/>
      <w:bookmarkEnd w:id="171"/>
      <w:bookmarkEnd w:id="172"/>
      <w:bookmarkEnd w:id="173"/>
    </w:p>
    <w:p>
      <w:pPr>
        <w:ind w:firstLine="118" w:firstLineChars="49"/>
        <w:rPr>
          <w:rFonts w:ascii="宋体" w:hAnsi="宋体"/>
          <w:color w:val="FF0000"/>
        </w:rPr>
      </w:pPr>
      <w:bookmarkStart w:id="174" w:name="_Toc291767884"/>
      <w:bookmarkStart w:id="175" w:name="_Toc291768032"/>
      <w:bookmarkStart w:id="176" w:name="_Toc287813383"/>
      <w:bookmarkStart w:id="177" w:name="_Toc291768289"/>
      <w:bookmarkStart w:id="178" w:name="_Toc291769306"/>
      <w:bookmarkStart w:id="179" w:name="_Toc300858165"/>
      <w:bookmarkStart w:id="180" w:name="_Toc301767560"/>
      <w:bookmarkStart w:id="181" w:name="_Toc291768618"/>
      <w:bookmarkStart w:id="182" w:name="_Toc291769697"/>
      <w:bookmarkStart w:id="183" w:name="_Toc301546089"/>
      <w:bookmarkStart w:id="184" w:name="_Toc287614489"/>
      <w:bookmarkStart w:id="185" w:name="_Toc291767959"/>
      <w:r>
        <w:rPr>
          <w:rFonts w:ascii="宋体" w:hAnsi="宋体" w:hint="eastAsia"/>
          <w:color w:val="FF0000"/>
        </w:rPr>
        <mc:AlternateContent>
          <mc:Choice Requires="wps">
            <w:drawing>
              <wp:anchor distT="0" distB="0" distL="114300" distR="114300" simplePos="0" relativeHeight="251698176" behindDoc="0" locked="0" layoutInCell="1" allowOverlap="1">
                <wp:simplePos x="0" y="0"/>
                <wp:positionH relativeFrom="column">
                  <wp:posOffset>571500</wp:posOffset>
                </wp:positionH>
                <wp:positionV relativeFrom="paragraph">
                  <wp:posOffset>198120</wp:posOffset>
                </wp:positionV>
                <wp:extent cx="1101725" cy="347980"/>
                <wp:effectExtent l="4445" t="4445" r="17780" b="9525"/>
                <wp:wrapNone/>
                <wp:docPr id="33" name="圆角矩形 33"/>
                <wp:cNvGraphicFramePr/>
                <a:graphic xmlns:a="http://schemas.openxmlformats.org/drawingml/2006/main">
                  <a:graphicData uri="http://schemas.microsoft.com/office/word/2010/wordprocessingShape">
                    <wps:wsp xmlns:wps="http://schemas.microsoft.com/office/word/2010/wordprocessingShape">
                      <wps:cNvSpPr/>
                      <wps:spPr>
                        <a:xfrm>
                          <a:off x="0" y="0"/>
                          <a:ext cx="1101725" cy="347980"/>
                        </a:xfrm>
                        <a:prstGeom prst="roundRect">
                          <a:avLst>
                            <a:gd name="adj" fmla="val 50000"/>
                          </a:avLst>
                        </a:prstGeom>
                        <a:solidFill>
                          <a:srgbClr val="BBE0E3"/>
                        </a:solidFill>
                        <a:ln w="9525">
                          <a:solidFill>
                            <a:srgbClr val="000000"/>
                          </a:solidFill>
                          <a:prstDash val="solid"/>
                          <a:headEnd/>
                          <a:tailEnd/>
                        </a:ln>
                      </wps:spPr>
                      <wps:txbx>
                        <w:txbxContent>
                          <w:p>
                            <w:pPr>
                              <w:jc w:val="center"/>
                            </w:pPr>
                            <w:r>
                              <w:rPr>
                                <w:rFonts w:hint="eastAsia"/>
                              </w:rPr>
                              <w:t>（作业完毕）</w:t>
                            </w:r>
                          </w:p>
                        </w:txbxContent>
                      </wps:txbx>
                      <wps:bodyPr lIns="0" tIns="0" rIns="0" bIns="0" anchor="ctr" upright="1"/>
                    </wps:wsp>
                  </a:graphicData>
                </a:graphic>
              </wp:anchor>
            </w:drawing>
          </mc:Choice>
          <mc:Fallback>
            <w:pict>
              <v:roundrect id="圆角矩形 33" o:spid="_x0000_s1053" style="width:86.75pt;height:27.4pt;margin-top:15.6pt;margin-left:45pt;mso-wrap-distance-bottom:0;mso-wrap-distance-left:9pt;mso-wrap-distance-right:9pt;mso-wrap-distance-top:0;position:absolute;v-text-anchor:middle;z-index:251697152" arcsize="0.5" fillcolor="#bbe0e3" stroked="t" strokecolor="black" strokeweight="0.75pt">
                <v:textbox inset="0,0,0,0">
                  <w:txbxContent>
                    <w:p>
                      <w:pPr>
                        <w:jc w:val="center"/>
                      </w:pPr>
                      <w:r>
                        <w:rPr>
                          <w:rFonts w:hint="eastAsia"/>
                        </w:rPr>
                        <w:t>（作业完毕）</w:t>
                      </w:r>
                    </w:p>
                  </w:txbxContent>
                </v:textbox>
              </v:roundrect>
            </w:pict>
          </mc:Fallback>
        </mc:AlternateContent>
      </w:r>
      <w:bookmarkEnd w:id="174"/>
      <w:bookmarkEnd w:id="175"/>
      <w:bookmarkEnd w:id="176"/>
      <w:bookmarkEnd w:id="177"/>
      <w:bookmarkEnd w:id="178"/>
      <w:bookmarkEnd w:id="179"/>
      <w:bookmarkEnd w:id="180"/>
      <w:bookmarkEnd w:id="181"/>
      <w:bookmarkEnd w:id="182"/>
      <w:bookmarkEnd w:id="183"/>
      <w:bookmarkEnd w:id="184"/>
      <w:bookmarkEnd w:id="185"/>
    </w:p>
    <w:p>
      <w:pPr>
        <w:ind w:firstLine="353" w:firstLineChars="147"/>
        <w:rPr>
          <w:rFonts w:ascii="宋体" w:hAnsi="宋体"/>
          <w:b/>
          <w:color w:val="FF0000"/>
        </w:rPr>
      </w:pPr>
    </w:p>
    <w:p>
      <w:pPr>
        <w:rPr>
          <w:rFonts w:ascii="宋体" w:hAnsi="宋体"/>
        </w:rPr>
      </w:pPr>
      <w:r>
        <w:rPr>
          <w:rFonts w:ascii="宋体" w:hAnsi="宋体" w:hint="eastAsia"/>
        </w:rPr>
        <w:t>2、安装顺序：</w:t>
      </w:r>
    </w:p>
    <w:p>
      <w:pPr>
        <w:rPr>
          <w:rFonts w:ascii="宋体" w:hAnsi="宋体"/>
        </w:rPr>
      </w:pPr>
      <w:r>
        <w:rPr>
          <w:rFonts w:ascii="宋体" w:hAnsi="宋体" w:hint="eastAsia"/>
        </w:rPr>
        <w:t>2.1、安装塔吊基础节、加强节和标准节</w:t>
      </w:r>
    </w:p>
    <w:p>
      <w:pPr>
        <w:snapToGrid w:val="0"/>
        <w:ind w:left="278" w:right="-242" w:hanging="240" w:leftChars="16" w:rightChars="-101" w:hangingChars="100"/>
        <w:rPr>
          <w:rFonts w:ascii="宋体" w:hAnsi="宋体"/>
        </w:rPr>
      </w:pPr>
      <w:r>
        <w:rPr>
          <w:rFonts w:ascii="宋体" w:hAnsi="宋体" w:hint="eastAsia"/>
        </w:rPr>
        <w:t>1）基节为整体式结构，下方与支腿相连，带有安装刀开关箱安装座，高7.5m，标准节分为L68B8、L68B7、L68B6三种，均为片式结构，共四片，片与片之间用特制的5根M27-10.9六角头铰制孔用螺栓连接，高3m。</w:t>
      </w:r>
    </w:p>
    <w:p>
      <w:pPr>
        <w:snapToGrid w:val="0"/>
        <w:ind w:right="-242" w:rightChars="-101"/>
        <w:rPr>
          <w:rFonts w:ascii="宋体" w:hAnsi="宋体"/>
        </w:rPr>
      </w:pPr>
      <w:r>
        <w:rPr>
          <w:rFonts w:ascii="宋体" w:hAnsi="宋体" w:hint="eastAsia"/>
        </w:rPr>
        <w:t>2）吊装固定基节安装到预埋节上。</w:t>
      </w:r>
    </w:p>
    <w:p>
      <w:pPr>
        <w:snapToGrid w:val="0"/>
        <w:ind w:left="240" w:hanging="240" w:hangingChars="100"/>
        <w:rPr>
          <w:rFonts w:ascii="宋体" w:hAnsi="宋体"/>
        </w:rPr>
      </w:pPr>
      <w:r>
        <w:rPr>
          <w:rFonts w:ascii="宋体" w:hAnsi="宋体" w:hint="eastAsia"/>
        </w:rPr>
        <w:t>3）将吊具挂在组装好的加强节上（严禁吊水平腹杆），将其吊起，安装到已安装好的预埋支腿固定基节上，用</w:t>
      </w:r>
      <w:r>
        <w:rPr>
          <w:rFonts w:ascii="宋体" w:hAnsi="宋体"/>
        </w:rPr>
        <w:t>8</w:t>
      </w:r>
      <w:r>
        <w:rPr>
          <w:rFonts w:ascii="宋体" w:hAnsi="宋体" w:hint="eastAsia"/>
        </w:rPr>
        <w:t>件销轴连接牢靠，注意加强节踏步与基节踏步应在同一平面且要考虑塔机的降塔拆卸。</w:t>
      </w:r>
    </w:p>
    <w:p>
      <w:pPr>
        <w:snapToGrid w:val="0"/>
        <w:ind w:left="240" w:hanging="240" w:hangingChars="100"/>
        <w:rPr>
          <w:rFonts w:ascii="宋体" w:hAnsi="宋体"/>
        </w:rPr>
        <w:sectPr>
          <w:headerReference w:type="default" r:id="rId22"/>
          <w:footerReference w:type="default" r:id="rId23"/>
          <w:type w:val="nextPage"/>
          <w:pgSz w:w="11906" w:h="16838"/>
          <w:pgMar w:top="1440" w:right="1803" w:bottom="1418" w:left="1803" w:header="851" w:footer="992" w:gutter="0"/>
          <w:pgNumType w:fmt="numberInDash" w:start="8"/>
          <w:cols w:num="1" w:space="0"/>
          <w:titlePg w:val="0"/>
          <w:docGrid w:type="lines" w:linePitch="332" w:charSpace="0"/>
        </w:sectPr>
      </w:pPr>
      <w:r>
        <w:rPr>
          <w:rFonts w:ascii="宋体" w:hAnsi="宋体" w:hint="eastAsia"/>
        </w:rPr>
        <w:t>4）吊装三节标准节，安装到已安装好的加强节上，用8件销轴连接牢靠。每节标准节配有通道，各标准节内均设有供人上下的爬梯，并设有供人休息的平台。通道与塔身标准节的安装在地面进行，通道组件与塔身标准节配套使用，有 A、D 两种型式，如果塔机最终工作高度是经过若干阶段后到达的，每次加节时都应以 A型或者 D 型更换通道，所有扶梯均应装在有顶升耳座的塔身侧片上，根据塔身组合高度的不同，通道 D 和 A 的安装均应按通道组合表的规定组合进行。</w:t>
      </w:r>
    </w:p>
    <w:p>
      <w:pPr>
        <w:snapToGrid w:val="0"/>
        <w:ind w:left="240" w:hanging="240" w:hangingChars="100"/>
        <w:jc w:val="center"/>
        <w:rPr>
          <w:rFonts w:ascii="宋体" w:hAnsi="宋体"/>
        </w:rPr>
      </w:pPr>
      <w:r>
        <w:drawing>
          <wp:inline distT="0" distB="0" distL="114300" distR="114300">
            <wp:extent cx="5271135" cy="2710815"/>
            <wp:effectExtent l="0" t="0" r="5715" b="13335"/>
            <wp:docPr id="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
                    <pic:cNvPicPr>
                      <a:picLocks noChangeAspect="1"/>
                    </pic:cNvPicPr>
                  </pic:nvPicPr>
                  <pic:blipFill>
                    <a:blip xmlns:r="http://schemas.openxmlformats.org/officeDocument/2006/relationships" r:embed="rId24"/>
                    <a:stretch>
                      <a:fillRect/>
                    </a:stretch>
                  </pic:blipFill>
                  <pic:spPr>
                    <a:xfrm>
                      <a:off x="0" y="0"/>
                      <a:ext cx="5271135" cy="2710815"/>
                    </a:xfrm>
                    <a:prstGeom prst="rect">
                      <a:avLst/>
                    </a:prstGeom>
                    <a:noFill/>
                    <a:ln>
                      <a:noFill/>
                    </a:ln>
                  </pic:spPr>
                </pic:pic>
              </a:graphicData>
            </a:graphic>
          </wp:inline>
        </w:drawing>
      </w:r>
    </w:p>
    <w:p>
      <w:pPr>
        <w:snapToGrid w:val="0"/>
        <w:ind w:left="240" w:right="-242" w:hanging="240" w:rightChars="-101" w:hangingChars="100"/>
        <w:rPr>
          <w:rFonts w:ascii="宋体" w:hAnsi="宋体"/>
        </w:rPr>
      </w:pPr>
      <w:r>
        <w:rPr>
          <w:rFonts w:ascii="宋体" w:hAnsi="宋体" w:hint="eastAsia"/>
        </w:rPr>
        <w:t>5）用经纬仪或吊线法检查其垂直度，主弦杆四个侧面的垂直度误差应不大于</w:t>
      </w:r>
      <w:r>
        <w:rPr>
          <w:rFonts w:ascii="宋体" w:hAnsi="宋体"/>
        </w:rPr>
        <w:t>1.5/1000</w:t>
      </w:r>
      <w:r>
        <w:rPr>
          <w:rFonts w:ascii="宋体" w:cs="宋体" w:hint="eastAsia"/>
          <w:kern w:val="0"/>
        </w:rPr>
        <w:t>。</w:t>
      </w:r>
    </w:p>
    <w:p>
      <w:pPr>
        <w:snapToGrid w:val="0"/>
        <w:rPr>
          <w:rFonts w:ascii="宋体" w:hAnsi="宋体"/>
        </w:rPr>
      </w:pPr>
      <w:r>
        <w:rPr>
          <w:rFonts w:ascii="宋体" w:hAnsi="宋体" w:hint="eastAsia"/>
        </w:rPr>
        <w:t>2.2、安装顶升套架总成</w:t>
      </w:r>
    </w:p>
    <w:p>
      <w:pPr>
        <w:snapToGrid w:val="0"/>
        <w:ind w:left="480" w:hanging="360" w:leftChars="50" w:hangingChars="150"/>
        <w:rPr>
          <w:rFonts w:ascii="宋体" w:hAnsi="宋体"/>
        </w:rPr>
      </w:pPr>
      <w:r>
        <w:rPr>
          <w:rFonts w:ascii="宋体" w:hAnsi="宋体" w:hint="eastAsia"/>
        </w:rPr>
        <w:t>1）将爬升架组装完毕后，将吊具挂在爬升架上，拉紧钢丝绳吊起。切记安装顶升油缸的位置必须与塔身踏步同侧。</w:t>
      </w:r>
    </w:p>
    <w:p>
      <w:pPr>
        <w:snapToGrid w:val="0"/>
        <w:ind w:left="509" w:hanging="360" w:leftChars="62" w:hangingChars="150"/>
        <w:rPr>
          <w:rFonts w:ascii="宋体" w:hAnsi="宋体"/>
        </w:rPr>
      </w:pPr>
      <w:r>
        <w:rPr>
          <w:rFonts w:ascii="宋体" w:hAnsi="宋体" w:hint="eastAsia"/>
        </w:rPr>
        <w:t>2）将爬升架缓慢套装在塔身节外侧。</w:t>
      </w:r>
    </w:p>
    <w:p>
      <w:pPr>
        <w:snapToGrid w:val="0"/>
        <w:ind w:left="480" w:right="-242" w:hanging="360" w:leftChars="50" w:rightChars="-101" w:hangingChars="150"/>
        <w:rPr>
          <w:rFonts w:ascii="宋体" w:hAnsi="宋体"/>
        </w:rPr>
      </w:pPr>
      <w:r>
        <w:rPr>
          <w:rFonts w:ascii="宋体" w:hAnsi="宋体" w:hint="eastAsia"/>
        </w:rPr>
        <w:t>3）将爬升架上的爬爪放在塔身节的第二节上部的踏步上，再调整好爬升导轮与标准节的间隙(间隙最好为2～3mm)。</w:t>
      </w:r>
    </w:p>
    <w:p>
      <w:pPr>
        <w:snapToGrid w:val="0"/>
        <w:ind w:left="480" w:right="-242" w:hanging="360" w:leftChars="50" w:rightChars="-101" w:hangingChars="150"/>
        <w:rPr>
          <w:rFonts w:ascii="宋体" w:hAnsi="宋体"/>
        </w:rPr>
      </w:pPr>
      <w:r>
        <w:rPr>
          <w:rFonts w:ascii="宋体" w:hAnsi="宋体" w:hint="eastAsia"/>
        </w:rPr>
        <w:t>4）安装好顶升油缸，将液压泵站吊装到平台一角，接好油管，检查液压系统的运转情况，应保证油泵电机风扇叶片旋向应与外壳箭头标识一致，以避免烧坏油泵。如有错误。则应重新接好电机接线。</w:t>
      </w:r>
    </w:p>
    <w:p>
      <w:pPr>
        <w:snapToGrid w:val="0"/>
        <w:ind w:left="480" w:right="-242" w:hanging="360" w:leftChars="50" w:rightChars="-101" w:hangingChars="150"/>
        <w:rPr>
          <w:rFonts w:ascii="宋体" w:hAnsi="宋体"/>
        </w:rPr>
      </w:pPr>
      <w:r>
        <w:rPr>
          <w:rFonts w:ascii="宋体" w:hAnsi="宋体" w:hint="eastAsia"/>
        </w:rPr>
        <w:t>2.3、安装过渡节、引进系统</w:t>
      </w:r>
    </w:p>
    <w:p>
      <w:pPr>
        <w:snapToGrid w:val="0"/>
        <w:ind w:left="480" w:right="-242" w:hanging="360" w:leftChars="50" w:rightChars="-101" w:hangingChars="150"/>
        <w:rPr>
          <w:rFonts w:ascii="宋体" w:hAnsi="宋体"/>
        </w:rPr>
      </w:pPr>
      <w:r>
        <w:rPr>
          <w:rFonts w:ascii="宋体" w:hAnsi="宋体" w:hint="eastAsia"/>
        </w:rPr>
        <w:t>1）将过渡节的四根主弦杆对准标准节四根主弦杆连接头缓慢落下直至过渡节主弦杆孔与标准节相应孔对齐。用 8 个 Ф55 -245的销轴与标准节连接，再插入小销轴及弹簧销。</w:t>
      </w:r>
    </w:p>
    <w:p>
      <w:pPr>
        <w:snapToGrid w:val="0"/>
        <w:ind w:left="480" w:right="-242" w:hanging="360" w:leftChars="50" w:rightChars="-101" w:hangingChars="150"/>
        <w:rPr>
          <w:rFonts w:ascii="宋体" w:hAnsi="宋体"/>
        </w:rPr>
      </w:pPr>
      <w:r>
        <w:rPr>
          <w:rFonts w:ascii="宋体" w:hAnsi="宋体" w:hint="eastAsia"/>
        </w:rPr>
        <w:t>2）</w:t>
      </w:r>
      <w:r>
        <w:rPr>
          <w:rFonts w:ascii="宋体" w:hAnsi="宋体"/>
        </w:rPr>
        <w:t>操作顶升系统，将爬升架顶起至与过渡节挂梁连接孔对齐，用 4 个 Ф50</w:t>
      </w:r>
      <w:r>
        <w:rPr>
          <w:rFonts w:ascii="宋体" w:hAnsi="宋体" w:hint="eastAsia"/>
        </w:rPr>
        <w:t>*180</w:t>
      </w:r>
      <w:r>
        <w:rPr>
          <w:rFonts w:ascii="宋体" w:hAnsi="宋体"/>
        </w:rPr>
        <w:t xml:space="preserve"> 销轴和过</w:t>
      </w:r>
      <w:r>
        <w:rPr>
          <w:rFonts w:ascii="宋体" w:hAnsi="宋体" w:hint="eastAsia"/>
        </w:rPr>
        <w:t>渡节挂梁相连；</w:t>
      </w:r>
    </w:p>
    <w:p>
      <w:pPr>
        <w:snapToGrid w:val="0"/>
        <w:ind w:left="480" w:right="-242" w:hanging="360" w:leftChars="50" w:rightChars="-101" w:hangingChars="150"/>
        <w:rPr>
          <w:rFonts w:ascii="宋体" w:hAnsi="宋体"/>
        </w:rPr>
      </w:pPr>
      <w:r>
        <w:rPr>
          <w:rFonts w:ascii="宋体" w:hAnsi="宋体" w:hint="eastAsia"/>
        </w:rPr>
        <w:t>2.4、安装回转总成</w:t>
      </w:r>
    </w:p>
    <w:p>
      <w:pPr>
        <w:snapToGrid w:val="0"/>
        <w:ind w:left="480" w:right="-242" w:hanging="360" w:leftChars="50" w:rightChars="-101" w:hangingChars="150"/>
        <w:rPr>
          <w:rFonts w:ascii="宋体" w:hAnsi="宋体"/>
        </w:rPr>
        <w:sectPr>
          <w:headerReference w:type="default" r:id="rId25"/>
          <w:footerReference w:type="default" r:id="rId26"/>
          <w:type w:val="nextPage"/>
          <w:pgSz w:w="11906" w:h="16838"/>
          <w:pgMar w:top="1440" w:right="1803" w:bottom="1418" w:left="1803" w:header="851" w:footer="992" w:gutter="0"/>
          <w:pgNumType w:fmt="numberInDash" w:start="9"/>
          <w:cols w:num="1" w:space="0"/>
          <w:titlePg w:val="0"/>
          <w:docGrid w:type="lines" w:linePitch="332" w:charSpace="0"/>
        </w:sectPr>
      </w:pPr>
      <w:r>
        <w:rPr>
          <w:rFonts w:ascii="宋体" w:hAnsi="宋体" w:hint="eastAsia"/>
        </w:rPr>
        <w:t>1）将下支座的四根主弦杆对准过渡节四根主弦杆连接头缓慢落下直至下支座主弦杆孔与过渡节相应孔对齐。用</w:t>
      </w:r>
      <w:r>
        <w:rPr>
          <w:rFonts w:ascii="宋体" w:hAnsi="宋体" w:hint="eastAsia"/>
        </w:rPr>
        <w:t xml:space="preserve"> 8</w:t>
      </w:r>
      <w:r>
        <w:rPr>
          <w:rFonts w:ascii="宋体" w:hAnsi="宋体" w:hint="eastAsia"/>
        </w:rPr>
        <w:t xml:space="preserve"> 个</w:t>
      </w:r>
      <w:r>
        <w:rPr>
          <w:rFonts w:ascii="宋体" w:hAnsi="宋体" w:hint="eastAsia"/>
        </w:rPr>
        <w:t xml:space="preserve"> Ф55</w:t>
      </w:r>
    </w:p>
    <w:p>
      <w:pPr>
        <w:snapToGrid w:val="0"/>
        <w:ind w:left="480" w:right="-242" w:hanging="360" w:leftChars="50" w:rightChars="-101" w:hangingChars="150"/>
        <w:rPr>
          <w:rFonts w:ascii="宋体" w:hAnsi="宋体"/>
        </w:rPr>
      </w:pPr>
      <w:r>
        <w:rPr>
          <w:rFonts w:ascii="宋体" w:hAnsi="宋体" w:hint="eastAsia"/>
        </w:rPr>
        <w:t xml:space="preserve"> 的销轴与过渡节连接，再插入小销轴及弹簧销。</w:t>
      </w:r>
    </w:p>
    <w:p>
      <w:pPr>
        <w:snapToGrid w:val="0"/>
        <w:ind w:left="480" w:right="-242" w:hanging="360" w:leftChars="50" w:rightChars="-101" w:hangingChars="150"/>
        <w:rPr>
          <w:rFonts w:ascii="宋体" w:hAnsi="宋体"/>
        </w:rPr>
      </w:pPr>
      <w:r>
        <w:rPr>
          <w:rFonts w:ascii="宋体" w:hAnsi="宋体" w:hint="eastAsia"/>
        </w:rPr>
        <w:t>2.5、安装平衡臂</w:t>
      </w:r>
    </w:p>
    <w:p>
      <w:pPr>
        <w:snapToGrid w:val="0"/>
        <w:ind w:left="480" w:right="-242" w:hanging="360" w:leftChars="50" w:rightChars="-101" w:hangingChars="150"/>
        <w:rPr>
          <w:rFonts w:ascii="宋体" w:hAnsi="宋体"/>
        </w:rPr>
      </w:pPr>
      <w:r>
        <w:rPr>
          <w:rFonts w:ascii="宋体" w:hAnsi="宋体" w:hint="eastAsia"/>
        </w:rPr>
        <w:t>1）平衡臂主要由前臂节、中臂节、后臂节以及平衡臂拉杆组成。各臂节间上弦杆采用销轴连接，下弦杆采用销轴定位螺栓连接。前臂节通过四件 Ф80 销轴与上支座连接。平衡臂需要分段安装，后臂节需要单独吊装。前臂节和中臂节可以组合吊装，组合吊耳设在前臂节上。</w:t>
      </w:r>
    </w:p>
    <w:p>
      <w:pPr>
        <w:snapToGrid w:val="0"/>
        <w:ind w:left="480" w:right="-242" w:hanging="360" w:leftChars="50" w:rightChars="-101" w:hangingChars="150"/>
        <w:rPr>
          <w:rFonts w:ascii="宋体" w:hAnsi="宋体"/>
        </w:rPr>
      </w:pPr>
      <w:r>
        <w:rPr>
          <w:rFonts w:ascii="宋体" w:hAnsi="宋体" w:hint="eastAsia"/>
        </w:rPr>
        <w:t>2）吊装后臂节前，除了先将平台、栏杆、辅助扒杆等安装到位外，还需要将平衡臂拉杆装好并用撑架支撑起来。</w:t>
      </w:r>
    </w:p>
    <w:p>
      <w:pPr>
        <w:snapToGrid w:val="0"/>
        <w:ind w:left="480" w:right="-242" w:hanging="360" w:leftChars="50" w:rightChars="-101" w:hangingChars="150"/>
        <w:rPr>
          <w:rFonts w:ascii="宋体" w:hAnsi="宋体"/>
        </w:rPr>
      </w:pPr>
      <w:r>
        <w:rPr>
          <w:rFonts w:ascii="宋体" w:hAnsi="宋体" w:hint="eastAsia"/>
        </w:rPr>
        <w:t>2.6、安装起升机构</w:t>
      </w:r>
    </w:p>
    <w:p>
      <w:pPr>
        <w:snapToGrid w:val="0"/>
        <w:ind w:left="480" w:right="-242" w:hanging="360" w:leftChars="50" w:rightChars="-101" w:hangingChars="150"/>
        <w:rPr>
          <w:rFonts w:ascii="宋体" w:hAnsi="宋体"/>
        </w:rPr>
      </w:pPr>
      <w:r>
        <w:rPr>
          <w:rFonts w:ascii="宋体" w:hAnsi="宋体" w:hint="eastAsia"/>
        </w:rPr>
        <w:t>1）将起升机构吊装到平衡臂上，，用 Ф40×90 销轴将起升机构安装在平衡臂，再用 8×71 的开口销锁止。</w:t>
      </w:r>
    </w:p>
    <w:p>
      <w:pPr>
        <w:snapToGrid w:val="0"/>
        <w:ind w:left="480" w:right="-242" w:hanging="360" w:leftChars="50" w:rightChars="-101" w:hangingChars="150"/>
        <w:rPr>
          <w:rFonts w:ascii="宋体" w:hAnsi="宋体"/>
        </w:rPr>
      </w:pPr>
      <w:r>
        <w:rPr>
          <w:rFonts w:ascii="宋体" w:hAnsi="宋体" w:hint="eastAsia"/>
        </w:rPr>
        <w:t>2) 缓慢地将平衡臂放下，再吊装一块3.9t 重的平衡重安装在平衡臂前面的安装位置上。</w:t>
      </w:r>
    </w:p>
    <w:p>
      <w:pPr>
        <w:snapToGrid w:val="0"/>
        <w:rPr>
          <w:rFonts w:ascii="宋体" w:hAnsi="宋体"/>
        </w:rPr>
      </w:pPr>
      <w:r>
        <w:rPr>
          <w:rFonts w:ascii="宋体" w:hAnsi="宋体" w:hint="eastAsia"/>
        </w:rPr>
        <w:t>2.7、安装起重臂总成</w:t>
      </w:r>
    </w:p>
    <w:p>
      <w:pPr>
        <w:snapToGrid w:val="0"/>
        <w:ind w:left="480" w:right="-242" w:hanging="360" w:leftChars="50" w:rightChars="-101" w:hangingChars="150"/>
        <w:rPr>
          <w:rFonts w:ascii="宋体" w:hAnsi="宋体"/>
        </w:rPr>
      </w:pPr>
      <w:r>
        <w:rPr>
          <w:rFonts w:ascii="宋体" w:hAnsi="宋体" w:hint="eastAsia"/>
        </w:rPr>
        <w:t>1）在塔机附近准备好若干条约 1.2m 高的支架（50m 以上臂长不少于 4 个，50m 以下臂长不少于 3 个），起重臂各臂节由一件销轴连接上弦杆，两组 M30×95-8.8（下弦杆）螺栓组连接下弦杆。先拼装除臂节Ⅰ外的其它臂节。</w:t>
      </w:r>
    </w:p>
    <w:p>
      <w:pPr>
        <w:snapToGrid w:val="0"/>
        <w:ind w:left="480" w:hanging="360" w:leftChars="50" w:hangingChars="150"/>
        <w:rPr>
          <w:rFonts w:ascii="宋体" w:hAnsi="宋体"/>
        </w:rPr>
      </w:pPr>
      <w:r>
        <w:drawing>
          <wp:inline distT="0" distB="0" distL="114300" distR="114300">
            <wp:extent cx="5270500" cy="514350"/>
            <wp:effectExtent l="0" t="0" r="6350" b="0"/>
            <wp:docPr id="3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
                    <pic:cNvPicPr>
                      <a:picLocks noChangeAspect="1"/>
                    </pic:cNvPicPr>
                  </pic:nvPicPr>
                  <pic:blipFill>
                    <a:blip xmlns:r="http://schemas.openxmlformats.org/officeDocument/2006/relationships" r:embed="rId27"/>
                    <a:stretch>
                      <a:fillRect/>
                    </a:stretch>
                  </pic:blipFill>
                  <pic:spPr>
                    <a:xfrm>
                      <a:off x="0" y="0"/>
                      <a:ext cx="5270500" cy="514350"/>
                    </a:xfrm>
                    <a:prstGeom prst="rect">
                      <a:avLst/>
                    </a:prstGeom>
                    <a:noFill/>
                    <a:ln>
                      <a:noFill/>
                    </a:ln>
                  </pic:spPr>
                </pic:pic>
              </a:graphicData>
            </a:graphic>
          </wp:inline>
        </w:drawing>
      </w:r>
    </w:p>
    <w:p>
      <w:pPr>
        <w:snapToGrid w:val="0"/>
        <w:ind w:left="480" w:hanging="360" w:leftChars="50" w:hangingChars="150"/>
        <w:rPr>
          <w:rFonts w:ascii="宋体" w:hAnsi="宋体"/>
        </w:rPr>
      </w:pPr>
      <w:r>
        <w:rPr>
          <w:rFonts w:ascii="宋体" w:hAnsi="宋体" w:hint="eastAsia"/>
        </w:rPr>
        <w:t>2）载重小车从前侧装入在起重臂臂节Ⅱ。</w:t>
      </w:r>
    </w:p>
    <w:p>
      <w:pPr>
        <w:snapToGrid w:val="0"/>
        <w:ind w:left="480" w:right="-242" w:hanging="360" w:leftChars="50" w:rightChars="-101" w:hangingChars="150"/>
        <w:rPr>
          <w:rFonts w:ascii="宋体" w:hAnsi="宋体"/>
        </w:rPr>
      </w:pPr>
      <w:r>
        <w:rPr>
          <w:rFonts w:ascii="宋体" w:hAnsi="宋体" w:hint="eastAsia"/>
        </w:rPr>
        <w:t>3）将臂节Ⅰ与已组装的臂节安装连接，然后将载重小车移至臂节Ⅰ根部并固定。</w:t>
      </w:r>
    </w:p>
    <w:p>
      <w:pPr>
        <w:snapToGrid w:val="0"/>
        <w:ind w:left="480" w:right="-242" w:hanging="360" w:leftChars="50" w:rightChars="-101" w:hangingChars="150"/>
        <w:rPr>
          <w:rFonts w:ascii="宋体" w:hAnsi="宋体"/>
        </w:rPr>
      </w:pPr>
      <w:r>
        <w:rPr>
          <w:rFonts w:ascii="宋体" w:hAnsi="宋体" w:hint="eastAsia"/>
        </w:rPr>
        <w:t>4）将起重臂拉杆所示拼装好后与起重臂上的吊点用销轴铰接，穿好开口销，放在起重臂上弦杆的定位托架内。</w:t>
      </w:r>
    </w:p>
    <w:p>
      <w:pPr>
        <w:snapToGrid w:val="0"/>
        <w:ind w:left="480" w:right="-242" w:hanging="360" w:leftChars="50" w:rightChars="-101" w:hangingChars="150"/>
        <w:rPr>
          <w:rFonts w:ascii="宋体" w:hAnsi="宋体"/>
        </w:rPr>
      </w:pPr>
      <w:r>
        <w:rPr>
          <w:rFonts w:ascii="宋体" w:hAnsi="宋体" w:hint="eastAsia"/>
        </w:rPr>
        <w:t>5）检查起重臂上的电路是否完善。使用回转机构的临时电源将塔机上部结构回转到便于安装起重臂的方位，挂绳试吊是否平衡（75米臂长时的理论吊点为24.7米处），否则可适当移动挂绳位置，起吊起重臂总成至安装高度。用定轴架和销轴将回转塔身与起重臂根部联接固定。注意：记录下吊装起重臂的吊点位置，以便拆塔时使用。</w:t>
      </w:r>
    </w:p>
    <w:p>
      <w:pPr>
        <w:snapToGrid w:val="0"/>
        <w:ind w:left="480" w:right="-242" w:hanging="360" w:leftChars="50" w:rightChars="-101" w:hangingChars="150"/>
        <w:rPr>
          <w:rFonts w:ascii="宋体" w:hAnsi="宋体"/>
        </w:rPr>
        <w:sectPr>
          <w:headerReference w:type="default" r:id="rId28"/>
          <w:footerReference w:type="default" r:id="rId29"/>
          <w:type w:val="nextPage"/>
          <w:pgSz w:w="11906" w:h="16838"/>
          <w:pgMar w:top="1440" w:right="1803" w:bottom="1418" w:left="1803" w:header="851" w:footer="992" w:gutter="0"/>
          <w:pgNumType w:fmt="numberInDash" w:start="10"/>
          <w:cols w:num="1" w:space="0"/>
          <w:titlePg w:val="0"/>
          <w:docGrid w:type="lines" w:linePitch="332" w:charSpace="0"/>
        </w:sectPr>
      </w:pPr>
      <w:r>
        <w:rPr>
          <w:rFonts w:ascii="宋体" w:hAnsi="宋体" w:hint="eastAsia"/>
        </w:rPr>
        <w:t>2.8、配装平衡重</w:t>
      </w:r>
    </w:p>
    <w:p>
      <w:pPr>
        <w:snapToGrid w:val="0"/>
        <w:ind w:left="240" w:firstLine="240" w:leftChars="100" w:firstLineChars="100"/>
        <w:rPr>
          <w:rFonts w:ascii="宋体" w:hAnsi="宋体"/>
        </w:rPr>
      </w:pPr>
      <w:r>
        <w:rPr>
          <w:rFonts w:ascii="宋体" w:hAnsi="宋体" w:hint="eastAsia"/>
        </w:rPr>
        <w:t>平衡重的重量随起重臂长度的改变而改变, 根据所使用的起重臂长度，吊装平衡重，（55米臂长平衡重配置为2++3+4×3.9t=20.6t）平衡重的配置及安装位置严格按要求安装。</w:t>
      </w:r>
    </w:p>
    <w:p>
      <w:pPr>
        <w:snapToGrid w:val="0"/>
        <w:rPr>
          <w:rFonts w:ascii="宋体" w:hAnsi="宋体"/>
        </w:rPr>
      </w:pPr>
      <w:r>
        <w:rPr>
          <w:rFonts w:ascii="宋体" w:hAnsi="宋体" w:hint="eastAsia"/>
        </w:rPr>
        <w:t>2.9、按要求穿绕起升钢丝绳。</w:t>
      </w:r>
    </w:p>
    <w:p>
      <w:pPr>
        <w:snapToGrid w:val="0"/>
        <w:ind w:firstLine="480" w:firstLineChars="200"/>
        <w:rPr>
          <w:rFonts w:ascii="宋体" w:hAnsi="宋体"/>
        </w:rPr>
      </w:pPr>
      <w:r>
        <w:rPr>
          <w:rFonts w:ascii="宋体" w:hAnsi="宋体" w:hint="eastAsia"/>
        </w:rPr>
        <w:t>将两根变幅钢丝绳（变幅绳短绳和变幅绳长绳）分别通过臂根滑轮和臂尖滑轮与小车连接起来，然后将钢丝绳长绳短绳分别张紧。</w:t>
      </w:r>
    </w:p>
    <w:p>
      <w:pPr>
        <w:snapToGrid w:val="0"/>
        <w:ind w:left="480" w:right="-242" w:hanging="360" w:leftChars="50" w:rightChars="-101" w:hangingChars="150"/>
        <w:rPr>
          <w:rFonts w:ascii="宋体" w:hAnsi="宋体"/>
        </w:rPr>
      </w:pPr>
      <w:r>
        <w:rPr>
          <w:rFonts w:ascii="宋体" w:hAnsi="宋体" w:hint="eastAsia"/>
        </w:rPr>
        <w:t>1) 变幅机构钢丝绳Ⅰ和钢丝绳Ⅱ必须在卷筒上留三圈安全绳，且卷筒上需留有一圈隔离绳槽。</w:t>
      </w:r>
    </w:p>
    <w:p>
      <w:pPr>
        <w:snapToGrid w:val="0"/>
        <w:ind w:left="480" w:right="-242" w:hanging="360" w:leftChars="50" w:rightChars="-101" w:hangingChars="150"/>
        <w:rPr>
          <w:rFonts w:ascii="宋体" w:eastAsia="宋体" w:hAnsi="宋体"/>
        </w:rPr>
      </w:pPr>
      <w:r>
        <w:rPr>
          <w:rFonts w:ascii="宋体" w:hAnsi="宋体" w:hint="eastAsia"/>
        </w:rPr>
        <w:t>2) 当变换起重臂臂长时，多余的钢丝绳捆好并固定在小车上。</w:t>
      </w:r>
    </w:p>
    <w:p>
      <w:pPr>
        <w:snapToGrid w:val="0"/>
        <w:ind w:firstLine="240" w:firstLineChars="100"/>
        <w:jc w:val="center"/>
        <w:rPr>
          <w:rFonts w:ascii="宋体" w:hAnsi="宋体"/>
        </w:rPr>
      </w:pPr>
      <w:r>
        <w:rPr>
          <w:rFonts w:ascii="宋体" w:hAnsi="宋体" w:hint="eastAsia"/>
        </w:rPr>
        <w:t>钢丝绳穿绕示意图</w:t>
      </w:r>
    </w:p>
    <w:p>
      <w:pPr>
        <w:snapToGrid w:val="0"/>
      </w:pPr>
      <w:r>
        <w:drawing>
          <wp:inline distT="0" distB="0" distL="114300" distR="114300">
            <wp:extent cx="4859655" cy="1760855"/>
            <wp:effectExtent l="0" t="0" r="17145" b="10795"/>
            <wp:docPr id="3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7"/>
                    <pic:cNvPicPr>
                      <a:picLocks noChangeAspect="1"/>
                    </pic:cNvPicPr>
                  </pic:nvPicPr>
                  <pic:blipFill>
                    <a:blip xmlns:r="http://schemas.openxmlformats.org/officeDocument/2006/relationships" r:embed="rId30"/>
                    <a:stretch>
                      <a:fillRect/>
                    </a:stretch>
                  </pic:blipFill>
                  <pic:spPr>
                    <a:xfrm>
                      <a:off x="0" y="0"/>
                      <a:ext cx="4859655" cy="1760855"/>
                    </a:xfrm>
                    <a:prstGeom prst="rect">
                      <a:avLst/>
                    </a:prstGeom>
                    <a:noFill/>
                    <a:ln>
                      <a:noFill/>
                    </a:ln>
                  </pic:spPr>
                </pic:pic>
              </a:graphicData>
            </a:graphic>
          </wp:inline>
        </w:drawing>
      </w:r>
    </w:p>
    <w:p>
      <w:pPr>
        <w:snapToGrid w:val="0"/>
        <w:outlineLvl w:val="0"/>
        <w:rPr>
          <w:rFonts w:ascii="宋体" w:hAnsi="宋体"/>
          <w:b/>
          <w:sz w:val="28"/>
          <w:szCs w:val="28"/>
        </w:rPr>
      </w:pPr>
      <w:bookmarkStart w:id="186" w:name="_Toc11215"/>
      <w:bookmarkStart w:id="187" w:name="_Toc20832"/>
      <w:r>
        <w:rPr>
          <w:rFonts w:ascii="宋体" w:hAnsi="宋体" w:hint="eastAsia"/>
          <w:b/>
          <w:sz w:val="28"/>
          <w:szCs w:val="28"/>
        </w:rPr>
        <w:t>八、塔机顶升及附着装置的设置</w:t>
      </w:r>
      <w:bookmarkEnd w:id="186"/>
      <w:bookmarkEnd w:id="187"/>
    </w:p>
    <w:tbl>
      <w:tblPr>
        <w:tblStyle w:val="TableNormal"/>
        <w:tblW w:w="9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720"/>
        <w:gridCol w:w="1808"/>
        <w:gridCol w:w="1776"/>
        <w:gridCol w:w="1966"/>
        <w:gridCol w:w="1966"/>
      </w:tblGrid>
      <w:tr>
        <w:tblPrEx>
          <w:tblW w:w="9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89"/>
          <w:jc w:val="center"/>
        </w:trPr>
        <w:tc>
          <w:tcPr>
            <w:tcW w:w="1720" w:type="dxa"/>
            <w:vAlign w:val="center"/>
          </w:tcPr>
          <w:p>
            <w:pPr>
              <w:snapToGrid w:val="0"/>
              <w:spacing w:before="166" w:beforeLines="50"/>
              <w:jc w:val="center"/>
              <w:rPr>
                <w:rFonts w:ascii="宋体" w:hAnsi="宋体"/>
              </w:rPr>
            </w:pPr>
            <w:bookmarkStart w:id="188" w:name="_Toc11825"/>
            <w:r>
              <w:rPr>
                <w:rFonts w:ascii="宋体" w:hAnsi="宋体" w:hint="eastAsia"/>
              </w:rPr>
              <w:t>现场编号</w:t>
            </w:r>
            <w:bookmarkEnd w:id="188"/>
          </w:p>
        </w:tc>
        <w:tc>
          <w:tcPr>
            <w:tcW w:w="1808" w:type="dxa"/>
            <w:vAlign w:val="center"/>
          </w:tcPr>
          <w:p>
            <w:pPr>
              <w:snapToGrid w:val="0"/>
              <w:spacing w:before="166" w:beforeLines="50"/>
              <w:jc w:val="center"/>
              <w:rPr>
                <w:rFonts w:ascii="宋体" w:hAnsi="宋体"/>
              </w:rPr>
            </w:pPr>
            <w:bookmarkStart w:id="189" w:name="_Toc8575"/>
            <w:r>
              <w:rPr>
                <w:rFonts w:ascii="宋体" w:hAnsi="宋体" w:hint="eastAsia"/>
              </w:rPr>
              <w:t>塔型</w:t>
            </w:r>
            <w:bookmarkEnd w:id="189"/>
          </w:p>
        </w:tc>
        <w:tc>
          <w:tcPr>
            <w:tcW w:w="1776" w:type="dxa"/>
            <w:vAlign w:val="center"/>
          </w:tcPr>
          <w:p>
            <w:pPr>
              <w:snapToGrid w:val="0"/>
              <w:spacing w:before="166" w:beforeLines="50"/>
              <w:jc w:val="center"/>
              <w:rPr>
                <w:rFonts w:ascii="宋体" w:hAnsi="宋体"/>
              </w:rPr>
            </w:pPr>
            <w:r>
              <w:rPr>
                <w:rFonts w:ascii="宋体" w:hAnsi="宋体" w:hint="eastAsia"/>
              </w:rPr>
              <w:t>塔基底面标高</w:t>
            </w:r>
          </w:p>
        </w:tc>
        <w:tc>
          <w:tcPr>
            <w:tcW w:w="1966" w:type="dxa"/>
            <w:vAlign w:val="center"/>
          </w:tcPr>
          <w:p>
            <w:pPr>
              <w:snapToGrid w:val="0"/>
              <w:spacing w:before="166" w:beforeLines="50"/>
              <w:jc w:val="center"/>
              <w:rPr>
                <w:rFonts w:ascii="宋体" w:hAnsi="宋体"/>
              </w:rPr>
            </w:pPr>
            <w:bookmarkStart w:id="190" w:name="_Toc20999"/>
            <w:r>
              <w:rPr>
                <w:rFonts w:ascii="宋体" w:hAnsi="宋体" w:hint="eastAsia"/>
              </w:rPr>
              <w:t>塔身最终高度</w:t>
            </w:r>
            <w:bookmarkEnd w:id="190"/>
          </w:p>
        </w:tc>
        <w:tc>
          <w:tcPr>
            <w:tcW w:w="1966" w:type="dxa"/>
            <w:vAlign w:val="center"/>
          </w:tcPr>
          <w:p>
            <w:pPr>
              <w:snapToGrid w:val="0"/>
              <w:spacing w:before="166" w:beforeLines="50"/>
              <w:jc w:val="center"/>
              <w:rPr>
                <w:rFonts w:ascii="宋体" w:hAnsi="宋体"/>
              </w:rPr>
            </w:pPr>
            <w:bookmarkStart w:id="191" w:name="_Toc24315"/>
            <w:r>
              <w:rPr>
                <w:rFonts w:ascii="宋体" w:hAnsi="宋体" w:hint="eastAsia"/>
              </w:rPr>
              <w:t>塔身节配置</w:t>
            </w:r>
            <w:bookmarkEnd w:id="191"/>
          </w:p>
        </w:tc>
      </w:tr>
      <w:tr>
        <w:tblPrEx>
          <w:tblW w:w="9236" w:type="dxa"/>
          <w:jc w:val="center"/>
          <w:tblLayout w:type="fixed"/>
          <w:tblCellMar>
            <w:top w:w="0" w:type="dxa"/>
            <w:left w:w="108" w:type="dxa"/>
            <w:bottom w:w="0" w:type="dxa"/>
            <w:right w:w="108" w:type="dxa"/>
          </w:tblCellMar>
        </w:tblPrEx>
        <w:trPr>
          <w:trHeight w:val="450"/>
          <w:jc w:val="center"/>
        </w:trPr>
        <w:tc>
          <w:tcPr>
            <w:tcW w:w="1720" w:type="dxa"/>
            <w:vAlign w:val="center"/>
          </w:tcPr>
          <w:p>
            <w:pPr>
              <w:snapToGrid w:val="0"/>
              <w:spacing w:before="166" w:beforeLines="50"/>
              <w:jc w:val="center"/>
              <w:rPr>
                <w:rFonts w:ascii="宋体" w:hAnsi="宋体"/>
              </w:rPr>
            </w:pPr>
            <w:bookmarkStart w:id="192" w:name="_Toc6340"/>
            <w:r>
              <w:rPr>
                <w:rFonts w:ascii="宋体" w:hAnsi="宋体" w:hint="eastAsia"/>
              </w:rPr>
              <w:t>1#</w:t>
            </w:r>
            <w:bookmarkEnd w:id="192"/>
          </w:p>
        </w:tc>
        <w:tc>
          <w:tcPr>
            <w:tcW w:w="1808" w:type="dxa"/>
            <w:vAlign w:val="center"/>
          </w:tcPr>
          <w:p>
            <w:pPr>
              <w:snapToGrid w:val="0"/>
              <w:spacing w:before="166" w:beforeLines="50"/>
              <w:jc w:val="center"/>
              <w:rPr>
                <w:rFonts w:ascii="宋体" w:hAnsi="宋体"/>
              </w:rPr>
            </w:pPr>
            <w:bookmarkStart w:id="193" w:name="_Toc23596"/>
            <w:r>
              <w:rPr>
                <w:rFonts w:ascii="宋体" w:hAnsi="宋体" w:hint="eastAsia"/>
              </w:rPr>
              <w:t>W7527-20D</w:t>
            </w:r>
            <w:bookmarkEnd w:id="193"/>
          </w:p>
        </w:tc>
        <w:tc>
          <w:tcPr>
            <w:tcW w:w="1776" w:type="dxa"/>
            <w:vAlign w:val="center"/>
          </w:tcPr>
          <w:p>
            <w:pPr>
              <w:snapToGrid w:val="0"/>
              <w:spacing w:before="166" w:beforeLines="50"/>
              <w:jc w:val="center"/>
              <w:rPr>
                <w:rFonts w:ascii="宋体" w:hAnsi="宋体"/>
              </w:rPr>
            </w:pPr>
            <w:bookmarkStart w:id="194" w:name="_Toc18336"/>
            <w:r>
              <w:rPr>
                <w:rFonts w:ascii="宋体" w:hAnsi="宋体" w:hint="eastAsia"/>
              </w:rPr>
              <w:t>-0.42m</w:t>
            </w:r>
            <w:bookmarkEnd w:id="194"/>
          </w:p>
        </w:tc>
        <w:tc>
          <w:tcPr>
            <w:tcW w:w="1966" w:type="dxa"/>
            <w:vAlign w:val="center"/>
          </w:tcPr>
          <w:p>
            <w:pPr>
              <w:snapToGrid w:val="0"/>
              <w:spacing w:before="166" w:beforeLines="50"/>
              <w:jc w:val="center"/>
              <w:rPr>
                <w:rFonts w:ascii="宋体" w:hAnsi="宋体"/>
              </w:rPr>
            </w:pPr>
            <w:bookmarkStart w:id="195" w:name="_Toc3182"/>
            <w:r>
              <w:rPr>
                <w:rFonts w:ascii="宋体" w:hAnsi="宋体" w:hint="eastAsia"/>
              </w:rPr>
              <w:t>51.0m</w:t>
            </w:r>
            <w:bookmarkEnd w:id="195"/>
          </w:p>
        </w:tc>
        <w:tc>
          <w:tcPr>
            <w:tcW w:w="1966" w:type="dxa"/>
            <w:vAlign w:val="center"/>
          </w:tcPr>
          <w:p>
            <w:pPr>
              <w:snapToGrid w:val="0"/>
              <w:spacing w:before="166" w:beforeLines="50"/>
              <w:jc w:val="center"/>
              <w:rPr>
                <w:rFonts w:ascii="宋体" w:hAnsi="宋体"/>
              </w:rPr>
            </w:pPr>
            <w:bookmarkStart w:id="196" w:name="_Toc28658"/>
            <w:r>
              <w:rPr>
                <w:rFonts w:ascii="宋体" w:hAnsi="宋体" w:hint="eastAsia"/>
              </w:rPr>
              <w:t>7.5m基节+14×3.0m标准节</w:t>
            </w:r>
            <w:bookmarkEnd w:id="196"/>
          </w:p>
        </w:tc>
      </w:tr>
      <w:tr>
        <w:tblPrEx>
          <w:tblW w:w="9236" w:type="dxa"/>
          <w:jc w:val="center"/>
          <w:tblLayout w:type="fixed"/>
          <w:tblCellMar>
            <w:top w:w="0" w:type="dxa"/>
            <w:left w:w="108" w:type="dxa"/>
            <w:bottom w:w="0" w:type="dxa"/>
            <w:right w:w="108" w:type="dxa"/>
          </w:tblCellMar>
        </w:tblPrEx>
        <w:trPr>
          <w:trHeight w:val="450"/>
          <w:jc w:val="center"/>
        </w:trPr>
        <w:tc>
          <w:tcPr>
            <w:tcW w:w="1720" w:type="dxa"/>
            <w:vAlign w:val="center"/>
          </w:tcPr>
          <w:p>
            <w:pPr>
              <w:snapToGrid w:val="0"/>
              <w:spacing w:before="166" w:beforeLines="50"/>
              <w:jc w:val="center"/>
              <w:rPr>
                <w:rFonts w:ascii="宋体" w:hAnsi="宋体"/>
              </w:rPr>
            </w:pPr>
            <w:bookmarkStart w:id="197" w:name="_Toc6476"/>
            <w:r>
              <w:rPr>
                <w:rFonts w:ascii="宋体" w:hAnsi="宋体" w:hint="eastAsia"/>
              </w:rPr>
              <w:t>2#</w:t>
            </w:r>
            <w:bookmarkEnd w:id="197"/>
          </w:p>
        </w:tc>
        <w:tc>
          <w:tcPr>
            <w:tcW w:w="1808" w:type="dxa"/>
            <w:vAlign w:val="center"/>
          </w:tcPr>
          <w:p>
            <w:pPr>
              <w:snapToGrid w:val="0"/>
              <w:spacing w:before="166" w:beforeLines="50"/>
              <w:jc w:val="center"/>
              <w:rPr>
                <w:rFonts w:ascii="宋体" w:hAnsi="宋体"/>
              </w:rPr>
            </w:pPr>
            <w:bookmarkStart w:id="198" w:name="_Toc9346"/>
            <w:r>
              <w:rPr>
                <w:rFonts w:ascii="宋体" w:hAnsi="宋体" w:hint="eastAsia"/>
              </w:rPr>
              <w:t>W7527-20D</w:t>
            </w:r>
            <w:bookmarkEnd w:id="198"/>
          </w:p>
        </w:tc>
        <w:tc>
          <w:tcPr>
            <w:tcW w:w="1776" w:type="dxa"/>
            <w:vAlign w:val="center"/>
          </w:tcPr>
          <w:p>
            <w:pPr>
              <w:snapToGrid w:val="0"/>
              <w:spacing w:before="166" w:beforeLines="50"/>
              <w:jc w:val="center"/>
              <w:rPr>
                <w:rFonts w:ascii="宋体" w:hAnsi="宋体"/>
              </w:rPr>
            </w:pPr>
            <w:bookmarkStart w:id="199" w:name="_Toc9284"/>
            <w:r>
              <w:rPr>
                <w:rFonts w:ascii="宋体" w:hAnsi="宋体" w:hint="eastAsia"/>
              </w:rPr>
              <w:t>-1.25m</w:t>
            </w:r>
            <w:bookmarkEnd w:id="199"/>
          </w:p>
        </w:tc>
        <w:tc>
          <w:tcPr>
            <w:tcW w:w="1966" w:type="dxa"/>
            <w:vAlign w:val="center"/>
          </w:tcPr>
          <w:p>
            <w:pPr>
              <w:snapToGrid w:val="0"/>
              <w:spacing w:before="166" w:beforeLines="50"/>
              <w:jc w:val="center"/>
              <w:rPr>
                <w:rFonts w:ascii="宋体" w:hAnsi="宋体"/>
              </w:rPr>
            </w:pPr>
            <w:bookmarkStart w:id="200" w:name="_Toc23362"/>
            <w:r>
              <w:rPr>
                <w:rFonts w:ascii="宋体" w:hAnsi="宋体" w:hint="eastAsia"/>
              </w:rPr>
              <w:t>60.0m</w:t>
            </w:r>
            <w:bookmarkEnd w:id="200"/>
          </w:p>
        </w:tc>
        <w:tc>
          <w:tcPr>
            <w:tcW w:w="1966" w:type="dxa"/>
            <w:vAlign w:val="center"/>
          </w:tcPr>
          <w:p>
            <w:pPr>
              <w:snapToGrid w:val="0"/>
              <w:spacing w:before="166" w:beforeLines="50"/>
              <w:jc w:val="center"/>
              <w:rPr>
                <w:rFonts w:ascii="宋体" w:hAnsi="宋体"/>
              </w:rPr>
            </w:pPr>
            <w:bookmarkStart w:id="201" w:name="_Toc1066"/>
            <w:r>
              <w:rPr>
                <w:rFonts w:ascii="宋体" w:hAnsi="宋体" w:hint="eastAsia"/>
              </w:rPr>
              <w:t>7.5m基节+17×3.0m标准节</w:t>
            </w:r>
            <w:bookmarkEnd w:id="201"/>
          </w:p>
        </w:tc>
      </w:tr>
      <w:tr>
        <w:tblPrEx>
          <w:tblW w:w="9236" w:type="dxa"/>
          <w:jc w:val="center"/>
          <w:tblLayout w:type="fixed"/>
          <w:tblCellMar>
            <w:top w:w="0" w:type="dxa"/>
            <w:left w:w="108" w:type="dxa"/>
            <w:bottom w:w="0" w:type="dxa"/>
            <w:right w:w="108" w:type="dxa"/>
          </w:tblCellMar>
        </w:tblPrEx>
        <w:trPr>
          <w:trHeight w:val="450"/>
          <w:jc w:val="center"/>
        </w:trPr>
        <w:tc>
          <w:tcPr>
            <w:tcW w:w="1720" w:type="dxa"/>
            <w:vAlign w:val="center"/>
          </w:tcPr>
          <w:p>
            <w:pPr>
              <w:snapToGrid w:val="0"/>
              <w:spacing w:before="166" w:beforeLines="50"/>
              <w:jc w:val="center"/>
              <w:rPr>
                <w:rFonts w:ascii="宋体" w:hAnsi="宋体"/>
              </w:rPr>
            </w:pPr>
            <w:bookmarkStart w:id="202" w:name="_Toc3514"/>
            <w:r>
              <w:rPr>
                <w:rFonts w:ascii="宋体" w:hAnsi="宋体" w:hint="eastAsia"/>
              </w:rPr>
              <w:t>3#</w:t>
            </w:r>
            <w:bookmarkEnd w:id="202"/>
          </w:p>
        </w:tc>
        <w:tc>
          <w:tcPr>
            <w:tcW w:w="1808" w:type="dxa"/>
            <w:vAlign w:val="center"/>
          </w:tcPr>
          <w:p>
            <w:pPr>
              <w:snapToGrid w:val="0"/>
              <w:spacing w:before="166" w:beforeLines="50"/>
              <w:jc w:val="center"/>
              <w:rPr>
                <w:rFonts w:ascii="宋体" w:hAnsi="宋体"/>
              </w:rPr>
            </w:pPr>
            <w:bookmarkStart w:id="203" w:name="_Toc23139"/>
            <w:r>
              <w:rPr>
                <w:rFonts w:ascii="宋体" w:hAnsi="宋体" w:hint="eastAsia"/>
              </w:rPr>
              <w:t>W7527-20D</w:t>
            </w:r>
            <w:bookmarkEnd w:id="203"/>
          </w:p>
        </w:tc>
        <w:tc>
          <w:tcPr>
            <w:tcW w:w="1776" w:type="dxa"/>
            <w:vAlign w:val="center"/>
          </w:tcPr>
          <w:p>
            <w:pPr>
              <w:snapToGrid w:val="0"/>
              <w:spacing w:before="166" w:beforeLines="50"/>
              <w:jc w:val="center"/>
              <w:rPr>
                <w:rFonts w:ascii="宋体" w:hAnsi="宋体"/>
              </w:rPr>
            </w:pPr>
            <w:bookmarkStart w:id="204" w:name="_Toc5582"/>
            <w:r>
              <w:rPr>
                <w:rFonts w:ascii="宋体" w:hAnsi="宋体" w:hint="eastAsia"/>
              </w:rPr>
              <w:t>-3.45m</w:t>
            </w:r>
            <w:bookmarkEnd w:id="204"/>
          </w:p>
        </w:tc>
        <w:tc>
          <w:tcPr>
            <w:tcW w:w="1966" w:type="dxa"/>
            <w:vAlign w:val="center"/>
          </w:tcPr>
          <w:p>
            <w:pPr>
              <w:snapToGrid w:val="0"/>
              <w:spacing w:before="166" w:beforeLines="50"/>
              <w:jc w:val="center"/>
              <w:rPr>
                <w:rFonts w:ascii="宋体" w:hAnsi="宋体"/>
              </w:rPr>
            </w:pPr>
            <w:bookmarkStart w:id="205" w:name="_Toc9993"/>
            <w:r>
              <w:rPr>
                <w:rFonts w:ascii="宋体" w:hAnsi="宋体" w:hint="eastAsia"/>
              </w:rPr>
              <w:t>54.0m</w:t>
            </w:r>
            <w:bookmarkEnd w:id="205"/>
          </w:p>
        </w:tc>
        <w:tc>
          <w:tcPr>
            <w:tcW w:w="1966" w:type="dxa"/>
            <w:vAlign w:val="center"/>
          </w:tcPr>
          <w:p>
            <w:pPr>
              <w:snapToGrid w:val="0"/>
              <w:spacing w:before="166" w:beforeLines="50"/>
              <w:jc w:val="center"/>
              <w:rPr>
                <w:rFonts w:ascii="宋体" w:hAnsi="宋体"/>
              </w:rPr>
            </w:pPr>
            <w:bookmarkStart w:id="206" w:name="_Toc29135"/>
            <w:r>
              <w:rPr>
                <w:rFonts w:ascii="宋体" w:hAnsi="宋体" w:hint="eastAsia"/>
              </w:rPr>
              <w:t>7.5m基节+15×3.0m标准节</w:t>
            </w:r>
            <w:bookmarkEnd w:id="206"/>
          </w:p>
        </w:tc>
      </w:tr>
      <w:tr>
        <w:tblPrEx>
          <w:tblW w:w="9236" w:type="dxa"/>
          <w:jc w:val="center"/>
          <w:tblLayout w:type="fixed"/>
          <w:tblCellMar>
            <w:top w:w="0" w:type="dxa"/>
            <w:left w:w="108" w:type="dxa"/>
            <w:bottom w:w="0" w:type="dxa"/>
            <w:right w:w="108" w:type="dxa"/>
          </w:tblCellMar>
        </w:tblPrEx>
        <w:trPr>
          <w:trHeight w:val="450"/>
          <w:jc w:val="center"/>
        </w:trPr>
        <w:tc>
          <w:tcPr>
            <w:tcW w:w="1720" w:type="dxa"/>
            <w:vAlign w:val="center"/>
          </w:tcPr>
          <w:p>
            <w:pPr>
              <w:snapToGrid w:val="0"/>
              <w:spacing w:before="166" w:beforeLines="50"/>
              <w:jc w:val="center"/>
              <w:rPr>
                <w:rFonts w:ascii="宋体" w:hAnsi="宋体"/>
              </w:rPr>
            </w:pPr>
            <w:bookmarkStart w:id="207" w:name="_Toc31559"/>
            <w:r>
              <w:rPr>
                <w:rFonts w:ascii="宋体" w:hAnsi="宋体" w:hint="eastAsia"/>
              </w:rPr>
              <w:t>4#</w:t>
            </w:r>
            <w:bookmarkEnd w:id="207"/>
          </w:p>
        </w:tc>
        <w:tc>
          <w:tcPr>
            <w:tcW w:w="1808" w:type="dxa"/>
            <w:vAlign w:val="center"/>
          </w:tcPr>
          <w:p>
            <w:pPr>
              <w:snapToGrid w:val="0"/>
              <w:spacing w:before="166" w:beforeLines="50"/>
              <w:jc w:val="center"/>
              <w:rPr>
                <w:rFonts w:ascii="宋体" w:hAnsi="宋体"/>
              </w:rPr>
            </w:pPr>
            <w:bookmarkStart w:id="208" w:name="_Toc12787"/>
            <w:r>
              <w:rPr>
                <w:rFonts w:ascii="宋体" w:hAnsi="宋体" w:hint="eastAsia"/>
              </w:rPr>
              <w:t>W7527-20D</w:t>
            </w:r>
            <w:bookmarkEnd w:id="208"/>
          </w:p>
        </w:tc>
        <w:tc>
          <w:tcPr>
            <w:tcW w:w="1776" w:type="dxa"/>
            <w:vAlign w:val="center"/>
          </w:tcPr>
          <w:p>
            <w:pPr>
              <w:snapToGrid w:val="0"/>
              <w:spacing w:before="166" w:beforeLines="50"/>
              <w:jc w:val="center"/>
              <w:rPr>
                <w:rFonts w:ascii="宋体" w:hAnsi="宋体"/>
              </w:rPr>
            </w:pPr>
            <w:bookmarkStart w:id="209" w:name="_Toc9059"/>
            <w:r>
              <w:rPr>
                <w:rFonts w:ascii="宋体" w:hAnsi="宋体" w:hint="eastAsia"/>
              </w:rPr>
              <w:t>+0.2m</w:t>
            </w:r>
            <w:bookmarkEnd w:id="209"/>
          </w:p>
        </w:tc>
        <w:tc>
          <w:tcPr>
            <w:tcW w:w="1966" w:type="dxa"/>
            <w:vAlign w:val="center"/>
          </w:tcPr>
          <w:p>
            <w:pPr>
              <w:snapToGrid w:val="0"/>
              <w:spacing w:before="166" w:beforeLines="50"/>
              <w:jc w:val="center"/>
              <w:rPr>
                <w:rFonts w:ascii="宋体" w:hAnsi="宋体"/>
              </w:rPr>
            </w:pPr>
            <w:bookmarkStart w:id="210" w:name="_Toc8870"/>
            <w:r>
              <w:rPr>
                <w:rFonts w:ascii="宋体" w:hAnsi="宋体" w:hint="eastAsia"/>
              </w:rPr>
              <w:t>60.0m</w:t>
            </w:r>
            <w:bookmarkEnd w:id="210"/>
          </w:p>
        </w:tc>
        <w:tc>
          <w:tcPr>
            <w:tcW w:w="1966" w:type="dxa"/>
            <w:vAlign w:val="center"/>
          </w:tcPr>
          <w:p>
            <w:pPr>
              <w:snapToGrid w:val="0"/>
              <w:spacing w:before="166" w:beforeLines="50"/>
              <w:jc w:val="center"/>
              <w:rPr>
                <w:rFonts w:ascii="宋体" w:hAnsi="宋体"/>
              </w:rPr>
            </w:pPr>
            <w:bookmarkStart w:id="211" w:name="_Toc11861"/>
            <w:r>
              <w:rPr>
                <w:rFonts w:ascii="宋体" w:hAnsi="宋体" w:hint="eastAsia"/>
              </w:rPr>
              <w:t>7.5m基节+17×3.0m标准节</w:t>
            </w:r>
            <w:bookmarkEnd w:id="211"/>
          </w:p>
        </w:tc>
      </w:tr>
      <w:tr>
        <w:tblPrEx>
          <w:tblW w:w="9236" w:type="dxa"/>
          <w:jc w:val="center"/>
          <w:tblLayout w:type="fixed"/>
          <w:tblCellMar>
            <w:top w:w="0" w:type="dxa"/>
            <w:left w:w="108" w:type="dxa"/>
            <w:bottom w:w="0" w:type="dxa"/>
            <w:right w:w="108" w:type="dxa"/>
          </w:tblCellMar>
        </w:tblPrEx>
        <w:trPr>
          <w:trHeight w:val="450"/>
          <w:jc w:val="center"/>
        </w:trPr>
        <w:tc>
          <w:tcPr>
            <w:tcW w:w="1720" w:type="dxa"/>
            <w:vAlign w:val="center"/>
          </w:tcPr>
          <w:p>
            <w:pPr>
              <w:snapToGrid w:val="0"/>
              <w:spacing w:before="166" w:beforeLines="50"/>
              <w:jc w:val="center"/>
              <w:rPr>
                <w:rFonts w:ascii="宋体" w:hAnsi="宋体"/>
              </w:rPr>
            </w:pPr>
            <w:bookmarkStart w:id="212" w:name="_Toc8789"/>
            <w:r>
              <w:rPr>
                <w:rFonts w:ascii="宋体" w:hAnsi="宋体" w:hint="eastAsia"/>
              </w:rPr>
              <w:t>5#</w:t>
            </w:r>
            <w:bookmarkEnd w:id="212"/>
          </w:p>
        </w:tc>
        <w:tc>
          <w:tcPr>
            <w:tcW w:w="1808" w:type="dxa"/>
            <w:vAlign w:val="center"/>
          </w:tcPr>
          <w:p>
            <w:pPr>
              <w:snapToGrid w:val="0"/>
              <w:spacing w:before="166" w:beforeLines="50"/>
              <w:jc w:val="center"/>
              <w:rPr>
                <w:rFonts w:ascii="宋体" w:hAnsi="宋体"/>
              </w:rPr>
            </w:pPr>
            <w:bookmarkStart w:id="213" w:name="_Toc9948"/>
            <w:r>
              <w:rPr>
                <w:rFonts w:ascii="宋体" w:hAnsi="宋体" w:hint="eastAsia"/>
              </w:rPr>
              <w:t>W7527-20D</w:t>
            </w:r>
            <w:bookmarkEnd w:id="213"/>
          </w:p>
        </w:tc>
        <w:tc>
          <w:tcPr>
            <w:tcW w:w="1776" w:type="dxa"/>
            <w:vAlign w:val="center"/>
          </w:tcPr>
          <w:p>
            <w:pPr>
              <w:snapToGrid w:val="0"/>
              <w:spacing w:before="166" w:beforeLines="50"/>
              <w:jc w:val="center"/>
              <w:rPr>
                <w:rFonts w:ascii="宋体" w:hAnsi="宋体"/>
              </w:rPr>
            </w:pPr>
            <w:bookmarkStart w:id="214" w:name="_Toc18083"/>
            <w:r>
              <w:rPr>
                <w:rFonts w:ascii="宋体" w:hAnsi="宋体" w:hint="eastAsia"/>
              </w:rPr>
              <w:t>-2.30m</w:t>
            </w:r>
            <w:bookmarkEnd w:id="214"/>
          </w:p>
        </w:tc>
        <w:tc>
          <w:tcPr>
            <w:tcW w:w="1966" w:type="dxa"/>
            <w:vAlign w:val="center"/>
          </w:tcPr>
          <w:p>
            <w:pPr>
              <w:snapToGrid w:val="0"/>
              <w:spacing w:before="166" w:beforeLines="50"/>
              <w:jc w:val="center"/>
              <w:rPr>
                <w:rFonts w:ascii="宋体" w:hAnsi="宋体"/>
              </w:rPr>
            </w:pPr>
            <w:bookmarkStart w:id="215" w:name="_Toc12908"/>
            <w:r>
              <w:rPr>
                <w:rFonts w:ascii="宋体" w:hAnsi="宋体" w:hint="eastAsia"/>
              </w:rPr>
              <w:t>54.0m</w:t>
            </w:r>
            <w:bookmarkEnd w:id="215"/>
          </w:p>
        </w:tc>
        <w:tc>
          <w:tcPr>
            <w:tcW w:w="1966" w:type="dxa"/>
            <w:vAlign w:val="center"/>
          </w:tcPr>
          <w:p>
            <w:pPr>
              <w:snapToGrid w:val="0"/>
              <w:spacing w:before="166" w:beforeLines="50" w:after="0"/>
              <w:jc w:val="center"/>
              <w:rPr>
                <w:rFonts w:ascii="宋体" w:hAnsi="宋体"/>
              </w:rPr>
            </w:pPr>
          </w:p>
        </w:tc>
      </w:tr>
    </w:tbl>
    <w:p>
      <w:r>
        <w:br/>
      </w:r>
      <w:r>
        <w:br/>
      </w:r>
    </w:p>
    <w:p>
      <w:pPr>
        <w:widowControl/>
        <w:spacing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https://d.book118.com/586005050012010034</w:t>
        </w:r>
      </w:hyperlink>
    </w:p>
    <w:p/>
    <w:sectPr>
      <w:headerReference w:type="default" r:id="rId32"/>
      <w:footerReference w:type="default" r:id="rId33"/>
      <w:type w:val="nextPage"/>
      <w:pgSz w:w="11906" w:h="16838"/>
      <w:pgMar w:top="1440" w:right="1803" w:bottom="1418" w:left="1803" w:header="851" w:footer="992" w:gutter="0"/>
      <w:pgNumType w:fmt="numberInDash" w:start="11"/>
      <w:cols w:num="1" w:space="0"/>
      <w:titlePg w:val="0"/>
      <w:docGrid w:type="line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Calibri Light">
    <w:panose1 w:val="020F0302020204030204"/>
    <w:charset w:val="00"/>
    <w:family w:val="swiss"/>
    <w:pitch w:val="default"/>
    <w:sig w:usb0="E4002EFF" w:usb1="C000247B" w:usb2="00000009" w:usb3="00000000" w:csb0="200001FF" w:csb1="00000000"/>
  </w:font>
  <w:font w:name="华文宋体">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283" w:usb1="288F0000" w:usb2="00000006" w:usb3="00000000" w:csb0="00040001" w:csb1="00000000"/>
  </w:font>
  <w:font w:name="MingLiU">
    <w:altName w:val="PMingLiU-ExtB"/>
    <w:panose1 w:val="02010609000101010101"/>
    <w:charset w:val="88"/>
    <w:family w:val="modern"/>
    <w:pitch w:val="default"/>
    <w:sig w:usb0="00000000" w:usb1="00000000" w:usb2="00000016" w:usb3="00000000" w:csb0="00100001" w:csb1="00000000"/>
  </w:font>
  <w:font w:name="隶书">
    <w:panose1 w:val="02010509060101010101"/>
    <w:charset w:val="86"/>
    <w:family w:val="modern"/>
    <w:pitch w:val="default"/>
    <w:sig w:usb0="00000001" w:usb1="080E0000" w:usb2="00000000" w:usb3="00000000" w:csb0="00040000" w:csb1="00000000"/>
  </w:font>
  <w:font w:name="宋体 ，Arial">
    <w:altName w:val="宋体"/>
    <w:panose1 w:val="00000000000000000000"/>
    <w:charset w:val="00"/>
    <w:family w:val="auto"/>
    <w:pitch w:val="default"/>
    <w:sig w:usb0="00000000" w:usb1="00000000" w:usb2="00000000" w:usb3="00000000" w:csb0="00040001" w:csb1="00000000"/>
  </w:font>
  <w:font w:name="System">
    <w:altName w:val="宋体"/>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- 1 -</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6094000" name="文本框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- 2 -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1"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- 2 -</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81064083" name="文本框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- 3 -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1"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- 3 -</w:t>
                    </w:r>
                    <w:r>
                      <w:rPr>
                        <w:rFonts w:hint="eastAsia"/>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72350523" name="文本框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1"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85867558" name="文本框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- 5 -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1"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- 5 -</w:t>
                    </w:r>
                    <w:r>
                      <w:rPr>
                        <w:rFonts w:hint="eastAsia"/>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7948819" name="文本框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- 6 -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1"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- 6 -</w:t>
                    </w:r>
                    <w:r>
                      <w:rPr>
                        <w:rFonts w:hint="eastAsia"/>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4527437" name="文本框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- 8 -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1"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- 8 -</w:t>
                    </w:r>
                    <w:r>
                      <w:rPr>
                        <w:rFonts w:hint="eastAsia"/>
                      </w:rP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1651633" name="文本框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- 8 -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1"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- 8 -</w:t>
                    </w:r>
                    <w:r>
                      <w:rPr>
                        <w:rFonts w:hint="eastAsia"/>
                      </w:rP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0058317" name="文本框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- 9 -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1"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- 9 -</w:t>
                    </w:r>
                    <w:r>
                      <w:rPr>
                        <w:rFonts w:hint="eastAsia"/>
                      </w:rP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3181828" name="文本框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- 10 -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1"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- 10 -</w:t>
                    </w:r>
                    <w:r>
                      <w:rPr>
                        <w:rFonts w:hint="eastAsia"/>
                      </w:rP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1310257" name="文本框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- 12 -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1"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pStyle w:val="Footer"/>
                    </w:pPr>
                    <w:r>
                      <w:rPr>
                        <w:rFonts w:hint="eastAsia"/>
                      </w:rPr>
                      <w:fldChar w:fldCharType="begin"/>
                    </w:r>
                    <w:r>
                      <w:rPr>
                        <w:rFonts w:hint="eastAsia"/>
                      </w:rPr>
                      <w:instrText xml:space="preserve"> PAGE  \* MERGEFORMAT </w:instrText>
                    </w:r>
                    <w:r>
                      <w:rPr>
                        <w:rFonts w:hint="eastAsia"/>
                      </w:rPr>
                      <w:fldChar w:fldCharType="separate"/>
                    </w:r>
                    <w:r>
                      <w:t>- 12 -</w:t>
                    </w:r>
                    <w:r>
                      <w:rPr>
                        <w:rFonts w:hint="eastAsia"/>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jc w:val="both"/>
    </w:pPr>
    <w:r>
      <w:rPr>
        <w:rFonts w:hint="eastAsia"/>
      </w:rPr>
      <w:t xml:space="preserve">          </w:t>
    </w:r>
    <w:r>
      <w:rPr>
        <w:rFonts w:hint="eastAsia"/>
        <w:b/>
        <w:bCs/>
      </w:rPr>
      <w:t xml:space="preserve"> </w:t>
    </w:r>
    <w:r>
      <w:rPr>
        <w:rFonts w:ascii="华文楷体" w:eastAsia="华文楷体" w:hAnsi="华文楷体" w:cs="华文楷体" w:hint="eastAsia"/>
        <w:b/>
        <w:bCs/>
      </w:rPr>
      <w:t xml:space="preserve">                   塔吊安拆专项施工方案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jc w:val="both"/>
    </w:pPr>
    <w:r>
      <w:rPr>
        <w:rFonts w:hint="eastAsia"/>
      </w:rPr>
      <w:t xml:space="preserve">          </w:t>
    </w:r>
    <w:r>
      <w:rPr>
        <w:rFonts w:hint="eastAsia"/>
        <w:b/>
        <w:bCs/>
      </w:rPr>
      <w:t xml:space="preserve"> </w:t>
    </w:r>
    <w:r>
      <w:rPr>
        <w:rFonts w:ascii="华文楷体" w:eastAsia="华文楷体" w:hAnsi="华文楷体" w:cs="华文楷体" w:hint="eastAsia"/>
        <w:b/>
        <w:bCs/>
      </w:rPr>
      <w:t xml:space="preserve">                   塔吊安拆专项施工方案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jc w:val="both"/>
    </w:pPr>
    <w:r>
      <w:rPr>
        <w:rFonts w:hint="eastAsia"/>
      </w:rPr>
      <w:t xml:space="preserve">          </w:t>
    </w:r>
    <w:r>
      <w:rPr>
        <w:rFonts w:hint="eastAsia"/>
        <w:b/>
        <w:bCs/>
      </w:rPr>
      <w:t xml:space="preserve"> </w:t>
    </w:r>
    <w:r>
      <w:rPr>
        <w:rFonts w:ascii="华文楷体" w:eastAsia="华文楷体" w:hAnsi="华文楷体" w:cs="华文楷体" w:hint="eastAsia"/>
        <w:b/>
        <w:bCs/>
      </w:rPr>
      <w:t xml:space="preserve">                   塔吊安拆专项施工方案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jc w:val="both"/>
    </w:pPr>
    <w:r>
      <w:rPr>
        <w:rFonts w:hint="eastAsia"/>
      </w:rPr>
      <w:t xml:space="preserve">          </w:t>
    </w:r>
    <w:r>
      <w:rPr>
        <w:rFonts w:hint="eastAsia"/>
        <w:b/>
        <w:bCs/>
      </w:rPr>
      <w:t xml:space="preserve"> </w:t>
    </w:r>
    <w:r>
      <w:rPr>
        <w:rFonts w:ascii="华文楷体" w:eastAsia="华文楷体" w:hAnsi="华文楷体" w:cs="华文楷体" w:hint="eastAsia"/>
        <w:b/>
        <w:bCs/>
      </w:rPr>
      <w:t xml:space="preserve">                   塔吊安拆专项施工方案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jc w:val="both"/>
    </w:pPr>
    <w:r>
      <w:rPr>
        <w:rFonts w:hint="eastAsia"/>
      </w:rPr>
      <w:t xml:space="preserve">          </w:t>
    </w:r>
    <w:r>
      <w:rPr>
        <w:rFonts w:hint="eastAsia"/>
        <w:b/>
        <w:bCs/>
      </w:rPr>
      <w:t xml:space="preserve"> </w:t>
    </w:r>
    <w:r>
      <w:rPr>
        <w:rFonts w:ascii="华文楷体" w:eastAsia="华文楷体" w:hAnsi="华文楷体" w:cs="华文楷体" w:hint="eastAsia"/>
        <w:b/>
        <w:bCs/>
      </w:rPr>
      <w:t xml:space="preserve">                   塔吊安拆专项施工方案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jc w:val="both"/>
    </w:pPr>
    <w:r>
      <w:rPr>
        <w:rFonts w:hint="eastAsia"/>
      </w:rPr>
      <w:t xml:space="preserve">          </w:t>
    </w:r>
    <w:r>
      <w:rPr>
        <w:rFonts w:hint="eastAsia"/>
        <w:b/>
        <w:bCs/>
      </w:rPr>
      <w:t xml:space="preserve"> </w:t>
    </w:r>
    <w:r>
      <w:rPr>
        <w:rFonts w:ascii="华文楷体" w:eastAsia="华文楷体" w:hAnsi="华文楷体" w:cs="华文楷体" w:hint="eastAsia"/>
        <w:b/>
        <w:bCs/>
      </w:rPr>
      <w:t xml:space="preserve">                   塔吊安拆专项施工方案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jc w:val="both"/>
    </w:pPr>
    <w:r>
      <w:rPr>
        <w:rFonts w:hint="eastAsia"/>
      </w:rPr>
      <w:t xml:space="preserve">          </w:t>
    </w:r>
    <w:r>
      <w:rPr>
        <w:rFonts w:hint="eastAsia"/>
        <w:b/>
        <w:bCs/>
      </w:rPr>
      <w:t xml:space="preserve"> </w:t>
    </w:r>
    <w:r>
      <w:rPr>
        <w:rFonts w:ascii="华文楷体" w:eastAsia="华文楷体" w:hAnsi="华文楷体" w:cs="华文楷体" w:hint="eastAsia"/>
        <w:b/>
        <w:bCs/>
      </w:rPr>
      <w:t xml:space="preserve">                   塔吊安拆专项施工方案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jc w:val="both"/>
    </w:pPr>
    <w:r>
      <w:rPr>
        <w:rFonts w:hint="eastAsia"/>
      </w:rPr>
      <w:t xml:space="preserve">          </w:t>
    </w:r>
    <w:r>
      <w:rPr>
        <w:rFonts w:hint="eastAsia"/>
        <w:b/>
        <w:bCs/>
      </w:rPr>
      <w:t xml:space="preserve"> </w:t>
    </w:r>
    <w:r>
      <w:rPr>
        <w:rFonts w:ascii="华文楷体" w:eastAsia="华文楷体" w:hAnsi="华文楷体" w:cs="华文楷体" w:hint="eastAsia"/>
        <w:b/>
        <w:bCs/>
      </w:rPr>
      <w:t xml:space="preserve">                   塔吊安拆专项施工方案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jc w:val="both"/>
    </w:pPr>
    <w:r>
      <w:rPr>
        <w:rFonts w:hint="eastAsia"/>
      </w:rPr>
      <w:t xml:space="preserve">          </w:t>
    </w:r>
    <w:r>
      <w:rPr>
        <w:rFonts w:hint="eastAsia"/>
        <w:b/>
        <w:bCs/>
      </w:rPr>
      <w:t xml:space="preserve"> </w:t>
    </w:r>
    <w:r>
      <w:rPr>
        <w:rFonts w:ascii="华文楷体" w:eastAsia="华文楷体" w:hAnsi="华文楷体" w:cs="华文楷体" w:hint="eastAsia"/>
        <w:b/>
        <w:bCs/>
      </w:rPr>
      <w:t xml:space="preserve">                   塔吊安拆专项施工方案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jc w:val="both"/>
    </w:pPr>
    <w:r>
      <w:rPr>
        <w:rFonts w:hint="eastAsia"/>
      </w:rPr>
      <w:t xml:space="preserve">          </w:t>
    </w:r>
    <w:r>
      <w:rPr>
        <w:rFonts w:hint="eastAsia"/>
        <w:b/>
        <w:bCs/>
      </w:rPr>
      <w:t xml:space="preserve"> </w:t>
    </w:r>
    <w:r>
      <w:rPr>
        <w:rFonts w:ascii="华文楷体" w:eastAsia="华文楷体" w:hAnsi="华文楷体" w:cs="华文楷体" w:hint="eastAsia"/>
        <w:b/>
        <w:bCs/>
      </w:rPr>
      <w:t xml:space="preserve">                   塔吊安拆专项施工方案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jc w:val="both"/>
    </w:pPr>
    <w:r>
      <w:rPr>
        <w:rFonts w:hint="eastAsia"/>
      </w:rPr>
      <w:t xml:space="preserve">          </w:t>
    </w:r>
    <w:r>
      <w:rPr>
        <w:rFonts w:hint="eastAsia"/>
        <w:b/>
        <w:bCs/>
      </w:rPr>
      <w:t xml:space="preserve"> </w:t>
    </w:r>
    <w:r>
      <w:rPr>
        <w:rFonts w:ascii="华文楷体" w:eastAsia="华文楷体" w:hAnsi="华文楷体" w:cs="华文楷体" w:hint="eastAsia"/>
        <w:b/>
        <w:bCs/>
      </w:rPr>
      <w:t xml:space="preserve">                   塔吊安拆专项施工方案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E01D81"/>
    <w:multiLevelType w:val="multilevel"/>
    <w:tmpl w:val="08E01D81"/>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0D7F0525"/>
    <w:multiLevelType w:val="multilevel"/>
    <w:tmpl w:val="0D7F0525"/>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2B201319"/>
    <w:multiLevelType w:val="multilevel"/>
    <w:tmpl w:val="2B201319"/>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nsid w:val="31FE1932"/>
    <w:multiLevelType w:val="multilevel"/>
    <w:tmpl w:val="31FE1932"/>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36CC6E22"/>
    <w:multiLevelType w:val="multilevel"/>
    <w:tmpl w:val="36CC6E22"/>
    <w:lvl w:ilvl="0">
      <w:start w:val="1"/>
      <w:numFmt w:val="decimal"/>
      <w:pStyle w:val="1"/>
      <w:lvlText w:val="%1"/>
      <w:lvlJc w:val="left"/>
      <w:pPr>
        <w:ind w:left="425" w:hanging="425"/>
      </w:pPr>
      <w:rPr>
        <w:rFonts w:hint="eastAsia"/>
      </w:rPr>
    </w:lvl>
    <w:lvl w:ilvl="1">
      <w:start w:val="1"/>
      <w:numFmt w:val="decimal"/>
      <w:pStyle w:val="2"/>
      <w:lvlText w:val="%1.%2"/>
      <w:lvlJc w:val="left"/>
      <w:pPr>
        <w:ind w:left="0" w:firstLine="0"/>
      </w:pPr>
      <w:rPr>
        <w:rFonts w:ascii="华文宋体" w:eastAsia="华文宋体" w:hAnsiTheme="minorHAnsi" w:hint="eastAsia"/>
        <w:sz w:val="28"/>
      </w:rPr>
    </w:lvl>
    <w:lvl w:ilvl="2">
      <w:start w:val="1"/>
      <w:numFmt w:val="decimal"/>
      <w:pStyle w:val="3"/>
      <w:lvlText w:val="%1.%2.%3"/>
      <w:lvlJc w:val="left"/>
      <w:pPr>
        <w:ind w:left="113" w:hanging="113"/>
      </w:pPr>
      <w:rPr>
        <w:rFonts w:hint="eastAsia"/>
        <w:sz w:val="24"/>
        <w:szCs w:val="28"/>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nsid w:val="4DCE2FEA"/>
    <w:multiLevelType w:val="multilevel"/>
    <w:tmpl w:val="4DCE2FEA"/>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nsid w:val="671430E9"/>
    <w:multiLevelType w:val="singleLevel"/>
    <w:tmpl w:val="671430E9"/>
    <w:lvl w:ilvl="0">
      <w:start w:val="1"/>
      <w:numFmt w:val="decimal"/>
      <w:pStyle w:val="31"/>
      <w:lvlText w:val="%1)"/>
      <w:lvlJc w:val="left"/>
      <w:pPr>
        <w:tabs>
          <w:tab w:val="left" w:pos="425"/>
        </w:tabs>
        <w:ind w:left="425" w:hanging="425"/>
      </w:pPr>
    </w:lvl>
  </w:abstractNum>
  <w:abstractNum w:abstractNumId="7">
    <w:nsid w:val="69E1372D"/>
    <w:multiLevelType w:val="multilevel"/>
    <w:tmpl w:val="69E1372D"/>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nsid w:val="6BFA2483"/>
    <w:multiLevelType w:val="multilevel"/>
    <w:tmpl w:val="6BFA2483"/>
    <w:lvl w:ilvl="0">
      <w:start w:val="3"/>
      <w:numFmt w:val="japaneseCounting"/>
      <w:lvlText w:val="%1、"/>
      <w:lvlJc w:val="left"/>
      <w:pPr>
        <w:tabs>
          <w:tab w:val="left" w:pos="720"/>
        </w:tabs>
        <w:ind w:left="720" w:hanging="720"/>
      </w:pPr>
      <w:rPr>
        <w:rFonts w:hint="default"/>
        <w:b/>
        <w:sz w:val="28"/>
        <w:szCs w:val="28"/>
      </w:rPr>
    </w:lvl>
    <w:lvl w:ilvl="1">
      <w:start w:val="1"/>
      <w:numFmt w:val="lowerLetter"/>
      <w:lvlText w:val="%2)"/>
      <w:lvlJc w:val="left"/>
      <w:pPr>
        <w:tabs>
          <w:tab w:val="left" w:pos="840"/>
        </w:tabs>
        <w:ind w:left="840" w:hanging="420"/>
      </w:pPr>
    </w:lvl>
    <w:lvl w:ilvl="2">
      <w:start w:val="1"/>
      <w:numFmt w:val="decimal"/>
      <w:lvlText w:val="%3、"/>
      <w:lvlJc w:val="left"/>
      <w:pPr>
        <w:tabs>
          <w:tab w:val="left" w:pos="1560"/>
        </w:tabs>
        <w:ind w:left="1560" w:hanging="720"/>
      </w:pPr>
      <w:rPr>
        <w:rFonts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nsid w:val="736D62DD"/>
    <w:multiLevelType w:val="multilevel"/>
    <w:tmpl w:val="736D62DD"/>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4"/>
  </w:num>
  <w:num w:numId="2">
    <w:abstractNumId w:val="6"/>
  </w:num>
  <w:num w:numId="3">
    <w:abstractNumId w:val="8"/>
  </w:num>
  <w:num w:numId="4">
    <w:abstractNumId w:val="7"/>
  </w:num>
  <w:num w:numId="5">
    <w:abstractNumId w:val="3"/>
  </w:num>
  <w:num w:numId="6">
    <w:abstractNumId w:val="2"/>
  </w:num>
  <w:num w:numId="7">
    <w:abstractNumId w:val="1"/>
  </w:num>
  <w:num w:numId="8">
    <w:abstractNumId w:val="9"/>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HorizontalSpacing w:val="120"/>
  <w:drawingGridVerticalSpacing w:val="16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4C7"/>
    <w:rsid w:val="00001644"/>
    <w:rsid w:val="0000615C"/>
    <w:rsid w:val="00006E20"/>
    <w:rsid w:val="00011864"/>
    <w:rsid w:val="0002114C"/>
    <w:rsid w:val="00023F18"/>
    <w:rsid w:val="0002469E"/>
    <w:rsid w:val="000273B1"/>
    <w:rsid w:val="000331FE"/>
    <w:rsid w:val="00033E08"/>
    <w:rsid w:val="00034E2E"/>
    <w:rsid w:val="00046A72"/>
    <w:rsid w:val="00047ED2"/>
    <w:rsid w:val="00050D6E"/>
    <w:rsid w:val="000631C6"/>
    <w:rsid w:val="00066006"/>
    <w:rsid w:val="0006675D"/>
    <w:rsid w:val="00070AAB"/>
    <w:rsid w:val="000712F7"/>
    <w:rsid w:val="00077873"/>
    <w:rsid w:val="000846F2"/>
    <w:rsid w:val="00090CD0"/>
    <w:rsid w:val="00094E5C"/>
    <w:rsid w:val="00096728"/>
    <w:rsid w:val="000A06BD"/>
    <w:rsid w:val="000A2230"/>
    <w:rsid w:val="000A4FB4"/>
    <w:rsid w:val="000B0B54"/>
    <w:rsid w:val="000B0FCA"/>
    <w:rsid w:val="000B0FEF"/>
    <w:rsid w:val="000C505A"/>
    <w:rsid w:val="000C5E53"/>
    <w:rsid w:val="000C787F"/>
    <w:rsid w:val="000D27B8"/>
    <w:rsid w:val="000D5491"/>
    <w:rsid w:val="000D5BC3"/>
    <w:rsid w:val="000D7B04"/>
    <w:rsid w:val="000E49EB"/>
    <w:rsid w:val="000F179D"/>
    <w:rsid w:val="000F2619"/>
    <w:rsid w:val="000F2DDF"/>
    <w:rsid w:val="000F3350"/>
    <w:rsid w:val="000F4531"/>
    <w:rsid w:val="000F4AA2"/>
    <w:rsid w:val="000F59B8"/>
    <w:rsid w:val="000F74ED"/>
    <w:rsid w:val="000F7CF8"/>
    <w:rsid w:val="0010094A"/>
    <w:rsid w:val="00101DDF"/>
    <w:rsid w:val="00103469"/>
    <w:rsid w:val="00106AD9"/>
    <w:rsid w:val="00111CC5"/>
    <w:rsid w:val="00112CB4"/>
    <w:rsid w:val="00116BA7"/>
    <w:rsid w:val="00127CBA"/>
    <w:rsid w:val="00130570"/>
    <w:rsid w:val="001321A0"/>
    <w:rsid w:val="00132394"/>
    <w:rsid w:val="0013267B"/>
    <w:rsid w:val="00132B3B"/>
    <w:rsid w:val="00142E79"/>
    <w:rsid w:val="001433E5"/>
    <w:rsid w:val="00154543"/>
    <w:rsid w:val="00156053"/>
    <w:rsid w:val="00156D4C"/>
    <w:rsid w:val="001601D6"/>
    <w:rsid w:val="001615D8"/>
    <w:rsid w:val="00167B59"/>
    <w:rsid w:val="00170039"/>
    <w:rsid w:val="00173114"/>
    <w:rsid w:val="001803D8"/>
    <w:rsid w:val="00183C1D"/>
    <w:rsid w:val="00186801"/>
    <w:rsid w:val="001918A6"/>
    <w:rsid w:val="00193896"/>
    <w:rsid w:val="00195434"/>
    <w:rsid w:val="00195802"/>
    <w:rsid w:val="001A22A9"/>
    <w:rsid w:val="001A37C2"/>
    <w:rsid w:val="001A7AEC"/>
    <w:rsid w:val="001B1FFF"/>
    <w:rsid w:val="001B672F"/>
    <w:rsid w:val="001C02A9"/>
    <w:rsid w:val="001C60EF"/>
    <w:rsid w:val="001C6644"/>
    <w:rsid w:val="001D009B"/>
    <w:rsid w:val="001D0D65"/>
    <w:rsid w:val="001E676C"/>
    <w:rsid w:val="001F015A"/>
    <w:rsid w:val="001F0EF4"/>
    <w:rsid w:val="001F1538"/>
    <w:rsid w:val="001F185E"/>
    <w:rsid w:val="001F6CB6"/>
    <w:rsid w:val="001F77DF"/>
    <w:rsid w:val="00202759"/>
    <w:rsid w:val="0020355E"/>
    <w:rsid w:val="002135DF"/>
    <w:rsid w:val="002162E4"/>
    <w:rsid w:val="00217F11"/>
    <w:rsid w:val="00221B2A"/>
    <w:rsid w:val="00221B9D"/>
    <w:rsid w:val="00224845"/>
    <w:rsid w:val="00225CC4"/>
    <w:rsid w:val="0022719E"/>
    <w:rsid w:val="00233BF8"/>
    <w:rsid w:val="002361E8"/>
    <w:rsid w:val="0023754E"/>
    <w:rsid w:val="00243513"/>
    <w:rsid w:val="0024414F"/>
    <w:rsid w:val="0025122E"/>
    <w:rsid w:val="00252383"/>
    <w:rsid w:val="0025481F"/>
    <w:rsid w:val="00256C68"/>
    <w:rsid w:val="0026140A"/>
    <w:rsid w:val="00263D82"/>
    <w:rsid w:val="002669F6"/>
    <w:rsid w:val="0026776E"/>
    <w:rsid w:val="002727EE"/>
    <w:rsid w:val="00276440"/>
    <w:rsid w:val="002764BF"/>
    <w:rsid w:val="002766E9"/>
    <w:rsid w:val="002766FB"/>
    <w:rsid w:val="00277ADB"/>
    <w:rsid w:val="00293AB3"/>
    <w:rsid w:val="00294643"/>
    <w:rsid w:val="0029583C"/>
    <w:rsid w:val="002A016B"/>
    <w:rsid w:val="002A060D"/>
    <w:rsid w:val="002B098D"/>
    <w:rsid w:val="002B32ED"/>
    <w:rsid w:val="002C343B"/>
    <w:rsid w:val="002C6250"/>
    <w:rsid w:val="002D0AF4"/>
    <w:rsid w:val="002D119B"/>
    <w:rsid w:val="002D11C7"/>
    <w:rsid w:val="002D1690"/>
    <w:rsid w:val="002D3614"/>
    <w:rsid w:val="002E07AE"/>
    <w:rsid w:val="002E0FEB"/>
    <w:rsid w:val="002E3399"/>
    <w:rsid w:val="002E33F1"/>
    <w:rsid w:val="002E4110"/>
    <w:rsid w:val="002E68AD"/>
    <w:rsid w:val="002E7B05"/>
    <w:rsid w:val="002F4AD2"/>
    <w:rsid w:val="002F571A"/>
    <w:rsid w:val="002F75BA"/>
    <w:rsid w:val="003022A6"/>
    <w:rsid w:val="00302467"/>
    <w:rsid w:val="00304221"/>
    <w:rsid w:val="003057D0"/>
    <w:rsid w:val="00307F86"/>
    <w:rsid w:val="0031550A"/>
    <w:rsid w:val="00316C57"/>
    <w:rsid w:val="00316F81"/>
    <w:rsid w:val="00323454"/>
    <w:rsid w:val="00327FB1"/>
    <w:rsid w:val="0033019E"/>
    <w:rsid w:val="00331CC2"/>
    <w:rsid w:val="00333684"/>
    <w:rsid w:val="003424F1"/>
    <w:rsid w:val="00343839"/>
    <w:rsid w:val="003536D3"/>
    <w:rsid w:val="0035666A"/>
    <w:rsid w:val="00356843"/>
    <w:rsid w:val="003600DC"/>
    <w:rsid w:val="00362E95"/>
    <w:rsid w:val="003679C7"/>
    <w:rsid w:val="00370BFD"/>
    <w:rsid w:val="00380596"/>
    <w:rsid w:val="00383D6B"/>
    <w:rsid w:val="00386DCB"/>
    <w:rsid w:val="00393606"/>
    <w:rsid w:val="003A2903"/>
    <w:rsid w:val="003A746D"/>
    <w:rsid w:val="003A7D43"/>
    <w:rsid w:val="003B0918"/>
    <w:rsid w:val="003B437C"/>
    <w:rsid w:val="003B6741"/>
    <w:rsid w:val="003C03A8"/>
    <w:rsid w:val="003C59C4"/>
    <w:rsid w:val="003C676F"/>
    <w:rsid w:val="003D01BD"/>
    <w:rsid w:val="003D3E65"/>
    <w:rsid w:val="003D69B0"/>
    <w:rsid w:val="003E0424"/>
    <w:rsid w:val="003E0449"/>
    <w:rsid w:val="003E074E"/>
    <w:rsid w:val="003E278C"/>
    <w:rsid w:val="003E5FE3"/>
    <w:rsid w:val="003F49E9"/>
    <w:rsid w:val="003F5493"/>
    <w:rsid w:val="003F587F"/>
    <w:rsid w:val="003F72D7"/>
    <w:rsid w:val="00402043"/>
    <w:rsid w:val="004023E7"/>
    <w:rsid w:val="00402D97"/>
    <w:rsid w:val="00403ECC"/>
    <w:rsid w:val="0041320C"/>
    <w:rsid w:val="00416CB2"/>
    <w:rsid w:val="00425F5D"/>
    <w:rsid w:val="00426AB8"/>
    <w:rsid w:val="00426F3A"/>
    <w:rsid w:val="00430570"/>
    <w:rsid w:val="00432CE5"/>
    <w:rsid w:val="00440A44"/>
    <w:rsid w:val="00440F81"/>
    <w:rsid w:val="00444F3C"/>
    <w:rsid w:val="00445AAB"/>
    <w:rsid w:val="00451E2C"/>
    <w:rsid w:val="00454CDE"/>
    <w:rsid w:val="0046183C"/>
    <w:rsid w:val="00465FEF"/>
    <w:rsid w:val="004663A9"/>
    <w:rsid w:val="00466513"/>
    <w:rsid w:val="0047257C"/>
    <w:rsid w:val="004760A7"/>
    <w:rsid w:val="00486CB9"/>
    <w:rsid w:val="00486CEB"/>
    <w:rsid w:val="004873D4"/>
    <w:rsid w:val="00487ED6"/>
    <w:rsid w:val="00493CF1"/>
    <w:rsid w:val="004955F4"/>
    <w:rsid w:val="004979A8"/>
    <w:rsid w:val="004A0B9F"/>
    <w:rsid w:val="004A0F63"/>
    <w:rsid w:val="004A4007"/>
    <w:rsid w:val="004A7263"/>
    <w:rsid w:val="004B0B48"/>
    <w:rsid w:val="004B0DE5"/>
    <w:rsid w:val="004B210F"/>
    <w:rsid w:val="004B28F2"/>
    <w:rsid w:val="004B56B9"/>
    <w:rsid w:val="004C2C9A"/>
    <w:rsid w:val="004C44BF"/>
    <w:rsid w:val="004C766E"/>
    <w:rsid w:val="004D28F0"/>
    <w:rsid w:val="004D34D2"/>
    <w:rsid w:val="004D43C9"/>
    <w:rsid w:val="004D6AB1"/>
    <w:rsid w:val="004D768E"/>
    <w:rsid w:val="004E4FB1"/>
    <w:rsid w:val="004E52ED"/>
    <w:rsid w:val="004E53BC"/>
    <w:rsid w:val="004F359C"/>
    <w:rsid w:val="004F6816"/>
    <w:rsid w:val="004F7DCF"/>
    <w:rsid w:val="0050373E"/>
    <w:rsid w:val="00504E55"/>
    <w:rsid w:val="00505F6B"/>
    <w:rsid w:val="00506C38"/>
    <w:rsid w:val="00506F00"/>
    <w:rsid w:val="00514ABB"/>
    <w:rsid w:val="00514C2D"/>
    <w:rsid w:val="00514F93"/>
    <w:rsid w:val="00515ABD"/>
    <w:rsid w:val="005160A2"/>
    <w:rsid w:val="005237E3"/>
    <w:rsid w:val="00525195"/>
    <w:rsid w:val="00530174"/>
    <w:rsid w:val="00533803"/>
    <w:rsid w:val="005349DD"/>
    <w:rsid w:val="005350FB"/>
    <w:rsid w:val="00535EF2"/>
    <w:rsid w:val="00536D4A"/>
    <w:rsid w:val="005378ED"/>
    <w:rsid w:val="0054658E"/>
    <w:rsid w:val="00552E7E"/>
    <w:rsid w:val="0055574D"/>
    <w:rsid w:val="00557B8B"/>
    <w:rsid w:val="005638C0"/>
    <w:rsid w:val="0056534F"/>
    <w:rsid w:val="00575F1E"/>
    <w:rsid w:val="005804CA"/>
    <w:rsid w:val="00584EA8"/>
    <w:rsid w:val="0058557C"/>
    <w:rsid w:val="00586250"/>
    <w:rsid w:val="00596C76"/>
    <w:rsid w:val="005A78BE"/>
    <w:rsid w:val="005A7BB8"/>
    <w:rsid w:val="005B1683"/>
    <w:rsid w:val="005B47F4"/>
    <w:rsid w:val="005C0202"/>
    <w:rsid w:val="005C1DF2"/>
    <w:rsid w:val="005C75BB"/>
    <w:rsid w:val="005D255A"/>
    <w:rsid w:val="005D3E78"/>
    <w:rsid w:val="005E00AB"/>
    <w:rsid w:val="005E1A73"/>
    <w:rsid w:val="005E23CE"/>
    <w:rsid w:val="005E313F"/>
    <w:rsid w:val="005E47DD"/>
    <w:rsid w:val="005E6276"/>
    <w:rsid w:val="005E770E"/>
    <w:rsid w:val="005E7948"/>
    <w:rsid w:val="005F39F7"/>
    <w:rsid w:val="005F5F3B"/>
    <w:rsid w:val="00600AA2"/>
    <w:rsid w:val="0060103F"/>
    <w:rsid w:val="00601670"/>
    <w:rsid w:val="0060172D"/>
    <w:rsid w:val="00601970"/>
    <w:rsid w:val="00603F24"/>
    <w:rsid w:val="00606039"/>
    <w:rsid w:val="0062130D"/>
    <w:rsid w:val="00631D1F"/>
    <w:rsid w:val="006354C9"/>
    <w:rsid w:val="006401DD"/>
    <w:rsid w:val="00641020"/>
    <w:rsid w:val="0064373E"/>
    <w:rsid w:val="00644CE6"/>
    <w:rsid w:val="00655402"/>
    <w:rsid w:val="006642EE"/>
    <w:rsid w:val="00677231"/>
    <w:rsid w:val="00684EC6"/>
    <w:rsid w:val="00685E73"/>
    <w:rsid w:val="00686574"/>
    <w:rsid w:val="006875D6"/>
    <w:rsid w:val="00687E56"/>
    <w:rsid w:val="0069000E"/>
    <w:rsid w:val="00691CF3"/>
    <w:rsid w:val="00694E6D"/>
    <w:rsid w:val="006976C6"/>
    <w:rsid w:val="006A131B"/>
    <w:rsid w:val="006B043B"/>
    <w:rsid w:val="006B0C04"/>
    <w:rsid w:val="006B2981"/>
    <w:rsid w:val="006B48C3"/>
    <w:rsid w:val="006B629F"/>
    <w:rsid w:val="006B7ACC"/>
    <w:rsid w:val="006C0052"/>
    <w:rsid w:val="006C461B"/>
    <w:rsid w:val="006D062D"/>
    <w:rsid w:val="006D1FCB"/>
    <w:rsid w:val="006D3F24"/>
    <w:rsid w:val="006E15B4"/>
    <w:rsid w:val="006E31C6"/>
    <w:rsid w:val="006E3247"/>
    <w:rsid w:val="006F1144"/>
    <w:rsid w:val="006F1828"/>
    <w:rsid w:val="006F1A05"/>
    <w:rsid w:val="006F5363"/>
    <w:rsid w:val="006F6726"/>
    <w:rsid w:val="006F79A3"/>
    <w:rsid w:val="007039E0"/>
    <w:rsid w:val="00703A13"/>
    <w:rsid w:val="007119E2"/>
    <w:rsid w:val="00720E8A"/>
    <w:rsid w:val="007248BF"/>
    <w:rsid w:val="00726A17"/>
    <w:rsid w:val="00726B59"/>
    <w:rsid w:val="00732690"/>
    <w:rsid w:val="00734735"/>
    <w:rsid w:val="007348C1"/>
    <w:rsid w:val="0073507F"/>
    <w:rsid w:val="007365CE"/>
    <w:rsid w:val="00736AD4"/>
    <w:rsid w:val="00740E7F"/>
    <w:rsid w:val="00755E01"/>
    <w:rsid w:val="007576A0"/>
    <w:rsid w:val="0076081F"/>
    <w:rsid w:val="00762199"/>
    <w:rsid w:val="007623EC"/>
    <w:rsid w:val="007641DA"/>
    <w:rsid w:val="00765434"/>
    <w:rsid w:val="00767564"/>
    <w:rsid w:val="0077233C"/>
    <w:rsid w:val="00773F97"/>
    <w:rsid w:val="007742DD"/>
    <w:rsid w:val="007746BC"/>
    <w:rsid w:val="0077681A"/>
    <w:rsid w:val="00777D43"/>
    <w:rsid w:val="00781D5E"/>
    <w:rsid w:val="007834FF"/>
    <w:rsid w:val="00784D76"/>
    <w:rsid w:val="007854E8"/>
    <w:rsid w:val="0079083C"/>
    <w:rsid w:val="00795E52"/>
    <w:rsid w:val="00796F49"/>
    <w:rsid w:val="007A0F06"/>
    <w:rsid w:val="007A5E6E"/>
    <w:rsid w:val="007B0F91"/>
    <w:rsid w:val="007B4934"/>
    <w:rsid w:val="007B59E8"/>
    <w:rsid w:val="007B6187"/>
    <w:rsid w:val="007C001A"/>
    <w:rsid w:val="007C0797"/>
    <w:rsid w:val="007C15DF"/>
    <w:rsid w:val="007C2B65"/>
    <w:rsid w:val="007C3B85"/>
    <w:rsid w:val="007C6272"/>
    <w:rsid w:val="007D014B"/>
    <w:rsid w:val="007D28EB"/>
    <w:rsid w:val="007D3FC3"/>
    <w:rsid w:val="007D6E85"/>
    <w:rsid w:val="007E18D8"/>
    <w:rsid w:val="007F3314"/>
    <w:rsid w:val="007F48E6"/>
    <w:rsid w:val="00806088"/>
    <w:rsid w:val="008146EB"/>
    <w:rsid w:val="008161E1"/>
    <w:rsid w:val="00817B2F"/>
    <w:rsid w:val="00822BDE"/>
    <w:rsid w:val="008267CB"/>
    <w:rsid w:val="008304DE"/>
    <w:rsid w:val="008339DB"/>
    <w:rsid w:val="00841570"/>
    <w:rsid w:val="00843E6A"/>
    <w:rsid w:val="00844BE2"/>
    <w:rsid w:val="00845C8A"/>
    <w:rsid w:val="00846CE5"/>
    <w:rsid w:val="00856771"/>
    <w:rsid w:val="00861E37"/>
    <w:rsid w:val="00866C69"/>
    <w:rsid w:val="00872767"/>
    <w:rsid w:val="00877294"/>
    <w:rsid w:val="00891F2D"/>
    <w:rsid w:val="0089387D"/>
    <w:rsid w:val="00896DC1"/>
    <w:rsid w:val="008A15D7"/>
    <w:rsid w:val="008A2030"/>
    <w:rsid w:val="008A4DCE"/>
    <w:rsid w:val="008B3C07"/>
    <w:rsid w:val="008B6FB0"/>
    <w:rsid w:val="008B764E"/>
    <w:rsid w:val="008C5EB0"/>
    <w:rsid w:val="008D1D0E"/>
    <w:rsid w:val="008D2D4E"/>
    <w:rsid w:val="008D4718"/>
    <w:rsid w:val="008E3679"/>
    <w:rsid w:val="008E4F7D"/>
    <w:rsid w:val="008F2064"/>
    <w:rsid w:val="008F6DA5"/>
    <w:rsid w:val="0090328C"/>
    <w:rsid w:val="009059F2"/>
    <w:rsid w:val="009107FA"/>
    <w:rsid w:val="0091236B"/>
    <w:rsid w:val="00913569"/>
    <w:rsid w:val="00914A0D"/>
    <w:rsid w:val="00915074"/>
    <w:rsid w:val="00915575"/>
    <w:rsid w:val="00916956"/>
    <w:rsid w:val="00936AEE"/>
    <w:rsid w:val="00937E9E"/>
    <w:rsid w:val="0094162F"/>
    <w:rsid w:val="00941D16"/>
    <w:rsid w:val="00944038"/>
    <w:rsid w:val="0094563C"/>
    <w:rsid w:val="009457E9"/>
    <w:rsid w:val="00946BD9"/>
    <w:rsid w:val="00952028"/>
    <w:rsid w:val="00952B68"/>
    <w:rsid w:val="00956936"/>
    <w:rsid w:val="009605C5"/>
    <w:rsid w:val="009657AB"/>
    <w:rsid w:val="00965E43"/>
    <w:rsid w:val="00966302"/>
    <w:rsid w:val="0097126F"/>
    <w:rsid w:val="00973EA3"/>
    <w:rsid w:val="009758AA"/>
    <w:rsid w:val="00985A7F"/>
    <w:rsid w:val="009901ED"/>
    <w:rsid w:val="00990C23"/>
    <w:rsid w:val="009911F0"/>
    <w:rsid w:val="0099284D"/>
    <w:rsid w:val="00992EA6"/>
    <w:rsid w:val="009961BF"/>
    <w:rsid w:val="00997109"/>
    <w:rsid w:val="009973E2"/>
    <w:rsid w:val="009A1606"/>
    <w:rsid w:val="009A1AC9"/>
    <w:rsid w:val="009A495C"/>
    <w:rsid w:val="009A498B"/>
    <w:rsid w:val="009A4D04"/>
    <w:rsid w:val="009A5E45"/>
    <w:rsid w:val="009A75A3"/>
    <w:rsid w:val="009A79F1"/>
    <w:rsid w:val="009B4B13"/>
    <w:rsid w:val="009C30ED"/>
    <w:rsid w:val="009C6D1A"/>
    <w:rsid w:val="009D1981"/>
    <w:rsid w:val="009D3F46"/>
    <w:rsid w:val="009D62D1"/>
    <w:rsid w:val="009E09F3"/>
    <w:rsid w:val="009E12C4"/>
    <w:rsid w:val="009E1632"/>
    <w:rsid w:val="009E39D3"/>
    <w:rsid w:val="009E58F2"/>
    <w:rsid w:val="009E64C8"/>
    <w:rsid w:val="009F19BE"/>
    <w:rsid w:val="009F31A8"/>
    <w:rsid w:val="009F4A21"/>
    <w:rsid w:val="009F4AFE"/>
    <w:rsid w:val="00A01DF6"/>
    <w:rsid w:val="00A02962"/>
    <w:rsid w:val="00A04683"/>
    <w:rsid w:val="00A04A43"/>
    <w:rsid w:val="00A04D49"/>
    <w:rsid w:val="00A058D1"/>
    <w:rsid w:val="00A059F8"/>
    <w:rsid w:val="00A06D52"/>
    <w:rsid w:val="00A11C36"/>
    <w:rsid w:val="00A13A0E"/>
    <w:rsid w:val="00A14B86"/>
    <w:rsid w:val="00A15880"/>
    <w:rsid w:val="00A15BDD"/>
    <w:rsid w:val="00A17E19"/>
    <w:rsid w:val="00A17ED7"/>
    <w:rsid w:val="00A20539"/>
    <w:rsid w:val="00A208B7"/>
    <w:rsid w:val="00A21234"/>
    <w:rsid w:val="00A26087"/>
    <w:rsid w:val="00A30066"/>
    <w:rsid w:val="00A351C1"/>
    <w:rsid w:val="00A37A42"/>
    <w:rsid w:val="00A40BA7"/>
    <w:rsid w:val="00A41540"/>
    <w:rsid w:val="00A52E91"/>
    <w:rsid w:val="00A56E32"/>
    <w:rsid w:val="00A601E6"/>
    <w:rsid w:val="00A6564A"/>
    <w:rsid w:val="00A65942"/>
    <w:rsid w:val="00A65D7A"/>
    <w:rsid w:val="00A66538"/>
    <w:rsid w:val="00A6789E"/>
    <w:rsid w:val="00A67F1D"/>
    <w:rsid w:val="00A709FF"/>
    <w:rsid w:val="00A71D9A"/>
    <w:rsid w:val="00A7330C"/>
    <w:rsid w:val="00A73B73"/>
    <w:rsid w:val="00A77DB1"/>
    <w:rsid w:val="00A804A0"/>
    <w:rsid w:val="00A8176A"/>
    <w:rsid w:val="00A83A63"/>
    <w:rsid w:val="00A84F9A"/>
    <w:rsid w:val="00A90EE2"/>
    <w:rsid w:val="00A925A7"/>
    <w:rsid w:val="00A9293D"/>
    <w:rsid w:val="00A9394F"/>
    <w:rsid w:val="00A95300"/>
    <w:rsid w:val="00A95BA8"/>
    <w:rsid w:val="00AA788F"/>
    <w:rsid w:val="00AB0094"/>
    <w:rsid w:val="00AC0F7C"/>
    <w:rsid w:val="00AC4BD0"/>
    <w:rsid w:val="00AC5AD8"/>
    <w:rsid w:val="00AC6CD1"/>
    <w:rsid w:val="00AC7F5D"/>
    <w:rsid w:val="00AD1021"/>
    <w:rsid w:val="00AD2A2F"/>
    <w:rsid w:val="00AD4948"/>
    <w:rsid w:val="00AD74A8"/>
    <w:rsid w:val="00AE0586"/>
    <w:rsid w:val="00AE2EC1"/>
    <w:rsid w:val="00AE5FB2"/>
    <w:rsid w:val="00AF25FC"/>
    <w:rsid w:val="00AF5015"/>
    <w:rsid w:val="00B00C84"/>
    <w:rsid w:val="00B00CAC"/>
    <w:rsid w:val="00B01BA0"/>
    <w:rsid w:val="00B029F8"/>
    <w:rsid w:val="00B048CF"/>
    <w:rsid w:val="00B11F5D"/>
    <w:rsid w:val="00B12D1F"/>
    <w:rsid w:val="00B176D5"/>
    <w:rsid w:val="00B23192"/>
    <w:rsid w:val="00B2421A"/>
    <w:rsid w:val="00B24425"/>
    <w:rsid w:val="00B313E4"/>
    <w:rsid w:val="00B36406"/>
    <w:rsid w:val="00B37A1F"/>
    <w:rsid w:val="00B405D1"/>
    <w:rsid w:val="00B4149A"/>
    <w:rsid w:val="00B415B1"/>
    <w:rsid w:val="00B42E53"/>
    <w:rsid w:val="00B46AD3"/>
    <w:rsid w:val="00B4742F"/>
    <w:rsid w:val="00B51DE6"/>
    <w:rsid w:val="00B54404"/>
    <w:rsid w:val="00B6109F"/>
    <w:rsid w:val="00B63229"/>
    <w:rsid w:val="00B63E63"/>
    <w:rsid w:val="00B63EAD"/>
    <w:rsid w:val="00B703FB"/>
    <w:rsid w:val="00B83AC7"/>
    <w:rsid w:val="00B86902"/>
    <w:rsid w:val="00B91C52"/>
    <w:rsid w:val="00B94042"/>
    <w:rsid w:val="00BA0C35"/>
    <w:rsid w:val="00BA4BC5"/>
    <w:rsid w:val="00BA77D9"/>
    <w:rsid w:val="00BB2995"/>
    <w:rsid w:val="00BB7107"/>
    <w:rsid w:val="00BC1FB3"/>
    <w:rsid w:val="00BC2F54"/>
    <w:rsid w:val="00BC78DA"/>
    <w:rsid w:val="00BC79EE"/>
    <w:rsid w:val="00BD22FF"/>
    <w:rsid w:val="00BD2498"/>
    <w:rsid w:val="00BD38F1"/>
    <w:rsid w:val="00BD7572"/>
    <w:rsid w:val="00BE200E"/>
    <w:rsid w:val="00BE439F"/>
    <w:rsid w:val="00BE6F47"/>
    <w:rsid w:val="00C12C43"/>
    <w:rsid w:val="00C1394D"/>
    <w:rsid w:val="00C165B8"/>
    <w:rsid w:val="00C16D2A"/>
    <w:rsid w:val="00C17AEF"/>
    <w:rsid w:val="00C2242B"/>
    <w:rsid w:val="00C26BBB"/>
    <w:rsid w:val="00C327E6"/>
    <w:rsid w:val="00C3341F"/>
    <w:rsid w:val="00C33B8E"/>
    <w:rsid w:val="00C34677"/>
    <w:rsid w:val="00C3473C"/>
    <w:rsid w:val="00C3477C"/>
    <w:rsid w:val="00C35218"/>
    <w:rsid w:val="00C35768"/>
    <w:rsid w:val="00C4170D"/>
    <w:rsid w:val="00C42449"/>
    <w:rsid w:val="00C460E4"/>
    <w:rsid w:val="00C53173"/>
    <w:rsid w:val="00C545E4"/>
    <w:rsid w:val="00C551FA"/>
    <w:rsid w:val="00C556E9"/>
    <w:rsid w:val="00C5775F"/>
    <w:rsid w:val="00C57FD4"/>
    <w:rsid w:val="00C631CE"/>
    <w:rsid w:val="00C64CE1"/>
    <w:rsid w:val="00C65F64"/>
    <w:rsid w:val="00C6640D"/>
    <w:rsid w:val="00C709AC"/>
    <w:rsid w:val="00C81109"/>
    <w:rsid w:val="00C86E42"/>
    <w:rsid w:val="00C94456"/>
    <w:rsid w:val="00C94AE7"/>
    <w:rsid w:val="00CA3DB0"/>
    <w:rsid w:val="00CB557C"/>
    <w:rsid w:val="00CC34AB"/>
    <w:rsid w:val="00CC3DB1"/>
    <w:rsid w:val="00CC60B1"/>
    <w:rsid w:val="00CC61C7"/>
    <w:rsid w:val="00CC6BD8"/>
    <w:rsid w:val="00CD119C"/>
    <w:rsid w:val="00CD28B1"/>
    <w:rsid w:val="00CD61EE"/>
    <w:rsid w:val="00CD6760"/>
    <w:rsid w:val="00CF0DE6"/>
    <w:rsid w:val="00CF2E69"/>
    <w:rsid w:val="00CF48C1"/>
    <w:rsid w:val="00CF558D"/>
    <w:rsid w:val="00D049EE"/>
    <w:rsid w:val="00D0529A"/>
    <w:rsid w:val="00D05AFC"/>
    <w:rsid w:val="00D065FC"/>
    <w:rsid w:val="00D06B58"/>
    <w:rsid w:val="00D1096F"/>
    <w:rsid w:val="00D1203B"/>
    <w:rsid w:val="00D17098"/>
    <w:rsid w:val="00D17E74"/>
    <w:rsid w:val="00D21023"/>
    <w:rsid w:val="00D216F7"/>
    <w:rsid w:val="00D2759A"/>
    <w:rsid w:val="00D27ABC"/>
    <w:rsid w:val="00D34A93"/>
    <w:rsid w:val="00D37085"/>
    <w:rsid w:val="00D423FB"/>
    <w:rsid w:val="00D42D37"/>
    <w:rsid w:val="00D43385"/>
    <w:rsid w:val="00D43635"/>
    <w:rsid w:val="00D45733"/>
    <w:rsid w:val="00D45B8A"/>
    <w:rsid w:val="00D50238"/>
    <w:rsid w:val="00D51C20"/>
    <w:rsid w:val="00D53070"/>
    <w:rsid w:val="00D555A8"/>
    <w:rsid w:val="00D57C08"/>
    <w:rsid w:val="00D62C29"/>
    <w:rsid w:val="00D62D0B"/>
    <w:rsid w:val="00D6514E"/>
    <w:rsid w:val="00D657A5"/>
    <w:rsid w:val="00D66D1B"/>
    <w:rsid w:val="00D67446"/>
    <w:rsid w:val="00D7245B"/>
    <w:rsid w:val="00D75718"/>
    <w:rsid w:val="00D75725"/>
    <w:rsid w:val="00D76901"/>
    <w:rsid w:val="00D7758B"/>
    <w:rsid w:val="00D77722"/>
    <w:rsid w:val="00D81907"/>
    <w:rsid w:val="00D85BD0"/>
    <w:rsid w:val="00D8639E"/>
    <w:rsid w:val="00D93A88"/>
    <w:rsid w:val="00DA27C7"/>
    <w:rsid w:val="00DA4254"/>
    <w:rsid w:val="00DA6643"/>
    <w:rsid w:val="00DA7EBA"/>
    <w:rsid w:val="00DB2DE9"/>
    <w:rsid w:val="00DB4D95"/>
    <w:rsid w:val="00DB6EF1"/>
    <w:rsid w:val="00DC07C2"/>
    <w:rsid w:val="00DC1268"/>
    <w:rsid w:val="00DC39C7"/>
    <w:rsid w:val="00DC4950"/>
    <w:rsid w:val="00DC530D"/>
    <w:rsid w:val="00DC587C"/>
    <w:rsid w:val="00DC5927"/>
    <w:rsid w:val="00DC5B58"/>
    <w:rsid w:val="00DD1692"/>
    <w:rsid w:val="00DD358D"/>
    <w:rsid w:val="00DE05EF"/>
    <w:rsid w:val="00DE2CFB"/>
    <w:rsid w:val="00DE7564"/>
    <w:rsid w:val="00DF03BB"/>
    <w:rsid w:val="00DF1732"/>
    <w:rsid w:val="00E011FA"/>
    <w:rsid w:val="00E01D95"/>
    <w:rsid w:val="00E02C5B"/>
    <w:rsid w:val="00E0360B"/>
    <w:rsid w:val="00E06FD6"/>
    <w:rsid w:val="00E07081"/>
    <w:rsid w:val="00E119FB"/>
    <w:rsid w:val="00E12A0F"/>
    <w:rsid w:val="00E14C52"/>
    <w:rsid w:val="00E154FD"/>
    <w:rsid w:val="00E20ADE"/>
    <w:rsid w:val="00E24A4B"/>
    <w:rsid w:val="00E4259E"/>
    <w:rsid w:val="00E44F37"/>
    <w:rsid w:val="00E46E63"/>
    <w:rsid w:val="00E52F1E"/>
    <w:rsid w:val="00E55DA4"/>
    <w:rsid w:val="00E56E30"/>
    <w:rsid w:val="00E57CC5"/>
    <w:rsid w:val="00E57D45"/>
    <w:rsid w:val="00E626F0"/>
    <w:rsid w:val="00E67411"/>
    <w:rsid w:val="00E67430"/>
    <w:rsid w:val="00E7197F"/>
    <w:rsid w:val="00E7474E"/>
    <w:rsid w:val="00E74EE9"/>
    <w:rsid w:val="00E7665F"/>
    <w:rsid w:val="00E77FA0"/>
    <w:rsid w:val="00E80603"/>
    <w:rsid w:val="00E82718"/>
    <w:rsid w:val="00E82BC7"/>
    <w:rsid w:val="00E82DC8"/>
    <w:rsid w:val="00E82F15"/>
    <w:rsid w:val="00E84B4F"/>
    <w:rsid w:val="00E85294"/>
    <w:rsid w:val="00E85424"/>
    <w:rsid w:val="00E8702E"/>
    <w:rsid w:val="00E8733E"/>
    <w:rsid w:val="00E94C60"/>
    <w:rsid w:val="00E97043"/>
    <w:rsid w:val="00EA66F4"/>
    <w:rsid w:val="00EB1E73"/>
    <w:rsid w:val="00EB46B8"/>
    <w:rsid w:val="00EB55BD"/>
    <w:rsid w:val="00EB68F2"/>
    <w:rsid w:val="00EB71B8"/>
    <w:rsid w:val="00EB753A"/>
    <w:rsid w:val="00EC305C"/>
    <w:rsid w:val="00EC458D"/>
    <w:rsid w:val="00EC47B9"/>
    <w:rsid w:val="00ED16A4"/>
    <w:rsid w:val="00ED2C8C"/>
    <w:rsid w:val="00ED4E92"/>
    <w:rsid w:val="00ED706F"/>
    <w:rsid w:val="00ED79FB"/>
    <w:rsid w:val="00EE02E4"/>
    <w:rsid w:val="00EE1618"/>
    <w:rsid w:val="00EE3AAB"/>
    <w:rsid w:val="00EE48C0"/>
    <w:rsid w:val="00EF0B11"/>
    <w:rsid w:val="00F0447B"/>
    <w:rsid w:val="00F05044"/>
    <w:rsid w:val="00F075E8"/>
    <w:rsid w:val="00F11046"/>
    <w:rsid w:val="00F120A4"/>
    <w:rsid w:val="00F16438"/>
    <w:rsid w:val="00F17C6D"/>
    <w:rsid w:val="00F17CC9"/>
    <w:rsid w:val="00F20835"/>
    <w:rsid w:val="00F241AF"/>
    <w:rsid w:val="00F2702C"/>
    <w:rsid w:val="00F27356"/>
    <w:rsid w:val="00F27C36"/>
    <w:rsid w:val="00F30B19"/>
    <w:rsid w:val="00F31CAE"/>
    <w:rsid w:val="00F36E56"/>
    <w:rsid w:val="00F40C27"/>
    <w:rsid w:val="00F43D53"/>
    <w:rsid w:val="00F55454"/>
    <w:rsid w:val="00F554FA"/>
    <w:rsid w:val="00F6487E"/>
    <w:rsid w:val="00F75B54"/>
    <w:rsid w:val="00F76725"/>
    <w:rsid w:val="00F76E20"/>
    <w:rsid w:val="00F8104D"/>
    <w:rsid w:val="00F810BF"/>
    <w:rsid w:val="00F818C5"/>
    <w:rsid w:val="00F854C7"/>
    <w:rsid w:val="00F85FA8"/>
    <w:rsid w:val="00F86F62"/>
    <w:rsid w:val="00F922E3"/>
    <w:rsid w:val="00F9649E"/>
    <w:rsid w:val="00FA09FA"/>
    <w:rsid w:val="00FA3E3A"/>
    <w:rsid w:val="00FB5CEA"/>
    <w:rsid w:val="00FB7AA3"/>
    <w:rsid w:val="00FD0F21"/>
    <w:rsid w:val="00FD2558"/>
    <w:rsid w:val="00FD6C2B"/>
    <w:rsid w:val="00FE053D"/>
    <w:rsid w:val="00FE417D"/>
    <w:rsid w:val="00FF415D"/>
    <w:rsid w:val="00FF5982"/>
    <w:rsid w:val="011019D7"/>
    <w:rsid w:val="01205722"/>
    <w:rsid w:val="01355751"/>
    <w:rsid w:val="013F39AF"/>
    <w:rsid w:val="015A3073"/>
    <w:rsid w:val="01647F48"/>
    <w:rsid w:val="017F262E"/>
    <w:rsid w:val="01864000"/>
    <w:rsid w:val="018A7180"/>
    <w:rsid w:val="01BB5C9B"/>
    <w:rsid w:val="01C9018F"/>
    <w:rsid w:val="01D96E43"/>
    <w:rsid w:val="01DA79FE"/>
    <w:rsid w:val="01F734A8"/>
    <w:rsid w:val="020E4A3A"/>
    <w:rsid w:val="023F04AC"/>
    <w:rsid w:val="024A075C"/>
    <w:rsid w:val="02587C26"/>
    <w:rsid w:val="025A1A41"/>
    <w:rsid w:val="02755531"/>
    <w:rsid w:val="027C58DA"/>
    <w:rsid w:val="02927491"/>
    <w:rsid w:val="02B84C9B"/>
    <w:rsid w:val="02C8024E"/>
    <w:rsid w:val="02D938E7"/>
    <w:rsid w:val="02E66183"/>
    <w:rsid w:val="02E76D7A"/>
    <w:rsid w:val="02EA55E5"/>
    <w:rsid w:val="0305795A"/>
    <w:rsid w:val="030723A1"/>
    <w:rsid w:val="031D332B"/>
    <w:rsid w:val="0321115B"/>
    <w:rsid w:val="033031CF"/>
    <w:rsid w:val="034351FC"/>
    <w:rsid w:val="03492DEC"/>
    <w:rsid w:val="035E1868"/>
    <w:rsid w:val="036802D6"/>
    <w:rsid w:val="03725163"/>
    <w:rsid w:val="037C7B5B"/>
    <w:rsid w:val="03862A0E"/>
    <w:rsid w:val="038648DF"/>
    <w:rsid w:val="038D3E63"/>
    <w:rsid w:val="0399417C"/>
    <w:rsid w:val="03B358B0"/>
    <w:rsid w:val="03B7073B"/>
    <w:rsid w:val="03D52842"/>
    <w:rsid w:val="03D564C4"/>
    <w:rsid w:val="03D95244"/>
    <w:rsid w:val="03EA4D86"/>
    <w:rsid w:val="03FB6533"/>
    <w:rsid w:val="040B46D2"/>
    <w:rsid w:val="041B66D6"/>
    <w:rsid w:val="04210E3D"/>
    <w:rsid w:val="0429042E"/>
    <w:rsid w:val="04431D55"/>
    <w:rsid w:val="045062EA"/>
    <w:rsid w:val="04567387"/>
    <w:rsid w:val="04591DD3"/>
    <w:rsid w:val="045F0E42"/>
    <w:rsid w:val="04620D1B"/>
    <w:rsid w:val="047C4273"/>
    <w:rsid w:val="04851BA5"/>
    <w:rsid w:val="04880B81"/>
    <w:rsid w:val="04A119D2"/>
    <w:rsid w:val="04B24CBD"/>
    <w:rsid w:val="04DA1597"/>
    <w:rsid w:val="04F34169"/>
    <w:rsid w:val="0511413C"/>
    <w:rsid w:val="05285B86"/>
    <w:rsid w:val="05362000"/>
    <w:rsid w:val="053C5511"/>
    <w:rsid w:val="054D08C9"/>
    <w:rsid w:val="055C73AF"/>
    <w:rsid w:val="056847ED"/>
    <w:rsid w:val="058F29A7"/>
    <w:rsid w:val="059338DB"/>
    <w:rsid w:val="05AA6943"/>
    <w:rsid w:val="05AB2118"/>
    <w:rsid w:val="05C7548F"/>
    <w:rsid w:val="05FA5A51"/>
    <w:rsid w:val="060469D2"/>
    <w:rsid w:val="062F5B63"/>
    <w:rsid w:val="06385BA6"/>
    <w:rsid w:val="063A5E43"/>
    <w:rsid w:val="069E2E8D"/>
    <w:rsid w:val="06A64684"/>
    <w:rsid w:val="06BD508B"/>
    <w:rsid w:val="06D1757F"/>
    <w:rsid w:val="06F20004"/>
    <w:rsid w:val="06F52220"/>
    <w:rsid w:val="070F2B42"/>
    <w:rsid w:val="071E21A5"/>
    <w:rsid w:val="072039CE"/>
    <w:rsid w:val="073658E6"/>
    <w:rsid w:val="07392FD3"/>
    <w:rsid w:val="074466C0"/>
    <w:rsid w:val="0752148C"/>
    <w:rsid w:val="077063AF"/>
    <w:rsid w:val="07737118"/>
    <w:rsid w:val="07955F08"/>
    <w:rsid w:val="07B516CF"/>
    <w:rsid w:val="07C005A0"/>
    <w:rsid w:val="07C25502"/>
    <w:rsid w:val="07DE3701"/>
    <w:rsid w:val="07DF6CCF"/>
    <w:rsid w:val="07E1242A"/>
    <w:rsid w:val="07E631DD"/>
    <w:rsid w:val="08002E91"/>
    <w:rsid w:val="080C51FE"/>
    <w:rsid w:val="081017BE"/>
    <w:rsid w:val="08401DDD"/>
    <w:rsid w:val="084062C0"/>
    <w:rsid w:val="0842320F"/>
    <w:rsid w:val="085E300A"/>
    <w:rsid w:val="086E7BD6"/>
    <w:rsid w:val="087F45B5"/>
    <w:rsid w:val="08A16EF4"/>
    <w:rsid w:val="08EB0936"/>
    <w:rsid w:val="09134060"/>
    <w:rsid w:val="09140E8D"/>
    <w:rsid w:val="091D0DE5"/>
    <w:rsid w:val="092813FD"/>
    <w:rsid w:val="09296654"/>
    <w:rsid w:val="093024C3"/>
    <w:rsid w:val="095C1EA2"/>
    <w:rsid w:val="097740F8"/>
    <w:rsid w:val="09774107"/>
    <w:rsid w:val="098C2612"/>
    <w:rsid w:val="098E4CF8"/>
    <w:rsid w:val="09B22A35"/>
    <w:rsid w:val="09ED3284"/>
    <w:rsid w:val="0A0B3C34"/>
    <w:rsid w:val="0A157C12"/>
    <w:rsid w:val="0A1B1A92"/>
    <w:rsid w:val="0A253AA0"/>
    <w:rsid w:val="0A321EE5"/>
    <w:rsid w:val="0A3338A0"/>
    <w:rsid w:val="0A577C6B"/>
    <w:rsid w:val="0A5C4797"/>
    <w:rsid w:val="0A607949"/>
    <w:rsid w:val="0A626249"/>
    <w:rsid w:val="0A6418DD"/>
    <w:rsid w:val="0A685665"/>
    <w:rsid w:val="0A8402D2"/>
    <w:rsid w:val="0A89529D"/>
    <w:rsid w:val="0A8C02E2"/>
    <w:rsid w:val="0A8D0D7F"/>
    <w:rsid w:val="0A8E7464"/>
    <w:rsid w:val="0A901491"/>
    <w:rsid w:val="0A915E63"/>
    <w:rsid w:val="0A950CA0"/>
    <w:rsid w:val="0A9B28E7"/>
    <w:rsid w:val="0AA86A06"/>
    <w:rsid w:val="0ACC0BAB"/>
    <w:rsid w:val="0AD22D26"/>
    <w:rsid w:val="0AD90BA5"/>
    <w:rsid w:val="0AEC18B7"/>
    <w:rsid w:val="0AF27FE0"/>
    <w:rsid w:val="0AFD38BF"/>
    <w:rsid w:val="0B035567"/>
    <w:rsid w:val="0B0D35BA"/>
    <w:rsid w:val="0B271DDE"/>
    <w:rsid w:val="0B307114"/>
    <w:rsid w:val="0B3B03E0"/>
    <w:rsid w:val="0B46420C"/>
    <w:rsid w:val="0B50105F"/>
    <w:rsid w:val="0B556F0F"/>
    <w:rsid w:val="0B7323B0"/>
    <w:rsid w:val="0B742EDB"/>
    <w:rsid w:val="0B9E6ECA"/>
    <w:rsid w:val="0BBD43C1"/>
    <w:rsid w:val="0C0B0F92"/>
    <w:rsid w:val="0C0D6D09"/>
    <w:rsid w:val="0C13488A"/>
    <w:rsid w:val="0C1B2E13"/>
    <w:rsid w:val="0C211279"/>
    <w:rsid w:val="0C2C29BA"/>
    <w:rsid w:val="0C456FEF"/>
    <w:rsid w:val="0C513AE4"/>
    <w:rsid w:val="0C526074"/>
    <w:rsid w:val="0C6315C0"/>
    <w:rsid w:val="0C801A5F"/>
    <w:rsid w:val="0C842929"/>
    <w:rsid w:val="0C8B1887"/>
    <w:rsid w:val="0C975498"/>
    <w:rsid w:val="0CB36A7F"/>
    <w:rsid w:val="0CBD3CA5"/>
    <w:rsid w:val="0CC817A4"/>
    <w:rsid w:val="0CCA3502"/>
    <w:rsid w:val="0CD83BCE"/>
    <w:rsid w:val="0CE442DC"/>
    <w:rsid w:val="0CF31697"/>
    <w:rsid w:val="0D150E23"/>
    <w:rsid w:val="0D400BE8"/>
    <w:rsid w:val="0D41747D"/>
    <w:rsid w:val="0D44776A"/>
    <w:rsid w:val="0D4D20A6"/>
    <w:rsid w:val="0D6F06D0"/>
    <w:rsid w:val="0D7952A2"/>
    <w:rsid w:val="0D8A1448"/>
    <w:rsid w:val="0D8D25D6"/>
    <w:rsid w:val="0DA83AD0"/>
    <w:rsid w:val="0DAF4E63"/>
    <w:rsid w:val="0DC032EF"/>
    <w:rsid w:val="0DD365FD"/>
    <w:rsid w:val="0DD55D39"/>
    <w:rsid w:val="0DF71DFF"/>
    <w:rsid w:val="0DF9369E"/>
    <w:rsid w:val="0E06098A"/>
    <w:rsid w:val="0E0829E9"/>
    <w:rsid w:val="0E106E03"/>
    <w:rsid w:val="0E285D2A"/>
    <w:rsid w:val="0E4304CA"/>
    <w:rsid w:val="0E446B3F"/>
    <w:rsid w:val="0E4B7FAC"/>
    <w:rsid w:val="0E7162BC"/>
    <w:rsid w:val="0E770602"/>
    <w:rsid w:val="0E7D3F45"/>
    <w:rsid w:val="0E820310"/>
    <w:rsid w:val="0EA44A14"/>
    <w:rsid w:val="0EB67D37"/>
    <w:rsid w:val="0EBD35B6"/>
    <w:rsid w:val="0EC40DF4"/>
    <w:rsid w:val="0EC73D9D"/>
    <w:rsid w:val="0EE24D8F"/>
    <w:rsid w:val="0EE44BEA"/>
    <w:rsid w:val="0EEA689F"/>
    <w:rsid w:val="0EEF0384"/>
    <w:rsid w:val="0EFB1725"/>
    <w:rsid w:val="0F075B54"/>
    <w:rsid w:val="0F2360AD"/>
    <w:rsid w:val="0F27799C"/>
    <w:rsid w:val="0F395D79"/>
    <w:rsid w:val="0F3D115B"/>
    <w:rsid w:val="0F5E5635"/>
    <w:rsid w:val="0F7B1DF0"/>
    <w:rsid w:val="0F801013"/>
    <w:rsid w:val="0F8504EF"/>
    <w:rsid w:val="0F964B07"/>
    <w:rsid w:val="0F9C60D9"/>
    <w:rsid w:val="0FA05680"/>
    <w:rsid w:val="0FB81177"/>
    <w:rsid w:val="0FC77D57"/>
    <w:rsid w:val="0FCD77B5"/>
    <w:rsid w:val="0FCE3FB4"/>
    <w:rsid w:val="0FCE44B4"/>
    <w:rsid w:val="1012463D"/>
    <w:rsid w:val="102669B7"/>
    <w:rsid w:val="10301884"/>
    <w:rsid w:val="10321FBD"/>
    <w:rsid w:val="104844FA"/>
    <w:rsid w:val="109357ED"/>
    <w:rsid w:val="10B450F3"/>
    <w:rsid w:val="10B731CB"/>
    <w:rsid w:val="10DC17D4"/>
    <w:rsid w:val="10DC6943"/>
    <w:rsid w:val="10E50C88"/>
    <w:rsid w:val="10E75373"/>
    <w:rsid w:val="10E77361"/>
    <w:rsid w:val="110C2BD4"/>
    <w:rsid w:val="11151093"/>
    <w:rsid w:val="111A49DB"/>
    <w:rsid w:val="113163D9"/>
    <w:rsid w:val="114D54E2"/>
    <w:rsid w:val="11507E20"/>
    <w:rsid w:val="115212DB"/>
    <w:rsid w:val="115B78E1"/>
    <w:rsid w:val="118D2F14"/>
    <w:rsid w:val="11AC1FA0"/>
    <w:rsid w:val="11AC3975"/>
    <w:rsid w:val="11AC4F64"/>
    <w:rsid w:val="11AE703B"/>
    <w:rsid w:val="11B56D39"/>
    <w:rsid w:val="11C204A5"/>
    <w:rsid w:val="11C63F9D"/>
    <w:rsid w:val="11C8134D"/>
    <w:rsid w:val="11D46B4E"/>
    <w:rsid w:val="11F924BA"/>
    <w:rsid w:val="11FC240A"/>
    <w:rsid w:val="120C1BA3"/>
    <w:rsid w:val="12203B1D"/>
    <w:rsid w:val="122252B1"/>
    <w:rsid w:val="12266C74"/>
    <w:rsid w:val="1241404E"/>
    <w:rsid w:val="124201F6"/>
    <w:rsid w:val="124B71B2"/>
    <w:rsid w:val="125368A9"/>
    <w:rsid w:val="12637606"/>
    <w:rsid w:val="1265655F"/>
    <w:rsid w:val="127453B6"/>
    <w:rsid w:val="12780E2E"/>
    <w:rsid w:val="12890B9F"/>
    <w:rsid w:val="128A3339"/>
    <w:rsid w:val="12A13A55"/>
    <w:rsid w:val="12A13C69"/>
    <w:rsid w:val="12AA1E47"/>
    <w:rsid w:val="12B4304D"/>
    <w:rsid w:val="12CF1697"/>
    <w:rsid w:val="12D84A2F"/>
    <w:rsid w:val="12D8500B"/>
    <w:rsid w:val="12D85B28"/>
    <w:rsid w:val="12E10451"/>
    <w:rsid w:val="12FA5BB7"/>
    <w:rsid w:val="130B5D9C"/>
    <w:rsid w:val="13143A9A"/>
    <w:rsid w:val="13375970"/>
    <w:rsid w:val="13383C9F"/>
    <w:rsid w:val="13442FBA"/>
    <w:rsid w:val="13571CF9"/>
    <w:rsid w:val="13571D44"/>
    <w:rsid w:val="136541BC"/>
    <w:rsid w:val="137F0182"/>
    <w:rsid w:val="138628D4"/>
    <w:rsid w:val="139719B4"/>
    <w:rsid w:val="139C5CB2"/>
    <w:rsid w:val="13A20E87"/>
    <w:rsid w:val="13CD0F6D"/>
    <w:rsid w:val="13CF0620"/>
    <w:rsid w:val="13EB182B"/>
    <w:rsid w:val="13F9564E"/>
    <w:rsid w:val="14053549"/>
    <w:rsid w:val="1455090E"/>
    <w:rsid w:val="14561294"/>
    <w:rsid w:val="145A4A29"/>
    <w:rsid w:val="146372C9"/>
    <w:rsid w:val="14722564"/>
    <w:rsid w:val="147566E3"/>
    <w:rsid w:val="148A3D6E"/>
    <w:rsid w:val="148B1C7F"/>
    <w:rsid w:val="14911405"/>
    <w:rsid w:val="149146F2"/>
    <w:rsid w:val="149240BB"/>
    <w:rsid w:val="14C15173"/>
    <w:rsid w:val="14F61BD4"/>
    <w:rsid w:val="150562C0"/>
    <w:rsid w:val="15106484"/>
    <w:rsid w:val="15140A10"/>
    <w:rsid w:val="15252E27"/>
    <w:rsid w:val="1542617E"/>
    <w:rsid w:val="154E7EA3"/>
    <w:rsid w:val="155F58E1"/>
    <w:rsid w:val="156204E3"/>
    <w:rsid w:val="15657E9B"/>
    <w:rsid w:val="156616D4"/>
    <w:rsid w:val="156B51D4"/>
    <w:rsid w:val="159031E2"/>
    <w:rsid w:val="159E0098"/>
    <w:rsid w:val="15AF3297"/>
    <w:rsid w:val="15B57D7D"/>
    <w:rsid w:val="15C56CDB"/>
    <w:rsid w:val="15DC168F"/>
    <w:rsid w:val="15DE1620"/>
    <w:rsid w:val="15F90716"/>
    <w:rsid w:val="16037517"/>
    <w:rsid w:val="16112CFC"/>
    <w:rsid w:val="16286145"/>
    <w:rsid w:val="164033F6"/>
    <w:rsid w:val="165F0F43"/>
    <w:rsid w:val="16867C8F"/>
    <w:rsid w:val="168B1773"/>
    <w:rsid w:val="16957E96"/>
    <w:rsid w:val="16B45261"/>
    <w:rsid w:val="16C57316"/>
    <w:rsid w:val="16CC1307"/>
    <w:rsid w:val="16D411F0"/>
    <w:rsid w:val="16E7438E"/>
    <w:rsid w:val="16E9595A"/>
    <w:rsid w:val="16F07BA1"/>
    <w:rsid w:val="16FA0B19"/>
    <w:rsid w:val="16FC3CC5"/>
    <w:rsid w:val="16FD7978"/>
    <w:rsid w:val="17214754"/>
    <w:rsid w:val="17425CB5"/>
    <w:rsid w:val="174564F7"/>
    <w:rsid w:val="175A49E1"/>
    <w:rsid w:val="17707908"/>
    <w:rsid w:val="17770C33"/>
    <w:rsid w:val="177D56D3"/>
    <w:rsid w:val="178513A7"/>
    <w:rsid w:val="17880545"/>
    <w:rsid w:val="17923DF7"/>
    <w:rsid w:val="17951A05"/>
    <w:rsid w:val="17977CDE"/>
    <w:rsid w:val="17A44EE9"/>
    <w:rsid w:val="17AE3E66"/>
    <w:rsid w:val="17AF2906"/>
    <w:rsid w:val="17C3461F"/>
    <w:rsid w:val="17D77134"/>
    <w:rsid w:val="17DD6ABF"/>
    <w:rsid w:val="17DE2D14"/>
    <w:rsid w:val="17E12624"/>
    <w:rsid w:val="17E24F0A"/>
    <w:rsid w:val="17E31589"/>
    <w:rsid w:val="17E43896"/>
    <w:rsid w:val="1809073F"/>
    <w:rsid w:val="18156BFF"/>
    <w:rsid w:val="183D35ED"/>
    <w:rsid w:val="18465067"/>
    <w:rsid w:val="184C3BF3"/>
    <w:rsid w:val="185C0DAF"/>
    <w:rsid w:val="186F5C1A"/>
    <w:rsid w:val="187E000F"/>
    <w:rsid w:val="188F451A"/>
    <w:rsid w:val="18A451A5"/>
    <w:rsid w:val="18A85B00"/>
    <w:rsid w:val="18C32562"/>
    <w:rsid w:val="18C370DE"/>
    <w:rsid w:val="18D10468"/>
    <w:rsid w:val="18DD0972"/>
    <w:rsid w:val="1933072F"/>
    <w:rsid w:val="1935759F"/>
    <w:rsid w:val="19375FB3"/>
    <w:rsid w:val="194762D7"/>
    <w:rsid w:val="194F79C3"/>
    <w:rsid w:val="196507DD"/>
    <w:rsid w:val="19665616"/>
    <w:rsid w:val="19684E50"/>
    <w:rsid w:val="19693717"/>
    <w:rsid w:val="19697ED6"/>
    <w:rsid w:val="196A0CC1"/>
    <w:rsid w:val="196F53D8"/>
    <w:rsid w:val="19767009"/>
    <w:rsid w:val="1986342D"/>
    <w:rsid w:val="198F67D6"/>
    <w:rsid w:val="19AE6A3E"/>
    <w:rsid w:val="19B66AFF"/>
    <w:rsid w:val="19BF3BCF"/>
    <w:rsid w:val="19C64D74"/>
    <w:rsid w:val="19D20B2B"/>
    <w:rsid w:val="1A0304AB"/>
    <w:rsid w:val="1A037DC4"/>
    <w:rsid w:val="1A100C2C"/>
    <w:rsid w:val="1A377A1C"/>
    <w:rsid w:val="1A54071C"/>
    <w:rsid w:val="1A5B406E"/>
    <w:rsid w:val="1A6528A1"/>
    <w:rsid w:val="1AA62441"/>
    <w:rsid w:val="1AF2618A"/>
    <w:rsid w:val="1B060105"/>
    <w:rsid w:val="1B137204"/>
    <w:rsid w:val="1B346891"/>
    <w:rsid w:val="1B3C120D"/>
    <w:rsid w:val="1B5B4CC4"/>
    <w:rsid w:val="1B5D4843"/>
    <w:rsid w:val="1B653ACA"/>
    <w:rsid w:val="1B676110"/>
    <w:rsid w:val="1B737B11"/>
    <w:rsid w:val="1B76682E"/>
    <w:rsid w:val="1B9C69E4"/>
    <w:rsid w:val="1BA31081"/>
    <w:rsid w:val="1BC24C31"/>
    <w:rsid w:val="1BE11077"/>
    <w:rsid w:val="1BE17CB0"/>
    <w:rsid w:val="1BE205BD"/>
    <w:rsid w:val="1BEF7912"/>
    <w:rsid w:val="1BFA4D7C"/>
    <w:rsid w:val="1BFC0B1D"/>
    <w:rsid w:val="1C002585"/>
    <w:rsid w:val="1C013E8D"/>
    <w:rsid w:val="1C1A383E"/>
    <w:rsid w:val="1C4038E2"/>
    <w:rsid w:val="1C4B6948"/>
    <w:rsid w:val="1C4F2EAE"/>
    <w:rsid w:val="1C626FE1"/>
    <w:rsid w:val="1C6D5B56"/>
    <w:rsid w:val="1C892E40"/>
    <w:rsid w:val="1CA02747"/>
    <w:rsid w:val="1CA93C11"/>
    <w:rsid w:val="1CC34B87"/>
    <w:rsid w:val="1CD43F85"/>
    <w:rsid w:val="1CEF65EE"/>
    <w:rsid w:val="1D03498D"/>
    <w:rsid w:val="1D05038E"/>
    <w:rsid w:val="1D187892"/>
    <w:rsid w:val="1D1A47EC"/>
    <w:rsid w:val="1D1B5751"/>
    <w:rsid w:val="1D3507DE"/>
    <w:rsid w:val="1D35281F"/>
    <w:rsid w:val="1D3F0C04"/>
    <w:rsid w:val="1D427C85"/>
    <w:rsid w:val="1D7015F7"/>
    <w:rsid w:val="1D7A6088"/>
    <w:rsid w:val="1D8F3601"/>
    <w:rsid w:val="1D940BD2"/>
    <w:rsid w:val="1DB13F45"/>
    <w:rsid w:val="1DB542AF"/>
    <w:rsid w:val="1DE970CC"/>
    <w:rsid w:val="1DF42C5F"/>
    <w:rsid w:val="1E0265C9"/>
    <w:rsid w:val="1E105F3D"/>
    <w:rsid w:val="1E1E03EB"/>
    <w:rsid w:val="1E327C33"/>
    <w:rsid w:val="1E4446D7"/>
    <w:rsid w:val="1E4B283A"/>
    <w:rsid w:val="1E4D7A46"/>
    <w:rsid w:val="1E5C6A88"/>
    <w:rsid w:val="1E6270A9"/>
    <w:rsid w:val="1E821DCA"/>
    <w:rsid w:val="1E944199"/>
    <w:rsid w:val="1E9D24EC"/>
    <w:rsid w:val="1EA009F9"/>
    <w:rsid w:val="1EA02407"/>
    <w:rsid w:val="1EAD339B"/>
    <w:rsid w:val="1EC92F6C"/>
    <w:rsid w:val="1ECA27DC"/>
    <w:rsid w:val="1ECD38F0"/>
    <w:rsid w:val="1EF349F7"/>
    <w:rsid w:val="1EFE6F5F"/>
    <w:rsid w:val="1F047AD6"/>
    <w:rsid w:val="1F0D377B"/>
    <w:rsid w:val="1F271738"/>
    <w:rsid w:val="1F2A55BE"/>
    <w:rsid w:val="1F3259F7"/>
    <w:rsid w:val="1F337BBE"/>
    <w:rsid w:val="1F4F3465"/>
    <w:rsid w:val="1F592AAE"/>
    <w:rsid w:val="1F705FE2"/>
    <w:rsid w:val="1F7C6EC7"/>
    <w:rsid w:val="1F8A2531"/>
    <w:rsid w:val="1F8A4C17"/>
    <w:rsid w:val="1F8A64E5"/>
    <w:rsid w:val="1F8C2D61"/>
    <w:rsid w:val="1F8C3049"/>
    <w:rsid w:val="1F8E1F2C"/>
    <w:rsid w:val="1F9F7B23"/>
    <w:rsid w:val="1FB2572C"/>
    <w:rsid w:val="1FC0112A"/>
    <w:rsid w:val="1FC83267"/>
    <w:rsid w:val="1FC95705"/>
    <w:rsid w:val="1FCD3053"/>
    <w:rsid w:val="1FD06C40"/>
    <w:rsid w:val="1FF75287"/>
    <w:rsid w:val="1FF8420E"/>
    <w:rsid w:val="20010AC4"/>
    <w:rsid w:val="204D1BA0"/>
    <w:rsid w:val="207521E2"/>
    <w:rsid w:val="20CD31D3"/>
    <w:rsid w:val="20D075AF"/>
    <w:rsid w:val="20E829E9"/>
    <w:rsid w:val="21414664"/>
    <w:rsid w:val="216719CF"/>
    <w:rsid w:val="21691182"/>
    <w:rsid w:val="21776FEA"/>
    <w:rsid w:val="219B46C0"/>
    <w:rsid w:val="21DC7458"/>
    <w:rsid w:val="21EB6773"/>
    <w:rsid w:val="21FA5F77"/>
    <w:rsid w:val="22100368"/>
    <w:rsid w:val="22231096"/>
    <w:rsid w:val="222C770C"/>
    <w:rsid w:val="22357554"/>
    <w:rsid w:val="22404410"/>
    <w:rsid w:val="22472028"/>
    <w:rsid w:val="22627DAF"/>
    <w:rsid w:val="228220EF"/>
    <w:rsid w:val="2291544A"/>
    <w:rsid w:val="229A1A27"/>
    <w:rsid w:val="229E3E63"/>
    <w:rsid w:val="22A422E7"/>
    <w:rsid w:val="22BF384A"/>
    <w:rsid w:val="23082F18"/>
    <w:rsid w:val="230B4296"/>
    <w:rsid w:val="232121CB"/>
    <w:rsid w:val="23251EBF"/>
    <w:rsid w:val="23611AA8"/>
    <w:rsid w:val="23730FB4"/>
    <w:rsid w:val="237A7940"/>
    <w:rsid w:val="237C64DD"/>
    <w:rsid w:val="23894547"/>
    <w:rsid w:val="239F1154"/>
    <w:rsid w:val="23A963D3"/>
    <w:rsid w:val="23B45DDB"/>
    <w:rsid w:val="23BA2DB9"/>
    <w:rsid w:val="23D330FD"/>
    <w:rsid w:val="23D573B7"/>
    <w:rsid w:val="23D93314"/>
    <w:rsid w:val="24035914"/>
    <w:rsid w:val="240C5602"/>
    <w:rsid w:val="240C7501"/>
    <w:rsid w:val="244D1E72"/>
    <w:rsid w:val="244E14D1"/>
    <w:rsid w:val="24515E36"/>
    <w:rsid w:val="247A4C46"/>
    <w:rsid w:val="24CB61E3"/>
    <w:rsid w:val="24D3557D"/>
    <w:rsid w:val="24D53654"/>
    <w:rsid w:val="24D94D45"/>
    <w:rsid w:val="24F51C7B"/>
    <w:rsid w:val="24F67D0A"/>
    <w:rsid w:val="24FE43C1"/>
    <w:rsid w:val="251844C0"/>
    <w:rsid w:val="256C3F6A"/>
    <w:rsid w:val="25745656"/>
    <w:rsid w:val="25751D82"/>
    <w:rsid w:val="257D5E3E"/>
    <w:rsid w:val="2589565F"/>
    <w:rsid w:val="25B37788"/>
    <w:rsid w:val="25B80625"/>
    <w:rsid w:val="25CA67A4"/>
    <w:rsid w:val="25CF0B3D"/>
    <w:rsid w:val="25DC69EB"/>
    <w:rsid w:val="25FE02AD"/>
    <w:rsid w:val="26046863"/>
    <w:rsid w:val="261D3957"/>
    <w:rsid w:val="263F2D61"/>
    <w:rsid w:val="26410598"/>
    <w:rsid w:val="264371B1"/>
    <w:rsid w:val="264B15AB"/>
    <w:rsid w:val="265D1F60"/>
    <w:rsid w:val="26666407"/>
    <w:rsid w:val="267423BD"/>
    <w:rsid w:val="26AC7A5D"/>
    <w:rsid w:val="26AE56C6"/>
    <w:rsid w:val="26B72E35"/>
    <w:rsid w:val="271A639C"/>
    <w:rsid w:val="27456700"/>
    <w:rsid w:val="2748147D"/>
    <w:rsid w:val="274C1661"/>
    <w:rsid w:val="275E773E"/>
    <w:rsid w:val="27624B71"/>
    <w:rsid w:val="27705DC5"/>
    <w:rsid w:val="278F7178"/>
    <w:rsid w:val="2797766B"/>
    <w:rsid w:val="279C34E0"/>
    <w:rsid w:val="27D12FB3"/>
    <w:rsid w:val="27EE15CC"/>
    <w:rsid w:val="27FE3FF6"/>
    <w:rsid w:val="280038A4"/>
    <w:rsid w:val="28127096"/>
    <w:rsid w:val="281B41E6"/>
    <w:rsid w:val="2838232C"/>
    <w:rsid w:val="285A7886"/>
    <w:rsid w:val="285C2D80"/>
    <w:rsid w:val="28695D07"/>
    <w:rsid w:val="28794180"/>
    <w:rsid w:val="2879569B"/>
    <w:rsid w:val="2880325F"/>
    <w:rsid w:val="28811B5D"/>
    <w:rsid w:val="28997D6B"/>
    <w:rsid w:val="289E7507"/>
    <w:rsid w:val="28B03EDC"/>
    <w:rsid w:val="28C35701"/>
    <w:rsid w:val="28D04295"/>
    <w:rsid w:val="28DD4D28"/>
    <w:rsid w:val="28E9401B"/>
    <w:rsid w:val="28F27ACD"/>
    <w:rsid w:val="295922C9"/>
    <w:rsid w:val="296678DE"/>
    <w:rsid w:val="29771FC0"/>
    <w:rsid w:val="298525A4"/>
    <w:rsid w:val="29952BB0"/>
    <w:rsid w:val="29BE533C"/>
    <w:rsid w:val="29CA4186"/>
    <w:rsid w:val="29CD0E8E"/>
    <w:rsid w:val="29DF71F1"/>
    <w:rsid w:val="29EF3CAC"/>
    <w:rsid w:val="2A0B1891"/>
    <w:rsid w:val="2A137D93"/>
    <w:rsid w:val="2A1E1807"/>
    <w:rsid w:val="2A367599"/>
    <w:rsid w:val="2A3D146F"/>
    <w:rsid w:val="2A43406C"/>
    <w:rsid w:val="2A511729"/>
    <w:rsid w:val="2A560CE2"/>
    <w:rsid w:val="2A576701"/>
    <w:rsid w:val="2A5E4D49"/>
    <w:rsid w:val="2A64717E"/>
    <w:rsid w:val="2A952CE0"/>
    <w:rsid w:val="2AA264BE"/>
    <w:rsid w:val="2AAB0A07"/>
    <w:rsid w:val="2AC10178"/>
    <w:rsid w:val="2AC46ED9"/>
    <w:rsid w:val="2AD00A89"/>
    <w:rsid w:val="2AD24BE4"/>
    <w:rsid w:val="2B011A38"/>
    <w:rsid w:val="2B047301"/>
    <w:rsid w:val="2B110CA4"/>
    <w:rsid w:val="2B5959F2"/>
    <w:rsid w:val="2BC2724C"/>
    <w:rsid w:val="2BCB424D"/>
    <w:rsid w:val="2BCC22B5"/>
    <w:rsid w:val="2BD069FA"/>
    <w:rsid w:val="2BE52D47"/>
    <w:rsid w:val="2BE80807"/>
    <w:rsid w:val="2C141E15"/>
    <w:rsid w:val="2C211DD4"/>
    <w:rsid w:val="2C2629B3"/>
    <w:rsid w:val="2C28117F"/>
    <w:rsid w:val="2C2B1655"/>
    <w:rsid w:val="2C2E232C"/>
    <w:rsid w:val="2C356436"/>
    <w:rsid w:val="2C540489"/>
    <w:rsid w:val="2C590749"/>
    <w:rsid w:val="2C6447D4"/>
    <w:rsid w:val="2C6C24EF"/>
    <w:rsid w:val="2C7A1DDD"/>
    <w:rsid w:val="2C977A39"/>
    <w:rsid w:val="2C982C03"/>
    <w:rsid w:val="2CAC37B6"/>
    <w:rsid w:val="2CAF5F72"/>
    <w:rsid w:val="2CB0631D"/>
    <w:rsid w:val="2CC25976"/>
    <w:rsid w:val="2CCF5AF8"/>
    <w:rsid w:val="2CD640B7"/>
    <w:rsid w:val="2CE73404"/>
    <w:rsid w:val="2CFA6991"/>
    <w:rsid w:val="2D302FA6"/>
    <w:rsid w:val="2D430EE6"/>
    <w:rsid w:val="2D51623A"/>
    <w:rsid w:val="2D5B7B62"/>
    <w:rsid w:val="2D5D1D2E"/>
    <w:rsid w:val="2D6C6665"/>
    <w:rsid w:val="2D766B29"/>
    <w:rsid w:val="2D7A420A"/>
    <w:rsid w:val="2D937B7C"/>
    <w:rsid w:val="2D97311C"/>
    <w:rsid w:val="2DAA0EC3"/>
    <w:rsid w:val="2DD01D12"/>
    <w:rsid w:val="2DD36896"/>
    <w:rsid w:val="2E031BF1"/>
    <w:rsid w:val="2E2F3709"/>
    <w:rsid w:val="2E467E19"/>
    <w:rsid w:val="2E647C32"/>
    <w:rsid w:val="2E6A041D"/>
    <w:rsid w:val="2E6F7B2F"/>
    <w:rsid w:val="2E917D08"/>
    <w:rsid w:val="2E9364F7"/>
    <w:rsid w:val="2EA53129"/>
    <w:rsid w:val="2EAA1D4E"/>
    <w:rsid w:val="2EB00DB7"/>
    <w:rsid w:val="2EB21B04"/>
    <w:rsid w:val="2EB414A9"/>
    <w:rsid w:val="2EC818A3"/>
    <w:rsid w:val="2ED534AD"/>
    <w:rsid w:val="2EDB55CC"/>
    <w:rsid w:val="2EF85EEE"/>
    <w:rsid w:val="2F065507"/>
    <w:rsid w:val="2F107031"/>
    <w:rsid w:val="2F1A13EC"/>
    <w:rsid w:val="2F283A30"/>
    <w:rsid w:val="2F3914E4"/>
    <w:rsid w:val="2F446901"/>
    <w:rsid w:val="2F546F35"/>
    <w:rsid w:val="2F552EFD"/>
    <w:rsid w:val="2F572943"/>
    <w:rsid w:val="2F602647"/>
    <w:rsid w:val="2F68373F"/>
    <w:rsid w:val="2F6D58B7"/>
    <w:rsid w:val="2F75128C"/>
    <w:rsid w:val="2F7A2550"/>
    <w:rsid w:val="2F88329D"/>
    <w:rsid w:val="2F8E1F77"/>
    <w:rsid w:val="2FA85145"/>
    <w:rsid w:val="2FBB37A1"/>
    <w:rsid w:val="3019443A"/>
    <w:rsid w:val="303871D4"/>
    <w:rsid w:val="306238C0"/>
    <w:rsid w:val="30685798"/>
    <w:rsid w:val="307E2F17"/>
    <w:rsid w:val="30881349"/>
    <w:rsid w:val="30885946"/>
    <w:rsid w:val="309C4B2B"/>
    <w:rsid w:val="309E4B6F"/>
    <w:rsid w:val="30AC1EC7"/>
    <w:rsid w:val="30AF6A06"/>
    <w:rsid w:val="30B100A9"/>
    <w:rsid w:val="30B750E9"/>
    <w:rsid w:val="30D3528A"/>
    <w:rsid w:val="30D3538C"/>
    <w:rsid w:val="30E26345"/>
    <w:rsid w:val="30F55F21"/>
    <w:rsid w:val="30F82DBC"/>
    <w:rsid w:val="310A4481"/>
    <w:rsid w:val="316E1263"/>
    <w:rsid w:val="31827AB8"/>
    <w:rsid w:val="3188634A"/>
    <w:rsid w:val="319871B4"/>
    <w:rsid w:val="31A40819"/>
    <w:rsid w:val="31AF0B7B"/>
    <w:rsid w:val="31C63155"/>
    <w:rsid w:val="31D53792"/>
    <w:rsid w:val="31E64E7D"/>
    <w:rsid w:val="31EF141A"/>
    <w:rsid w:val="31FA1207"/>
    <w:rsid w:val="31FF299C"/>
    <w:rsid w:val="32205325"/>
    <w:rsid w:val="32415A73"/>
    <w:rsid w:val="32496F95"/>
    <w:rsid w:val="32582CA4"/>
    <w:rsid w:val="326324D5"/>
    <w:rsid w:val="32665C12"/>
    <w:rsid w:val="326D4C57"/>
    <w:rsid w:val="327F3972"/>
    <w:rsid w:val="32884EE9"/>
    <w:rsid w:val="32917D4D"/>
    <w:rsid w:val="32996FE7"/>
    <w:rsid w:val="32A9190B"/>
    <w:rsid w:val="32AC3A0F"/>
    <w:rsid w:val="32B56BE9"/>
    <w:rsid w:val="32FE1CCF"/>
    <w:rsid w:val="33004414"/>
    <w:rsid w:val="3300737D"/>
    <w:rsid w:val="330700B2"/>
    <w:rsid w:val="330C6EBF"/>
    <w:rsid w:val="332F2B56"/>
    <w:rsid w:val="333A3EFE"/>
    <w:rsid w:val="3342795B"/>
    <w:rsid w:val="334558B8"/>
    <w:rsid w:val="33492D21"/>
    <w:rsid w:val="335525DE"/>
    <w:rsid w:val="337B5566"/>
    <w:rsid w:val="337C1FEC"/>
    <w:rsid w:val="339E64B4"/>
    <w:rsid w:val="33D164BD"/>
    <w:rsid w:val="33D635DF"/>
    <w:rsid w:val="33EC36A3"/>
    <w:rsid w:val="343750EC"/>
    <w:rsid w:val="3439753C"/>
    <w:rsid w:val="34400159"/>
    <w:rsid w:val="344A4572"/>
    <w:rsid w:val="34505446"/>
    <w:rsid w:val="34773088"/>
    <w:rsid w:val="347D6C18"/>
    <w:rsid w:val="34C364DE"/>
    <w:rsid w:val="34C6193E"/>
    <w:rsid w:val="34D174A7"/>
    <w:rsid w:val="34D71FE4"/>
    <w:rsid w:val="34D96C05"/>
    <w:rsid w:val="34DA7F3F"/>
    <w:rsid w:val="34DC2A0C"/>
    <w:rsid w:val="34DC763C"/>
    <w:rsid w:val="34E9791B"/>
    <w:rsid w:val="34EE533C"/>
    <w:rsid w:val="350F09AA"/>
    <w:rsid w:val="35147AA6"/>
    <w:rsid w:val="35326296"/>
    <w:rsid w:val="3548538E"/>
    <w:rsid w:val="35606AD4"/>
    <w:rsid w:val="35606EA8"/>
    <w:rsid w:val="357C5482"/>
    <w:rsid w:val="358412D5"/>
    <w:rsid w:val="35974495"/>
    <w:rsid w:val="35C73548"/>
    <w:rsid w:val="35D53119"/>
    <w:rsid w:val="35DD2092"/>
    <w:rsid w:val="35E20E82"/>
    <w:rsid w:val="35E35873"/>
    <w:rsid w:val="35FB59C3"/>
    <w:rsid w:val="36435F07"/>
    <w:rsid w:val="365244C0"/>
    <w:rsid w:val="365B7202"/>
    <w:rsid w:val="365C6B38"/>
    <w:rsid w:val="366C0593"/>
    <w:rsid w:val="367365DD"/>
    <w:rsid w:val="36866492"/>
    <w:rsid w:val="36A872AC"/>
    <w:rsid w:val="36AD6CF6"/>
    <w:rsid w:val="36E51B72"/>
    <w:rsid w:val="37023740"/>
    <w:rsid w:val="370D353C"/>
    <w:rsid w:val="37136D44"/>
    <w:rsid w:val="371D4D9D"/>
    <w:rsid w:val="37226269"/>
    <w:rsid w:val="373C419B"/>
    <w:rsid w:val="37401B57"/>
    <w:rsid w:val="37403D51"/>
    <w:rsid w:val="37574882"/>
    <w:rsid w:val="375B56E4"/>
    <w:rsid w:val="37601823"/>
    <w:rsid w:val="37730EB6"/>
    <w:rsid w:val="37736018"/>
    <w:rsid w:val="378A5038"/>
    <w:rsid w:val="37B3147B"/>
    <w:rsid w:val="37D62DDB"/>
    <w:rsid w:val="37D8170F"/>
    <w:rsid w:val="380B6268"/>
    <w:rsid w:val="38217C9A"/>
    <w:rsid w:val="3836571D"/>
    <w:rsid w:val="383A5157"/>
    <w:rsid w:val="383D75EB"/>
    <w:rsid w:val="38434F07"/>
    <w:rsid w:val="387F3B47"/>
    <w:rsid w:val="3884551B"/>
    <w:rsid w:val="389A030C"/>
    <w:rsid w:val="38A92F1F"/>
    <w:rsid w:val="38D03A77"/>
    <w:rsid w:val="38E73CA6"/>
    <w:rsid w:val="38EE10FA"/>
    <w:rsid w:val="390461D1"/>
    <w:rsid w:val="392F0600"/>
    <w:rsid w:val="392F4AE9"/>
    <w:rsid w:val="39355CD3"/>
    <w:rsid w:val="394E77F3"/>
    <w:rsid w:val="396B38CD"/>
    <w:rsid w:val="397D26A8"/>
    <w:rsid w:val="39853E78"/>
    <w:rsid w:val="399D355E"/>
    <w:rsid w:val="39A93295"/>
    <w:rsid w:val="39CB420E"/>
    <w:rsid w:val="39DB623F"/>
    <w:rsid w:val="39DF0FCD"/>
    <w:rsid w:val="39F219BA"/>
    <w:rsid w:val="3A4E6069"/>
    <w:rsid w:val="3A5C1971"/>
    <w:rsid w:val="3A5C6A91"/>
    <w:rsid w:val="3A773DC0"/>
    <w:rsid w:val="3A904CF7"/>
    <w:rsid w:val="3A94461A"/>
    <w:rsid w:val="3A963DC9"/>
    <w:rsid w:val="3AB169AF"/>
    <w:rsid w:val="3AB86C43"/>
    <w:rsid w:val="3ABA4D1F"/>
    <w:rsid w:val="3AE70110"/>
    <w:rsid w:val="3AEB2FD4"/>
    <w:rsid w:val="3B1D29D7"/>
    <w:rsid w:val="3B2D7F9D"/>
    <w:rsid w:val="3B3110EA"/>
    <w:rsid w:val="3B412931"/>
    <w:rsid w:val="3B563F19"/>
    <w:rsid w:val="3B5C5FF5"/>
    <w:rsid w:val="3B5D674E"/>
    <w:rsid w:val="3B64566D"/>
    <w:rsid w:val="3B71722E"/>
    <w:rsid w:val="3B837A61"/>
    <w:rsid w:val="3B8C3722"/>
    <w:rsid w:val="3B8F507F"/>
    <w:rsid w:val="3BA50A28"/>
    <w:rsid w:val="3BDB1CD0"/>
    <w:rsid w:val="3BEA4B0D"/>
    <w:rsid w:val="3BF719B5"/>
    <w:rsid w:val="3BFC4CE9"/>
    <w:rsid w:val="3C190D56"/>
    <w:rsid w:val="3C2E1203"/>
    <w:rsid w:val="3C3741C1"/>
    <w:rsid w:val="3C44089D"/>
    <w:rsid w:val="3C4D6231"/>
    <w:rsid w:val="3C4F3575"/>
    <w:rsid w:val="3C6D56FC"/>
    <w:rsid w:val="3C6F47A3"/>
    <w:rsid w:val="3C72054A"/>
    <w:rsid w:val="3C8B2BAF"/>
    <w:rsid w:val="3C9C5B0C"/>
    <w:rsid w:val="3CA05803"/>
    <w:rsid w:val="3CCD5724"/>
    <w:rsid w:val="3CEE51ED"/>
    <w:rsid w:val="3CF42897"/>
    <w:rsid w:val="3D0177AB"/>
    <w:rsid w:val="3D0B73BA"/>
    <w:rsid w:val="3D243BAA"/>
    <w:rsid w:val="3D322898"/>
    <w:rsid w:val="3D3C0BE3"/>
    <w:rsid w:val="3D3E106D"/>
    <w:rsid w:val="3D414AB7"/>
    <w:rsid w:val="3D446AC3"/>
    <w:rsid w:val="3D580CA5"/>
    <w:rsid w:val="3D6052A9"/>
    <w:rsid w:val="3D6B1344"/>
    <w:rsid w:val="3D8E6FE2"/>
    <w:rsid w:val="3D996E16"/>
    <w:rsid w:val="3DCA20A9"/>
    <w:rsid w:val="3DCF546D"/>
    <w:rsid w:val="3DD95C36"/>
    <w:rsid w:val="3DE570B5"/>
    <w:rsid w:val="3DF703C2"/>
    <w:rsid w:val="3DF705C0"/>
    <w:rsid w:val="3E0343FE"/>
    <w:rsid w:val="3E21708F"/>
    <w:rsid w:val="3E2B4481"/>
    <w:rsid w:val="3E356FD7"/>
    <w:rsid w:val="3E3F2ABC"/>
    <w:rsid w:val="3E55030C"/>
    <w:rsid w:val="3E701F58"/>
    <w:rsid w:val="3E8D5959"/>
    <w:rsid w:val="3E9039C3"/>
    <w:rsid w:val="3E9117C1"/>
    <w:rsid w:val="3E9D50F4"/>
    <w:rsid w:val="3EA010DF"/>
    <w:rsid w:val="3EA468B2"/>
    <w:rsid w:val="3EC02ABE"/>
    <w:rsid w:val="3EC276E2"/>
    <w:rsid w:val="3EC73E6A"/>
    <w:rsid w:val="3EF05A3F"/>
    <w:rsid w:val="3EF249A2"/>
    <w:rsid w:val="3F087A66"/>
    <w:rsid w:val="3F1375CB"/>
    <w:rsid w:val="3F380934"/>
    <w:rsid w:val="3F4D2E53"/>
    <w:rsid w:val="3F582FE6"/>
    <w:rsid w:val="3F5B691F"/>
    <w:rsid w:val="3F60020F"/>
    <w:rsid w:val="3FC20769"/>
    <w:rsid w:val="3FCE0C5C"/>
    <w:rsid w:val="3FCF4B6D"/>
    <w:rsid w:val="3FDB5E3F"/>
    <w:rsid w:val="3FEC1328"/>
    <w:rsid w:val="40022708"/>
    <w:rsid w:val="400533F8"/>
    <w:rsid w:val="40145224"/>
    <w:rsid w:val="402B1DA8"/>
    <w:rsid w:val="40324460"/>
    <w:rsid w:val="403748BA"/>
    <w:rsid w:val="403D170A"/>
    <w:rsid w:val="40493707"/>
    <w:rsid w:val="4062329B"/>
    <w:rsid w:val="40A3506D"/>
    <w:rsid w:val="40AA18DC"/>
    <w:rsid w:val="40B81A26"/>
    <w:rsid w:val="40C727FA"/>
    <w:rsid w:val="40C82603"/>
    <w:rsid w:val="40D24B47"/>
    <w:rsid w:val="40E02271"/>
    <w:rsid w:val="40E17A55"/>
    <w:rsid w:val="40E31F1C"/>
    <w:rsid w:val="41082CA3"/>
    <w:rsid w:val="410C704B"/>
    <w:rsid w:val="41144029"/>
    <w:rsid w:val="411529F6"/>
    <w:rsid w:val="411616BE"/>
    <w:rsid w:val="41205276"/>
    <w:rsid w:val="4149439E"/>
    <w:rsid w:val="41663D4A"/>
    <w:rsid w:val="416662E5"/>
    <w:rsid w:val="4173499D"/>
    <w:rsid w:val="41777F91"/>
    <w:rsid w:val="4180246D"/>
    <w:rsid w:val="41892D29"/>
    <w:rsid w:val="418A398C"/>
    <w:rsid w:val="418F5A8F"/>
    <w:rsid w:val="419800B1"/>
    <w:rsid w:val="419A016D"/>
    <w:rsid w:val="41A00103"/>
    <w:rsid w:val="41A27D73"/>
    <w:rsid w:val="41BA5535"/>
    <w:rsid w:val="41C36348"/>
    <w:rsid w:val="41C44649"/>
    <w:rsid w:val="41CF5CC4"/>
    <w:rsid w:val="41D63936"/>
    <w:rsid w:val="41EF50D5"/>
    <w:rsid w:val="41F60756"/>
    <w:rsid w:val="420500E7"/>
    <w:rsid w:val="42183380"/>
    <w:rsid w:val="42294054"/>
    <w:rsid w:val="422D7D44"/>
    <w:rsid w:val="42306FFC"/>
    <w:rsid w:val="423E2AFB"/>
    <w:rsid w:val="423E5A81"/>
    <w:rsid w:val="424D27F3"/>
    <w:rsid w:val="424E7918"/>
    <w:rsid w:val="427E64E9"/>
    <w:rsid w:val="428647B3"/>
    <w:rsid w:val="42A60887"/>
    <w:rsid w:val="42A71D96"/>
    <w:rsid w:val="42B9574D"/>
    <w:rsid w:val="42CA2026"/>
    <w:rsid w:val="42D23B46"/>
    <w:rsid w:val="42DC12FC"/>
    <w:rsid w:val="42E856AB"/>
    <w:rsid w:val="42ED7258"/>
    <w:rsid w:val="430C3023"/>
    <w:rsid w:val="43150888"/>
    <w:rsid w:val="432A43B1"/>
    <w:rsid w:val="432B58BF"/>
    <w:rsid w:val="4340484F"/>
    <w:rsid w:val="43480FA1"/>
    <w:rsid w:val="43686110"/>
    <w:rsid w:val="43754D3E"/>
    <w:rsid w:val="43791C9C"/>
    <w:rsid w:val="437B2E48"/>
    <w:rsid w:val="439057E6"/>
    <w:rsid w:val="43A50465"/>
    <w:rsid w:val="43A754E0"/>
    <w:rsid w:val="43C22026"/>
    <w:rsid w:val="43D578ED"/>
    <w:rsid w:val="43D7791C"/>
    <w:rsid w:val="43DF2D7C"/>
    <w:rsid w:val="43DF5F16"/>
    <w:rsid w:val="43F36406"/>
    <w:rsid w:val="440F4CD4"/>
    <w:rsid w:val="441C0C3C"/>
    <w:rsid w:val="44305977"/>
    <w:rsid w:val="44385FF0"/>
    <w:rsid w:val="443D2051"/>
    <w:rsid w:val="445745C9"/>
    <w:rsid w:val="446A342A"/>
    <w:rsid w:val="448D7661"/>
    <w:rsid w:val="44920377"/>
    <w:rsid w:val="44C40A3F"/>
    <w:rsid w:val="44D72CB2"/>
    <w:rsid w:val="44DD31E5"/>
    <w:rsid w:val="44E90BBC"/>
    <w:rsid w:val="45014C68"/>
    <w:rsid w:val="451C251E"/>
    <w:rsid w:val="45281887"/>
    <w:rsid w:val="452979C1"/>
    <w:rsid w:val="452A4224"/>
    <w:rsid w:val="45317FAC"/>
    <w:rsid w:val="4532116C"/>
    <w:rsid w:val="453501A2"/>
    <w:rsid w:val="454E0F92"/>
    <w:rsid w:val="45680F7E"/>
    <w:rsid w:val="45685BAF"/>
    <w:rsid w:val="456B00A5"/>
    <w:rsid w:val="457D79E6"/>
    <w:rsid w:val="45987EF4"/>
    <w:rsid w:val="45C80E41"/>
    <w:rsid w:val="45CC0204"/>
    <w:rsid w:val="45E70576"/>
    <w:rsid w:val="45F9082B"/>
    <w:rsid w:val="46027393"/>
    <w:rsid w:val="46161CA8"/>
    <w:rsid w:val="46202255"/>
    <w:rsid w:val="46202A8A"/>
    <w:rsid w:val="4622021C"/>
    <w:rsid w:val="46475AAD"/>
    <w:rsid w:val="464F7B3E"/>
    <w:rsid w:val="465B3F8E"/>
    <w:rsid w:val="466756C2"/>
    <w:rsid w:val="466D512A"/>
    <w:rsid w:val="466E6575"/>
    <w:rsid w:val="46731298"/>
    <w:rsid w:val="46773453"/>
    <w:rsid w:val="46846D1F"/>
    <w:rsid w:val="46883E8D"/>
    <w:rsid w:val="468D56E1"/>
    <w:rsid w:val="469A54A3"/>
    <w:rsid w:val="46C71EC7"/>
    <w:rsid w:val="46D70F7D"/>
    <w:rsid w:val="46F72C7F"/>
    <w:rsid w:val="46F816FF"/>
    <w:rsid w:val="470460A7"/>
    <w:rsid w:val="471277D5"/>
    <w:rsid w:val="47205B9E"/>
    <w:rsid w:val="47274BF7"/>
    <w:rsid w:val="473A79C0"/>
    <w:rsid w:val="474E1AD2"/>
    <w:rsid w:val="47550CBF"/>
    <w:rsid w:val="475E1BDA"/>
    <w:rsid w:val="476E7CCD"/>
    <w:rsid w:val="477603CE"/>
    <w:rsid w:val="479036E2"/>
    <w:rsid w:val="479D21BD"/>
    <w:rsid w:val="47A00966"/>
    <w:rsid w:val="47B13649"/>
    <w:rsid w:val="47CA42E5"/>
    <w:rsid w:val="47CF6B8F"/>
    <w:rsid w:val="47DA6A0B"/>
    <w:rsid w:val="47E646DD"/>
    <w:rsid w:val="47ED1B40"/>
    <w:rsid w:val="480A0F4F"/>
    <w:rsid w:val="481E412E"/>
    <w:rsid w:val="4821443B"/>
    <w:rsid w:val="483978CC"/>
    <w:rsid w:val="484F3841"/>
    <w:rsid w:val="48511D8E"/>
    <w:rsid w:val="487F76A0"/>
    <w:rsid w:val="48871D22"/>
    <w:rsid w:val="488A59C1"/>
    <w:rsid w:val="489819CE"/>
    <w:rsid w:val="48A07A76"/>
    <w:rsid w:val="48A67679"/>
    <w:rsid w:val="48B621A8"/>
    <w:rsid w:val="48C578E3"/>
    <w:rsid w:val="48C9217E"/>
    <w:rsid w:val="48D83CAF"/>
    <w:rsid w:val="48DC48DA"/>
    <w:rsid w:val="48F20BC8"/>
    <w:rsid w:val="490954E4"/>
    <w:rsid w:val="491002A4"/>
    <w:rsid w:val="491218B5"/>
    <w:rsid w:val="49332CF8"/>
    <w:rsid w:val="49473AA6"/>
    <w:rsid w:val="494E2FE6"/>
    <w:rsid w:val="495014A4"/>
    <w:rsid w:val="4954625C"/>
    <w:rsid w:val="49644ED5"/>
    <w:rsid w:val="49680B13"/>
    <w:rsid w:val="4969260F"/>
    <w:rsid w:val="496F1504"/>
    <w:rsid w:val="49760BD6"/>
    <w:rsid w:val="497B0920"/>
    <w:rsid w:val="499D251E"/>
    <w:rsid w:val="499E049A"/>
    <w:rsid w:val="49A13685"/>
    <w:rsid w:val="49B72AFF"/>
    <w:rsid w:val="49BC6743"/>
    <w:rsid w:val="49CD38A2"/>
    <w:rsid w:val="49F400B0"/>
    <w:rsid w:val="49FD7FAA"/>
    <w:rsid w:val="4A095651"/>
    <w:rsid w:val="4A3A1372"/>
    <w:rsid w:val="4A3A5CA3"/>
    <w:rsid w:val="4A5A4236"/>
    <w:rsid w:val="4A731BCB"/>
    <w:rsid w:val="4A816719"/>
    <w:rsid w:val="4AA6664A"/>
    <w:rsid w:val="4AB3551C"/>
    <w:rsid w:val="4AD42C87"/>
    <w:rsid w:val="4AD43457"/>
    <w:rsid w:val="4AE119B4"/>
    <w:rsid w:val="4AE13BDA"/>
    <w:rsid w:val="4AE62824"/>
    <w:rsid w:val="4AF40C34"/>
    <w:rsid w:val="4B1601BD"/>
    <w:rsid w:val="4B263655"/>
    <w:rsid w:val="4B4A5978"/>
    <w:rsid w:val="4B5043FB"/>
    <w:rsid w:val="4B5137FB"/>
    <w:rsid w:val="4B6B60EC"/>
    <w:rsid w:val="4B7213CB"/>
    <w:rsid w:val="4B792E20"/>
    <w:rsid w:val="4B8C5FB0"/>
    <w:rsid w:val="4BA45F9A"/>
    <w:rsid w:val="4BA872BB"/>
    <w:rsid w:val="4BCA2E42"/>
    <w:rsid w:val="4BD97037"/>
    <w:rsid w:val="4BE7081C"/>
    <w:rsid w:val="4BF1707F"/>
    <w:rsid w:val="4BF75BDB"/>
    <w:rsid w:val="4BFB3C84"/>
    <w:rsid w:val="4C133570"/>
    <w:rsid w:val="4C197E81"/>
    <w:rsid w:val="4C3239C9"/>
    <w:rsid w:val="4C7B3F33"/>
    <w:rsid w:val="4C815FBF"/>
    <w:rsid w:val="4CB0199E"/>
    <w:rsid w:val="4CD24F16"/>
    <w:rsid w:val="4CFD3592"/>
    <w:rsid w:val="4D0D7207"/>
    <w:rsid w:val="4D207295"/>
    <w:rsid w:val="4D3A57F2"/>
    <w:rsid w:val="4D605EDA"/>
    <w:rsid w:val="4D655951"/>
    <w:rsid w:val="4D6D13D7"/>
    <w:rsid w:val="4D6F1326"/>
    <w:rsid w:val="4D851DD8"/>
    <w:rsid w:val="4D9C4773"/>
    <w:rsid w:val="4DCF5B52"/>
    <w:rsid w:val="4DEA04A5"/>
    <w:rsid w:val="4DEB67E2"/>
    <w:rsid w:val="4DEE41A2"/>
    <w:rsid w:val="4DF6210D"/>
    <w:rsid w:val="4E121CB3"/>
    <w:rsid w:val="4E257E26"/>
    <w:rsid w:val="4E2661C7"/>
    <w:rsid w:val="4E294517"/>
    <w:rsid w:val="4E4C6E2C"/>
    <w:rsid w:val="4E6A44C9"/>
    <w:rsid w:val="4E8B54B6"/>
    <w:rsid w:val="4E8D040E"/>
    <w:rsid w:val="4E8D796A"/>
    <w:rsid w:val="4E962AE4"/>
    <w:rsid w:val="4E966150"/>
    <w:rsid w:val="4EB6460B"/>
    <w:rsid w:val="4EC31654"/>
    <w:rsid w:val="4ED37081"/>
    <w:rsid w:val="4EED45FB"/>
    <w:rsid w:val="4EEF16F7"/>
    <w:rsid w:val="4EF14558"/>
    <w:rsid w:val="4EF23CE7"/>
    <w:rsid w:val="4EFA60D5"/>
    <w:rsid w:val="4EFD2AAF"/>
    <w:rsid w:val="4F072DE9"/>
    <w:rsid w:val="4F0D12DB"/>
    <w:rsid w:val="4F27246D"/>
    <w:rsid w:val="4F3D04B3"/>
    <w:rsid w:val="4F517724"/>
    <w:rsid w:val="4F823656"/>
    <w:rsid w:val="4F9F1800"/>
    <w:rsid w:val="4FA42B32"/>
    <w:rsid w:val="4FA86F85"/>
    <w:rsid w:val="4FB2119C"/>
    <w:rsid w:val="4FC36486"/>
    <w:rsid w:val="4FD0730E"/>
    <w:rsid w:val="4FD51074"/>
    <w:rsid w:val="4FD967F7"/>
    <w:rsid w:val="4FE05D6A"/>
    <w:rsid w:val="4FE07CD0"/>
    <w:rsid w:val="4FF17C1D"/>
    <w:rsid w:val="4FF43BA5"/>
    <w:rsid w:val="500946F8"/>
    <w:rsid w:val="502F7B0F"/>
    <w:rsid w:val="505A756C"/>
    <w:rsid w:val="506D3659"/>
    <w:rsid w:val="506F1732"/>
    <w:rsid w:val="506F726F"/>
    <w:rsid w:val="5080204E"/>
    <w:rsid w:val="50A943D8"/>
    <w:rsid w:val="50BC540F"/>
    <w:rsid w:val="50C10775"/>
    <w:rsid w:val="50C172E5"/>
    <w:rsid w:val="50CB678A"/>
    <w:rsid w:val="50CF6004"/>
    <w:rsid w:val="50D40B95"/>
    <w:rsid w:val="50DF658F"/>
    <w:rsid w:val="50F230FE"/>
    <w:rsid w:val="50F25E76"/>
    <w:rsid w:val="50F61979"/>
    <w:rsid w:val="511D0B68"/>
    <w:rsid w:val="51222C8D"/>
    <w:rsid w:val="51327CF3"/>
    <w:rsid w:val="514A13A9"/>
    <w:rsid w:val="514E0936"/>
    <w:rsid w:val="515C3167"/>
    <w:rsid w:val="515E3727"/>
    <w:rsid w:val="51613E40"/>
    <w:rsid w:val="517B4184"/>
    <w:rsid w:val="51860B49"/>
    <w:rsid w:val="51AA5288"/>
    <w:rsid w:val="51AE6E93"/>
    <w:rsid w:val="51C813D1"/>
    <w:rsid w:val="51DB5583"/>
    <w:rsid w:val="51EA7BC5"/>
    <w:rsid w:val="51F32A3B"/>
    <w:rsid w:val="51F56D8D"/>
    <w:rsid w:val="51FC7BE8"/>
    <w:rsid w:val="51FE10C0"/>
    <w:rsid w:val="52123A2A"/>
    <w:rsid w:val="522E14A4"/>
    <w:rsid w:val="52334CE1"/>
    <w:rsid w:val="52470782"/>
    <w:rsid w:val="52553F10"/>
    <w:rsid w:val="525F7FC1"/>
    <w:rsid w:val="526A6859"/>
    <w:rsid w:val="526B75C4"/>
    <w:rsid w:val="527E44D6"/>
    <w:rsid w:val="52871032"/>
    <w:rsid w:val="52913909"/>
    <w:rsid w:val="529425DA"/>
    <w:rsid w:val="52A826A2"/>
    <w:rsid w:val="52B7211E"/>
    <w:rsid w:val="52BC166C"/>
    <w:rsid w:val="52CE133E"/>
    <w:rsid w:val="52E2319C"/>
    <w:rsid w:val="52E513A4"/>
    <w:rsid w:val="52F002BB"/>
    <w:rsid w:val="52FF0DE8"/>
    <w:rsid w:val="52FF5C2E"/>
    <w:rsid w:val="53102A03"/>
    <w:rsid w:val="5319005E"/>
    <w:rsid w:val="5319109F"/>
    <w:rsid w:val="532D3AA7"/>
    <w:rsid w:val="534E5BBA"/>
    <w:rsid w:val="535552B1"/>
    <w:rsid w:val="536F1F7C"/>
    <w:rsid w:val="539123BF"/>
    <w:rsid w:val="53A57EC4"/>
    <w:rsid w:val="53A866E2"/>
    <w:rsid w:val="53AC3C25"/>
    <w:rsid w:val="53CF58EB"/>
    <w:rsid w:val="53D63F07"/>
    <w:rsid w:val="53DD4803"/>
    <w:rsid w:val="53F37DC9"/>
    <w:rsid w:val="53FC42A7"/>
    <w:rsid w:val="54043E11"/>
    <w:rsid w:val="540A3531"/>
    <w:rsid w:val="541419DB"/>
    <w:rsid w:val="544029E6"/>
    <w:rsid w:val="54485A03"/>
    <w:rsid w:val="54731B1C"/>
    <w:rsid w:val="547826F7"/>
    <w:rsid w:val="547855E5"/>
    <w:rsid w:val="54851441"/>
    <w:rsid w:val="548909C0"/>
    <w:rsid w:val="548F7016"/>
    <w:rsid w:val="54973630"/>
    <w:rsid w:val="54B006DD"/>
    <w:rsid w:val="54C0624C"/>
    <w:rsid w:val="54D946D0"/>
    <w:rsid w:val="54DF2B06"/>
    <w:rsid w:val="54F1744B"/>
    <w:rsid w:val="55151275"/>
    <w:rsid w:val="551B0BE1"/>
    <w:rsid w:val="552C7A4B"/>
    <w:rsid w:val="553546EE"/>
    <w:rsid w:val="553C52B6"/>
    <w:rsid w:val="55556232"/>
    <w:rsid w:val="558A4CEB"/>
    <w:rsid w:val="55A57219"/>
    <w:rsid w:val="55AB54C0"/>
    <w:rsid w:val="55B45DEC"/>
    <w:rsid w:val="55DB5757"/>
    <w:rsid w:val="55DC4D7E"/>
    <w:rsid w:val="55FB6002"/>
    <w:rsid w:val="560A696D"/>
    <w:rsid w:val="56187AE2"/>
    <w:rsid w:val="56253301"/>
    <w:rsid w:val="56306415"/>
    <w:rsid w:val="56433055"/>
    <w:rsid w:val="564848C8"/>
    <w:rsid w:val="56493A7B"/>
    <w:rsid w:val="56494F4D"/>
    <w:rsid w:val="56693403"/>
    <w:rsid w:val="566B198D"/>
    <w:rsid w:val="566C5DCD"/>
    <w:rsid w:val="56782A11"/>
    <w:rsid w:val="56796A26"/>
    <w:rsid w:val="568A6FC6"/>
    <w:rsid w:val="569767A6"/>
    <w:rsid w:val="56B82A6A"/>
    <w:rsid w:val="56C90927"/>
    <w:rsid w:val="56CB66D6"/>
    <w:rsid w:val="56EC02B8"/>
    <w:rsid w:val="56F13FBB"/>
    <w:rsid w:val="56FB620C"/>
    <w:rsid w:val="571114AD"/>
    <w:rsid w:val="571407B3"/>
    <w:rsid w:val="57173E71"/>
    <w:rsid w:val="57254D7F"/>
    <w:rsid w:val="572A4890"/>
    <w:rsid w:val="572A551D"/>
    <w:rsid w:val="57455BA1"/>
    <w:rsid w:val="57564498"/>
    <w:rsid w:val="575E0B32"/>
    <w:rsid w:val="575E2595"/>
    <w:rsid w:val="576D09F0"/>
    <w:rsid w:val="57816879"/>
    <w:rsid w:val="57977C55"/>
    <w:rsid w:val="579F29EC"/>
    <w:rsid w:val="57A47CB9"/>
    <w:rsid w:val="57AE72EB"/>
    <w:rsid w:val="57B2274C"/>
    <w:rsid w:val="57CB17C9"/>
    <w:rsid w:val="57FE3D0F"/>
    <w:rsid w:val="582048A2"/>
    <w:rsid w:val="582C7AEF"/>
    <w:rsid w:val="583479C6"/>
    <w:rsid w:val="583628D0"/>
    <w:rsid w:val="587D4C6A"/>
    <w:rsid w:val="588207E5"/>
    <w:rsid w:val="58923055"/>
    <w:rsid w:val="58B169E0"/>
    <w:rsid w:val="58F5162C"/>
    <w:rsid w:val="5906468B"/>
    <w:rsid w:val="591F3DFD"/>
    <w:rsid w:val="59326A09"/>
    <w:rsid w:val="59407663"/>
    <w:rsid w:val="59717A30"/>
    <w:rsid w:val="59787C88"/>
    <w:rsid w:val="597D22D5"/>
    <w:rsid w:val="598B0EBE"/>
    <w:rsid w:val="59BC638E"/>
    <w:rsid w:val="59DB18AB"/>
    <w:rsid w:val="59DC4515"/>
    <w:rsid w:val="59ED4507"/>
    <w:rsid w:val="59FB17FB"/>
    <w:rsid w:val="5A15655B"/>
    <w:rsid w:val="5A414559"/>
    <w:rsid w:val="5A5921CE"/>
    <w:rsid w:val="5A6C2B42"/>
    <w:rsid w:val="5A6C50F6"/>
    <w:rsid w:val="5A6F7D86"/>
    <w:rsid w:val="5A892C41"/>
    <w:rsid w:val="5A954339"/>
    <w:rsid w:val="5AB431D0"/>
    <w:rsid w:val="5AB6438A"/>
    <w:rsid w:val="5AC64877"/>
    <w:rsid w:val="5ACD7092"/>
    <w:rsid w:val="5ADD5592"/>
    <w:rsid w:val="5AF9385E"/>
    <w:rsid w:val="5B014FFA"/>
    <w:rsid w:val="5B041C8F"/>
    <w:rsid w:val="5B144909"/>
    <w:rsid w:val="5B191BBC"/>
    <w:rsid w:val="5B3E0E45"/>
    <w:rsid w:val="5B410402"/>
    <w:rsid w:val="5B5B0AD6"/>
    <w:rsid w:val="5B5B7CA9"/>
    <w:rsid w:val="5B8B52F1"/>
    <w:rsid w:val="5B8E5B91"/>
    <w:rsid w:val="5B946ABD"/>
    <w:rsid w:val="5BA11E92"/>
    <w:rsid w:val="5BC5585E"/>
    <w:rsid w:val="5BD42EB3"/>
    <w:rsid w:val="5BE56D55"/>
    <w:rsid w:val="5BE9286F"/>
    <w:rsid w:val="5C014CFA"/>
    <w:rsid w:val="5C0236B3"/>
    <w:rsid w:val="5C0D2F8A"/>
    <w:rsid w:val="5C1F5B56"/>
    <w:rsid w:val="5C4D72AF"/>
    <w:rsid w:val="5C502A1E"/>
    <w:rsid w:val="5C6A5FCB"/>
    <w:rsid w:val="5C73106E"/>
    <w:rsid w:val="5C756DFE"/>
    <w:rsid w:val="5C7A3CAD"/>
    <w:rsid w:val="5C977416"/>
    <w:rsid w:val="5C9A5671"/>
    <w:rsid w:val="5C9B0595"/>
    <w:rsid w:val="5CA24024"/>
    <w:rsid w:val="5CA324BB"/>
    <w:rsid w:val="5CBC4993"/>
    <w:rsid w:val="5D0049DD"/>
    <w:rsid w:val="5D0B5D40"/>
    <w:rsid w:val="5D265A6F"/>
    <w:rsid w:val="5D325BEC"/>
    <w:rsid w:val="5D4438D7"/>
    <w:rsid w:val="5D554C07"/>
    <w:rsid w:val="5D5A119B"/>
    <w:rsid w:val="5D6B4BA1"/>
    <w:rsid w:val="5D8D7989"/>
    <w:rsid w:val="5DAB70B1"/>
    <w:rsid w:val="5DAF70D3"/>
    <w:rsid w:val="5DB31359"/>
    <w:rsid w:val="5DBA0C80"/>
    <w:rsid w:val="5DBC0325"/>
    <w:rsid w:val="5DBE143A"/>
    <w:rsid w:val="5DCB4B7B"/>
    <w:rsid w:val="5DE37ED3"/>
    <w:rsid w:val="5DEB5C36"/>
    <w:rsid w:val="5DEC310F"/>
    <w:rsid w:val="5E040C0A"/>
    <w:rsid w:val="5E091D4A"/>
    <w:rsid w:val="5E0E2FC3"/>
    <w:rsid w:val="5E1334EF"/>
    <w:rsid w:val="5E221AED"/>
    <w:rsid w:val="5E2D143A"/>
    <w:rsid w:val="5E3B219E"/>
    <w:rsid w:val="5E532B43"/>
    <w:rsid w:val="5E594F09"/>
    <w:rsid w:val="5E5E35C3"/>
    <w:rsid w:val="5E60314C"/>
    <w:rsid w:val="5E767DD4"/>
    <w:rsid w:val="5E804D7E"/>
    <w:rsid w:val="5E8A5504"/>
    <w:rsid w:val="5E8B3F7C"/>
    <w:rsid w:val="5EB60C92"/>
    <w:rsid w:val="5EB707ED"/>
    <w:rsid w:val="5ED01130"/>
    <w:rsid w:val="5ED11E94"/>
    <w:rsid w:val="5ED34113"/>
    <w:rsid w:val="5ED61C21"/>
    <w:rsid w:val="5ED65260"/>
    <w:rsid w:val="5EE4054E"/>
    <w:rsid w:val="5EFA0CCF"/>
    <w:rsid w:val="5F067D62"/>
    <w:rsid w:val="5F334B7D"/>
    <w:rsid w:val="5F387F5F"/>
    <w:rsid w:val="5F4441A5"/>
    <w:rsid w:val="5F4A3AF4"/>
    <w:rsid w:val="5F4B79DD"/>
    <w:rsid w:val="5F552B06"/>
    <w:rsid w:val="5F5B7789"/>
    <w:rsid w:val="5F632255"/>
    <w:rsid w:val="5F6B3055"/>
    <w:rsid w:val="5F791579"/>
    <w:rsid w:val="5F8639E2"/>
    <w:rsid w:val="5F8C4EC5"/>
    <w:rsid w:val="5F97442F"/>
    <w:rsid w:val="5FC03750"/>
    <w:rsid w:val="5FDE4BAE"/>
    <w:rsid w:val="5FF56DCC"/>
    <w:rsid w:val="5FFC107A"/>
    <w:rsid w:val="603825BE"/>
    <w:rsid w:val="60431034"/>
    <w:rsid w:val="604B30BB"/>
    <w:rsid w:val="6058235F"/>
    <w:rsid w:val="605F0EDF"/>
    <w:rsid w:val="60752ED8"/>
    <w:rsid w:val="60797C83"/>
    <w:rsid w:val="60861551"/>
    <w:rsid w:val="60AA3208"/>
    <w:rsid w:val="60AA584A"/>
    <w:rsid w:val="60B47C9C"/>
    <w:rsid w:val="60C2530C"/>
    <w:rsid w:val="60D71DB0"/>
    <w:rsid w:val="60D72E55"/>
    <w:rsid w:val="60E767F2"/>
    <w:rsid w:val="611C7FBF"/>
    <w:rsid w:val="61367A68"/>
    <w:rsid w:val="617D4C58"/>
    <w:rsid w:val="61C15036"/>
    <w:rsid w:val="61C8020F"/>
    <w:rsid w:val="61E65563"/>
    <w:rsid w:val="61E673A3"/>
    <w:rsid w:val="620A7F08"/>
    <w:rsid w:val="62185524"/>
    <w:rsid w:val="62223F20"/>
    <w:rsid w:val="622B6F0B"/>
    <w:rsid w:val="622C1821"/>
    <w:rsid w:val="623637E1"/>
    <w:rsid w:val="624B27EB"/>
    <w:rsid w:val="624F54C2"/>
    <w:rsid w:val="6253097B"/>
    <w:rsid w:val="626764BC"/>
    <w:rsid w:val="62733DAD"/>
    <w:rsid w:val="627F79C4"/>
    <w:rsid w:val="62845F4E"/>
    <w:rsid w:val="6291461E"/>
    <w:rsid w:val="62A06680"/>
    <w:rsid w:val="62AA1714"/>
    <w:rsid w:val="62B12EEA"/>
    <w:rsid w:val="62B37D76"/>
    <w:rsid w:val="62B63496"/>
    <w:rsid w:val="62B768A2"/>
    <w:rsid w:val="62C4539A"/>
    <w:rsid w:val="62CA7451"/>
    <w:rsid w:val="62D134F3"/>
    <w:rsid w:val="62D13B14"/>
    <w:rsid w:val="62D2324D"/>
    <w:rsid w:val="62F37887"/>
    <w:rsid w:val="62F41AC5"/>
    <w:rsid w:val="62F47FBC"/>
    <w:rsid w:val="62F71C62"/>
    <w:rsid w:val="63151443"/>
    <w:rsid w:val="63356D99"/>
    <w:rsid w:val="63392D24"/>
    <w:rsid w:val="63410A8F"/>
    <w:rsid w:val="63456EA1"/>
    <w:rsid w:val="63524F38"/>
    <w:rsid w:val="63601F82"/>
    <w:rsid w:val="637D0CB1"/>
    <w:rsid w:val="63897936"/>
    <w:rsid w:val="63BB1601"/>
    <w:rsid w:val="63DB377C"/>
    <w:rsid w:val="63F02389"/>
    <w:rsid w:val="63F80BFC"/>
    <w:rsid w:val="640D5917"/>
    <w:rsid w:val="64152AE1"/>
    <w:rsid w:val="641E2836"/>
    <w:rsid w:val="64292A0D"/>
    <w:rsid w:val="64386252"/>
    <w:rsid w:val="643B51BC"/>
    <w:rsid w:val="644273C0"/>
    <w:rsid w:val="644C2D91"/>
    <w:rsid w:val="644D338A"/>
    <w:rsid w:val="646C1ED9"/>
    <w:rsid w:val="64857EEA"/>
    <w:rsid w:val="64911515"/>
    <w:rsid w:val="64B26552"/>
    <w:rsid w:val="64D1343F"/>
    <w:rsid w:val="650E613B"/>
    <w:rsid w:val="652461DC"/>
    <w:rsid w:val="654F75B8"/>
    <w:rsid w:val="65744348"/>
    <w:rsid w:val="65856637"/>
    <w:rsid w:val="658A4EBC"/>
    <w:rsid w:val="658B3F25"/>
    <w:rsid w:val="658C2ABB"/>
    <w:rsid w:val="65950F08"/>
    <w:rsid w:val="659F0759"/>
    <w:rsid w:val="65BE530A"/>
    <w:rsid w:val="65D67D54"/>
    <w:rsid w:val="65EF3BCC"/>
    <w:rsid w:val="660E0C6C"/>
    <w:rsid w:val="66101BD3"/>
    <w:rsid w:val="661215FC"/>
    <w:rsid w:val="66250278"/>
    <w:rsid w:val="663D6EA0"/>
    <w:rsid w:val="664E4B6B"/>
    <w:rsid w:val="66620B31"/>
    <w:rsid w:val="66691C8F"/>
    <w:rsid w:val="666C5968"/>
    <w:rsid w:val="6679338F"/>
    <w:rsid w:val="667F7E92"/>
    <w:rsid w:val="66A901E3"/>
    <w:rsid w:val="66A91186"/>
    <w:rsid w:val="66BD2E37"/>
    <w:rsid w:val="66C97607"/>
    <w:rsid w:val="66E427D2"/>
    <w:rsid w:val="66EE774A"/>
    <w:rsid w:val="66F04E1E"/>
    <w:rsid w:val="66F204FF"/>
    <w:rsid w:val="66F51F82"/>
    <w:rsid w:val="671460DA"/>
    <w:rsid w:val="67185CCE"/>
    <w:rsid w:val="67221294"/>
    <w:rsid w:val="672B646F"/>
    <w:rsid w:val="67307EBF"/>
    <w:rsid w:val="67590254"/>
    <w:rsid w:val="678E3D34"/>
    <w:rsid w:val="67993B71"/>
    <w:rsid w:val="679F36AF"/>
    <w:rsid w:val="67A5394A"/>
    <w:rsid w:val="67A54008"/>
    <w:rsid w:val="67BA7262"/>
    <w:rsid w:val="67C813F2"/>
    <w:rsid w:val="67C9662C"/>
    <w:rsid w:val="67D23681"/>
    <w:rsid w:val="68147D0A"/>
    <w:rsid w:val="68327ACF"/>
    <w:rsid w:val="684133E4"/>
    <w:rsid w:val="68511AF5"/>
    <w:rsid w:val="68576054"/>
    <w:rsid w:val="685E02F7"/>
    <w:rsid w:val="68670E25"/>
    <w:rsid w:val="68864A98"/>
    <w:rsid w:val="688A3AF4"/>
    <w:rsid w:val="68CB6D41"/>
    <w:rsid w:val="68CD2593"/>
    <w:rsid w:val="68E35586"/>
    <w:rsid w:val="690B4C87"/>
    <w:rsid w:val="6935755A"/>
    <w:rsid w:val="69525DED"/>
    <w:rsid w:val="6953112F"/>
    <w:rsid w:val="69560C23"/>
    <w:rsid w:val="69580FEF"/>
    <w:rsid w:val="6959078B"/>
    <w:rsid w:val="697250D1"/>
    <w:rsid w:val="69757277"/>
    <w:rsid w:val="698E5465"/>
    <w:rsid w:val="699B7117"/>
    <w:rsid w:val="699B7E0C"/>
    <w:rsid w:val="69A07813"/>
    <w:rsid w:val="69A26908"/>
    <w:rsid w:val="69A93665"/>
    <w:rsid w:val="69B556C9"/>
    <w:rsid w:val="69D64614"/>
    <w:rsid w:val="69D92E84"/>
    <w:rsid w:val="69DF415D"/>
    <w:rsid w:val="69E103C7"/>
    <w:rsid w:val="69EF1F32"/>
    <w:rsid w:val="6A1D42BA"/>
    <w:rsid w:val="6A3D1B8E"/>
    <w:rsid w:val="6A415FC8"/>
    <w:rsid w:val="6A432DB3"/>
    <w:rsid w:val="6A4D24FB"/>
    <w:rsid w:val="6A51734B"/>
    <w:rsid w:val="6A55671C"/>
    <w:rsid w:val="6A582EC0"/>
    <w:rsid w:val="6A734A29"/>
    <w:rsid w:val="6A767B88"/>
    <w:rsid w:val="6A794D05"/>
    <w:rsid w:val="6A853434"/>
    <w:rsid w:val="6A89290E"/>
    <w:rsid w:val="6AA44A5E"/>
    <w:rsid w:val="6ABA0549"/>
    <w:rsid w:val="6ADB7D95"/>
    <w:rsid w:val="6B11086B"/>
    <w:rsid w:val="6B176384"/>
    <w:rsid w:val="6B1B4E5F"/>
    <w:rsid w:val="6B40408A"/>
    <w:rsid w:val="6B72461D"/>
    <w:rsid w:val="6B732A64"/>
    <w:rsid w:val="6BB246D5"/>
    <w:rsid w:val="6BC22315"/>
    <w:rsid w:val="6BCB6310"/>
    <w:rsid w:val="6BE91026"/>
    <w:rsid w:val="6BFC5306"/>
    <w:rsid w:val="6C136478"/>
    <w:rsid w:val="6C5458FD"/>
    <w:rsid w:val="6C640D5E"/>
    <w:rsid w:val="6C6C13C6"/>
    <w:rsid w:val="6C6C3E0F"/>
    <w:rsid w:val="6C6F3198"/>
    <w:rsid w:val="6C9160F1"/>
    <w:rsid w:val="6C96012D"/>
    <w:rsid w:val="6C9814C2"/>
    <w:rsid w:val="6C9E708B"/>
    <w:rsid w:val="6CA661FF"/>
    <w:rsid w:val="6CC872D0"/>
    <w:rsid w:val="6CE027CC"/>
    <w:rsid w:val="6CE26FD4"/>
    <w:rsid w:val="6CEE3112"/>
    <w:rsid w:val="6CEE4B77"/>
    <w:rsid w:val="6CF6700D"/>
    <w:rsid w:val="6D05352B"/>
    <w:rsid w:val="6D0C338E"/>
    <w:rsid w:val="6D157DE6"/>
    <w:rsid w:val="6D2256A1"/>
    <w:rsid w:val="6D26408D"/>
    <w:rsid w:val="6D4A4A36"/>
    <w:rsid w:val="6D4E2DB4"/>
    <w:rsid w:val="6D500867"/>
    <w:rsid w:val="6D580B8E"/>
    <w:rsid w:val="6D5A6AE3"/>
    <w:rsid w:val="6D7F21FF"/>
    <w:rsid w:val="6D806488"/>
    <w:rsid w:val="6D871C35"/>
    <w:rsid w:val="6D9A1C38"/>
    <w:rsid w:val="6DAE6575"/>
    <w:rsid w:val="6DB036FF"/>
    <w:rsid w:val="6DBA7E49"/>
    <w:rsid w:val="6DBC116D"/>
    <w:rsid w:val="6DC173F6"/>
    <w:rsid w:val="6DCE3C10"/>
    <w:rsid w:val="6DE33719"/>
    <w:rsid w:val="6E0300F4"/>
    <w:rsid w:val="6E1344F1"/>
    <w:rsid w:val="6E151A05"/>
    <w:rsid w:val="6E1F1847"/>
    <w:rsid w:val="6E2B2B25"/>
    <w:rsid w:val="6E4A7D93"/>
    <w:rsid w:val="6E4C75FE"/>
    <w:rsid w:val="6E670AB8"/>
    <w:rsid w:val="6E6C6E8C"/>
    <w:rsid w:val="6E6D68BD"/>
    <w:rsid w:val="6E756932"/>
    <w:rsid w:val="6E7E3A56"/>
    <w:rsid w:val="6EA557B7"/>
    <w:rsid w:val="6EA81C1B"/>
    <w:rsid w:val="6EB47C69"/>
    <w:rsid w:val="6EEB60A5"/>
    <w:rsid w:val="6EFA0977"/>
    <w:rsid w:val="6F153D90"/>
    <w:rsid w:val="6F1C3E7D"/>
    <w:rsid w:val="6F1F6D4E"/>
    <w:rsid w:val="6F304673"/>
    <w:rsid w:val="6F694334"/>
    <w:rsid w:val="6F696E4F"/>
    <w:rsid w:val="6F7F17BF"/>
    <w:rsid w:val="6F8406E9"/>
    <w:rsid w:val="6FAA73A9"/>
    <w:rsid w:val="6FBE7F21"/>
    <w:rsid w:val="701634A1"/>
    <w:rsid w:val="70166216"/>
    <w:rsid w:val="701B55B1"/>
    <w:rsid w:val="70284690"/>
    <w:rsid w:val="703C53B8"/>
    <w:rsid w:val="7045512F"/>
    <w:rsid w:val="7061189E"/>
    <w:rsid w:val="706424FD"/>
    <w:rsid w:val="70834A46"/>
    <w:rsid w:val="708548D7"/>
    <w:rsid w:val="708C5426"/>
    <w:rsid w:val="708F7526"/>
    <w:rsid w:val="70900AFA"/>
    <w:rsid w:val="70946085"/>
    <w:rsid w:val="70A00B8D"/>
    <w:rsid w:val="70AB56F2"/>
    <w:rsid w:val="70B7116D"/>
    <w:rsid w:val="70B87C7B"/>
    <w:rsid w:val="70BE6BCD"/>
    <w:rsid w:val="70FC4BCB"/>
    <w:rsid w:val="71097949"/>
    <w:rsid w:val="712C765A"/>
    <w:rsid w:val="71474FAB"/>
    <w:rsid w:val="715B1A97"/>
    <w:rsid w:val="71824126"/>
    <w:rsid w:val="71840B8E"/>
    <w:rsid w:val="71860068"/>
    <w:rsid w:val="718D39C7"/>
    <w:rsid w:val="71915947"/>
    <w:rsid w:val="71990637"/>
    <w:rsid w:val="71C0774A"/>
    <w:rsid w:val="71C95F12"/>
    <w:rsid w:val="71DD30E9"/>
    <w:rsid w:val="71E72D85"/>
    <w:rsid w:val="72032D3E"/>
    <w:rsid w:val="721F5AEF"/>
    <w:rsid w:val="723216EC"/>
    <w:rsid w:val="72353F26"/>
    <w:rsid w:val="723E0ECD"/>
    <w:rsid w:val="72504EA8"/>
    <w:rsid w:val="726A6DD1"/>
    <w:rsid w:val="727B319A"/>
    <w:rsid w:val="72836597"/>
    <w:rsid w:val="72934BC2"/>
    <w:rsid w:val="72AD1B5D"/>
    <w:rsid w:val="72B00CCF"/>
    <w:rsid w:val="72B02C11"/>
    <w:rsid w:val="72B62C2E"/>
    <w:rsid w:val="72D5786A"/>
    <w:rsid w:val="72D732D9"/>
    <w:rsid w:val="72F45A64"/>
    <w:rsid w:val="72FC13E3"/>
    <w:rsid w:val="731B5770"/>
    <w:rsid w:val="731D74AD"/>
    <w:rsid w:val="733B6C95"/>
    <w:rsid w:val="733C7AC3"/>
    <w:rsid w:val="73517CA2"/>
    <w:rsid w:val="735D7CA3"/>
    <w:rsid w:val="73620C44"/>
    <w:rsid w:val="737634D5"/>
    <w:rsid w:val="73855AAF"/>
    <w:rsid w:val="73A25678"/>
    <w:rsid w:val="73BE5F54"/>
    <w:rsid w:val="73CC29D0"/>
    <w:rsid w:val="73EA41D2"/>
    <w:rsid w:val="73EC6115"/>
    <w:rsid w:val="74342392"/>
    <w:rsid w:val="744F7714"/>
    <w:rsid w:val="74607069"/>
    <w:rsid w:val="7465668C"/>
    <w:rsid w:val="747A1100"/>
    <w:rsid w:val="748077FF"/>
    <w:rsid w:val="74A77E66"/>
    <w:rsid w:val="74AD6368"/>
    <w:rsid w:val="74BF44E4"/>
    <w:rsid w:val="74D426D4"/>
    <w:rsid w:val="74E119AC"/>
    <w:rsid w:val="74E8767B"/>
    <w:rsid w:val="74EE1CBC"/>
    <w:rsid w:val="75123C86"/>
    <w:rsid w:val="75197B15"/>
    <w:rsid w:val="751C2323"/>
    <w:rsid w:val="754148A0"/>
    <w:rsid w:val="7542250D"/>
    <w:rsid w:val="75503EC8"/>
    <w:rsid w:val="75742A99"/>
    <w:rsid w:val="757E0235"/>
    <w:rsid w:val="758F086E"/>
    <w:rsid w:val="75A53E1E"/>
    <w:rsid w:val="75C87905"/>
    <w:rsid w:val="75CC5CE5"/>
    <w:rsid w:val="75D9002F"/>
    <w:rsid w:val="75E56B73"/>
    <w:rsid w:val="75FA42F7"/>
    <w:rsid w:val="763C111E"/>
    <w:rsid w:val="76422844"/>
    <w:rsid w:val="764711DA"/>
    <w:rsid w:val="76532064"/>
    <w:rsid w:val="767F0BEF"/>
    <w:rsid w:val="7686385A"/>
    <w:rsid w:val="768C3571"/>
    <w:rsid w:val="76AA5FDC"/>
    <w:rsid w:val="76BB7D9B"/>
    <w:rsid w:val="76BC1681"/>
    <w:rsid w:val="76BE5476"/>
    <w:rsid w:val="76C83B1B"/>
    <w:rsid w:val="76D27B4F"/>
    <w:rsid w:val="76F87D58"/>
    <w:rsid w:val="77044B2E"/>
    <w:rsid w:val="771D75B4"/>
    <w:rsid w:val="77427528"/>
    <w:rsid w:val="774B2583"/>
    <w:rsid w:val="774F3B18"/>
    <w:rsid w:val="77710A2F"/>
    <w:rsid w:val="777F5AE9"/>
    <w:rsid w:val="77840247"/>
    <w:rsid w:val="77850B04"/>
    <w:rsid w:val="77986ACA"/>
    <w:rsid w:val="77A20552"/>
    <w:rsid w:val="77AB48CB"/>
    <w:rsid w:val="77C835C4"/>
    <w:rsid w:val="77D052D9"/>
    <w:rsid w:val="77D85114"/>
    <w:rsid w:val="77EE77BC"/>
    <w:rsid w:val="77FA02D7"/>
    <w:rsid w:val="7819567F"/>
    <w:rsid w:val="7854405E"/>
    <w:rsid w:val="78562EA8"/>
    <w:rsid w:val="7891579D"/>
    <w:rsid w:val="789C6249"/>
    <w:rsid w:val="78AD17EB"/>
    <w:rsid w:val="78B1777C"/>
    <w:rsid w:val="78B374D1"/>
    <w:rsid w:val="78BB2A5F"/>
    <w:rsid w:val="78E14BB9"/>
    <w:rsid w:val="78F67476"/>
    <w:rsid w:val="790143E4"/>
    <w:rsid w:val="791C65C2"/>
    <w:rsid w:val="79577DAB"/>
    <w:rsid w:val="7967097E"/>
    <w:rsid w:val="797147FF"/>
    <w:rsid w:val="798925A4"/>
    <w:rsid w:val="798C2EF5"/>
    <w:rsid w:val="79A11E02"/>
    <w:rsid w:val="79B84825"/>
    <w:rsid w:val="79D26603"/>
    <w:rsid w:val="79E06C28"/>
    <w:rsid w:val="7A0538BC"/>
    <w:rsid w:val="7A1B669D"/>
    <w:rsid w:val="7A1C3A33"/>
    <w:rsid w:val="7A4050B9"/>
    <w:rsid w:val="7A425B54"/>
    <w:rsid w:val="7A496FEF"/>
    <w:rsid w:val="7A4A4813"/>
    <w:rsid w:val="7A5D61F9"/>
    <w:rsid w:val="7A907DCB"/>
    <w:rsid w:val="7AB66C3B"/>
    <w:rsid w:val="7AC006E0"/>
    <w:rsid w:val="7ACF44EE"/>
    <w:rsid w:val="7AD0393F"/>
    <w:rsid w:val="7AE13E33"/>
    <w:rsid w:val="7AF031DB"/>
    <w:rsid w:val="7AF82D60"/>
    <w:rsid w:val="7B0512FD"/>
    <w:rsid w:val="7B253F4E"/>
    <w:rsid w:val="7B294B2B"/>
    <w:rsid w:val="7B395F31"/>
    <w:rsid w:val="7B5315C2"/>
    <w:rsid w:val="7B570415"/>
    <w:rsid w:val="7B605646"/>
    <w:rsid w:val="7B7900A1"/>
    <w:rsid w:val="7B85790F"/>
    <w:rsid w:val="7B981E87"/>
    <w:rsid w:val="7B9F68CE"/>
    <w:rsid w:val="7BCF2C0C"/>
    <w:rsid w:val="7C0C4E46"/>
    <w:rsid w:val="7C124AC5"/>
    <w:rsid w:val="7C61160F"/>
    <w:rsid w:val="7C640208"/>
    <w:rsid w:val="7C672149"/>
    <w:rsid w:val="7C72209D"/>
    <w:rsid w:val="7C863115"/>
    <w:rsid w:val="7C96411B"/>
    <w:rsid w:val="7C9A7819"/>
    <w:rsid w:val="7CA23460"/>
    <w:rsid w:val="7CAA54CC"/>
    <w:rsid w:val="7CD151D3"/>
    <w:rsid w:val="7CD87DB8"/>
    <w:rsid w:val="7CE43625"/>
    <w:rsid w:val="7CEA7251"/>
    <w:rsid w:val="7D177331"/>
    <w:rsid w:val="7D2270EA"/>
    <w:rsid w:val="7D2F1CAD"/>
    <w:rsid w:val="7D305423"/>
    <w:rsid w:val="7D317C74"/>
    <w:rsid w:val="7D4A7615"/>
    <w:rsid w:val="7D536ED7"/>
    <w:rsid w:val="7D6439CC"/>
    <w:rsid w:val="7D6C6868"/>
    <w:rsid w:val="7D790F82"/>
    <w:rsid w:val="7D8A6CFE"/>
    <w:rsid w:val="7D8E53B8"/>
    <w:rsid w:val="7D922FD0"/>
    <w:rsid w:val="7D951020"/>
    <w:rsid w:val="7DAB43FD"/>
    <w:rsid w:val="7DAE4E26"/>
    <w:rsid w:val="7DBC5C07"/>
    <w:rsid w:val="7DCF6F5A"/>
    <w:rsid w:val="7DDD1A60"/>
    <w:rsid w:val="7DDD584B"/>
    <w:rsid w:val="7DF82573"/>
    <w:rsid w:val="7E023428"/>
    <w:rsid w:val="7E354A5E"/>
    <w:rsid w:val="7E4073B9"/>
    <w:rsid w:val="7E491946"/>
    <w:rsid w:val="7E4B17FB"/>
    <w:rsid w:val="7E513FE0"/>
    <w:rsid w:val="7E767F63"/>
    <w:rsid w:val="7E7E4040"/>
    <w:rsid w:val="7E84384A"/>
    <w:rsid w:val="7E93397D"/>
    <w:rsid w:val="7E955328"/>
    <w:rsid w:val="7EBD4049"/>
    <w:rsid w:val="7ED97328"/>
    <w:rsid w:val="7EE5170C"/>
    <w:rsid w:val="7EEB1C9E"/>
    <w:rsid w:val="7EF969AF"/>
    <w:rsid w:val="7F056505"/>
    <w:rsid w:val="7F1614DF"/>
    <w:rsid w:val="7F1811D4"/>
    <w:rsid w:val="7F1E342E"/>
    <w:rsid w:val="7F264554"/>
    <w:rsid w:val="7F321BDB"/>
    <w:rsid w:val="7F45227F"/>
    <w:rsid w:val="7F565A05"/>
    <w:rsid w:val="7F5872C8"/>
    <w:rsid w:val="7F593DF4"/>
    <w:rsid w:val="7F622578"/>
    <w:rsid w:val="7F840750"/>
    <w:rsid w:val="7FA20A03"/>
    <w:rsid w:val="7FA74C31"/>
    <w:rsid w:val="7FB232BC"/>
    <w:rsid w:val="7FBF0492"/>
    <w:rsid w:val="7FCA293E"/>
    <w:rsid w:val="7FDD3171"/>
    <w:rsid w:val="7FE10F9E"/>
  </w:rsids>
  <w:docVars>
    <w:docVar w:name="commondata" w:val="eyJoZGlkIjoiYjY0ZWE3MjY5MDMxODdlODdmNmI4YjdhZmYwZGRhYz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semiHidden="0" w:uiPriority="39" w:unhideWhenUsed="0" w:qFormat="1"/>
    <w:lsdException w:name="toc 2" w:semiHidden="0" w:uiPriority="39" w:unhideWhenUsed="0" w:qFormat="1"/>
    <w:lsdException w:name="toc 3" w:semiHidden="0" w:uiPriority="39" w:qFormat="1"/>
    <w:lsdException w:name="toc 4" w:uiPriority="0"/>
    <w:lsdException w:name="toc 5" w:uiPriority="0"/>
    <w:lsdException w:name="toc 6" w:uiPriority="0"/>
    <w:lsdException w:name="toc 7" w:uiPriority="0"/>
    <w:lsdException w:name="toc 8" w:uiPriority="0"/>
    <w:lsdException w:name="toc 9" w:uiPriority="0"/>
    <w:lsdException w:name="Normal Indent" w:semiHidden="0" w:uiPriority="0" w:unhideWhenUsed="0" w:qFormat="1"/>
    <w:lsdException w:name="footnote text" w:uiPriority="0"/>
    <w:lsdException w:name="annotation text" w:uiPriority="0" w:qFormat="1"/>
    <w:lsdException w:name="header" w:semiHidden="0" w:uiPriority="0" w:qFormat="1"/>
    <w:lsdException w:name="footer" w:semiHidden="0" w:qFormat="1"/>
    <w:lsdException w:name="index heading" w:uiPriority="0"/>
    <w:lsdException w:name="caption" w:semiHidden="0" w:uiPriority="35"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semiHidden="0" w:uiPriority="0" w:unhideWhenUsed="0"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semiHidden="0" w:uiPriority="0" w:unhideWhenUsed="0"/>
    <w:lsdException w:name="Date" w:semiHidden="0" w:uiPriority="0" w:unhideWhenUsed="0" w:qFormat="1"/>
    <w:lsdException w:name="Body Text First Indent" w:semiHidden="0" w:uiPriority="0" w:unhideWhenUsed="0"/>
    <w:lsdException w:name="Body Text First Indent 2" w:uiPriority="0"/>
    <w:lsdException w:name="Note Heading" w:uiPriority="0"/>
    <w:lsdException w:name="Body Text 2" w:semiHidden="0" w:uiPriority="0" w:unhideWhenUsed="0" w:qFormat="1"/>
    <w:lsdException w:name="Body Text 3" w:uiPriority="0"/>
    <w:lsdException w:name="Body Text Indent 2" w:semiHidden="0" w:uiPriority="0" w:unhideWhenUsed="0" w:qFormat="1"/>
    <w:lsdException w:name="Body Text Indent 3" w:semiHidden="0" w:uiPriority="0" w:unhideWhenUsed="0" w:qFormat="1"/>
    <w:lsdException w:name="Block Text" w:uiPriority="0"/>
    <w:lsdException w:name="Hyperlink" w:semiHidden="0" w:unhideWhenUsed="0" w:qFormat="1"/>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semiHidden="0" w:unhideWhenUsed="0" w:qFormat="1"/>
    <w:lsdException w:name="E-mail Signature" w:uiPriority="0"/>
    <w:lsdException w:name="Normal (Web)"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lsdException w:name="annotation subject" w:uiPriority="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39"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Default"/>
    <w:qFormat/>
    <w:pPr>
      <w:widowControl w:val="0"/>
      <w:spacing w:line="360" w:lineRule="auto"/>
    </w:pPr>
    <w:rPr>
      <w:rFonts w:asciiTheme="minorHAnsi" w:eastAsiaTheme="minorEastAsia" w:hAnsiTheme="minorHAnsi" w:cstheme="minorBidi"/>
      <w:kern w:val="2"/>
      <w:sz w:val="24"/>
      <w:szCs w:val="21"/>
      <w:lang w:val="en-US" w:eastAsia="zh-CN" w:bidi="ar-SA"/>
    </w:rPr>
  </w:style>
  <w:style w:type="paragraph" w:styleId="Heading1">
    <w:name w:val="heading 1"/>
    <w:basedOn w:val="Normal"/>
    <w:next w:val="Normal"/>
    <w:link w:val="13"/>
    <w:qFormat/>
    <w:pPr>
      <w:keepNext/>
      <w:keepLines/>
      <w:spacing w:before="340" w:after="330" w:line="576" w:lineRule="auto"/>
      <w:outlineLvl w:val="0"/>
    </w:pPr>
    <w:rPr>
      <w:b/>
      <w:kern w:val="44"/>
      <w:sz w:val="44"/>
    </w:rPr>
  </w:style>
  <w:style w:type="paragraph" w:styleId="Heading2">
    <w:name w:val="heading 2"/>
    <w:basedOn w:val="Normal"/>
    <w:next w:val="Normal"/>
    <w:qFormat/>
    <w:pPr>
      <w:keepNext/>
      <w:keepLines/>
      <w:spacing w:before="260" w:after="260" w:line="416" w:lineRule="auto"/>
      <w:outlineLvl w:val="1"/>
    </w:pPr>
    <w:rPr>
      <w:rFonts w:ascii="Arial" w:eastAsia="黑体" w:hAnsi="Arial"/>
      <w:b/>
      <w:bCs/>
      <w:sz w:val="32"/>
      <w:szCs w:val="32"/>
    </w:rPr>
  </w:style>
  <w:style w:type="paragraph" w:styleId="Heading3">
    <w:name w:val="heading 3"/>
    <w:basedOn w:val="Normal"/>
    <w:next w:val="Normal"/>
    <w:uiPriority w:val="9"/>
    <w:unhideWhenUsed/>
    <w:qFormat/>
    <w:pPr>
      <w:keepNext/>
      <w:keepLines/>
      <w:spacing w:before="140" w:after="140"/>
      <w:outlineLvl w:val="2"/>
    </w:pPr>
    <w:rPr>
      <w:b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customStyle="1" w:styleId="Default">
    <w:name w:val="Default"/>
    <w:qFormat/>
    <w:pPr>
      <w:widowControl w:val="0"/>
      <w:autoSpaceDE w:val="0"/>
      <w:autoSpaceDN w:val="0"/>
      <w:adjustRightInd w:val="0"/>
    </w:pPr>
    <w:rPr>
      <w:rFonts w:ascii="Calibri" w:eastAsia="宋体" w:hAnsi="Calibri" w:cs="Times New Roman"/>
      <w:color w:val="000000"/>
      <w:sz w:val="24"/>
      <w:szCs w:val="24"/>
      <w:lang w:val="en-US" w:eastAsia="zh-CN" w:bidi="ar-SA"/>
    </w:rPr>
  </w:style>
  <w:style w:type="paragraph" w:styleId="NormalIndent">
    <w:name w:val="Normal Indent"/>
    <w:basedOn w:val="Normal"/>
    <w:qFormat/>
    <w:pPr>
      <w:ind w:firstLine="200" w:firstLineChars="200"/>
    </w:pPr>
    <w:rPr>
      <w:rFonts w:ascii="Times New Roman" w:eastAsia="楷体_GB2312" w:hAnsi="Times New Roman" w:cs="Times New Roman"/>
      <w:szCs w:val="24"/>
    </w:rPr>
  </w:style>
  <w:style w:type="paragraph" w:styleId="Caption">
    <w:name w:val="caption"/>
    <w:basedOn w:val="Normal"/>
    <w:next w:val="Normal"/>
    <w:uiPriority w:val="35"/>
    <w:unhideWhenUsed/>
    <w:qFormat/>
    <w:rPr>
      <w:rFonts w:eastAsia="黑体" w:asciiTheme="majorHAnsi" w:hAnsiTheme="majorHAnsi" w:cstheme="majorBidi"/>
      <w:sz w:val="20"/>
      <w:szCs w:val="20"/>
    </w:rPr>
  </w:style>
  <w:style w:type="paragraph" w:styleId="CommentText">
    <w:name w:val="annotation text"/>
    <w:basedOn w:val="Normal"/>
    <w:link w:val="a5"/>
    <w:semiHidden/>
    <w:unhideWhenUsed/>
    <w:qFormat/>
  </w:style>
  <w:style w:type="paragraph" w:styleId="BodyText">
    <w:name w:val="Body Text"/>
    <w:basedOn w:val="Normal"/>
    <w:link w:val="a1"/>
    <w:qFormat/>
    <w:pPr>
      <w:spacing w:after="120"/>
    </w:pPr>
  </w:style>
  <w:style w:type="paragraph" w:styleId="TOC3">
    <w:name w:val="toc 3"/>
    <w:basedOn w:val="Normal"/>
    <w:next w:val="Normal"/>
    <w:uiPriority w:val="39"/>
    <w:unhideWhenUsed/>
    <w:qFormat/>
    <w:pPr>
      <w:tabs>
        <w:tab w:val="left" w:pos="851"/>
        <w:tab w:val="right" w:leader="dot" w:pos="8965"/>
      </w:tabs>
    </w:pPr>
  </w:style>
  <w:style w:type="paragraph" w:styleId="PlainText">
    <w:name w:val="Plain Text"/>
    <w:basedOn w:val="Normal"/>
    <w:link w:val="a2"/>
    <w:uiPriority w:val="99"/>
    <w:qFormat/>
    <w:rPr>
      <w:rFonts w:ascii="宋体" w:hAnsi="Courier New"/>
    </w:rPr>
  </w:style>
  <w:style w:type="paragraph" w:styleId="Date">
    <w:name w:val="Date"/>
    <w:basedOn w:val="Normal"/>
    <w:next w:val="Normal"/>
    <w:link w:val="a4"/>
    <w:qFormat/>
    <w:pPr>
      <w:ind w:left="100" w:leftChars="2500"/>
    </w:pPr>
  </w:style>
  <w:style w:type="paragraph" w:styleId="BodyTextIndent2">
    <w:name w:val="Body Text Indent 2"/>
    <w:basedOn w:val="Normal"/>
    <w:qFormat/>
    <w:pPr>
      <w:ind w:right="28" w:firstLine="540"/>
    </w:pPr>
    <w:rPr>
      <w:sz w:val="28"/>
      <w:szCs w:val="20"/>
    </w:rPr>
  </w:style>
  <w:style w:type="paragraph" w:styleId="BalloonText">
    <w:name w:val="Balloon Text"/>
    <w:basedOn w:val="Normal"/>
    <w:link w:val="a3"/>
    <w:qFormat/>
    <w:pPr>
      <w:spacing w:line="240" w:lineRule="auto"/>
    </w:pPr>
    <w:rPr>
      <w:sz w:val="18"/>
      <w:szCs w:val="18"/>
    </w:rPr>
  </w:style>
  <w:style w:type="paragraph" w:styleId="Footer">
    <w:name w:val="footer"/>
    <w:basedOn w:val="Normal"/>
    <w:uiPriority w:val="99"/>
    <w:unhideWhenUsed/>
    <w:qFormat/>
    <w:pPr>
      <w:tabs>
        <w:tab w:val="center" w:pos="4153"/>
        <w:tab w:val="right" w:pos="8306"/>
      </w:tabs>
      <w:snapToGrid w:val="0"/>
    </w:pPr>
    <w:rPr>
      <w:sz w:val="18"/>
      <w:szCs w:val="18"/>
    </w:rPr>
  </w:style>
  <w:style w:type="paragraph" w:styleId="Header">
    <w:name w:val="header"/>
    <w:basedOn w:val="Normal"/>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qFormat/>
    <w:pPr>
      <w:tabs>
        <w:tab w:val="left" w:pos="426"/>
        <w:tab w:val="right" w:leader="dot" w:pos="8965"/>
      </w:tabs>
    </w:pPr>
    <w:rPr>
      <w:rFonts w:ascii="宋体" w:eastAsia="宋体" w:hAnsi="宋体" w:cs="Times New Roman"/>
      <w:szCs w:val="20"/>
    </w:rPr>
  </w:style>
  <w:style w:type="paragraph" w:styleId="BodyTextIndent3">
    <w:name w:val="Body Text Indent 3"/>
    <w:basedOn w:val="Normal"/>
    <w:qFormat/>
    <w:pPr>
      <w:ind w:firstLine="480"/>
    </w:pPr>
    <w:rPr>
      <w:rFonts w:ascii="宋体" w:eastAsia="宋体" w:hAnsi="Times New Roman" w:cs="Times New Roman" w:hint="eastAsia"/>
      <w:kern w:val="0"/>
      <w:szCs w:val="20"/>
    </w:rPr>
  </w:style>
  <w:style w:type="paragraph" w:styleId="TOC2">
    <w:name w:val="toc 2"/>
    <w:basedOn w:val="Normal"/>
    <w:next w:val="Normal"/>
    <w:uiPriority w:val="39"/>
    <w:qFormat/>
    <w:pPr>
      <w:tabs>
        <w:tab w:val="left" w:pos="567"/>
        <w:tab w:val="right" w:leader="dot" w:pos="8965"/>
      </w:tabs>
    </w:pPr>
    <w:rPr>
      <w:rFonts w:ascii="黑体" w:eastAsia="黑体" w:hAnsi="Times New Roman" w:cs="Times New Roman"/>
      <w:b/>
      <w:kern w:val="0"/>
    </w:rPr>
  </w:style>
  <w:style w:type="paragraph" w:styleId="BodyText2">
    <w:name w:val="Body Text 2"/>
    <w:basedOn w:val="Normal"/>
    <w:qFormat/>
    <w:pPr>
      <w:jc w:val="center"/>
    </w:pPr>
  </w:style>
  <w:style w:type="paragraph" w:styleId="NormalWeb">
    <w:name w:val="Normal (Web)"/>
    <w:basedOn w:val="Normal"/>
    <w:uiPriority w:val="99"/>
    <w:semiHidden/>
    <w:unhideWhenUsed/>
    <w:qFormat/>
    <w:pPr>
      <w:widowControl/>
      <w:spacing w:before="100" w:beforeAutospacing="1" w:after="100" w:afterAutospacing="1"/>
    </w:pPr>
    <w:rPr>
      <w:rFonts w:ascii="宋体" w:eastAsia="宋体" w:hAnsi="宋体" w:cs="宋体"/>
      <w:kern w:val="0"/>
      <w:szCs w:val="24"/>
    </w:rPr>
  </w:style>
  <w:style w:type="paragraph" w:styleId="CommentSubject">
    <w:name w:val="annotation subject"/>
    <w:basedOn w:val="CommentText"/>
    <w:next w:val="CommentText"/>
    <w:link w:val="a6"/>
    <w:semiHidden/>
    <w:unhideWhenUsed/>
    <w:qFormat/>
    <w:rPr>
      <w:b/>
      <w:bCs/>
    </w:rPr>
  </w:style>
  <w:style w:type="table" w:styleId="TableGrid">
    <w:name w:val="Table Grid"/>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autoRedefine/>
    <w:uiPriority w:val="99"/>
    <w:qFormat/>
    <w:rPr>
      <w:color w:val="0000FF"/>
      <w:u w:val="single"/>
    </w:rPr>
  </w:style>
  <w:style w:type="character" w:styleId="CommentReference">
    <w:name w:val="annotation reference"/>
    <w:basedOn w:val="DefaultParagraphFont"/>
    <w:semiHidden/>
    <w:unhideWhenUsed/>
    <w:rPr>
      <w:sz w:val="21"/>
      <w:szCs w:val="21"/>
    </w:rPr>
  </w:style>
  <w:style w:type="paragraph" w:customStyle="1" w:styleId="1">
    <w:name w:val="新标题1"/>
    <w:basedOn w:val="ListParagraph"/>
    <w:qFormat/>
    <w:pPr>
      <w:numPr>
        <w:ilvl w:val="0"/>
        <w:numId w:val="1"/>
      </w:numPr>
      <w:spacing w:beforeLines="100" w:line="480" w:lineRule="auto"/>
      <w:ind w:firstLine="0" w:firstLineChars="0"/>
      <w:jc w:val="center"/>
      <w:outlineLvl w:val="0"/>
    </w:pPr>
    <w:rPr>
      <w:rFonts w:ascii="黑体" w:eastAsia="黑体"/>
      <w:b/>
      <w:sz w:val="32"/>
      <w:szCs w:val="32"/>
    </w:rPr>
  </w:style>
  <w:style w:type="paragraph" w:styleId="ListParagraph">
    <w:name w:val="List Paragraph"/>
    <w:basedOn w:val="Normal"/>
    <w:link w:val="a"/>
    <w:uiPriority w:val="34"/>
    <w:qFormat/>
    <w:pPr>
      <w:ind w:firstLine="420" w:firstLineChars="200"/>
    </w:pPr>
  </w:style>
  <w:style w:type="paragraph" w:customStyle="1" w:styleId="2">
    <w:name w:val="新标题2"/>
    <w:basedOn w:val="ListParagraph"/>
    <w:qFormat/>
    <w:pPr>
      <w:numPr>
        <w:ilvl w:val="1"/>
        <w:numId w:val="1"/>
      </w:numPr>
      <w:spacing w:before="50" w:beforeLines="50"/>
      <w:ind w:firstLineChars="0"/>
      <w:outlineLvl w:val="1"/>
    </w:pPr>
    <w:rPr>
      <w:b/>
      <w:sz w:val="28"/>
      <w:szCs w:val="30"/>
    </w:rPr>
  </w:style>
  <w:style w:type="paragraph" w:customStyle="1" w:styleId="3">
    <w:name w:val="新标题3"/>
    <w:basedOn w:val="ListParagraph"/>
    <w:link w:val="30"/>
    <w:qFormat/>
    <w:pPr>
      <w:numPr>
        <w:ilvl w:val="2"/>
        <w:numId w:val="1"/>
      </w:numPr>
      <w:adjustRightInd w:val="0"/>
      <w:snapToGrid w:val="0"/>
      <w:ind w:firstLine="0" w:firstLineChars="0"/>
      <w:outlineLvl w:val="2"/>
    </w:pPr>
    <w:rPr>
      <w:rFonts w:ascii="宋体" w:hAnsi="宋体"/>
      <w:b/>
      <w:color w:val="000000"/>
      <w:szCs w:val="28"/>
    </w:rPr>
  </w:style>
  <w:style w:type="character" w:customStyle="1" w:styleId="30">
    <w:name w:val="新标题3 字符"/>
    <w:basedOn w:val="a"/>
    <w:link w:val="3"/>
    <w:qFormat/>
    <w:rPr>
      <w:rFonts w:ascii="宋体" w:hAnsi="宋体"/>
      <w:b/>
      <w:color w:val="000000"/>
      <w:szCs w:val="28"/>
    </w:rPr>
  </w:style>
  <w:style w:type="character" w:customStyle="1" w:styleId="a">
    <w:name w:val="列表段落 字符"/>
    <w:basedOn w:val="DefaultParagraphFont"/>
    <w:link w:val="ListParagraph"/>
    <w:uiPriority w:val="34"/>
    <w:qFormat/>
  </w:style>
  <w:style w:type="table" w:customStyle="1" w:styleId="10">
    <w:name w:val="网格型浅色1"/>
    <w:basedOn w:val="TableNormal"/>
    <w:uiPriority w:val="40"/>
    <w:qFormat/>
    <w:tblPr>
      <w:tblBorders>
        <w:top w:val="single" w:sz="4" w:space="0" w:color="BEBEBE" w:themeColor="background1" w:themeShade="BF"/>
        <w:left w:val="single" w:sz="4" w:space="0" w:color="BEBEBE" w:themeColor="background1" w:themeShade="BF"/>
        <w:bottom w:val="single" w:sz="4" w:space="0" w:color="BEBEBE" w:themeColor="background1" w:themeShade="BF"/>
        <w:right w:val="single" w:sz="4" w:space="0" w:color="BEBEBE" w:themeColor="background1" w:themeShade="BF"/>
        <w:insideH w:val="single" w:sz="4" w:space="0" w:color="BEBEBE" w:themeColor="background1" w:themeShade="BF"/>
        <w:insideV w:val="single" w:sz="4" w:space="0" w:color="BEBEBE" w:themeColor="background1" w:themeShade="BF"/>
      </w:tblBorders>
    </w:tblPr>
  </w:style>
  <w:style w:type="paragraph" w:customStyle="1" w:styleId="11">
    <w:name w:val="纯文本1"/>
    <w:basedOn w:val="Normal"/>
    <w:qFormat/>
    <w:pPr>
      <w:adjustRightInd w:val="0"/>
      <w:textAlignment w:val="baseline"/>
    </w:pPr>
    <w:rPr>
      <w:rFonts w:ascii="宋体" w:eastAsia="宋体" w:hAnsi="Courier New" w:cs="Times New Roman"/>
      <w:szCs w:val="20"/>
    </w:rPr>
  </w:style>
  <w:style w:type="paragraph" w:customStyle="1" w:styleId="a0">
    <w:name w:val="施组"/>
    <w:basedOn w:val="12"/>
    <w:qFormat/>
    <w:pPr>
      <w:ind w:firstLine="425"/>
    </w:pPr>
    <w:rPr>
      <w:rFonts w:eastAsia="新宋体"/>
    </w:rPr>
  </w:style>
  <w:style w:type="paragraph" w:customStyle="1" w:styleId="12">
    <w:name w:val="样式1"/>
    <w:basedOn w:val="Normal"/>
    <w:qFormat/>
    <w:pPr>
      <w:ind w:firstLine="510"/>
    </w:pPr>
  </w:style>
  <w:style w:type="character" w:customStyle="1" w:styleId="a1">
    <w:name w:val="正文文本 字符"/>
    <w:basedOn w:val="DefaultParagraphFont"/>
    <w:link w:val="BodyText"/>
    <w:qFormat/>
    <w:rPr>
      <w:rFonts w:asciiTheme="minorHAnsi" w:eastAsiaTheme="minorEastAsia" w:hAnsiTheme="minorHAnsi" w:cstheme="minorBidi"/>
      <w:kern w:val="2"/>
      <w:sz w:val="24"/>
      <w:szCs w:val="21"/>
    </w:rPr>
  </w:style>
  <w:style w:type="character" w:customStyle="1" w:styleId="a2">
    <w:name w:val="纯文本 字符"/>
    <w:basedOn w:val="DefaultParagraphFont"/>
    <w:link w:val="PlainText"/>
    <w:uiPriority w:val="99"/>
    <w:qFormat/>
    <w:rPr>
      <w:rFonts w:ascii="宋体" w:hAnsi="Courier New" w:eastAsiaTheme="minorEastAsia" w:cstheme="minorBidi"/>
      <w:kern w:val="2"/>
      <w:sz w:val="24"/>
      <w:szCs w:val="21"/>
    </w:rPr>
  </w:style>
  <w:style w:type="paragraph" w:customStyle="1" w:styleId="Bodytext1">
    <w:name w:val="Body text|1"/>
    <w:basedOn w:val="Normal"/>
    <w:qFormat/>
    <w:pPr>
      <w:spacing w:line="314" w:lineRule="auto"/>
      <w:ind w:firstLine="380"/>
    </w:pPr>
    <w:rPr>
      <w:rFonts w:ascii="MingLiU" w:eastAsia="MingLiU" w:hAnsi="MingLiU" w:cs="MingLiU"/>
      <w:sz w:val="20"/>
      <w:szCs w:val="20"/>
      <w:lang w:val="zh-TW" w:eastAsia="zh-TW" w:bidi="zh-TW"/>
    </w:rPr>
  </w:style>
  <w:style w:type="paragraph" w:customStyle="1" w:styleId="Bodytext20">
    <w:name w:val="Body text|2"/>
    <w:basedOn w:val="Normal"/>
    <w:qFormat/>
    <w:pPr>
      <w:spacing w:after="80"/>
      <w:jc w:val="center"/>
    </w:pPr>
    <w:rPr>
      <w:rFonts w:ascii="Arial" w:eastAsia="Arial" w:hAnsi="Arial" w:cs="Arial"/>
      <w:b/>
      <w:bCs/>
      <w:sz w:val="16"/>
      <w:szCs w:val="16"/>
      <w:lang w:val="zh-TW" w:eastAsia="zh-TW" w:bidi="zh-TW"/>
    </w:rPr>
  </w:style>
  <w:style w:type="character" w:customStyle="1" w:styleId="a3">
    <w:name w:val="批注框文本 字符"/>
    <w:basedOn w:val="DefaultParagraphFont"/>
    <w:link w:val="BalloonText"/>
    <w:qFormat/>
    <w:rPr>
      <w:rFonts w:asciiTheme="minorHAnsi" w:eastAsiaTheme="minorEastAsia" w:hAnsiTheme="minorHAnsi" w:cstheme="minorBidi"/>
      <w:kern w:val="2"/>
      <w:sz w:val="18"/>
      <w:szCs w:val="18"/>
    </w:rPr>
  </w:style>
  <w:style w:type="paragraph" w:customStyle="1" w:styleId="31">
    <w:name w:val="样式3"/>
    <w:basedOn w:val="12"/>
    <w:qFormat/>
    <w:pPr>
      <w:numPr>
        <w:ilvl w:val="0"/>
        <w:numId w:val="2"/>
      </w:numPr>
    </w:pPr>
  </w:style>
  <w:style w:type="character" w:customStyle="1" w:styleId="13">
    <w:name w:val="标题 1 字符"/>
    <w:link w:val="Heading1"/>
    <w:qFormat/>
    <w:rPr>
      <w:b/>
      <w:kern w:val="44"/>
      <w:sz w:val="44"/>
    </w:rPr>
  </w:style>
  <w:style w:type="character" w:customStyle="1" w:styleId="a4">
    <w:name w:val="日期 字符"/>
    <w:basedOn w:val="DefaultParagraphFont"/>
    <w:link w:val="Date"/>
    <w:qFormat/>
    <w:rPr>
      <w:rFonts w:asciiTheme="minorHAnsi" w:eastAsiaTheme="minorEastAsia" w:hAnsiTheme="minorHAnsi" w:cstheme="minorBidi"/>
      <w:kern w:val="2"/>
      <w:sz w:val="24"/>
      <w:szCs w:val="21"/>
    </w:rPr>
  </w:style>
  <w:style w:type="paragraph" w:customStyle="1" w:styleId="14">
    <w:name w:val="正文首行缩进1"/>
    <w:basedOn w:val="BodyText"/>
    <w:pPr>
      <w:spacing w:before="100" w:beforeAutospacing="1" w:after="0" w:line="240" w:lineRule="auto"/>
      <w:ind w:firstLine="420" w:firstLineChars="100"/>
      <w:jc w:val="both"/>
    </w:pPr>
    <w:rPr>
      <w:rFonts w:ascii="Times New Roman" w:eastAsia="宋体" w:hAnsi="Times New Roman" w:cs="Times New Roman"/>
      <w:szCs w:val="24"/>
    </w:rPr>
  </w:style>
  <w:style w:type="paragraph" w:customStyle="1" w:styleId="TOC10">
    <w:name w:val="TOC 标题1"/>
    <w:basedOn w:val="Heading1"/>
    <w:next w:val="Normal"/>
    <w:uiPriority w:val="39"/>
    <w:unhideWhenUsed/>
    <w:qFormat/>
    <w:pPr>
      <w:widowControl/>
      <w:spacing w:before="240" w:after="0" w:line="259" w:lineRule="auto"/>
      <w:outlineLvl w:val="9"/>
    </w:pPr>
    <w:rPr>
      <w:rFonts w:asciiTheme="majorHAnsi" w:eastAsiaTheme="majorEastAsia" w:hAnsiTheme="majorHAnsi" w:cstheme="majorBidi"/>
      <w:b w:val="0"/>
      <w:color w:val="2E75B6" w:themeColor="accent1" w:themeShade="BF"/>
      <w:kern w:val="0"/>
      <w:sz w:val="32"/>
      <w:szCs w:val="32"/>
    </w:rPr>
  </w:style>
  <w:style w:type="character" w:customStyle="1" w:styleId="a5">
    <w:name w:val="批注文字 字符"/>
    <w:basedOn w:val="DefaultParagraphFont"/>
    <w:link w:val="CommentText"/>
    <w:semiHidden/>
    <w:rPr>
      <w:rFonts w:asciiTheme="minorHAnsi" w:eastAsiaTheme="minorEastAsia" w:hAnsiTheme="minorHAnsi" w:cstheme="minorBidi"/>
      <w:kern w:val="2"/>
      <w:sz w:val="24"/>
      <w:szCs w:val="21"/>
    </w:rPr>
  </w:style>
  <w:style w:type="character" w:customStyle="1" w:styleId="a6">
    <w:name w:val="批注主题 字符"/>
    <w:basedOn w:val="a5"/>
    <w:link w:val="CommentSubject"/>
    <w:semiHidden/>
    <w:rPr>
      <w:rFonts w:asciiTheme="minorHAnsi" w:eastAsiaTheme="minorEastAsia" w:hAnsiTheme="minorHAnsi" w:cstheme="minorBidi"/>
      <w:b/>
      <w:bCs/>
      <w:kern w:val="2"/>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image" Target="media/image1.png"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image" Target="media/image2.emf" /><Relationship Id="rId22" Type="http://schemas.openxmlformats.org/officeDocument/2006/relationships/header" Target="header8.xml" /><Relationship Id="rId23" Type="http://schemas.openxmlformats.org/officeDocument/2006/relationships/footer" Target="footer8.xml" /><Relationship Id="rId24" Type="http://schemas.openxmlformats.org/officeDocument/2006/relationships/image" Target="media/image3.png" /><Relationship Id="rId25" Type="http://schemas.openxmlformats.org/officeDocument/2006/relationships/header" Target="header9.xml" /><Relationship Id="rId26" Type="http://schemas.openxmlformats.org/officeDocument/2006/relationships/footer" Target="footer9.xml" /><Relationship Id="rId27" Type="http://schemas.openxmlformats.org/officeDocument/2006/relationships/image" Target="media/image4.png" /><Relationship Id="rId28" Type="http://schemas.openxmlformats.org/officeDocument/2006/relationships/header" Target="header10.xml" /><Relationship Id="rId29" Type="http://schemas.openxmlformats.org/officeDocument/2006/relationships/footer" Target="footer10.xml" /><Relationship Id="rId3" Type="http://schemas.openxmlformats.org/officeDocument/2006/relationships/fontTable" Target="fontTable.xml" /><Relationship Id="rId30" Type="http://schemas.openxmlformats.org/officeDocument/2006/relationships/image" Target="media/image5.png" /><Relationship Id="rId31" Type="http://schemas.openxmlformats.org/officeDocument/2006/relationships/hyperlink" Target="https://d.book118.com/586005050012010034" TargetMode="External" /><Relationship Id="rId32" Type="http://schemas.openxmlformats.org/officeDocument/2006/relationships/header" Target="header11.xml" /><Relationship Id="rId33" Type="http://schemas.openxmlformats.org/officeDocument/2006/relationships/footer" Target="footer11.xml" /><Relationship Id="rId34" Type="http://schemas.openxmlformats.org/officeDocument/2006/relationships/theme" Target="theme/theme1.xml" /><Relationship Id="rId35" Type="http://schemas.openxmlformats.org/officeDocument/2006/relationships/numbering" Target="numbering.xml" /><Relationship Id="rId36"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BE7CD9-CF2E-4179-992B-9F1C16B50DC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2295</Words>
  <Characters>13082</Characters>
  <Application>Microsoft Office Word</Application>
  <DocSecurity>0</DocSecurity>
  <Lines>109</Lines>
  <Paragraphs>30</Paragraphs>
  <ScaleCrop>false</ScaleCrop>
  <Company>china</Company>
  <LinksUpToDate>false</LinksUpToDate>
  <CharactersWithSpaces>15347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李拜天</cp:lastModifiedBy>
  <cp:revision>5</cp:revision>
  <dcterms:created xsi:type="dcterms:W3CDTF">2021-03-07T10:06:00Z</dcterms:created>
  <dcterms:modified xsi:type="dcterms:W3CDTF">2024-01-14T00:45:21Z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FE234A809E0343E79C350A54866A10C2_12</vt:lpwstr>
  </property>
  <property fmtid="{D5CDD505-2E9C-101B-9397-08002B2CF9AE}" pid="3" name="KSOProductBuildVer">
    <vt:lpwstr>2052-12.1.0.16120</vt:lpwstr>
  </property>
</Properties>
</file>