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34" w:line="314" w:lineRule="exact"/>
        <w:ind w:left="12"/>
        <w:rPr>
          <w:sz w:val="21"/>
          <w:szCs w:val="21"/>
        </w:rPr>
      </w:pPr>
      <w:r>
        <w:pict>
          <v:shape id="_x0000_s1025" style="width:482.65pt;height:0.75pt;margin-top:212.36pt;margin-left:70.44pt;mso-position-horizontal-relative:page;mso-position-vertical-relative:page;position:absolute;z-index:251659264" coordorigin="0,0" coordsize="9652,15" o:allowincell="f" path="m7,7l9645,7e" filled="f" strokecolor="black" strokeweight="0.72pt">
            <v:stroke endcap="round"/>
          </v:shape>
        </w:pict>
      </w:r>
      <w:r>
        <w:pict>
          <v:shape id="_x0000_s1026" style="width:482.65pt;height:0.75pt;margin-top:728.12pt;margin-left:70.44pt;mso-position-horizontal-relative:page;mso-position-vertical-relative:page;position:absolute;z-index:251658240" coordorigin="0,0" coordsize="9652,15" o:allowincell="f" path="m7,7l9645,7e" filled="f" strokecolor="black" strokeweight="0.72pt">
            <v:stroke endcap="round"/>
          </v:shape>
        </w:pict>
      </w:r>
      <w:r>
        <w:rPr>
          <w:rFonts w:ascii="Times New Roman" w:eastAsia="Times New Roman" w:hAnsi="Times New Roman" w:cs="Times New Roman"/>
          <w:spacing w:val="-1"/>
          <w:position w:val="10"/>
          <w:sz w:val="21"/>
          <w:szCs w:val="21"/>
        </w:rPr>
        <w:t xml:space="preserve">ICS  </w:t>
      </w:r>
      <w:r>
        <w:rPr>
          <w:spacing w:val="-1"/>
          <w:position w:val="10"/>
          <w:sz w:val="21"/>
          <w:szCs w:val="21"/>
        </w:rPr>
        <w:t>65.020.20</w:t>
      </w:r>
    </w:p>
    <w:p>
      <w:pPr>
        <w:pStyle w:val="BodyText"/>
        <w:spacing w:line="181" w:lineRule="auto"/>
        <w:ind w:left="17"/>
        <w:rPr>
          <w:sz w:val="21"/>
          <w:szCs w:val="21"/>
        </w:rPr>
      </w:pPr>
      <w:r>
        <w:rPr>
          <w:spacing w:val="-5"/>
          <w:sz w:val="21"/>
          <w:szCs w:val="21"/>
        </w:rPr>
        <w:t>B</w:t>
      </w:r>
      <w:r>
        <w:rPr>
          <w:spacing w:val="10"/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30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156" w:line="221" w:lineRule="auto"/>
        <w:ind w:left="29"/>
        <w:rPr>
          <w:sz w:val="48"/>
          <w:szCs w:val="48"/>
        </w:rPr>
      </w:pPr>
      <w:r>
        <w:rPr>
          <w:sz w:val="48"/>
          <w:szCs w:val="48"/>
        </w:rPr>
        <w:t>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02" w:lineRule="auto"/>
        <w:rPr>
          <w:rFonts w:ascii="Arial"/>
          <w:sz w:val="21"/>
        </w:rPr>
      </w:pPr>
    </w:p>
    <w:p>
      <w:pPr>
        <w:spacing w:before="276" w:line="188" w:lineRule="auto"/>
        <w:ind w:left="3615"/>
        <w:outlineLvl w:val="0"/>
        <w:rPr>
          <w:rFonts w:ascii="Times New Roman" w:eastAsia="Times New Roman" w:hAnsi="Times New Roman" w:cs="Times New Roman"/>
          <w:sz w:val="96"/>
          <w:szCs w:val="96"/>
        </w:rPr>
      </w:pPr>
      <w:r>
        <w:rPr>
          <w:rFonts w:ascii="Times New Roman" w:eastAsia="Times New Roman" w:hAnsi="Times New Roman" w:cs="Times New Roman"/>
          <w:b/>
          <w:bCs/>
          <w:spacing w:val="82"/>
          <w:w w:val="114"/>
          <w:sz w:val="96"/>
          <w:szCs w:val="96"/>
        </w:rPr>
        <w:t>DB6101</w:t>
      </w:r>
    </w:p>
    <w:p>
      <w:pPr>
        <w:pStyle w:val="BodyText"/>
        <w:spacing w:before="295" w:line="217" w:lineRule="auto"/>
        <w:rPr>
          <w:sz w:val="48"/>
          <w:szCs w:val="48"/>
        </w:rPr>
      </w:pPr>
      <w:r>
        <w:rPr>
          <w:spacing w:val="-24"/>
          <w:sz w:val="48"/>
          <w:szCs w:val="48"/>
        </w:rPr>
        <w:t>安</w:t>
      </w:r>
      <w:r>
        <w:rPr>
          <w:spacing w:val="22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市</w:t>
      </w:r>
      <w:r>
        <w:rPr>
          <w:spacing w:val="19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地</w:t>
      </w:r>
      <w:r>
        <w:rPr>
          <w:spacing w:val="20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方</w:t>
      </w:r>
      <w:r>
        <w:rPr>
          <w:spacing w:val="17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标</w:t>
      </w:r>
      <w:r>
        <w:rPr>
          <w:spacing w:val="19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准</w:t>
      </w: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88" w:line="206" w:lineRule="auto"/>
        <w:ind w:left="5526" w:right="307" w:hanging="242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Times New Roman" w:eastAsia="Times New Roman" w:hAnsi="Times New Roman" w:cs="Times New Roman"/>
        </w:rPr>
        <w:t>DB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spacing w:val="3"/>
        </w:rPr>
        <w:t>6101/T</w:t>
      </w:r>
      <w:r>
        <w:rPr>
          <w:spacing w:val="38"/>
        </w:rPr>
        <w:t xml:space="preserve"> </w:t>
      </w:r>
      <w:r>
        <w:rPr>
          <w:spacing w:val="3"/>
        </w:rPr>
        <w:t>15</w:t>
      </w:r>
      <w:r>
        <w:rPr>
          <w:rFonts w:ascii="Times New Roman" w:eastAsia="Times New Roman" w:hAnsi="Times New Roman" w:cs="Times New Roman"/>
          <w:spacing w:val="3"/>
        </w:rPr>
        <w:t>—</w:t>
      </w:r>
      <w:r>
        <w:rPr>
          <w:spacing w:val="3"/>
        </w:rPr>
        <w:t>2019</w:t>
      </w:r>
      <w:r>
        <w:t xml:space="preserve">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代替  DB  6101/T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15-20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10</w:t>
      </w:r>
    </w:p>
    <w:p>
      <w:pPr>
        <w:spacing w:line="206" w:lineRule="auto"/>
        <w:rPr>
          <w:rFonts w:ascii="Microsoft YaHei" w:eastAsia="Microsoft YaHei" w:hAnsi="Microsoft YaHei" w:cs="Microsoft YaHei"/>
          <w:sz w:val="21"/>
          <w:szCs w:val="21"/>
        </w:rPr>
        <w:sectPr>
          <w:pgSz w:w="11900" w:h="16840"/>
          <w:pgMar w:top="514" w:right="812" w:bottom="0" w:left="1408" w:header="0" w:footer="0" w:gutter="0"/>
          <w:cols w:num="2" w:space="708" w:equalWidth="0">
            <w:col w:w="1440" w:space="100"/>
            <w:col w:w="8141" w:space="0"/>
          </w:cols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166" w:line="218" w:lineRule="auto"/>
        <w:ind w:left="2234"/>
        <w:rPr>
          <w:sz w:val="51"/>
          <w:szCs w:val="51"/>
        </w:rPr>
      </w:pPr>
      <w:r>
        <w:rPr>
          <w:spacing w:val="6"/>
          <w:sz w:val="51"/>
          <w:szCs w:val="51"/>
        </w:rPr>
        <w:t>设施杏栽培技术规程</w:t>
      </w: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  <w:sectPr>
          <w:type w:val="continuous"/>
          <w:pgSz w:w="11900" w:h="16840"/>
          <w:pgMar w:top="514" w:right="812" w:bottom="0" w:left="1408" w:header="0" w:footer="0" w:gutter="0"/>
          <w:pgNumType w:start="2"/>
          <w:cols w:num="1" w:space="708" w:equalWidth="0">
            <w:col w:w="9680" w:space="0"/>
          </w:cols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ectPr>
          <w:type w:val="nextPage"/>
          <w:pgSz w:w="11900" w:h="16840"/>
          <w:pgMar w:top="514" w:right="812" w:bottom="0" w:left="1408" w:header="0" w:footer="0" w:gutter="0"/>
          <w:pgNumType w:start="3"/>
          <w:cols w:num="1" w:space="708" w:equalWidth="0">
            <w:col w:w="9680" w:space="0"/>
          </w:cols>
          <w:titlePg w:val="0"/>
        </w:sectPr>
      </w:pPr>
    </w:p>
    <w:p>
      <w:pPr>
        <w:pStyle w:val="BodyText"/>
        <w:spacing w:before="54" w:line="190" w:lineRule="auto"/>
        <w:ind w:left="20"/>
      </w:pPr>
      <w:r>
        <w:rPr>
          <w:spacing w:val="-1"/>
        </w:rPr>
        <w:t>2019</w:t>
      </w:r>
      <w:r>
        <w:rPr>
          <w:spacing w:val="-48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05</w:t>
      </w:r>
      <w:r>
        <w:rPr>
          <w:spacing w:val="-57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08</w:t>
      </w:r>
      <w:r>
        <w:rPr>
          <w:spacing w:val="-45"/>
        </w:rPr>
        <w:t xml:space="preserve"> </w:t>
      </w:r>
      <w:r>
        <w:rPr>
          <w:spacing w:val="-1"/>
        </w:rPr>
        <w:t>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3" w:line="190" w:lineRule="auto"/>
        <w:jc w:val="right"/>
      </w:pPr>
      <w:r>
        <w:rPr>
          <w:spacing w:val="-1"/>
        </w:rPr>
        <w:t>2019</w:t>
      </w:r>
      <w:r>
        <w:rPr>
          <w:spacing w:val="-54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06</w:t>
      </w:r>
      <w:r>
        <w:rPr>
          <w:spacing w:val="-56"/>
        </w:rPr>
        <w:t xml:space="preserve"> </w:t>
      </w:r>
      <w:r>
        <w:rPr>
          <w:spacing w:val="-1"/>
        </w:rPr>
        <w:t>-</w:t>
      </w:r>
      <w:r>
        <w:rPr>
          <w:spacing w:val="-55"/>
        </w:rPr>
        <w:t xml:space="preserve"> </w:t>
      </w:r>
      <w:r>
        <w:rPr>
          <w:spacing w:val="-1"/>
        </w:rPr>
        <w:t>01</w:t>
      </w:r>
      <w:r>
        <w:rPr>
          <w:spacing w:val="-40"/>
        </w:rPr>
        <w:t xml:space="preserve"> </w:t>
      </w:r>
      <w:r>
        <w:rPr>
          <w:spacing w:val="-1"/>
        </w:rPr>
        <w:t>实施</w:t>
      </w:r>
    </w:p>
    <w:p>
      <w:pPr>
        <w:spacing w:line="190" w:lineRule="auto"/>
        <w:sectPr>
          <w:type w:val="continuous"/>
          <w:pgSz w:w="11900" w:h="16840"/>
          <w:pgMar w:top="514" w:right="812" w:bottom="0" w:left="1408" w:header="0" w:footer="0" w:gutter="0"/>
          <w:pgNumType w:start="4"/>
          <w:cols w:num="2" w:space="708" w:equalWidth="0">
            <w:col w:w="7284" w:space="100"/>
            <w:col w:w="2296" w:space="0"/>
          </w:cols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line="353" w:lineRule="auto"/>
        <w:rPr>
          <w:rFonts w:ascii="Arial"/>
          <w:sz w:val="21"/>
        </w:rPr>
      </w:pPr>
    </w:p>
    <w:p>
      <w:pPr>
        <w:pStyle w:val="BodyText"/>
        <w:spacing w:before="88" w:line="196" w:lineRule="auto"/>
        <w:ind w:left="1882"/>
      </w:pPr>
      <w:r>
        <w:rPr>
          <w:spacing w:val="59"/>
        </w:rPr>
        <w:t>西</w:t>
      </w:r>
      <w:r>
        <w:rPr>
          <w:spacing w:val="-53"/>
        </w:rPr>
        <w:t xml:space="preserve"> </w:t>
      </w:r>
      <w:r>
        <w:rPr>
          <w:spacing w:val="59"/>
        </w:rPr>
        <w:t>安</w:t>
      </w:r>
      <w:r>
        <w:rPr>
          <w:spacing w:val="-67"/>
        </w:rPr>
        <w:t xml:space="preserve"> </w:t>
      </w:r>
      <w:r>
        <w:rPr>
          <w:spacing w:val="59"/>
        </w:rPr>
        <w:t>市</w:t>
      </w:r>
      <w:r>
        <w:rPr>
          <w:spacing w:val="-66"/>
        </w:rPr>
        <w:t xml:space="preserve"> </w:t>
      </w:r>
      <w:r>
        <w:rPr>
          <w:spacing w:val="59"/>
        </w:rPr>
        <w:t>市</w:t>
      </w:r>
      <w:r>
        <w:rPr>
          <w:spacing w:val="-79"/>
        </w:rPr>
        <w:t xml:space="preserve"> </w:t>
      </w:r>
      <w:r>
        <w:rPr>
          <w:spacing w:val="59"/>
        </w:rPr>
        <w:t>场</w:t>
      </w:r>
      <w:r>
        <w:rPr>
          <w:spacing w:val="-77"/>
        </w:rPr>
        <w:t xml:space="preserve"> </w:t>
      </w:r>
      <w:r>
        <w:rPr>
          <w:spacing w:val="59"/>
        </w:rPr>
        <w:t>监</w:t>
      </w:r>
      <w:r>
        <w:rPr>
          <w:spacing w:val="-69"/>
        </w:rPr>
        <w:t xml:space="preserve"> </w:t>
      </w:r>
      <w:r>
        <w:rPr>
          <w:spacing w:val="59"/>
        </w:rPr>
        <w:t>督</w:t>
      </w:r>
      <w:r>
        <w:rPr>
          <w:spacing w:val="-68"/>
        </w:rPr>
        <w:t xml:space="preserve"> </w:t>
      </w:r>
      <w:r>
        <w:rPr>
          <w:spacing w:val="59"/>
        </w:rPr>
        <w:t>管</w:t>
      </w:r>
      <w:r>
        <w:rPr>
          <w:spacing w:val="-77"/>
        </w:rPr>
        <w:t xml:space="preserve"> </w:t>
      </w:r>
      <w:r>
        <w:rPr>
          <w:spacing w:val="59"/>
        </w:rPr>
        <w:t>理</w:t>
      </w:r>
      <w:r>
        <w:rPr>
          <w:spacing w:val="-72"/>
        </w:rPr>
        <w:t xml:space="preserve"> </w:t>
      </w:r>
      <w:r>
        <w:rPr>
          <w:spacing w:val="59"/>
        </w:rPr>
        <w:t>局</w:t>
      </w:r>
      <w:r>
        <w:rPr>
          <w:spacing w:val="59"/>
        </w:rPr>
        <w:t xml:space="preserve">    </w:t>
      </w:r>
      <w:r>
        <w:rPr>
          <w:spacing w:val="59"/>
          <w:position w:val="2"/>
        </w:rPr>
        <w:t>发</w:t>
      </w:r>
      <w:r>
        <w:rPr>
          <w:spacing w:val="59"/>
          <w:position w:val="2"/>
        </w:rPr>
        <w:t xml:space="preserve"> </w:t>
      </w:r>
      <w:r>
        <w:rPr>
          <w:spacing w:val="59"/>
          <w:position w:val="2"/>
        </w:rPr>
        <w:t>布</w:t>
      </w:r>
    </w:p>
    <w:p>
      <w:pPr>
        <w:spacing w:line="196" w:lineRule="auto"/>
        <w:sectPr>
          <w:type w:val="continuous"/>
          <w:pgSz w:w="11900" w:h="16840"/>
          <w:pgMar w:top="514" w:right="812" w:bottom="0" w:left="1408" w:header="0" w:footer="0" w:gutter="0"/>
          <w:pgNumType w:start="5"/>
          <w:cols w:num="1" w:space="708" w:equalWidth="0">
            <w:col w:w="9680" w:space="0"/>
          </w:cols>
        </w:sectPr>
      </w:pPr>
    </w:p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"/>
          <w:footerReference w:type="default" r:id="rId5"/>
          <w:pgSz w:w="11900" w:h="16840"/>
          <w:pgMar w:top="0" w:right="0" w:bottom="0" w:left="0" w:header="0" w:footer="0" w:gutter="0"/>
          <w:pgNumType w:start="6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jc w:val="right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4" w:line="220" w:lineRule="auto"/>
        <w:ind w:left="4087"/>
        <w:rPr>
          <w:sz w:val="32"/>
          <w:szCs w:val="32"/>
        </w:rPr>
      </w:pPr>
      <w:bookmarkStart w:id="0" w:name="bookmark1"/>
      <w:bookmarkEnd w:id="0"/>
      <w:r>
        <w:rPr>
          <w:spacing w:val="-31"/>
          <w:sz w:val="32"/>
          <w:szCs w:val="32"/>
        </w:rPr>
        <w:t>目</w:t>
      </w:r>
      <w:r>
        <w:rPr>
          <w:spacing w:val="5"/>
          <w:sz w:val="32"/>
          <w:szCs w:val="32"/>
        </w:rPr>
        <w:t xml:space="preserve">    </w:t>
      </w:r>
      <w:r>
        <w:rPr>
          <w:spacing w:val="-31"/>
          <w:sz w:val="32"/>
          <w:szCs w:val="32"/>
        </w:rPr>
        <w:t>次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21"/>
          <w:szCs w:val="21"/>
        </w:rPr>
        <w:id w:val="1362433895"/>
        <w:docPartObj>
          <w:docPartGallery w:val="Table of Contents"/>
          <w:docPartUnique/>
        </w:docPartObj>
      </w:sdtPr>
      <w:sdtEndPr>
        <w:rPr>
          <w:rFonts w:ascii="Microsoft YaHei" w:eastAsia="Microsoft YaHei" w:hAnsi="Microsoft YaHei" w:cs="Microsoft YaHei"/>
          <w:sz w:val="21"/>
          <w:szCs w:val="21"/>
        </w:rPr>
      </w:sdtEndPr>
      <w:sdtContent>
        <w:p>
          <w:pPr>
            <w:tabs>
              <w:tab w:val="right" w:leader="dot" w:pos="9232"/>
            </w:tabs>
            <w:spacing w:before="90" w:line="187" w:lineRule="auto"/>
            <w:ind w:left="4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前言</w:t>
          </w:r>
          <w:r>
            <w:rPr>
              <w:rFonts w:ascii="Microsoft YaHei" w:eastAsia="Microsoft YaHei" w:hAnsi="Microsoft YaHei" w:cs="Microsoft YaHei"/>
              <w:spacing w:val="14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4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33"/>
              <w:w w:val="101"/>
              <w:sz w:val="21"/>
              <w:szCs w:val="21"/>
            </w:rPr>
            <w:t>II</w:t>
          </w:r>
        </w:p>
        <w:p>
          <w:pPr>
            <w:tabs>
              <w:tab w:val="right" w:leader="dot" w:pos="9232"/>
            </w:tabs>
            <w:spacing w:before="108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18"/>
              <w:sz w:val="21"/>
              <w:szCs w:val="21"/>
            </w:rPr>
            <w:t>1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18"/>
              <w:sz w:val="21"/>
              <w:szCs w:val="21"/>
            </w:rPr>
            <w:t>范围</w:t>
          </w:r>
          <w:r>
            <w:rPr>
              <w:rFonts w:ascii="Microsoft YaHei" w:eastAsia="Microsoft YaHei" w:hAnsi="Microsoft YaHei" w:cs="Microsoft YaHei"/>
              <w:spacing w:val="16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2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7" w:line="186" w:lineRule="auto"/>
            <w:ind w:left="3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2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规范性引用文件</w:t>
          </w:r>
          <w:r>
            <w:rPr>
              <w:rFonts w:ascii="Microsoft YaHei" w:eastAsia="Microsoft YaHei" w:hAnsi="Microsoft YaHei" w:cs="Microsoft YaHei"/>
              <w:spacing w:val="22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3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16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13"/>
              <w:w w:val="99"/>
              <w:sz w:val="21"/>
              <w:szCs w:val="21"/>
            </w:rPr>
            <w:t>3</w:t>
          </w:r>
          <w:r>
            <w:rPr>
              <w:rFonts w:ascii="Microsoft YaHei" w:eastAsia="Microsoft YaHei" w:hAnsi="Microsoft YaHei" w:cs="Microsoft YaHei"/>
              <w:spacing w:val="13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13"/>
              <w:w w:val="99"/>
              <w:sz w:val="21"/>
              <w:szCs w:val="21"/>
            </w:rPr>
            <w:t>定义</w:t>
          </w:r>
          <w:r>
            <w:rPr>
              <w:rFonts w:ascii="Microsoft YaHei" w:eastAsia="Microsoft YaHei" w:hAnsi="Microsoft YaHei" w:cs="Microsoft YaHei"/>
              <w:spacing w:val="15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4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6"/>
              <w:sz w:val="21"/>
              <w:szCs w:val="21"/>
            </w:rPr>
            <w:t>4</w:t>
          </w:r>
          <w:r>
            <w:rPr>
              <w:rFonts w:ascii="Microsoft YaHei" w:eastAsia="Microsoft YaHei" w:hAnsi="Microsoft YaHei" w:cs="Microsoft YaHei"/>
              <w:spacing w:val="16"/>
              <w:w w:val="10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6"/>
              <w:sz w:val="21"/>
              <w:szCs w:val="21"/>
            </w:rPr>
            <w:t>园地选择与规划</w:t>
          </w:r>
          <w:r>
            <w:rPr>
              <w:rFonts w:ascii="Microsoft YaHei" w:eastAsia="Microsoft YaHei" w:hAnsi="Microsoft YaHei" w:cs="Microsoft YaHei"/>
              <w:spacing w:val="19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5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5</w:t>
          </w:r>
          <w:r>
            <w:rPr>
              <w:rFonts w:ascii="Microsoft YaHei" w:eastAsia="Microsoft YaHei" w:hAnsi="Microsoft YaHei" w:cs="Microsoft YaHei"/>
              <w:spacing w:val="17"/>
              <w:w w:val="10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品种和质量选择</w:t>
          </w:r>
          <w:r>
            <w:rPr>
              <w:rFonts w:ascii="Microsoft YaHei" w:eastAsia="Microsoft YaHei" w:hAnsi="Microsoft YaHei" w:cs="Microsoft YaHei"/>
              <w:spacing w:val="19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6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10" w:line="186" w:lineRule="auto"/>
            <w:ind w:left="2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6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定植</w:t>
          </w:r>
          <w:r>
            <w:rPr>
              <w:rFonts w:ascii="Microsoft YaHei" w:eastAsia="Microsoft YaHei" w:hAnsi="Microsoft YaHei" w:cs="Microsoft YaHei"/>
              <w:spacing w:val="17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7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14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7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整形修剪</w:t>
          </w:r>
          <w:r>
            <w:rPr>
              <w:rFonts w:ascii="Microsoft YaHei" w:eastAsia="Microsoft YaHei" w:hAnsi="Microsoft YaHei" w:cs="Microsoft YaHei"/>
              <w:spacing w:val="15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8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09" w:line="187" w:lineRule="auto"/>
            <w:ind w:left="1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8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扣棚升温</w:t>
          </w:r>
          <w:r>
            <w:rPr>
              <w:rFonts w:ascii="Microsoft YaHei" w:eastAsia="Microsoft YaHei" w:hAnsi="Microsoft YaHei" w:cs="Microsoft YaHei"/>
              <w:spacing w:val="15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2"/>
            </w:tabs>
            <w:spacing w:before="109" w:line="187" w:lineRule="auto"/>
            <w:ind w:left="1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9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花果管理</w:t>
          </w:r>
          <w:r>
            <w:rPr>
              <w:rFonts w:ascii="Microsoft YaHei" w:eastAsia="Microsoft YaHei" w:hAnsi="Microsoft YaHei" w:cs="Microsoft YaHei"/>
              <w:spacing w:val="15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2"/>
            </w:tabs>
            <w:spacing w:before="107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10</w:t>
          </w:r>
          <w:r>
            <w:rPr>
              <w:rFonts w:ascii="Microsoft YaHei" w:eastAsia="Microsoft YaHei" w:hAnsi="Microsoft YaHei" w:cs="Microsoft YaHei"/>
              <w:spacing w:val="13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土、肥、水管理</w:t>
          </w:r>
          <w:r>
            <w:rPr>
              <w:rFonts w:ascii="Microsoft YaHei" w:eastAsia="Microsoft YaHei" w:hAnsi="Microsoft YaHei" w:cs="Microsoft YaHei"/>
              <w:spacing w:val="20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2"/>
              <w:sz w:val="21"/>
              <w:szCs w:val="21"/>
            </w:rPr>
            <w:t xml:space="preserve"> </w:t>
          </w:r>
          <w:hyperlink w:anchor="bookmark9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232"/>
            </w:tabs>
            <w:spacing w:before="114" w:line="186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10"/>
              <w:sz w:val="21"/>
              <w:szCs w:val="21"/>
            </w:rPr>
            <w:t>11</w:t>
          </w:r>
          <w:r>
            <w:rPr>
              <w:rFonts w:ascii="Microsoft YaHei" w:eastAsia="Microsoft YaHei" w:hAnsi="Microsoft YaHei" w:cs="Microsoft YaHei"/>
              <w:spacing w:val="1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10"/>
              <w:sz w:val="21"/>
              <w:szCs w:val="21"/>
            </w:rPr>
            <w:t>病虫害防治</w:t>
          </w:r>
          <w:r>
            <w:rPr>
              <w:rFonts w:ascii="Microsoft YaHei" w:eastAsia="Microsoft YaHei" w:hAnsi="Microsoft YaHei" w:cs="Microsoft YaHei"/>
              <w:spacing w:val="22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2"/>
              <w:sz w:val="21"/>
              <w:szCs w:val="21"/>
            </w:rPr>
            <w:t xml:space="preserve"> </w:t>
          </w:r>
          <w:hyperlink w:anchor="bookmark10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232"/>
            </w:tabs>
            <w:spacing w:before="108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12</w:t>
          </w:r>
          <w:r>
            <w:rPr>
              <w:rFonts w:ascii="Microsoft YaHei" w:eastAsia="Microsoft YaHei" w:hAnsi="Microsoft YaHei" w:cs="Microsoft YaHei"/>
              <w:spacing w:val="10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采收前准备工作</w:t>
          </w:r>
          <w:r>
            <w:rPr>
              <w:rFonts w:ascii="Microsoft YaHei" w:eastAsia="Microsoft YaHei" w:hAnsi="Microsoft YaHei" w:cs="Microsoft YaHei"/>
              <w:spacing w:val="20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13</w:t>
          </w:r>
          <w:r>
            <w:rPr>
              <w:rFonts w:ascii="Microsoft YaHei" w:eastAsia="Microsoft YaHei" w:hAnsi="Microsoft YaHei" w:cs="Microsoft YaHei"/>
              <w:spacing w:val="15"/>
              <w:w w:val="10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采果分级包装，标志、贮存运输</w:t>
          </w:r>
          <w:r>
            <w:rPr>
              <w:rFonts w:ascii="Microsoft YaHei" w:eastAsia="Microsoft YaHei" w:hAnsi="Microsoft YaHei" w:cs="Microsoft YaHei"/>
              <w:spacing w:val="28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2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5</w:t>
            </w:r>
          </w:hyperlink>
        </w:p>
      </w:sdtContent>
    </w:sdt>
    <w:p>
      <w:pPr>
        <w:spacing w:line="186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6"/>
          <w:footerReference w:type="default" r:id="rId7"/>
          <w:pgSz w:w="11900" w:h="16840"/>
          <w:pgMar w:top="400" w:right="1128" w:bottom="1316" w:left="1423" w:header="0" w:footer="1110" w:gutter="0"/>
          <w:pgNumType w:start="7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104" w:line="220" w:lineRule="auto"/>
        <w:ind w:left="4042"/>
        <w:rPr>
          <w:sz w:val="32"/>
          <w:szCs w:val="32"/>
        </w:rPr>
      </w:pPr>
      <w:bookmarkStart w:id="1" w:name="bookmark9"/>
      <w:bookmarkEnd w:id="1"/>
      <w:bookmarkStart w:id="2" w:name="bookmark10"/>
      <w:bookmarkEnd w:id="2"/>
      <w:r>
        <w:rPr>
          <w:spacing w:val="-10"/>
          <w:sz w:val="32"/>
          <w:szCs w:val="32"/>
        </w:rPr>
        <w:t>前</w:t>
      </w:r>
      <w:r>
        <w:rPr>
          <w:spacing w:val="6"/>
          <w:sz w:val="32"/>
          <w:szCs w:val="32"/>
        </w:rPr>
        <w:t xml:space="preserve">    </w:t>
      </w:r>
      <w:r>
        <w:rPr>
          <w:spacing w:val="-10"/>
          <w:sz w:val="32"/>
          <w:szCs w:val="32"/>
        </w:rPr>
        <w:t>言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90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本标准是对DB6101/T  15-2010《大棚杏栽培技术规程》</w:t>
      </w:r>
      <w:r>
        <w:rPr>
          <w:rFonts w:ascii="Microsoft YaHei" w:eastAsia="Microsoft YaHei" w:hAnsi="Microsoft YaHei" w:cs="Microsoft YaHei"/>
          <w:spacing w:val="-1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的第一次修订。</w:t>
      </w:r>
    </w:p>
    <w:p>
      <w:pPr>
        <w:spacing w:before="33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本标准由西安市质量技术监督局提出并归口。</w:t>
      </w:r>
    </w:p>
    <w:p>
      <w:pPr>
        <w:spacing w:before="33" w:line="198" w:lineRule="auto"/>
        <w:ind w:left="6" w:firstLine="41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本标准主要起草单位：西安市鄠邑区市场监督管理局、西安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市鄠邑区现代农业投资发展有限责任公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司。</w:t>
      </w:r>
    </w:p>
    <w:p>
      <w:pPr>
        <w:spacing w:before="29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z w:val="21"/>
          <w:szCs w:val="21"/>
        </w:rPr>
        <w:t>本标准主要起草人：李六建、贾建国、马建斌、董柯、严昌盛、王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丽丽、乔维娜。</w:t>
      </w:r>
    </w:p>
    <w:p>
      <w:pPr>
        <w:spacing w:before="32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本标准的历次版本发布情况为：</w:t>
      </w:r>
    </w:p>
    <w:p>
      <w:pPr>
        <w:spacing w:before="33" w:line="188" w:lineRule="auto"/>
        <w:ind w:left="410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>—</w:t>
      </w: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DB6101/T  15-2010。</w:t>
      </w:r>
    </w:p>
    <w:p>
      <w:pPr>
        <w:spacing w:line="188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8"/>
          <w:footerReference w:type="default" r:id="rId9"/>
          <w:pgSz w:w="11900" w:h="16840"/>
          <w:pgMar w:top="400" w:right="1407" w:bottom="1316" w:left="1142" w:header="0" w:footer="1110" w:gutter="0"/>
          <w:pgNumType w:start="8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ind w:right="4"/>
        <w:jc w:val="right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4" w:line="216" w:lineRule="auto"/>
        <w:ind w:left="3246"/>
        <w:rPr>
          <w:sz w:val="32"/>
          <w:szCs w:val="32"/>
        </w:rPr>
      </w:pPr>
      <w:bookmarkStart w:id="3" w:name="bookmark11"/>
      <w:bookmarkEnd w:id="3"/>
      <w:bookmarkStart w:id="4" w:name="bookmark12"/>
      <w:bookmarkEnd w:id="4"/>
      <w:r>
        <w:rPr>
          <w:spacing w:val="-2"/>
          <w:sz w:val="32"/>
          <w:szCs w:val="32"/>
        </w:rPr>
        <w:t>设施杏栽培技术规程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14"/>
        <w:rPr>
          <w:sz w:val="21"/>
          <w:szCs w:val="21"/>
        </w:rPr>
      </w:pPr>
      <w:r>
        <w:rPr>
          <w:spacing w:val="-9"/>
          <w:sz w:val="21"/>
          <w:szCs w:val="21"/>
        </w:rPr>
        <w:t>1</w:t>
      </w:r>
      <w:r>
        <w:rPr>
          <w:spacing w:val="7"/>
          <w:sz w:val="21"/>
          <w:szCs w:val="21"/>
        </w:rPr>
        <w:t xml:space="preserve">  </w:t>
      </w:r>
      <w:r>
        <w:rPr>
          <w:spacing w:val="-9"/>
          <w:sz w:val="21"/>
          <w:szCs w:val="21"/>
        </w:rPr>
        <w:t>范围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90" w:line="201" w:lineRule="auto"/>
        <w:ind w:left="1" w:firstLine="423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本标准规定了设施杏的生产园地选择与规划，品种和质量选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择，定植，整形修剪，扣棚升温，花果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管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理，土、肥、水管理，病虫害防治，采收前准备工作以及采果、分级包装、标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志、贮存、运输等技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术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环节的要求。</w:t>
      </w:r>
    </w:p>
    <w:p>
      <w:pPr>
        <w:spacing w:before="32" w:line="629" w:lineRule="exact"/>
        <w:ind w:left="424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position w:val="32"/>
          <w:sz w:val="21"/>
          <w:szCs w:val="21"/>
        </w:rPr>
        <w:t>本标准适用于西安地区设施杏的生产。</w:t>
      </w:r>
    </w:p>
    <w:p>
      <w:pPr>
        <w:pStyle w:val="BodyText"/>
        <w:spacing w:line="219" w:lineRule="auto"/>
        <w:ind w:left="3"/>
        <w:rPr>
          <w:sz w:val="21"/>
          <w:szCs w:val="21"/>
        </w:rPr>
      </w:pPr>
      <w:r>
        <w:rPr>
          <w:spacing w:val="-1"/>
          <w:sz w:val="21"/>
          <w:szCs w:val="21"/>
        </w:rPr>
        <w:t>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规范性引用文件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90" w:line="195" w:lineRule="auto"/>
        <w:ind w:firstLine="429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下列文件对于本文件的应用是必不可少的。凡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是注日期的引用文件，仅所注日期的版本适用于本文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件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。凡是不注日期的引用文件，其最新版本（包括所有的修改单）适用于本文件。</w:t>
      </w:r>
    </w:p>
    <w:p>
      <w:pPr>
        <w:spacing w:before="39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GB/T</w:t>
      </w:r>
      <w:r>
        <w:rPr>
          <w:rFonts w:ascii="Microsoft YaHei" w:eastAsia="Microsoft YaHei" w:hAnsi="Microsoft YaHei" w:cs="Microsoft YaHei"/>
          <w:spacing w:val="6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8321</w:t>
      </w:r>
      <w:r>
        <w:rPr>
          <w:rFonts w:ascii="Microsoft YaHei" w:eastAsia="Microsoft YaHei" w:hAnsi="Microsoft YaHei" w:cs="Microsoft YaHei"/>
          <w:spacing w:val="9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农药合理使用准则</w:t>
      </w:r>
    </w:p>
    <w:p>
      <w:pPr>
        <w:spacing w:before="33" w:line="208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NY/T</w:t>
      </w:r>
      <w:r>
        <w:rPr>
          <w:rFonts w:ascii="Microsoft YaHei" w:eastAsia="Microsoft YaHei" w:hAnsi="Microsoft YaHei" w:cs="Microsoft YaHei"/>
          <w:spacing w:val="6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496-2010</w:t>
      </w:r>
      <w:r>
        <w:rPr>
          <w:rFonts w:ascii="Microsoft YaHei" w:eastAsia="Microsoft YaHei" w:hAnsi="Microsoft YaHei" w:cs="Microsoft YaHei"/>
          <w:spacing w:val="11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肥料合理使用准则</w:t>
      </w:r>
      <w:r>
        <w:rPr>
          <w:rFonts w:ascii="Microsoft YaHei" w:eastAsia="Microsoft YaHei" w:hAnsi="Microsoft YaHei" w:cs="Microsoft YaHei"/>
          <w:spacing w:val="5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通则</w:t>
      </w:r>
    </w:p>
    <w:p>
      <w:pPr>
        <w:spacing w:before="1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NY  525-2012</w:t>
      </w:r>
      <w:r>
        <w:rPr>
          <w:rFonts w:ascii="Microsoft YaHei" w:eastAsia="Microsoft YaHei" w:hAnsi="Microsoft YaHei" w:cs="Microsoft YaHei"/>
          <w:spacing w:val="10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有机肥料</w:t>
      </w:r>
    </w:p>
    <w:p>
      <w:pPr>
        <w:spacing w:before="32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NY/T  1226</w:t>
      </w:r>
      <w:r>
        <w:rPr>
          <w:rFonts w:ascii="Microsoft YaHei" w:eastAsia="Microsoft YaHei" w:hAnsi="Microsoft YaHei" w:cs="Microsoft YaHei"/>
          <w:spacing w:val="15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农药安全使用规范总则</w:t>
      </w:r>
    </w:p>
    <w:p>
      <w:pPr>
        <w:spacing w:before="32" w:line="208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NY/T</w:t>
      </w:r>
      <w:r>
        <w:rPr>
          <w:rFonts w:ascii="Microsoft YaHei" w:eastAsia="Microsoft YaHei" w:hAnsi="Microsoft YaHei" w:cs="Microsoft YaHei"/>
          <w:spacing w:val="6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2798.1   无公害农产品生产质量安全控制技术规范第1部分  通则</w:t>
      </w:r>
    </w:p>
    <w:p>
      <w:pPr>
        <w:spacing w:before="1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NY/T  5010-2016</w:t>
      </w:r>
      <w:r>
        <w:rPr>
          <w:rFonts w:ascii="Microsoft YaHei" w:eastAsia="Microsoft YaHei" w:hAnsi="Microsoft YaHei" w:cs="Microsoft YaHei"/>
          <w:spacing w:val="53"/>
          <w:w w:val="10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无公害农</w:t>
      </w:r>
      <w:r>
        <w:rPr>
          <w:rFonts w:ascii="Microsoft YaHei" w:eastAsia="Microsoft YaHei" w:hAnsi="Microsoft YaHei" w:cs="Microsoft YaHei"/>
          <w:spacing w:val="-9"/>
          <w:sz w:val="21"/>
          <w:szCs w:val="21"/>
        </w:rPr>
        <w:t>产品</w:t>
      </w:r>
      <w:r>
        <w:rPr>
          <w:rFonts w:ascii="Microsoft YaHei" w:eastAsia="Microsoft YaHei" w:hAnsi="Microsoft YaHei" w:cs="Microsoft YaHei"/>
          <w:spacing w:val="47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21"/>
          <w:szCs w:val="21"/>
        </w:rPr>
        <w:t>种植业产地环境条件</w:t>
      </w: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69" w:line="220" w:lineRule="auto"/>
        <w:ind w:left="2"/>
        <w:rPr>
          <w:sz w:val="21"/>
          <w:szCs w:val="21"/>
        </w:rPr>
      </w:pPr>
      <w:r>
        <w:rPr>
          <w:spacing w:val="-3"/>
          <w:sz w:val="21"/>
          <w:szCs w:val="21"/>
        </w:rPr>
        <w:t>3</w:t>
      </w:r>
      <w:r>
        <w:rPr>
          <w:spacing w:val="8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术语和定义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91" w:line="230" w:lineRule="auto"/>
        <w:ind w:left="430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下列术语和定义适用于本标准。</w:t>
      </w:r>
    </w:p>
    <w:p>
      <w:pPr>
        <w:pStyle w:val="BodyText"/>
        <w:spacing w:line="184" w:lineRule="auto"/>
        <w:ind w:left="2"/>
        <w:rPr>
          <w:sz w:val="21"/>
          <w:szCs w:val="21"/>
        </w:rPr>
      </w:pPr>
      <w:r>
        <w:rPr>
          <w:spacing w:val="-2"/>
          <w:sz w:val="21"/>
          <w:szCs w:val="21"/>
        </w:rPr>
        <w:t>3.1</w:t>
      </w:r>
    </w:p>
    <w:p>
      <w:pPr>
        <w:pStyle w:val="BodyText"/>
        <w:spacing w:before="70" w:line="219" w:lineRule="auto"/>
        <w:ind w:left="427"/>
        <w:rPr>
          <w:sz w:val="21"/>
          <w:szCs w:val="21"/>
        </w:rPr>
        <w:sectPr>
          <w:headerReference w:type="default" r:id="rId10"/>
          <w:footerReference w:type="default" r:id="rId11"/>
          <w:pgSz w:w="11900" w:h="16840"/>
          <w:pgMar w:top="400" w:right="1124" w:bottom="1318" w:left="1422" w:header="0" w:footer="1110" w:gutter="0"/>
          <w:pgNumType w:start="9"/>
          <w:cols w:space="708"/>
        </w:sectPr>
      </w:pPr>
      <w:r>
        <w:rPr>
          <w:spacing w:val="-2"/>
          <w:sz w:val="21"/>
          <w:szCs w:val="21"/>
        </w:rPr>
        <w:t>设施杏</w:t>
      </w:r>
    </w:p>
    <w:p>
      <w:pPr>
        <w:spacing w:before="63" w:line="200" w:lineRule="auto"/>
        <w:ind w:left="2" w:firstLine="420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采用大棚生产专用设施，用水泥杆、轻型钢材做骨架，做成立柱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、拉杆、拱杆等，覆盖塑料膜上有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>保暖毡被或草帘的双拱式大棚及单拱式的日光温室大棚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>，棚内部从事生产经营</w:t>
      </w:r>
      <w:r>
        <w:rPr>
          <w:rFonts w:ascii="Microsoft YaHei" w:eastAsia="Microsoft YaHei" w:hAnsi="Microsoft YaHei" w:cs="Microsoft YaHei"/>
          <w:spacing w:val="1"/>
          <w:sz w:val="21"/>
          <w:szCs w:val="21"/>
        </w:rPr>
        <w:t>的一种现代农业生产模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式</w:t>
      </w:r>
      <w:r>
        <w:rPr>
          <w:rFonts w:ascii="Microsoft YaHei" w:eastAsia="Microsoft YaHei" w:hAnsi="Microsoft YaHei" w:cs="Microsoft YaHei"/>
          <w:spacing w:val="-3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。有保暖设施的是暖棚，而无保暖设施的是冷棚，设施杏的主要特点是上市早。</w:t>
      </w: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rPr>
          <w:sz w:val="21"/>
          <w:szCs w:val="21"/>
        </w:rPr>
      </w:pPr>
      <w:r>
        <w:rPr>
          <w:spacing w:val="-4"/>
          <w:sz w:val="21"/>
          <w:szCs w:val="21"/>
        </w:rPr>
        <w:t>4</w:t>
      </w:r>
      <w:r>
        <w:rPr>
          <w:spacing w:val="15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园地选择与规划</w:t>
      </w: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90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4.1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选择生态条件良好，远离污染源并具有可持续生产能力的农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业生产区域。</w:t>
      </w:r>
    </w:p>
    <w:p>
      <w:pPr>
        <w:pStyle w:val="BodyText"/>
        <w:spacing w:before="187" w:line="220" w:lineRule="auto"/>
        <w:rPr>
          <w:sz w:val="21"/>
          <w:szCs w:val="21"/>
        </w:rPr>
      </w:pPr>
      <w:r>
        <w:rPr>
          <w:spacing w:val="-1"/>
          <w:sz w:val="21"/>
          <w:szCs w:val="21"/>
        </w:rPr>
        <w:t>4.1.1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气候条件</w:t>
      </w:r>
    </w:p>
    <w:p>
      <w:pPr>
        <w:spacing w:before="219" w:line="197" w:lineRule="auto"/>
        <w:ind w:left="2" w:firstLine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适宜的平均气温为12℃~17℃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,  绝对最低温度≥-23℃</w:t>
      </w:r>
      <w:r>
        <w:rPr>
          <w:rFonts w:ascii="Microsoft YaHei" w:eastAsia="Microsoft YaHei" w:hAnsi="Microsoft YaHei" w:cs="Microsoft YaHei"/>
          <w:spacing w:val="-4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,  休眠期≤7.2℃低温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积累700h以上，全年日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照时数大于1200h。</w:t>
      </w:r>
    </w:p>
    <w:p>
      <w:pPr>
        <w:pStyle w:val="BodyText"/>
        <w:spacing w:before="188" w:line="220" w:lineRule="auto"/>
        <w:rPr>
          <w:sz w:val="21"/>
          <w:szCs w:val="21"/>
        </w:rPr>
      </w:pPr>
      <w:r>
        <w:rPr>
          <w:sz w:val="21"/>
          <w:szCs w:val="21"/>
        </w:rPr>
        <w:t>4.1.2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土壤条件</w:t>
      </w:r>
    </w:p>
    <w:p>
      <w:pPr>
        <w:spacing w:before="219" w:line="170" w:lineRule="auto"/>
        <w:ind w:left="424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土壤质地以沙土壤地为好，pH值6.5～7.8，盐分含量≤7g/kg，地下水位在1.0m以下，异重地。</w:t>
      </w:r>
    </w:p>
    <w:p>
      <w:pPr>
        <w:spacing w:line="170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12"/>
          <w:footerReference w:type="default" r:id="rId13"/>
          <w:type w:val="nextPage"/>
          <w:pgSz w:w="11900" w:h="16840"/>
          <w:pgMar w:top="400" w:right="1124" w:bottom="1318" w:left="1422" w:header="0" w:footer="1110" w:gutter="0"/>
          <w:pgNumType w:start="10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8" w:line="514" w:lineRule="exact"/>
        <w:ind w:left="3"/>
        <w:rPr>
          <w:sz w:val="21"/>
          <w:szCs w:val="21"/>
        </w:rPr>
      </w:pPr>
      <w:r>
        <w:rPr>
          <w:spacing w:val="-2"/>
          <w:position w:val="23"/>
          <w:sz w:val="21"/>
          <w:szCs w:val="21"/>
        </w:rPr>
        <w:t>DB6101/T</w:t>
      </w:r>
      <w:r>
        <w:rPr>
          <w:spacing w:val="24"/>
          <w:position w:val="23"/>
          <w:sz w:val="21"/>
          <w:szCs w:val="21"/>
        </w:rPr>
        <w:t xml:space="preserve"> </w:t>
      </w:r>
      <w:r>
        <w:rPr>
          <w:spacing w:val="-2"/>
          <w:position w:val="23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spacing w:val="-2"/>
          <w:position w:val="23"/>
          <w:sz w:val="21"/>
          <w:szCs w:val="21"/>
        </w:rPr>
        <w:t>—</w:t>
      </w:r>
      <w:r>
        <w:rPr>
          <w:spacing w:val="-2"/>
          <w:position w:val="23"/>
          <w:sz w:val="21"/>
          <w:szCs w:val="21"/>
        </w:rPr>
        <w:t>2019</w:t>
      </w:r>
    </w:p>
    <w:p>
      <w:pPr>
        <w:pStyle w:val="BodyText"/>
        <w:spacing w:line="219" w:lineRule="auto"/>
        <w:rPr>
          <w:sz w:val="21"/>
          <w:szCs w:val="21"/>
        </w:rPr>
      </w:pPr>
      <w:r>
        <w:rPr>
          <w:spacing w:val="-1"/>
          <w:sz w:val="21"/>
          <w:szCs w:val="21"/>
        </w:rPr>
        <w:t>4.1.3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产地环境</w:t>
      </w:r>
    </w:p>
    <w:p>
      <w:pPr>
        <w:spacing w:before="220" w:line="186" w:lineRule="auto"/>
        <w:ind w:left="426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水质和大气质量按NY/T  5010-2016执行。</w:t>
      </w:r>
    </w:p>
    <w:p>
      <w:pPr>
        <w:pStyle w:val="BodyText"/>
        <w:spacing w:before="186" w:line="221" w:lineRule="auto"/>
        <w:rPr>
          <w:sz w:val="21"/>
          <w:szCs w:val="21"/>
        </w:rPr>
      </w:pPr>
      <w:r>
        <w:rPr>
          <w:spacing w:val="-3"/>
          <w:sz w:val="21"/>
          <w:szCs w:val="21"/>
        </w:rPr>
        <w:t>4.2</w:t>
      </w:r>
      <w:r>
        <w:rPr>
          <w:spacing w:val="10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园地规划</w:t>
      </w:r>
    </w:p>
    <w:p>
      <w:pPr>
        <w:pStyle w:val="BodyText"/>
        <w:spacing w:before="219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4.2.1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园区按管理区和园地生产区分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别规划。</w:t>
      </w:r>
    </w:p>
    <w:p>
      <w:pPr>
        <w:pStyle w:val="BodyText"/>
        <w:spacing w:before="32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4.2.2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管理区包括生活、住宿、库房、包装车间等，合理布局安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排建设。</w:t>
      </w:r>
    </w:p>
    <w:p>
      <w:pPr>
        <w:pStyle w:val="BodyText"/>
        <w:spacing w:before="34" w:line="200" w:lineRule="auto"/>
        <w:ind w:right="136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3"/>
          <w:sz w:val="21"/>
          <w:szCs w:val="21"/>
        </w:rPr>
        <w:t>4.2.3</w:t>
      </w:r>
      <w:r>
        <w:rPr>
          <w:spacing w:val="-3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园地生产区规划：园地作为设施桃生产场地，规划时首先规划好设施的棚型，主要有两种形式：</w:t>
      </w:r>
      <w:r>
        <w:rPr>
          <w:rFonts w:ascii="Microsoft YaHei" w:eastAsia="Microsoft YaHei" w:hAnsi="Microsoft YaHei" w:cs="Microsoft YaHei"/>
          <w:spacing w:val="18"/>
          <w:w w:val="10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一种是双拱半圆形、另一种日光温室型。双拱形要求南北走向，长度 50m、宽</w:t>
      </w:r>
      <w:r>
        <w:rPr>
          <w:rFonts w:ascii="Microsoft YaHei" w:eastAsia="Microsoft YaHei" w:hAnsi="Microsoft YaHei" w:cs="Microsoft YaHei"/>
          <w:spacing w:val="1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1</w:t>
      </w:r>
      <w:r>
        <w:rPr>
          <w:rFonts w:ascii="Microsoft YaHei" w:eastAsia="Microsoft YaHei" w:hAnsi="Microsoft YaHei" w:cs="Microsoft YaHei"/>
          <w:spacing w:val="-17"/>
          <w:sz w:val="21"/>
          <w:szCs w:val="21"/>
        </w:rPr>
        <w:t>2m～14m、高度 3m～3.5m、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棚间距 3m，而半拱形日光温室大棚为东西走向，面向阳光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、长度 50m～60m、跨度 7m、高度 3.5m～4.0m、</w:t>
      </w:r>
    </w:p>
    <w:p>
      <w:pPr>
        <w:spacing w:before="32" w:line="182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棚间距 7m</w:t>
      </w:r>
      <w:r>
        <w:rPr>
          <w:rFonts w:ascii="Microsoft YaHei" w:eastAsia="Microsoft YaHei" w:hAnsi="Microsoft YaHei" w:cs="Microsoft YaHei"/>
          <w:spacing w:val="30"/>
          <w:w w:val="10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以上（其结构见附图 2、1）。</w:t>
      </w:r>
    </w:p>
    <w:p>
      <w:pPr>
        <w:pStyle w:val="BodyText"/>
        <w:spacing w:before="40" w:line="630" w:lineRule="exact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4"/>
          <w:position w:val="32"/>
          <w:sz w:val="21"/>
          <w:szCs w:val="21"/>
        </w:rPr>
        <w:t>4.2.4</w:t>
      </w:r>
      <w:r>
        <w:rPr>
          <w:spacing w:val="-4"/>
          <w:position w:val="3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棚膜选择的要求：</w:t>
      </w:r>
      <w:r>
        <w:rPr>
          <w:rFonts w:ascii="Microsoft YaHei" w:eastAsia="Microsoft YaHei" w:hAnsi="Microsoft YaHei" w:cs="Microsoft YaHei"/>
          <w:spacing w:val="-40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塑料大棚膜选用聚乙烯“三防</w:t>
      </w:r>
      <w:r>
        <w:rPr>
          <w:rFonts w:ascii="Microsoft YaHei" w:eastAsia="Microsoft YaHei" w:hAnsi="Microsoft YaHei" w:cs="Microsoft YaHei"/>
          <w:spacing w:val="-39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”膜或 PO 膜为</w:t>
      </w:r>
      <w:r>
        <w:rPr>
          <w:rFonts w:ascii="Microsoft YaHei" w:eastAsia="Microsoft YaHei" w:hAnsi="Microsoft YaHei" w:cs="Microsoft YaHei"/>
          <w:spacing w:val="-5"/>
          <w:position w:val="32"/>
          <w:sz w:val="21"/>
          <w:szCs w:val="21"/>
        </w:rPr>
        <w:t>好。</w:t>
      </w:r>
    </w:p>
    <w:p>
      <w:pPr>
        <w:pStyle w:val="BodyText"/>
        <w:spacing w:line="218" w:lineRule="auto"/>
        <w:ind w:left="2"/>
        <w:rPr>
          <w:sz w:val="21"/>
          <w:szCs w:val="21"/>
        </w:rPr>
      </w:pPr>
      <w:r>
        <w:rPr>
          <w:spacing w:val="-3"/>
          <w:sz w:val="21"/>
          <w:szCs w:val="21"/>
        </w:rPr>
        <w:t>5</w:t>
      </w:r>
      <w:r>
        <w:rPr>
          <w:spacing w:val="10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品种和质量选择</w:t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68" w:line="218" w:lineRule="auto"/>
        <w:ind w:left="2"/>
        <w:rPr>
          <w:sz w:val="21"/>
          <w:szCs w:val="21"/>
        </w:rPr>
      </w:pPr>
      <w:r>
        <w:rPr>
          <w:spacing w:val="-3"/>
          <w:sz w:val="21"/>
          <w:szCs w:val="21"/>
        </w:rPr>
        <w:t>5.1</w:t>
      </w:r>
      <w:r>
        <w:rPr>
          <w:spacing w:val="8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品种选择</w:t>
      </w:r>
    </w:p>
    <w:p>
      <w:pPr>
        <w:spacing w:before="221" w:line="197" w:lineRule="auto"/>
        <w:ind w:left="3" w:firstLine="438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5"/>
          <w:sz w:val="21"/>
          <w:szCs w:val="21"/>
        </w:rPr>
        <w:t>品种有金太阳、凯特杏及丰园红、丰园“77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21"/>
          <w:szCs w:val="21"/>
        </w:rPr>
        <w:t>”。杏主栽品种金</w:t>
      </w:r>
      <w:r>
        <w:rPr>
          <w:rFonts w:ascii="Microsoft YaHei" w:eastAsia="Microsoft YaHei" w:hAnsi="Microsoft YaHei" w:cs="Microsoft YaHei"/>
          <w:spacing w:val="-6"/>
          <w:sz w:val="21"/>
          <w:szCs w:val="21"/>
        </w:rPr>
        <w:t>太阳、丰园红搭配凯特杏及丰园“77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21"/>
          <w:szCs w:val="21"/>
        </w:rPr>
        <w:t>”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杏，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比例6∶1较好，保障授粉良好，确保丰产。</w:t>
      </w:r>
    </w:p>
    <w:p>
      <w:pPr>
        <w:pStyle w:val="BodyText"/>
        <w:spacing w:before="188" w:line="219" w:lineRule="auto"/>
        <w:ind w:left="2"/>
        <w:rPr>
          <w:sz w:val="21"/>
          <w:szCs w:val="21"/>
        </w:rPr>
      </w:pPr>
      <w:r>
        <w:rPr>
          <w:spacing w:val="-1"/>
          <w:sz w:val="21"/>
          <w:szCs w:val="21"/>
        </w:rPr>
        <w:t>5.2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质量选择</w:t>
      </w:r>
    </w:p>
    <w:p>
      <w:pPr>
        <w:spacing w:before="221" w:line="196" w:lineRule="auto"/>
        <w:ind w:left="17" w:right="210" w:firstLine="40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要求苗木高度100cm以上、胸径0.8cm以上，砧木以山杏为好，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侧根数量不少于3条～4条，长度大于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21"/>
          <w:szCs w:val="21"/>
        </w:rPr>
        <w:t>15cm，且无介壳出，无根瘤和根节线虫等病、虫害。</w:t>
      </w: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69" w:line="222" w:lineRule="auto"/>
        <w:ind w:left="5"/>
        <w:rPr>
          <w:sz w:val="21"/>
          <w:szCs w:val="21"/>
        </w:rPr>
      </w:pPr>
      <w:r>
        <w:rPr>
          <w:spacing w:val="-6"/>
          <w:sz w:val="21"/>
          <w:szCs w:val="21"/>
        </w:rPr>
        <w:t>6</w:t>
      </w:r>
      <w:r>
        <w:rPr>
          <w:spacing w:val="7"/>
          <w:sz w:val="21"/>
          <w:szCs w:val="21"/>
        </w:rPr>
        <w:t xml:space="preserve">  </w:t>
      </w:r>
      <w:r>
        <w:rPr>
          <w:spacing w:val="-6"/>
          <w:sz w:val="21"/>
          <w:szCs w:val="21"/>
        </w:rPr>
        <w:t>定植</w: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91" w:line="186" w:lineRule="auto"/>
        <w:ind w:left="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3"/>
          <w:sz w:val="21"/>
          <w:szCs w:val="21"/>
        </w:rPr>
        <w:t>6.1</w:t>
      </w:r>
      <w:r>
        <w:rPr>
          <w:spacing w:val="-3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时期：</w:t>
      </w:r>
      <w:r>
        <w:rPr>
          <w:rFonts w:ascii="Microsoft YaHei" w:eastAsia="Microsoft YaHei" w:hAnsi="Microsoft YaHei" w:cs="Microsoft YaHei"/>
          <w:spacing w:val="-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宜在春季栽植。</w:t>
      </w:r>
    </w:p>
    <w:p>
      <w:pPr>
        <w:pStyle w:val="BodyText"/>
        <w:spacing w:before="34" w:line="186" w:lineRule="auto"/>
        <w:ind w:left="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12"/>
          <w:sz w:val="21"/>
          <w:szCs w:val="21"/>
        </w:rPr>
        <w:t>6.2</w:t>
      </w:r>
      <w:r>
        <w:rPr>
          <w:spacing w:val="-1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2"/>
          <w:sz w:val="21"/>
          <w:szCs w:val="21"/>
        </w:rPr>
        <w:t>密度：株行距</w:t>
      </w:r>
      <w:r>
        <w:rPr>
          <w:rFonts w:ascii="Microsoft YaHei" w:eastAsia="Microsoft YaHei" w:hAnsi="Microsoft YaHei" w:cs="Microsoft YaHei"/>
          <w:spacing w:val="18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21"/>
          <w:szCs w:val="21"/>
        </w:rPr>
        <w:t>100cm×200cm。</w:t>
      </w:r>
    </w:p>
    <w:p>
      <w:pPr>
        <w:pStyle w:val="BodyText"/>
        <w:spacing w:before="31" w:line="197" w:lineRule="auto"/>
        <w:ind w:left="18" w:right="210" w:hanging="1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8"/>
          <w:sz w:val="21"/>
          <w:szCs w:val="21"/>
        </w:rPr>
        <w:t>6.3</w:t>
      </w:r>
      <w:r>
        <w:rPr>
          <w:spacing w:val="-8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方法：</w:t>
      </w:r>
      <w:r>
        <w:rPr>
          <w:rFonts w:ascii="Microsoft YaHei" w:eastAsia="Microsoft YaHei" w:hAnsi="Microsoft YaHei" w:cs="Microsoft YaHei"/>
          <w:spacing w:val="-38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定植穴大小以 50cm×50cm×40cm，栽植穴内施入少部分有机肥</w:t>
      </w:r>
      <w:r>
        <w:rPr>
          <w:rFonts w:ascii="Microsoft YaHei" w:eastAsia="Microsoft YaHei" w:hAnsi="Microsoft YaHei" w:cs="Microsoft YaHei"/>
          <w:spacing w:val="-3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。栽前对苗木根系用</w:t>
      </w:r>
      <w:r>
        <w:rPr>
          <w:rFonts w:ascii="Microsoft YaHei" w:eastAsia="Microsoft YaHei" w:hAnsi="Microsoft YaHei" w:cs="Microsoft YaHei"/>
          <w:spacing w:val="1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1.0%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的硫酸铜溶液浸 5h 后，再放入 2%的石灰液中浸 2h，栽植时将嫁接口朝迎风方向，边填土边轻轻向上提</w:t>
      </w:r>
    </w:p>
    <w:p>
      <w:pPr>
        <w:spacing w:before="33" w:line="630" w:lineRule="exact"/>
        <w:ind w:left="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position w:val="32"/>
          <w:sz w:val="21"/>
          <w:szCs w:val="21"/>
        </w:rPr>
        <w:t>苗、踏实、栽植深度以根茎部与地面持平为宜，栽培完</w:t>
      </w:r>
      <w:r>
        <w:rPr>
          <w:rFonts w:ascii="Microsoft YaHei" w:eastAsia="Microsoft YaHei" w:hAnsi="Microsoft YaHei" w:cs="Microsoft YaHei"/>
          <w:spacing w:val="-1"/>
          <w:position w:val="32"/>
          <w:sz w:val="21"/>
          <w:szCs w:val="21"/>
        </w:rPr>
        <w:t>毕后，立即灌水。</w:t>
      </w:r>
    </w:p>
    <w:p>
      <w:pPr>
        <w:pStyle w:val="BodyText"/>
        <w:spacing w:line="218" w:lineRule="auto"/>
        <w:ind w:left="6"/>
        <w:rPr>
          <w:sz w:val="21"/>
          <w:szCs w:val="21"/>
        </w:rPr>
      </w:pPr>
      <w:r>
        <w:rPr>
          <w:spacing w:val="-4"/>
          <w:sz w:val="21"/>
          <w:szCs w:val="21"/>
        </w:rPr>
        <w:t>7</w:t>
      </w:r>
      <w:r>
        <w:rPr>
          <w:spacing w:val="6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整形修剪</w:t>
      </w:r>
    </w:p>
    <w:p>
      <w:pPr>
        <w:spacing w:line="300" w:lineRule="auto"/>
        <w:rPr>
          <w:rFonts w:ascii="Arial"/>
          <w:sz w:val="21"/>
        </w:rPr>
        <w:sectPr>
          <w:headerReference w:type="default" r:id="rId14"/>
          <w:footerReference w:type="default" r:id="rId15"/>
          <w:pgSz w:w="11900" w:h="16840"/>
          <w:pgMar w:top="400" w:right="1196" w:bottom="1318" w:left="1139" w:header="0" w:footer="1110" w:gutter="0"/>
          <w:pgNumType w:start="11"/>
          <w:cols w:space="708"/>
        </w:sectPr>
      </w:pPr>
    </w:p>
    <w:p>
      <w:pPr>
        <w:pStyle w:val="BodyText"/>
        <w:spacing w:before="69" w:line="221" w:lineRule="auto"/>
        <w:ind w:left="6"/>
        <w:rPr>
          <w:sz w:val="21"/>
          <w:szCs w:val="21"/>
        </w:rPr>
      </w:pPr>
      <w:r>
        <w:rPr>
          <w:spacing w:val="-2"/>
          <w:sz w:val="21"/>
          <w:szCs w:val="21"/>
        </w:rPr>
        <w:t>7.1</w:t>
      </w:r>
      <w:r>
        <w:rPr>
          <w:spacing w:val="-2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树体结构</w:t>
      </w:r>
    </w:p>
    <w:p>
      <w:pPr>
        <w:spacing w:before="213" w:line="197" w:lineRule="auto"/>
        <w:ind w:left="4" w:right="210" w:firstLine="42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设施杏采用主杆型，定干60cm～70cm、即中心主干上分层留有3个</w:t>
      </w:r>
      <w:r>
        <w:rPr>
          <w:rFonts w:ascii="Microsoft YaHei" w:eastAsia="Microsoft YaHei" w:hAnsi="Microsoft YaHei" w:cs="Microsoft YaHei"/>
          <w:spacing w:val="-9"/>
          <w:sz w:val="21"/>
          <w:szCs w:val="21"/>
        </w:rPr>
        <w:t>～4个侧枝，做到错落有序、层次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分明，各侧枝与中心主干夹角60</w:t>
      </w:r>
      <w:r>
        <w:rPr>
          <w:rFonts w:ascii="Microsoft YaHei" w:eastAsia="Microsoft YaHei" w:hAnsi="Microsoft YaHei" w:cs="Microsoft YaHei"/>
          <w:spacing w:val="-30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°~70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°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,</w:t>
      </w:r>
      <w:r>
        <w:rPr>
          <w:rFonts w:ascii="Microsoft YaHei" w:eastAsia="Microsoft YaHei" w:hAnsi="Microsoft YaHei" w:cs="Microsoft YaHei"/>
          <w:spacing w:val="18"/>
          <w:w w:val="101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各侧枝上留2条～3条结果枝。</w:t>
      </w:r>
    </w:p>
    <w:p>
      <w:pPr>
        <w:pStyle w:val="BodyText"/>
        <w:spacing w:before="188" w:line="218" w:lineRule="auto"/>
        <w:ind w:left="6"/>
        <w:rPr>
          <w:sz w:val="21"/>
          <w:szCs w:val="21"/>
        </w:rPr>
      </w:pPr>
      <w:r>
        <w:rPr>
          <w:spacing w:val="-2"/>
          <w:sz w:val="21"/>
          <w:szCs w:val="21"/>
        </w:rPr>
        <w:t>7.2</w:t>
      </w:r>
      <w:r>
        <w:rPr>
          <w:spacing w:val="-2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整形修剪</w:t>
      </w:r>
    </w:p>
    <w:p>
      <w:pPr>
        <w:pStyle w:val="BodyText"/>
        <w:spacing w:before="223" w:line="218" w:lineRule="auto"/>
        <w:ind w:left="6"/>
        <w:rPr>
          <w:sz w:val="21"/>
          <w:szCs w:val="21"/>
        </w:rPr>
      </w:pPr>
      <w:r>
        <w:rPr>
          <w:spacing w:val="-1"/>
          <w:sz w:val="21"/>
          <w:szCs w:val="21"/>
        </w:rPr>
        <w:t>7.2.1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未成形树的修剪</w:t>
      </w:r>
    </w:p>
    <w:p>
      <w:pPr>
        <w:spacing w:before="221" w:line="197" w:lineRule="auto"/>
        <w:ind w:left="2" w:right="210" w:firstLine="44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以扩冠为主，配合适当产量，促营养生长向生殖生长转化，多拉少剪。对过密、过旺的徒长枝或延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长枝应疏除，</w:t>
      </w:r>
      <w:r>
        <w:rPr>
          <w:rFonts w:ascii="Microsoft YaHei" w:eastAsia="Microsoft YaHei" w:hAnsi="Microsoft YaHei" w:cs="Microsoft YaHei"/>
          <w:spacing w:val="-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回缩等手段，达到“满、透、平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”的目的。</w:t>
      </w:r>
    </w:p>
    <w:p>
      <w:pPr>
        <w:spacing w:line="197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16"/>
          <w:footerReference w:type="default" r:id="rId17"/>
          <w:type w:val="nextPage"/>
          <w:pgSz w:w="11900" w:h="16840"/>
          <w:pgMar w:top="400" w:right="1196" w:bottom="1318" w:left="1139" w:header="0" w:footer="1110" w:gutter="0"/>
          <w:pgNumType w:start="12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ind w:left="7567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pStyle w:val="BodyText"/>
        <w:spacing w:before="248" w:line="218" w:lineRule="auto"/>
        <w:ind w:left="5"/>
        <w:rPr>
          <w:sz w:val="21"/>
          <w:szCs w:val="21"/>
        </w:rPr>
      </w:pPr>
      <w:r>
        <w:rPr>
          <w:spacing w:val="-1"/>
          <w:sz w:val="21"/>
          <w:szCs w:val="21"/>
        </w:rPr>
        <w:t>7.2.2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盛产期修剪</w:t>
      </w:r>
    </w:p>
    <w:p>
      <w:pPr>
        <w:spacing w:before="219" w:line="201" w:lineRule="auto"/>
        <w:ind w:left="3" w:right="64" w:firstLine="419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采果后，及时疏除老、弱、病枝及竞争枝，过旺的直立枝酌情回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缩长放枝组，尽量保留中庸枝，提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高果枝的数量，对空间太大对周边强旺长放枝中截。早培养结果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枝，原则创造前期较多结果枝，早形成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充实花芽，并达到“满、透、平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”的目的。</w:t>
      </w:r>
    </w:p>
    <w:p>
      <w:pPr>
        <w:pStyle w:val="BodyText"/>
        <w:spacing w:before="187" w:line="218" w:lineRule="auto"/>
        <w:ind w:left="5"/>
        <w:rPr>
          <w:sz w:val="21"/>
          <w:szCs w:val="21"/>
        </w:rPr>
      </w:pPr>
      <w:r>
        <w:rPr>
          <w:spacing w:val="-1"/>
          <w:sz w:val="21"/>
          <w:szCs w:val="21"/>
        </w:rPr>
        <w:t>7.2.3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冬季修剪</w:t>
      </w:r>
    </w:p>
    <w:p>
      <w:pPr>
        <w:spacing w:before="223" w:line="202" w:lineRule="auto"/>
        <w:ind w:firstLine="424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幼树，此期修剪兼顾整形和结果两个方面，轻剪长放，疏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除不合理枝，回缩过长枝组，对过弱枝中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截，撑、拉直立过旺枝，促发中短果枝。对盛产期杏树，调整生长和结果关系，维持树势，适当疏密、</w:t>
      </w:r>
      <w:r>
        <w:rPr>
          <w:rFonts w:ascii="Microsoft YaHei" w:eastAsia="Microsoft YaHei" w:hAnsi="Microsoft YaHei" w:cs="Microsoft YaHei"/>
          <w:spacing w:val="1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截弱，稳定结果部位和生长势，对延长枝轻截，</w:t>
      </w:r>
      <w:r>
        <w:rPr>
          <w:rFonts w:ascii="Microsoft YaHei" w:eastAsia="Microsoft YaHei" w:hAnsi="Microsoft YaHei" w:cs="Microsoft YaHei"/>
          <w:spacing w:val="-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回缩过老的枝组，</w:t>
      </w:r>
      <w:r>
        <w:rPr>
          <w:rFonts w:ascii="Microsoft YaHei" w:eastAsia="Microsoft YaHei" w:hAnsi="Microsoft YaHei" w:cs="Microsoft YaHei"/>
          <w:spacing w:val="-4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改善内膛光照条件，保证结果枝满，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z w:val="21"/>
          <w:szCs w:val="21"/>
        </w:rPr>
        <w:t>通风透光，生长平衡，形成结果多，花芽形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成质量好。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1"/>
        <w:rPr>
          <w:sz w:val="21"/>
          <w:szCs w:val="21"/>
        </w:rPr>
      </w:pPr>
      <w:r>
        <w:rPr>
          <w:spacing w:val="-4"/>
          <w:sz w:val="21"/>
          <w:szCs w:val="21"/>
        </w:rPr>
        <w:t>8</w:t>
      </w:r>
      <w:r>
        <w:rPr>
          <w:spacing w:val="9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扣棚升温</w: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91" w:line="197" w:lineRule="auto"/>
        <w:ind w:left="20" w:right="69" w:hanging="19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4"/>
          <w:sz w:val="21"/>
          <w:szCs w:val="21"/>
        </w:rPr>
        <w:t>8.1</w:t>
      </w:r>
      <w:r>
        <w:rPr>
          <w:spacing w:val="-4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时间：不论是促眠处理或自然休眠，只要需冷量达到 700h 左右即可扣棚升温。西安地区一般元月</w:t>
      </w:r>
      <w:r>
        <w:rPr>
          <w:rFonts w:ascii="Microsoft YaHei" w:eastAsia="Microsoft YaHei" w:hAnsi="Microsoft YaHei" w:cs="Microsoft YaHei"/>
          <w:spacing w:val="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中旬后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。升温前灌足水，合墒覆盖地膜。</w:t>
      </w:r>
    </w:p>
    <w:p>
      <w:pPr>
        <w:pStyle w:val="BodyText"/>
        <w:spacing w:before="187" w:line="219" w:lineRule="auto"/>
        <w:ind w:left="1"/>
        <w:rPr>
          <w:sz w:val="21"/>
          <w:szCs w:val="21"/>
        </w:rPr>
      </w:pPr>
      <w:r>
        <w:rPr>
          <w:spacing w:val="-1"/>
          <w:sz w:val="21"/>
          <w:szCs w:val="21"/>
        </w:rPr>
        <w:t>8.2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升温后设施内温、湿度管理</w:t>
      </w:r>
    </w:p>
    <w:p>
      <w:pPr>
        <w:spacing w:before="220" w:line="467" w:lineRule="exact"/>
        <w:ind w:left="426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position w:val="19"/>
          <w:sz w:val="21"/>
          <w:szCs w:val="21"/>
        </w:rPr>
        <w:t>设施内温、湿度调节是人为对风口的大小掌握，湿度太小时可地面洒水，具体要求见表1。</w:t>
      </w:r>
    </w:p>
    <w:p>
      <w:pPr>
        <w:pStyle w:val="BodyText"/>
        <w:spacing w:line="219" w:lineRule="auto"/>
        <w:ind w:left="2840"/>
        <w:rPr>
          <w:sz w:val="21"/>
          <w:szCs w:val="21"/>
        </w:rPr>
      </w:pPr>
      <w:r>
        <w:rPr>
          <w:spacing w:val="-1"/>
          <w:sz w:val="21"/>
          <w:szCs w:val="21"/>
        </w:rPr>
        <w:t>表1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设施杏棚内不同时期温、湿度要求</w:t>
      </w:r>
    </w:p>
    <w:p>
      <w:pPr>
        <w:spacing w:line="171" w:lineRule="exact"/>
      </w:pPr>
    </w:p>
    <w:tbl>
      <w:tblPr>
        <w:tblStyle w:val="TableNormal0"/>
        <w:tblW w:w="8198" w:type="dxa"/>
        <w:tblInd w:w="5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986"/>
        <w:gridCol w:w="2034"/>
        <w:gridCol w:w="2067"/>
        <w:gridCol w:w="2111"/>
      </w:tblGrid>
      <w:tr>
        <w:tblPrEx>
          <w:tblW w:w="8198" w:type="dxa"/>
          <w:tblInd w:w="571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93"/>
        </w:trPr>
        <w:tc>
          <w:tcPr>
            <w:tcW w:w="1986" w:type="dxa"/>
            <w:vAlign w:val="top"/>
          </w:tcPr>
          <w:p>
            <w:pPr>
              <w:pStyle w:val="TableText"/>
              <w:spacing w:before="155" w:line="177" w:lineRule="auto"/>
              <w:ind w:left="826"/>
            </w:pPr>
            <w:r>
              <w:rPr>
                <w:spacing w:val="-3"/>
              </w:rPr>
              <w:t>时间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5" w:line="177" w:lineRule="auto"/>
              <w:ind w:left="479"/>
            </w:pPr>
            <w:r>
              <w:rPr>
                <w:spacing w:val="-2"/>
              </w:rPr>
              <w:t>温度（白天）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5" w:line="177" w:lineRule="auto"/>
              <w:ind w:left="495"/>
            </w:pPr>
            <w:r>
              <w:rPr>
                <w:spacing w:val="-2"/>
              </w:rPr>
              <w:t>温度（夜间）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55" w:line="177" w:lineRule="auto"/>
              <w:ind w:left="875"/>
            </w:pPr>
            <w:r>
              <w:rPr>
                <w:spacing w:val="-1"/>
              </w:rPr>
              <w:t>湿度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3"/>
        </w:trPr>
        <w:tc>
          <w:tcPr>
            <w:tcW w:w="1986" w:type="dxa"/>
            <w:vAlign w:val="top"/>
          </w:tcPr>
          <w:p>
            <w:pPr>
              <w:pStyle w:val="TableText"/>
              <w:spacing w:before="150" w:line="173" w:lineRule="auto"/>
              <w:ind w:left="740"/>
            </w:pPr>
            <w:r>
              <w:rPr>
                <w:spacing w:val="-15"/>
              </w:rPr>
              <w:t>1d～8d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0" w:line="173" w:lineRule="auto"/>
              <w:ind w:left="583"/>
            </w:pPr>
            <w:r>
              <w:rPr>
                <w:spacing w:val="-5"/>
              </w:rPr>
              <w:t>10℃~14℃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0" w:line="173" w:lineRule="auto"/>
              <w:ind w:left="675"/>
            </w:pPr>
            <w:r>
              <w:rPr>
                <w:spacing w:val="1"/>
              </w:rPr>
              <w:t>3℃~4℃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79" w:line="193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3"/>
        </w:trPr>
        <w:tc>
          <w:tcPr>
            <w:tcW w:w="1986" w:type="dxa"/>
            <w:vAlign w:val="top"/>
          </w:tcPr>
          <w:p>
            <w:pPr>
              <w:pStyle w:val="TableText"/>
              <w:spacing w:before="151" w:line="172" w:lineRule="auto"/>
              <w:ind w:left="684"/>
            </w:pPr>
            <w:r>
              <w:rPr>
                <w:spacing w:val="-13"/>
              </w:rPr>
              <w:t>9d～13d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1" w:line="172" w:lineRule="auto"/>
              <w:ind w:left="583"/>
            </w:pPr>
            <w:r>
              <w:rPr>
                <w:spacing w:val="-5"/>
              </w:rPr>
              <w:t>12℃~16℃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1" w:line="172" w:lineRule="auto"/>
              <w:ind w:left="675"/>
            </w:pPr>
            <w:r>
              <w:rPr>
                <w:spacing w:val="1"/>
              </w:rPr>
              <w:t>3℃~4℃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0" w:line="192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3"/>
        </w:trPr>
        <w:tc>
          <w:tcPr>
            <w:tcW w:w="1986" w:type="dxa"/>
            <w:vAlign w:val="top"/>
          </w:tcPr>
          <w:p>
            <w:pPr>
              <w:pStyle w:val="TableText"/>
              <w:spacing w:before="152" w:line="171" w:lineRule="auto"/>
              <w:ind w:left="649"/>
            </w:pPr>
            <w:r>
              <w:rPr>
                <w:spacing w:val="-15"/>
              </w:rPr>
              <w:t>14d～18d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2" w:line="171" w:lineRule="auto"/>
              <w:ind w:left="583"/>
            </w:pPr>
            <w:r>
              <w:rPr>
                <w:spacing w:val="-5"/>
              </w:rPr>
              <w:t>14℃~18℃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2" w:line="171" w:lineRule="auto"/>
              <w:ind w:left="670"/>
            </w:pPr>
            <w:r>
              <w:rPr>
                <w:spacing w:val="2"/>
              </w:rPr>
              <w:t>4℃~6℃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1" w:line="191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8"/>
        </w:trPr>
        <w:tc>
          <w:tcPr>
            <w:tcW w:w="1986" w:type="dxa"/>
            <w:vAlign w:val="top"/>
          </w:tcPr>
          <w:p>
            <w:pPr>
              <w:pStyle w:val="TableText"/>
              <w:spacing w:before="152" w:line="175" w:lineRule="auto"/>
              <w:ind w:left="649"/>
            </w:pPr>
            <w:r>
              <w:rPr>
                <w:spacing w:val="-15"/>
              </w:rPr>
              <w:t>19d～23d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2" w:line="175" w:lineRule="auto"/>
              <w:ind w:left="583"/>
            </w:pPr>
            <w:r>
              <w:rPr>
                <w:spacing w:val="-5"/>
              </w:rPr>
              <w:t>16℃~22℃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2" w:line="175" w:lineRule="auto"/>
              <w:ind w:left="670"/>
            </w:pPr>
            <w:r>
              <w:rPr>
                <w:spacing w:val="2"/>
              </w:rPr>
              <w:t>4℃~6℃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1" w:line="196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4"/>
        </w:trPr>
        <w:tc>
          <w:tcPr>
            <w:tcW w:w="1986" w:type="dxa"/>
            <w:vAlign w:val="top"/>
          </w:tcPr>
          <w:p>
            <w:pPr>
              <w:pStyle w:val="TableText"/>
              <w:spacing w:before="153" w:line="171" w:lineRule="auto"/>
              <w:ind w:left="637"/>
            </w:pPr>
            <w:r>
              <w:rPr>
                <w:spacing w:val="-14"/>
              </w:rPr>
              <w:t>24d～28d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3" w:line="171" w:lineRule="auto"/>
              <w:ind w:left="583"/>
            </w:pPr>
            <w:r>
              <w:rPr>
                <w:spacing w:val="-5"/>
              </w:rPr>
              <w:t>18℃~22℃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3" w:line="171" w:lineRule="auto"/>
              <w:ind w:left="670"/>
            </w:pPr>
            <w:r>
              <w:rPr>
                <w:spacing w:val="2"/>
              </w:rPr>
              <w:t>4℃~6℃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2" w:line="192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4"/>
        </w:trPr>
        <w:tc>
          <w:tcPr>
            <w:tcW w:w="1986" w:type="dxa"/>
            <w:vAlign w:val="top"/>
          </w:tcPr>
          <w:p>
            <w:pPr>
              <w:pStyle w:val="TableText"/>
              <w:spacing w:before="153" w:line="171" w:lineRule="auto"/>
              <w:ind w:left="637"/>
            </w:pPr>
            <w:r>
              <w:rPr>
                <w:spacing w:val="-14"/>
              </w:rPr>
              <w:t>29d～31d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3" w:line="171" w:lineRule="auto"/>
              <w:ind w:left="583"/>
            </w:pPr>
            <w:r>
              <w:rPr>
                <w:spacing w:val="-5"/>
              </w:rPr>
              <w:t>19℃~23℃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3" w:line="171" w:lineRule="auto"/>
              <w:ind w:left="675"/>
            </w:pPr>
            <w:r>
              <w:rPr>
                <w:spacing w:val="1"/>
              </w:rPr>
              <w:t>5℃~7℃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2" w:line="192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3"/>
        </w:trPr>
        <w:tc>
          <w:tcPr>
            <w:tcW w:w="1986" w:type="dxa"/>
            <w:vAlign w:val="top"/>
          </w:tcPr>
          <w:p>
            <w:pPr>
              <w:pStyle w:val="TableText"/>
              <w:spacing w:before="152" w:line="171" w:lineRule="auto"/>
              <w:ind w:left="596"/>
            </w:pPr>
            <w:r>
              <w:rPr>
                <w:spacing w:val="-11"/>
              </w:rPr>
              <w:t>32d～开花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2" w:line="171" w:lineRule="auto"/>
              <w:ind w:left="571"/>
            </w:pPr>
            <w:r>
              <w:rPr>
                <w:spacing w:val="-3"/>
              </w:rPr>
              <w:t>20℃~24℃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2" w:line="171" w:lineRule="auto"/>
              <w:ind w:left="675"/>
            </w:pPr>
            <w:r>
              <w:rPr>
                <w:spacing w:val="1"/>
              </w:rPr>
              <w:t>5℃~7℃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2" w:line="190" w:lineRule="exact"/>
              <w:ind w:left="924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8"/>
        </w:trPr>
        <w:tc>
          <w:tcPr>
            <w:tcW w:w="1986" w:type="dxa"/>
            <w:vAlign w:val="top"/>
          </w:tcPr>
          <w:p>
            <w:pPr>
              <w:pStyle w:val="TableText"/>
              <w:spacing w:before="154" w:line="174" w:lineRule="auto"/>
              <w:ind w:left="593"/>
            </w:pPr>
            <w:r>
              <w:rPr>
                <w:spacing w:val="2"/>
              </w:rPr>
              <w:t>开花-谢花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4" w:line="174" w:lineRule="auto"/>
              <w:ind w:left="583"/>
            </w:pPr>
            <w:r>
              <w:rPr>
                <w:spacing w:val="-5"/>
              </w:rPr>
              <w:t>16℃~20℃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4" w:line="174" w:lineRule="auto"/>
              <w:ind w:left="898"/>
            </w:pPr>
            <w:r>
              <w:rPr>
                <w:spacing w:val="-10"/>
              </w:rPr>
              <w:t>8℃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2" w:line="195" w:lineRule="exact"/>
              <w:ind w:left="926"/>
            </w:pPr>
            <w:r>
              <w:rPr>
                <w:spacing w:val="-17"/>
                <w:w w:val="97"/>
                <w:position w:val="-1"/>
              </w:rPr>
              <w:t>50%</w:t>
            </w:r>
          </w:p>
        </w:tc>
      </w:tr>
      <w:tr>
        <w:tblPrEx>
          <w:tblW w:w="8198" w:type="dxa"/>
          <w:tblInd w:w="571" w:type="dxa"/>
          <w:tblLayout w:type="fixed"/>
        </w:tblPrEx>
        <w:trPr>
          <w:trHeight w:val="383"/>
        </w:trPr>
        <w:tc>
          <w:tcPr>
            <w:tcW w:w="1986" w:type="dxa"/>
            <w:vAlign w:val="top"/>
          </w:tcPr>
          <w:p>
            <w:pPr>
              <w:pStyle w:val="TableText"/>
              <w:spacing w:before="154" w:line="170" w:lineRule="auto"/>
              <w:ind w:left="593"/>
            </w:pPr>
            <w:r>
              <w:rPr>
                <w:spacing w:val="-9"/>
              </w:rPr>
              <w:t>花后 7d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9"/>
              </w:rPr>
              <w:t>内</w:t>
            </w:r>
          </w:p>
        </w:tc>
        <w:tc>
          <w:tcPr>
            <w:tcW w:w="2034" w:type="dxa"/>
            <w:vAlign w:val="top"/>
          </w:tcPr>
          <w:p>
            <w:pPr>
              <w:pStyle w:val="TableText"/>
              <w:spacing w:before="154" w:line="170" w:lineRule="auto"/>
              <w:ind w:left="583"/>
            </w:pPr>
            <w:r>
              <w:rPr>
                <w:spacing w:val="-5"/>
              </w:rPr>
              <w:t>19℃~23℃</w:t>
            </w:r>
          </w:p>
        </w:tc>
        <w:tc>
          <w:tcPr>
            <w:tcW w:w="2067" w:type="dxa"/>
            <w:vAlign w:val="top"/>
          </w:tcPr>
          <w:p>
            <w:pPr>
              <w:pStyle w:val="TableText"/>
              <w:spacing w:before="154" w:line="170" w:lineRule="auto"/>
              <w:ind w:left="898"/>
            </w:pPr>
            <w:r>
              <w:rPr>
                <w:spacing w:val="-10"/>
              </w:rPr>
              <w:t>8℃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spacing w:before="183" w:line="189" w:lineRule="exact"/>
              <w:ind w:left="926"/>
            </w:pPr>
            <w:r>
              <w:rPr>
                <w:spacing w:val="-17"/>
                <w:w w:val="97"/>
                <w:position w:val="-1"/>
              </w:rPr>
              <w:t>50%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https://d.book118.com/586021134243010050</w:t>
        </w:r>
      </w:hyperlink>
    </w:p>
    <w:p/>
    <w:sectPr>
      <w:headerReference w:type="default" r:id="rId19"/>
      <w:footerReference w:type="default" r:id="rId20"/>
      <w:pgSz w:w="11900" w:h="16840"/>
      <w:pgMar w:top="400" w:right="1059" w:bottom="1318" w:left="1423" w:header="0" w:footer="1111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9076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spacing w:val="21"/>
        <w:position w:val="-1"/>
        <w:sz w:val="18"/>
        <w:szCs w:val="18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228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spacing w:val="29"/>
        <w:w w:val="101"/>
        <w:position w:val="-1"/>
        <w:sz w:val="18"/>
        <w:szCs w:val="18"/>
      </w:rPr>
      <w:t>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8" w:lineRule="exact"/>
      <w:ind w:left="9081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8" w:lineRule="exact"/>
      <w:ind w:left="9081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7" w:lineRule="exact"/>
      <w:ind w:left="223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7" w:lineRule="exact"/>
      <w:ind w:left="223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9070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27"/>
      <w:szCs w:val="2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yperlink" Target="https://d.book118.com/586021134243010050" TargetMode="Externa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2024-02-20T15:29:08Z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2024-02-20T15:29:10Z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65d454c0021855001f849c9cwl</vt:lpwstr>
  </property>
</Properties>
</file>