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2018-2023年三亚理工职业学院高职单招（数学／语文／英语）历年常考试题库含答案解析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《种树郭橐驼传》的创作意图主要是（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A.赞扬郭橐驼的种树技术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B.揭露统治者的政令扰民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C.传播郭橐驼的植树经验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D.借“养树”之道，喻“养民”之道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2.</w:t>
      </w:r>
      <w:r>
        <w:rPr>
          <w:rFonts w:ascii="黑体" w:eastAsia="黑体" w:hAnsi="黑体" w:cs="Times New Roman"/>
          <w:sz w:val="24"/>
          <w:lang w:val="en-US" w:eastAsia="ja-JP" w:bidi="ar-SA"/>
        </w:rPr>
        <w:t>对下列词句解释不正确的一项是（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A.“潇潇暮雨”指傍晚的雨势急骤。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B.“苒苒物华休”指美好的景物逐渐凋残。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C.“何事苦淹留”指不知道什么原因流连于此，不忍离去。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D.“正恁凝愁”指正有许多愁绪凝结，如此难以排解。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欧阳修的《五代史伶官传序》说明王朝的兴衰主要在于（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D.伶官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冰心擅长写散文，其文体自成一家，被读者誉为（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A.“白话文西化”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B.“新文艺腔”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C.“冰心体”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D.“工笔美文”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柳永《八声甘州（对潇潇暮雨洒江天）》中贯穿全词的句子是（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A.是处红衰翠减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D.叹年来踪迹，何事苦淹留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下列关于作家、作品搭配错误的是（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A.鲁迅——《灯下漫笔》、《论毅力》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B.茅盾——《子夜》、《香市》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C.巴金——《爱尔克的灯光》、《家》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D.曹禺——《雷雨》、《日出》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李斯的代表作是（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受五四新思潮的冲击，巴金最先接受了什么思想的影响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A.革命民主主义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B.俄国民粹派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C.马克思主义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D.自由主义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李白《行路难》中，情感抒发的特点是（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A.逐层递进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B.逐层递退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C.平缓舒展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D.起伏跌宕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孔子认为他所生活的时代是（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A.大同时代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B.三代之英的时代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D.礼崩乐坏的时代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“井蛙不可以语于海者，拘于虚也；夏虫不可以语于冰者，笃于时也；曲士不可以语于道者，束于教也”交融运用了（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A.夸张、排比、比喻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B.比喻、拟人、排比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C.借代、对偶、拟人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D.拟人、夸张、对偶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在《宝玉挨打》中，贾政毒打宝玉的根本原因是（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A.宝玉与琪官交往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B.宝玉同情跳井的金钏儿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C.贾环挑拨是非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D.宝玉鄙弃仕途经济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冰心在《往事》一文中，用什么形象的特征象征人的品格（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A.灯光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B.大海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C.道路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D.蜜蜂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苏轼、辛弃疾同为（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A.婉约派词人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B.豪放派词人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C.风雅派词人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https://d.book118.com/586042243230010052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586042243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