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圆形堆取料机项目规划设计方案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01" w:history="1">
        <w:r>
          <w:rPr>
            <w:rFonts w:ascii="仿宋" w:eastAsia="仿宋" w:hAnsi="仿宋" w:cs="仿宋" w:hint="eastAsia"/>
            <w:lang w:eastAsia="zh-CN"/>
          </w:rPr>
          <w:t>概论</w:t>
        </w:r>
        <w:r>
          <w:tab/>
        </w:r>
        <w:r>
          <w:fldChar w:fldCharType="begin"/>
        </w:r>
        <w:r>
          <w:instrText xml:space="preserve"> PAGEREF _Toc30201 \h </w:instrText>
        </w:r>
        <w:r>
          <w:fldChar w:fldCharType="separate"/>
        </w:r>
        <w:r>
          <w:t>3</w:t>
        </w:r>
        <w:r>
          <w:fldChar w:fldCharType="end"/>
        </w:r>
      </w:hyperlink>
    </w:p>
    <w:p>
      <w:pPr>
        <w:pStyle w:val="TOC1"/>
        <w:tabs>
          <w:tab w:val="right" w:leader="dot" w:pos="8306"/>
        </w:tabs>
      </w:pPr>
      <w:hyperlink w:anchor="_Toc17103" w:history="1">
        <w:r>
          <w:rPr>
            <w:rFonts w:ascii="仿宋" w:eastAsia="仿宋" w:hAnsi="仿宋" w:cs="仿宋" w:hint="eastAsia"/>
            <w:lang w:eastAsia="zh-CN"/>
          </w:rPr>
          <w:t>一、圆形堆取料机项目文档管理</w:t>
        </w:r>
        <w:r>
          <w:tab/>
        </w:r>
        <w:r>
          <w:fldChar w:fldCharType="begin"/>
        </w:r>
        <w:r>
          <w:instrText xml:space="preserve"> PAGEREF _Toc17103 \h </w:instrText>
        </w:r>
        <w:r>
          <w:fldChar w:fldCharType="separate"/>
        </w:r>
        <w:r>
          <w:t>3</w:t>
        </w:r>
        <w:r>
          <w:fldChar w:fldCharType="end"/>
        </w:r>
      </w:hyperlink>
    </w:p>
    <w:p>
      <w:pPr>
        <w:pStyle w:val="TOC2"/>
        <w:tabs>
          <w:tab w:val="right" w:leader="dot" w:pos="8306"/>
        </w:tabs>
      </w:pPr>
      <w:hyperlink w:anchor="_Toc25852" w:history="1">
        <w:r>
          <w:rPr>
            <w:rFonts w:ascii="仿宋" w:eastAsia="仿宋" w:hAnsi="仿宋" w:cs="仿宋" w:hint="eastAsia"/>
            <w:lang w:eastAsia="zh-CN"/>
          </w:rPr>
          <w:t>(一)、文档编制与审查</w:t>
        </w:r>
        <w:r>
          <w:tab/>
        </w:r>
        <w:r>
          <w:fldChar w:fldCharType="begin"/>
        </w:r>
        <w:r>
          <w:instrText xml:space="preserve"> PAGEREF _Toc25852 \h </w:instrText>
        </w:r>
        <w:r>
          <w:fldChar w:fldCharType="separate"/>
        </w:r>
        <w:r>
          <w:t>3</w:t>
        </w:r>
        <w:r>
          <w:fldChar w:fldCharType="end"/>
        </w:r>
      </w:hyperlink>
    </w:p>
    <w:p>
      <w:pPr>
        <w:pStyle w:val="TOC2"/>
        <w:tabs>
          <w:tab w:val="right" w:leader="dot" w:pos="8306"/>
        </w:tabs>
      </w:pPr>
      <w:hyperlink w:anchor="_Toc7261" w:history="1">
        <w:r>
          <w:rPr>
            <w:rFonts w:ascii="仿宋" w:eastAsia="仿宋" w:hAnsi="仿宋" w:cs="仿宋" w:hint="eastAsia"/>
            <w:lang w:eastAsia="zh-CN"/>
          </w:rPr>
          <w:t>(二)、文档发布与分发</w:t>
        </w:r>
        <w:r>
          <w:tab/>
        </w:r>
        <w:r>
          <w:fldChar w:fldCharType="begin"/>
        </w:r>
        <w:r>
          <w:instrText xml:space="preserve"> PAGEREF _Toc7261 \h </w:instrText>
        </w:r>
        <w:r>
          <w:fldChar w:fldCharType="separate"/>
        </w:r>
        <w:r>
          <w:t>4</w:t>
        </w:r>
        <w:r>
          <w:fldChar w:fldCharType="end"/>
        </w:r>
      </w:hyperlink>
    </w:p>
    <w:p>
      <w:pPr>
        <w:pStyle w:val="TOC2"/>
        <w:tabs>
          <w:tab w:val="right" w:leader="dot" w:pos="8306"/>
        </w:tabs>
      </w:pPr>
      <w:hyperlink w:anchor="_Toc13488" w:history="1">
        <w:r>
          <w:rPr>
            <w:rFonts w:ascii="仿宋" w:eastAsia="仿宋" w:hAnsi="仿宋" w:cs="仿宋" w:hint="eastAsia"/>
            <w:lang w:eastAsia="zh-CN"/>
          </w:rPr>
          <w:t>(三)、文档存档与归档</w:t>
        </w:r>
        <w:r>
          <w:tab/>
        </w:r>
        <w:r>
          <w:fldChar w:fldCharType="begin"/>
        </w:r>
        <w:r>
          <w:instrText xml:space="preserve"> PAGEREF _Toc13488 \h </w:instrText>
        </w:r>
        <w:r>
          <w:fldChar w:fldCharType="separate"/>
        </w:r>
        <w:r>
          <w:t>5</w:t>
        </w:r>
        <w:r>
          <w:fldChar w:fldCharType="end"/>
        </w:r>
      </w:hyperlink>
    </w:p>
    <w:p>
      <w:pPr>
        <w:pStyle w:val="TOC1"/>
        <w:tabs>
          <w:tab w:val="right" w:leader="dot" w:pos="8306"/>
        </w:tabs>
      </w:pPr>
      <w:hyperlink w:anchor="_Toc10179" w:history="1">
        <w:r>
          <w:rPr>
            <w:rFonts w:ascii="仿宋" w:eastAsia="仿宋" w:hAnsi="仿宋" w:cs="仿宋" w:hint="eastAsia"/>
            <w:lang w:eastAsia="zh-CN"/>
          </w:rPr>
          <w:t>二、圆形堆取料机项目建设背景及必要性分析</w:t>
        </w:r>
        <w:r>
          <w:tab/>
        </w:r>
        <w:r>
          <w:fldChar w:fldCharType="begin"/>
        </w:r>
        <w:r>
          <w:instrText xml:space="preserve"> PAGEREF _Toc10179 \h </w:instrText>
        </w:r>
        <w:r>
          <w:fldChar w:fldCharType="separate"/>
        </w:r>
        <w:r>
          <w:t>6</w:t>
        </w:r>
        <w:r>
          <w:fldChar w:fldCharType="end"/>
        </w:r>
      </w:hyperlink>
    </w:p>
    <w:p>
      <w:pPr>
        <w:pStyle w:val="TOC2"/>
        <w:tabs>
          <w:tab w:val="right" w:leader="dot" w:pos="8306"/>
        </w:tabs>
      </w:pPr>
      <w:hyperlink w:anchor="_Toc29720" w:history="1">
        <w:r>
          <w:rPr>
            <w:rFonts w:ascii="仿宋" w:eastAsia="仿宋" w:hAnsi="仿宋" w:cs="仿宋" w:hint="eastAsia"/>
            <w:lang w:eastAsia="zh-CN"/>
          </w:rPr>
          <w:t>(一)、圆形堆取料机项目背景分析</w:t>
        </w:r>
        <w:r>
          <w:tab/>
        </w:r>
        <w:r>
          <w:fldChar w:fldCharType="begin"/>
        </w:r>
        <w:r>
          <w:instrText xml:space="preserve"> PAGEREF _Toc29720 \h </w:instrText>
        </w:r>
        <w:r>
          <w:fldChar w:fldCharType="separate"/>
        </w:r>
        <w:r>
          <w:t>6</w:t>
        </w:r>
        <w:r>
          <w:fldChar w:fldCharType="end"/>
        </w:r>
      </w:hyperlink>
    </w:p>
    <w:p>
      <w:pPr>
        <w:pStyle w:val="TOC2"/>
        <w:tabs>
          <w:tab w:val="right" w:leader="dot" w:pos="8306"/>
        </w:tabs>
      </w:pPr>
      <w:hyperlink w:anchor="_Toc20826" w:history="1">
        <w:r>
          <w:rPr>
            <w:rFonts w:ascii="仿宋" w:eastAsia="仿宋" w:hAnsi="仿宋" w:cs="仿宋" w:hint="eastAsia"/>
            <w:lang w:eastAsia="zh-CN"/>
          </w:rPr>
          <w:t>(二)、圆形堆取料机项目建设必要性分析</w:t>
        </w:r>
        <w:r>
          <w:tab/>
        </w:r>
        <w:r>
          <w:fldChar w:fldCharType="begin"/>
        </w:r>
        <w:r>
          <w:instrText xml:space="preserve"> PAGEREF _Toc20826 \h </w:instrText>
        </w:r>
        <w:r>
          <w:fldChar w:fldCharType="separate"/>
        </w:r>
        <w:r>
          <w:t>8</w:t>
        </w:r>
        <w:r>
          <w:fldChar w:fldCharType="end"/>
        </w:r>
      </w:hyperlink>
    </w:p>
    <w:p>
      <w:pPr>
        <w:pStyle w:val="TOC1"/>
        <w:tabs>
          <w:tab w:val="right" w:leader="dot" w:pos="8306"/>
        </w:tabs>
      </w:pPr>
      <w:hyperlink w:anchor="_Toc6659" w:history="1">
        <w:r>
          <w:rPr>
            <w:rFonts w:ascii="仿宋" w:eastAsia="仿宋" w:hAnsi="仿宋" w:cs="仿宋" w:hint="eastAsia"/>
            <w:lang w:eastAsia="zh-CN"/>
          </w:rPr>
          <w:t>三、圆形堆取料机项目可持续发展</w:t>
        </w:r>
        <w:r>
          <w:tab/>
        </w:r>
        <w:r>
          <w:fldChar w:fldCharType="begin"/>
        </w:r>
        <w:r>
          <w:instrText xml:space="preserve"> PAGEREF _Toc6659 \h </w:instrText>
        </w:r>
        <w:r>
          <w:fldChar w:fldCharType="separate"/>
        </w:r>
        <w:r>
          <w:t>10</w:t>
        </w:r>
        <w:r>
          <w:fldChar w:fldCharType="end"/>
        </w:r>
      </w:hyperlink>
    </w:p>
    <w:p>
      <w:pPr>
        <w:pStyle w:val="TOC2"/>
        <w:tabs>
          <w:tab w:val="right" w:leader="dot" w:pos="8306"/>
        </w:tabs>
      </w:pPr>
      <w:hyperlink w:anchor="_Toc26920" w:history="1">
        <w:r>
          <w:rPr>
            <w:rFonts w:ascii="仿宋" w:eastAsia="仿宋" w:hAnsi="仿宋" w:cs="仿宋" w:hint="eastAsia"/>
            <w:lang w:eastAsia="zh-CN"/>
          </w:rPr>
          <w:t>(一)、可持续战略与实践</w:t>
        </w:r>
        <w:r>
          <w:tab/>
        </w:r>
        <w:r>
          <w:fldChar w:fldCharType="begin"/>
        </w:r>
        <w:r>
          <w:instrText xml:space="preserve"> PAGEREF _Toc26920 \h </w:instrText>
        </w:r>
        <w:r>
          <w:fldChar w:fldCharType="separate"/>
        </w:r>
        <w:r>
          <w:t>10</w:t>
        </w:r>
        <w:r>
          <w:fldChar w:fldCharType="end"/>
        </w:r>
      </w:hyperlink>
    </w:p>
    <w:p>
      <w:pPr>
        <w:pStyle w:val="TOC2"/>
        <w:tabs>
          <w:tab w:val="right" w:leader="dot" w:pos="8306"/>
        </w:tabs>
      </w:pPr>
      <w:hyperlink w:anchor="_Toc24840" w:history="1">
        <w:r>
          <w:rPr>
            <w:rFonts w:ascii="仿宋" w:eastAsia="仿宋" w:hAnsi="仿宋" w:cs="仿宋" w:hint="eastAsia"/>
            <w:lang w:eastAsia="zh-CN"/>
          </w:rPr>
          <w:t>(二)、环保与社会责任</w:t>
        </w:r>
        <w:r>
          <w:tab/>
        </w:r>
        <w:r>
          <w:fldChar w:fldCharType="begin"/>
        </w:r>
        <w:r>
          <w:instrText xml:space="preserve"> PAGEREF _Toc24840 \h </w:instrText>
        </w:r>
        <w:r>
          <w:fldChar w:fldCharType="separate"/>
        </w:r>
        <w:r>
          <w:t>10</w:t>
        </w:r>
        <w:r>
          <w:fldChar w:fldCharType="end"/>
        </w:r>
      </w:hyperlink>
    </w:p>
    <w:p>
      <w:pPr>
        <w:pStyle w:val="TOC1"/>
        <w:tabs>
          <w:tab w:val="right" w:leader="dot" w:pos="8306"/>
        </w:tabs>
      </w:pPr>
      <w:hyperlink w:anchor="_Toc26478" w:history="1">
        <w:r>
          <w:rPr>
            <w:rFonts w:ascii="仿宋" w:eastAsia="仿宋" w:hAnsi="仿宋" w:cs="仿宋" w:hint="eastAsia"/>
            <w:lang w:eastAsia="zh-CN"/>
          </w:rPr>
          <w:t>四、圆形堆取料机项目绩效评估</w:t>
        </w:r>
        <w:r>
          <w:tab/>
        </w:r>
        <w:r>
          <w:fldChar w:fldCharType="begin"/>
        </w:r>
        <w:r>
          <w:instrText xml:space="preserve"> PAGEREF _Toc26478 \h </w:instrText>
        </w:r>
        <w:r>
          <w:fldChar w:fldCharType="separate"/>
        </w:r>
        <w:r>
          <w:t>11</w:t>
        </w:r>
        <w:r>
          <w:fldChar w:fldCharType="end"/>
        </w:r>
      </w:hyperlink>
    </w:p>
    <w:p>
      <w:pPr>
        <w:pStyle w:val="TOC2"/>
        <w:tabs>
          <w:tab w:val="right" w:leader="dot" w:pos="8306"/>
        </w:tabs>
      </w:pPr>
      <w:hyperlink w:anchor="_Toc28768" w:history="1">
        <w:r>
          <w:rPr>
            <w:rFonts w:ascii="仿宋" w:eastAsia="仿宋" w:hAnsi="仿宋" w:cs="仿宋" w:hint="eastAsia"/>
            <w:lang w:eastAsia="zh-CN"/>
          </w:rPr>
          <w:t>(一)、绩效评估指标</w:t>
        </w:r>
        <w:r>
          <w:tab/>
        </w:r>
        <w:r>
          <w:fldChar w:fldCharType="begin"/>
        </w:r>
        <w:r>
          <w:instrText xml:space="preserve"> PAGEREF _Toc28768 \h </w:instrText>
        </w:r>
        <w:r>
          <w:fldChar w:fldCharType="separate"/>
        </w:r>
        <w:r>
          <w:t>11</w:t>
        </w:r>
        <w:r>
          <w:fldChar w:fldCharType="end"/>
        </w:r>
      </w:hyperlink>
    </w:p>
    <w:p>
      <w:pPr>
        <w:pStyle w:val="TOC2"/>
        <w:tabs>
          <w:tab w:val="right" w:leader="dot" w:pos="8306"/>
        </w:tabs>
      </w:pPr>
      <w:hyperlink w:anchor="_Toc3724" w:history="1">
        <w:r>
          <w:rPr>
            <w:rFonts w:ascii="仿宋" w:eastAsia="仿宋" w:hAnsi="仿宋" w:cs="仿宋" w:hint="eastAsia"/>
            <w:lang w:eastAsia="zh-CN"/>
          </w:rPr>
          <w:t>(二)、绩效评估方法</w:t>
        </w:r>
        <w:r>
          <w:tab/>
        </w:r>
        <w:r>
          <w:fldChar w:fldCharType="begin"/>
        </w:r>
        <w:r>
          <w:instrText xml:space="preserve"> PAGEREF _Toc3724 \h </w:instrText>
        </w:r>
        <w:r>
          <w:fldChar w:fldCharType="separate"/>
        </w:r>
        <w:r>
          <w:t>12</w:t>
        </w:r>
        <w:r>
          <w:fldChar w:fldCharType="end"/>
        </w:r>
      </w:hyperlink>
    </w:p>
    <w:p>
      <w:pPr>
        <w:pStyle w:val="TOC2"/>
        <w:tabs>
          <w:tab w:val="right" w:leader="dot" w:pos="8306"/>
        </w:tabs>
      </w:pPr>
      <w:hyperlink w:anchor="_Toc8370" w:history="1">
        <w:r>
          <w:rPr>
            <w:rFonts w:ascii="仿宋" w:eastAsia="仿宋" w:hAnsi="仿宋" w:cs="仿宋" w:hint="eastAsia"/>
            <w:lang w:eastAsia="zh-CN"/>
          </w:rPr>
          <w:t>(三)、绩效评估周期</w:t>
        </w:r>
        <w:r>
          <w:tab/>
        </w:r>
        <w:r>
          <w:fldChar w:fldCharType="begin"/>
        </w:r>
        <w:r>
          <w:instrText xml:space="preserve"> PAGEREF _Toc8370 \h </w:instrText>
        </w:r>
        <w:r>
          <w:fldChar w:fldCharType="separate"/>
        </w:r>
        <w:r>
          <w:t>13</w:t>
        </w:r>
        <w:r>
          <w:fldChar w:fldCharType="end"/>
        </w:r>
      </w:hyperlink>
    </w:p>
    <w:p>
      <w:pPr>
        <w:pStyle w:val="TOC1"/>
        <w:tabs>
          <w:tab w:val="right" w:leader="dot" w:pos="8306"/>
        </w:tabs>
      </w:pPr>
      <w:hyperlink w:anchor="_Toc7475" w:history="1">
        <w:r>
          <w:rPr>
            <w:rFonts w:ascii="仿宋" w:eastAsia="仿宋" w:hAnsi="仿宋" w:cs="仿宋" w:hint="eastAsia"/>
            <w:lang w:eastAsia="zh-CN"/>
          </w:rPr>
          <w:t>五、圆形堆取料机项目危机管理</w:t>
        </w:r>
        <w:r>
          <w:tab/>
        </w:r>
        <w:r>
          <w:fldChar w:fldCharType="begin"/>
        </w:r>
        <w:r>
          <w:instrText xml:space="preserve"> PAGEREF _Toc7475 \h </w:instrText>
        </w:r>
        <w:r>
          <w:fldChar w:fldCharType="separate"/>
        </w:r>
        <w:r>
          <w:t>15</w:t>
        </w:r>
        <w:r>
          <w:fldChar w:fldCharType="end"/>
        </w:r>
      </w:hyperlink>
    </w:p>
    <w:p>
      <w:pPr>
        <w:pStyle w:val="TOC2"/>
        <w:tabs>
          <w:tab w:val="right" w:leader="dot" w:pos="8306"/>
        </w:tabs>
      </w:pPr>
      <w:hyperlink w:anchor="_Toc25605" w:history="1">
        <w:r>
          <w:rPr>
            <w:rFonts w:ascii="仿宋" w:eastAsia="仿宋" w:hAnsi="仿宋" w:cs="仿宋" w:hint="eastAsia"/>
            <w:lang w:eastAsia="zh-CN"/>
          </w:rPr>
          <w:t>(一)、危机预警与识别</w:t>
        </w:r>
        <w:r>
          <w:tab/>
        </w:r>
        <w:r>
          <w:fldChar w:fldCharType="begin"/>
        </w:r>
        <w:r>
          <w:instrText xml:space="preserve"> PAGEREF _Toc25605 \h </w:instrText>
        </w:r>
        <w:r>
          <w:fldChar w:fldCharType="separate"/>
        </w:r>
        <w:r>
          <w:t>15</w:t>
        </w:r>
        <w:r>
          <w:fldChar w:fldCharType="end"/>
        </w:r>
      </w:hyperlink>
    </w:p>
    <w:p>
      <w:pPr>
        <w:pStyle w:val="TOC2"/>
        <w:tabs>
          <w:tab w:val="right" w:leader="dot" w:pos="8306"/>
        </w:tabs>
      </w:pPr>
      <w:hyperlink w:anchor="_Toc6910" w:history="1">
        <w:r>
          <w:rPr>
            <w:rFonts w:ascii="仿宋" w:eastAsia="仿宋" w:hAnsi="仿宋" w:cs="仿宋" w:hint="eastAsia"/>
            <w:lang w:eastAsia="zh-CN"/>
          </w:rPr>
          <w:t>(二)、危机应对与恢复</w:t>
        </w:r>
        <w:r>
          <w:tab/>
        </w:r>
        <w:r>
          <w:fldChar w:fldCharType="begin"/>
        </w:r>
        <w:r>
          <w:instrText xml:space="preserve"> PAGEREF _Toc6910 \h </w:instrText>
        </w:r>
        <w:r>
          <w:fldChar w:fldCharType="separate"/>
        </w:r>
        <w:r>
          <w:t>16</w:t>
        </w:r>
        <w:r>
          <w:fldChar w:fldCharType="end"/>
        </w:r>
      </w:hyperlink>
    </w:p>
    <w:p>
      <w:pPr>
        <w:pStyle w:val="TOC1"/>
        <w:tabs>
          <w:tab w:val="right" w:leader="dot" w:pos="8306"/>
        </w:tabs>
      </w:pPr>
      <w:hyperlink w:anchor="_Toc21108" w:history="1">
        <w:r>
          <w:rPr>
            <w:rFonts w:ascii="仿宋" w:eastAsia="仿宋" w:hAnsi="仿宋" w:cs="仿宋" w:hint="eastAsia"/>
            <w:lang w:eastAsia="zh-CN"/>
          </w:rPr>
          <w:t>六、圆形堆取料机项目概论</w:t>
        </w:r>
        <w:r>
          <w:tab/>
        </w:r>
        <w:r>
          <w:fldChar w:fldCharType="begin"/>
        </w:r>
        <w:r>
          <w:instrText xml:space="preserve"> PAGEREF _Toc21108 \h </w:instrText>
        </w:r>
        <w:r>
          <w:fldChar w:fldCharType="separate"/>
        </w:r>
        <w:r>
          <w:t>17</w:t>
        </w:r>
        <w:r>
          <w:fldChar w:fldCharType="end"/>
        </w:r>
      </w:hyperlink>
    </w:p>
    <w:p>
      <w:pPr>
        <w:pStyle w:val="TOC2"/>
        <w:tabs>
          <w:tab w:val="right" w:leader="dot" w:pos="8306"/>
        </w:tabs>
      </w:pPr>
      <w:hyperlink w:anchor="_Toc23265" w:history="1">
        <w:r>
          <w:rPr>
            <w:rFonts w:ascii="仿宋" w:eastAsia="仿宋" w:hAnsi="仿宋" w:cs="仿宋" w:hint="eastAsia"/>
            <w:lang w:eastAsia="zh-CN"/>
          </w:rPr>
          <w:t>(一)、圆形堆取料机项目概况</w:t>
        </w:r>
        <w:r>
          <w:tab/>
        </w:r>
        <w:r>
          <w:fldChar w:fldCharType="begin"/>
        </w:r>
        <w:r>
          <w:instrText xml:space="preserve"> PAGEREF _Toc23265 \h </w:instrText>
        </w:r>
        <w:r>
          <w:fldChar w:fldCharType="separate"/>
        </w:r>
        <w:r>
          <w:t>17</w:t>
        </w:r>
        <w:r>
          <w:fldChar w:fldCharType="end"/>
        </w:r>
      </w:hyperlink>
    </w:p>
    <w:p>
      <w:pPr>
        <w:pStyle w:val="TOC2"/>
        <w:tabs>
          <w:tab w:val="right" w:leader="dot" w:pos="8306"/>
        </w:tabs>
      </w:pPr>
      <w:hyperlink w:anchor="_Toc10587" w:history="1">
        <w:r>
          <w:rPr>
            <w:rFonts w:ascii="仿宋" w:eastAsia="仿宋" w:hAnsi="仿宋" w:cs="仿宋" w:hint="eastAsia"/>
            <w:lang w:eastAsia="zh-CN"/>
          </w:rPr>
          <w:t>(二)、圆形堆取料机项目目标</w:t>
        </w:r>
        <w:r>
          <w:tab/>
        </w:r>
        <w:r>
          <w:fldChar w:fldCharType="begin"/>
        </w:r>
        <w:r>
          <w:instrText xml:space="preserve"> PAGEREF _Toc10587 \h </w:instrText>
        </w:r>
        <w:r>
          <w:fldChar w:fldCharType="separate"/>
        </w:r>
        <w:r>
          <w:t>19</w:t>
        </w:r>
        <w:r>
          <w:fldChar w:fldCharType="end"/>
        </w:r>
      </w:hyperlink>
    </w:p>
    <w:p>
      <w:pPr>
        <w:pStyle w:val="TOC2"/>
        <w:tabs>
          <w:tab w:val="right" w:leader="dot" w:pos="8306"/>
        </w:tabs>
      </w:pPr>
      <w:hyperlink w:anchor="_Toc27160" w:history="1">
        <w:r>
          <w:rPr>
            <w:rFonts w:ascii="仿宋" w:eastAsia="仿宋" w:hAnsi="仿宋" w:cs="仿宋" w:hint="eastAsia"/>
            <w:lang w:eastAsia="zh-CN"/>
          </w:rPr>
          <w:t>(三)、圆形堆取料机项目提出的理由</w:t>
        </w:r>
        <w:r>
          <w:tab/>
        </w:r>
        <w:r>
          <w:fldChar w:fldCharType="begin"/>
        </w:r>
        <w:r>
          <w:instrText xml:space="preserve"> PAGEREF _Toc27160 \h </w:instrText>
        </w:r>
        <w:r>
          <w:fldChar w:fldCharType="separate"/>
        </w:r>
        <w:r>
          <w:t>20</w:t>
        </w:r>
        <w:r>
          <w:fldChar w:fldCharType="end"/>
        </w:r>
      </w:hyperlink>
    </w:p>
    <w:p>
      <w:pPr>
        <w:pStyle w:val="TOC2"/>
        <w:tabs>
          <w:tab w:val="right" w:leader="dot" w:pos="8306"/>
        </w:tabs>
      </w:pPr>
      <w:hyperlink w:anchor="_Toc14613" w:history="1">
        <w:r>
          <w:rPr>
            <w:rFonts w:ascii="仿宋" w:eastAsia="仿宋" w:hAnsi="仿宋" w:cs="仿宋" w:hint="eastAsia"/>
            <w:lang w:eastAsia="zh-CN"/>
          </w:rPr>
          <w:t>(四)、圆形堆取料机项目意义</w:t>
        </w:r>
        <w:r>
          <w:tab/>
        </w:r>
        <w:r>
          <w:fldChar w:fldCharType="begin"/>
        </w:r>
        <w:r>
          <w:instrText xml:space="preserve"> PAGEREF _Toc14613 \h </w:instrText>
        </w:r>
        <w:r>
          <w:fldChar w:fldCharType="separate"/>
        </w:r>
        <w:r>
          <w:t>22</w:t>
        </w:r>
        <w:r>
          <w:fldChar w:fldCharType="end"/>
        </w:r>
      </w:hyperlink>
    </w:p>
    <w:p>
      <w:pPr>
        <w:pStyle w:val="TOC2"/>
        <w:tabs>
          <w:tab w:val="right" w:leader="dot" w:pos="8306"/>
        </w:tabs>
      </w:pPr>
      <w:hyperlink w:anchor="_Toc6003" w:history="1">
        <w:r>
          <w:rPr>
            <w:rFonts w:ascii="仿宋" w:eastAsia="仿宋" w:hAnsi="仿宋" w:cs="仿宋" w:hint="eastAsia"/>
            <w:lang w:eastAsia="zh-CN"/>
          </w:rPr>
          <w:t>(五)、圆形堆取料机项目背景</w:t>
        </w:r>
        <w:r>
          <w:tab/>
        </w:r>
        <w:r>
          <w:fldChar w:fldCharType="begin"/>
        </w:r>
        <w:r>
          <w:instrText xml:space="preserve"> PAGEREF _Toc6003 \h </w:instrText>
        </w:r>
        <w:r>
          <w:fldChar w:fldCharType="separate"/>
        </w:r>
        <w:r>
          <w:t>23</w:t>
        </w:r>
        <w:r>
          <w:fldChar w:fldCharType="end"/>
        </w:r>
      </w:hyperlink>
    </w:p>
    <w:p>
      <w:pPr>
        <w:pStyle w:val="TOC1"/>
        <w:tabs>
          <w:tab w:val="right" w:leader="dot" w:pos="8306"/>
        </w:tabs>
      </w:pPr>
      <w:hyperlink w:anchor="_Toc23942" w:history="1">
        <w:r>
          <w:rPr>
            <w:rFonts w:ascii="仿宋" w:eastAsia="仿宋" w:hAnsi="仿宋" w:cs="仿宋" w:hint="eastAsia"/>
            <w:lang w:eastAsia="zh-CN"/>
          </w:rPr>
          <w:t>七、圆形堆取料机项目人力资源培养与发展</w:t>
        </w:r>
        <w:r>
          <w:tab/>
        </w:r>
        <w:r>
          <w:fldChar w:fldCharType="begin"/>
        </w:r>
        <w:r>
          <w:instrText xml:space="preserve"> PAGEREF _Toc23942 \h </w:instrText>
        </w:r>
        <w:r>
          <w:fldChar w:fldCharType="separate"/>
        </w:r>
        <w:r>
          <w:t>24</w:t>
        </w:r>
        <w:r>
          <w:fldChar w:fldCharType="end"/>
        </w:r>
      </w:hyperlink>
    </w:p>
    <w:p>
      <w:pPr>
        <w:pStyle w:val="TOC2"/>
        <w:tabs>
          <w:tab w:val="right" w:leader="dot" w:pos="8306"/>
        </w:tabs>
      </w:pPr>
      <w:hyperlink w:anchor="_Toc24124" w:history="1">
        <w:r>
          <w:rPr>
            <w:rFonts w:ascii="仿宋" w:eastAsia="仿宋" w:hAnsi="仿宋" w:cs="仿宋" w:hint="eastAsia"/>
            <w:lang w:eastAsia="zh-CN"/>
          </w:rPr>
          <w:t>(一)、人才需求与规划</w:t>
        </w:r>
        <w:r>
          <w:tab/>
        </w:r>
        <w:r>
          <w:fldChar w:fldCharType="begin"/>
        </w:r>
        <w:r>
          <w:instrText xml:space="preserve"> PAGEREF _Toc24124 \h </w:instrText>
        </w:r>
        <w:r>
          <w:fldChar w:fldCharType="separate"/>
        </w:r>
        <w:r>
          <w:t>24</w:t>
        </w:r>
        <w:r>
          <w:fldChar w:fldCharType="end"/>
        </w:r>
      </w:hyperlink>
    </w:p>
    <w:p>
      <w:pPr>
        <w:pStyle w:val="TOC2"/>
        <w:tabs>
          <w:tab w:val="right" w:leader="dot" w:pos="8306"/>
        </w:tabs>
      </w:pPr>
      <w:hyperlink w:anchor="_Toc16380" w:history="1">
        <w:r>
          <w:rPr>
            <w:rFonts w:ascii="仿宋" w:eastAsia="仿宋" w:hAnsi="仿宋" w:cs="仿宋" w:hint="eastAsia"/>
            <w:lang w:eastAsia="zh-CN"/>
          </w:rPr>
          <w:t>(二)、培训与发展计划</w:t>
        </w:r>
        <w:r>
          <w:tab/>
        </w:r>
        <w:r>
          <w:fldChar w:fldCharType="begin"/>
        </w:r>
        <w:r>
          <w:instrText xml:space="preserve"> PAGEREF _Toc16380 \h </w:instrText>
        </w:r>
        <w:r>
          <w:fldChar w:fldCharType="separate"/>
        </w:r>
        <w:r>
          <w:t>24</w:t>
        </w:r>
        <w:r>
          <w:fldChar w:fldCharType="end"/>
        </w:r>
      </w:hyperlink>
    </w:p>
    <w:p>
      <w:pPr>
        <w:pStyle w:val="TOC1"/>
        <w:tabs>
          <w:tab w:val="right" w:leader="dot" w:pos="8306"/>
        </w:tabs>
      </w:pPr>
      <w:hyperlink w:anchor="_Toc6405" w:history="1">
        <w:r>
          <w:rPr>
            <w:rFonts w:ascii="仿宋" w:eastAsia="仿宋" w:hAnsi="仿宋" w:cs="仿宋" w:hint="eastAsia"/>
            <w:lang w:eastAsia="zh-CN"/>
          </w:rPr>
          <w:t>八、圆形堆取料机项目创新与研发</w:t>
        </w:r>
        <w:r>
          <w:tab/>
        </w:r>
        <w:r>
          <w:fldChar w:fldCharType="begin"/>
        </w:r>
        <w:r>
          <w:instrText xml:space="preserve"> PAGEREF _Toc6405 \h </w:instrText>
        </w:r>
        <w:r>
          <w:fldChar w:fldCharType="separate"/>
        </w:r>
        <w:r>
          <w:t>25</w:t>
        </w:r>
        <w:r>
          <w:fldChar w:fldCharType="end"/>
        </w:r>
      </w:hyperlink>
    </w:p>
    <w:p>
      <w:pPr>
        <w:pStyle w:val="TOC2"/>
        <w:tabs>
          <w:tab w:val="right" w:leader="dot" w:pos="8306"/>
        </w:tabs>
      </w:pPr>
      <w:hyperlink w:anchor="_Toc21818" w:history="1">
        <w:r>
          <w:rPr>
            <w:rFonts w:ascii="仿宋" w:eastAsia="仿宋" w:hAnsi="仿宋" w:cs="仿宋" w:hint="eastAsia"/>
            <w:lang w:eastAsia="zh-CN"/>
          </w:rPr>
          <w:t>(一)、创新策略与方向</w:t>
        </w:r>
        <w:r>
          <w:tab/>
        </w:r>
        <w:r>
          <w:fldChar w:fldCharType="begin"/>
        </w:r>
        <w:r>
          <w:instrText xml:space="preserve"> PAGEREF _Toc21818 \h </w:instrText>
        </w:r>
        <w:r>
          <w:fldChar w:fldCharType="separate"/>
        </w:r>
        <w:r>
          <w:t>25</w:t>
        </w:r>
        <w:r>
          <w:fldChar w:fldCharType="end"/>
        </w:r>
      </w:hyperlink>
    </w:p>
    <w:p>
      <w:pPr>
        <w:pStyle w:val="TOC2"/>
        <w:tabs>
          <w:tab w:val="right" w:leader="dot" w:pos="8306"/>
        </w:tabs>
      </w:pPr>
      <w:hyperlink w:anchor="_Toc17437" w:history="1">
        <w:r>
          <w:rPr>
            <w:rFonts w:ascii="仿宋" w:eastAsia="仿宋" w:hAnsi="仿宋" w:cs="仿宋" w:hint="eastAsia"/>
            <w:lang w:eastAsia="zh-CN"/>
          </w:rPr>
          <w:t>(二)、研发规划与投入</w:t>
        </w:r>
        <w:r>
          <w:tab/>
        </w:r>
        <w:r>
          <w:fldChar w:fldCharType="begin"/>
        </w:r>
        <w:r>
          <w:instrText xml:space="preserve"> PAGEREF _Toc17437 \h </w:instrText>
        </w:r>
        <w:r>
          <w:fldChar w:fldCharType="separate"/>
        </w:r>
        <w:r>
          <w:t>26</w:t>
        </w:r>
        <w:r>
          <w:fldChar w:fldCharType="end"/>
        </w:r>
      </w:hyperlink>
    </w:p>
    <w:p>
      <w:pPr>
        <w:pStyle w:val="TOC1"/>
        <w:tabs>
          <w:tab w:val="right" w:leader="dot" w:pos="8306"/>
        </w:tabs>
      </w:pPr>
      <w:hyperlink w:anchor="_Toc24736" w:history="1">
        <w:r>
          <w:rPr>
            <w:rFonts w:ascii="仿宋" w:eastAsia="仿宋" w:hAnsi="仿宋" w:cs="仿宋" w:hint="eastAsia"/>
            <w:lang w:eastAsia="zh-CN"/>
          </w:rPr>
          <w:t>九、圆形堆取料机项目风险管理</w:t>
        </w:r>
        <w:r>
          <w:tab/>
        </w:r>
        <w:r>
          <w:fldChar w:fldCharType="begin"/>
        </w:r>
        <w:r>
          <w:instrText xml:space="preserve"> PAGEREF _Toc24736 \h </w:instrText>
        </w:r>
        <w:r>
          <w:fldChar w:fldCharType="separate"/>
        </w:r>
        <w:r>
          <w:t>28</w:t>
        </w:r>
        <w:r>
          <w:fldChar w:fldCharType="end"/>
        </w:r>
      </w:hyperlink>
    </w:p>
    <w:p>
      <w:pPr>
        <w:pStyle w:val="TOC2"/>
        <w:tabs>
          <w:tab w:val="right" w:leader="dot" w:pos="8306"/>
        </w:tabs>
      </w:pPr>
      <w:hyperlink w:anchor="_Toc5249" w:history="1">
        <w:r>
          <w:rPr>
            <w:rFonts w:ascii="仿宋" w:eastAsia="仿宋" w:hAnsi="仿宋" w:cs="仿宋" w:hint="eastAsia"/>
            <w:lang w:eastAsia="zh-CN"/>
          </w:rPr>
          <w:t>(一)、风险识别与评估</w:t>
        </w:r>
        <w:r>
          <w:tab/>
        </w:r>
        <w:r>
          <w:fldChar w:fldCharType="begin"/>
        </w:r>
        <w:r>
          <w:instrText xml:space="preserve"> PAGEREF _Toc5249 \h </w:instrText>
        </w:r>
        <w:r>
          <w:fldChar w:fldCharType="separate"/>
        </w:r>
        <w:r>
          <w:t>28</w:t>
        </w:r>
        <w:r>
          <w:fldChar w:fldCharType="end"/>
        </w:r>
      </w:hyperlink>
    </w:p>
    <w:p>
      <w:pPr>
        <w:pStyle w:val="TOC2"/>
        <w:tabs>
          <w:tab w:val="right" w:leader="dot" w:pos="8306"/>
        </w:tabs>
      </w:pPr>
      <w:hyperlink w:anchor="_Toc19920" w:history="1">
        <w:r>
          <w:rPr>
            <w:rFonts w:ascii="仿宋" w:eastAsia="仿宋" w:hAnsi="仿宋" w:cs="仿宋" w:hint="eastAsia"/>
            <w:lang w:eastAsia="zh-CN"/>
          </w:rPr>
          <w:t>(二)、风险应对策略</w:t>
        </w:r>
        <w:r>
          <w:tab/>
        </w:r>
        <w:r>
          <w:fldChar w:fldCharType="begin"/>
        </w:r>
        <w:r>
          <w:instrText xml:space="preserve"> PAGEREF _Toc19920 \h </w:instrText>
        </w:r>
        <w:r>
          <w:fldChar w:fldCharType="separate"/>
        </w:r>
        <w:r>
          <w:t>29</w:t>
        </w:r>
        <w:r>
          <w:fldChar w:fldCharType="end"/>
        </w:r>
      </w:hyperlink>
    </w:p>
    <w:p>
      <w:pPr>
        <w:pStyle w:val="TOC2"/>
        <w:tabs>
          <w:tab w:val="right" w:leader="dot" w:pos="8306"/>
        </w:tabs>
      </w:pPr>
      <w:hyperlink w:anchor="_Toc3969" w:history="1">
        <w:r>
          <w:rPr>
            <w:rFonts w:ascii="仿宋" w:eastAsia="仿宋" w:hAnsi="仿宋" w:cs="仿宋" w:hint="eastAsia"/>
            <w:lang w:eastAsia="zh-CN"/>
          </w:rPr>
          <w:t>(三)、风险监控与控制</w:t>
        </w:r>
        <w:r>
          <w:tab/>
        </w:r>
        <w:r>
          <w:fldChar w:fldCharType="begin"/>
        </w:r>
        <w:r>
          <w:instrText xml:space="preserve"> PAGEREF _Toc3969 \h </w:instrText>
        </w:r>
        <w:r>
          <w:fldChar w:fldCharType="separate"/>
        </w:r>
        <w:r>
          <w:t>31</w:t>
        </w:r>
        <w:r>
          <w:fldChar w:fldCharType="end"/>
        </w:r>
      </w:hyperlink>
    </w:p>
    <w:p>
      <w:pPr>
        <w:pStyle w:val="TOC1"/>
        <w:tabs>
          <w:tab w:val="right" w:leader="dot" w:pos="8306"/>
        </w:tabs>
      </w:pPr>
      <w:hyperlink w:anchor="_Toc31808" w:history="1">
        <w:r>
          <w:rPr>
            <w:rFonts w:ascii="仿宋" w:eastAsia="仿宋" w:hAnsi="仿宋" w:cs="仿宋" w:hint="eastAsia"/>
            <w:lang w:eastAsia="zh-CN"/>
          </w:rPr>
          <w:t>十、圆形堆取料机项目社会影响</w:t>
        </w:r>
        <w:r>
          <w:tab/>
        </w:r>
        <w:r>
          <w:fldChar w:fldCharType="begin"/>
        </w:r>
        <w:r>
          <w:instrText xml:space="preserve"> PAGEREF _Toc31808 \h </w:instrText>
        </w:r>
        <w:r>
          <w:fldChar w:fldCharType="separate"/>
        </w:r>
        <w:r>
          <w:t>32</w:t>
        </w:r>
        <w:r>
          <w:fldChar w:fldCharType="end"/>
        </w:r>
      </w:hyperlink>
    </w:p>
    <w:p>
      <w:pPr>
        <w:pStyle w:val="TOC2"/>
        <w:tabs>
          <w:tab w:val="right" w:leader="dot" w:pos="8306"/>
        </w:tabs>
      </w:pPr>
      <w:hyperlink w:anchor="_Toc28794" w:history="1">
        <w:r>
          <w:rPr>
            <w:rFonts w:ascii="仿宋" w:eastAsia="仿宋" w:hAnsi="仿宋" w:cs="仿宋" w:hint="eastAsia"/>
            <w:lang w:eastAsia="zh-CN"/>
          </w:rPr>
          <w:t>(一)、社会责任与义务</w:t>
        </w:r>
        <w:r>
          <w:tab/>
        </w:r>
        <w:r>
          <w:fldChar w:fldCharType="begin"/>
        </w:r>
        <w:r>
          <w:instrText xml:space="preserve"> PAGEREF _Toc28794 \h </w:instrText>
        </w:r>
        <w:r>
          <w:fldChar w:fldCharType="separate"/>
        </w:r>
        <w:r>
          <w:t>32</w:t>
        </w:r>
        <w:r>
          <w:fldChar w:fldCharType="end"/>
        </w:r>
      </w:hyperlink>
    </w:p>
    <w:p>
      <w:pPr>
        <w:pStyle w:val="TOC2"/>
        <w:tabs>
          <w:tab w:val="right" w:leader="dot" w:pos="8306"/>
        </w:tabs>
      </w:pPr>
      <w:hyperlink w:anchor="_Toc13465" w:history="1">
        <w:r>
          <w:rPr>
            <w:rFonts w:ascii="仿宋" w:eastAsia="仿宋" w:hAnsi="仿宋" w:cs="仿宋" w:hint="eastAsia"/>
            <w:lang w:eastAsia="zh-CN"/>
          </w:rPr>
          <w:t>(二)、社会参与与沟通</w:t>
        </w:r>
        <w:r>
          <w:tab/>
        </w:r>
        <w:r>
          <w:fldChar w:fldCharType="begin"/>
        </w:r>
        <w:r>
          <w:instrText xml:space="preserve"> PAGEREF _Toc13465 \h </w:instrText>
        </w:r>
        <w:r>
          <w:fldChar w:fldCharType="separate"/>
        </w:r>
        <w:r>
          <w:t>33</w:t>
        </w:r>
        <w:r>
          <w:fldChar w:fldCharType="end"/>
        </w:r>
      </w:hyperlink>
    </w:p>
    <w:p>
      <w:pPr>
        <w:pStyle w:val="TOC1"/>
        <w:tabs>
          <w:tab w:val="right" w:leader="dot" w:pos="8306"/>
        </w:tabs>
      </w:pPr>
      <w:hyperlink w:anchor="_Toc21830" w:history="1">
        <w:r>
          <w:rPr>
            <w:rFonts w:ascii="仿宋" w:eastAsia="仿宋" w:hAnsi="仿宋" w:cs="仿宋" w:hint="eastAsia"/>
            <w:lang w:eastAsia="zh-CN"/>
          </w:rPr>
          <w:t>十一、圆形堆取料机项目环境影响分析</w:t>
        </w:r>
        <w:r>
          <w:tab/>
        </w:r>
        <w:r>
          <w:fldChar w:fldCharType="begin"/>
        </w:r>
        <w:r>
          <w:instrText xml:space="preserve"> PAGEREF _Toc21830 \h </w:instrText>
        </w:r>
        <w:r>
          <w:fldChar w:fldCharType="separate"/>
        </w:r>
        <w:r>
          <w:t>34</w:t>
        </w:r>
        <w:r>
          <w:fldChar w:fldCharType="end"/>
        </w:r>
      </w:hyperlink>
    </w:p>
    <w:p>
      <w:pPr>
        <w:pStyle w:val="TOC2"/>
        <w:tabs>
          <w:tab w:val="right" w:leader="dot" w:pos="8306"/>
        </w:tabs>
      </w:pPr>
      <w:hyperlink w:anchor="_Toc32212" w:history="1">
        <w:r>
          <w:rPr>
            <w:rFonts w:ascii="仿宋" w:eastAsia="仿宋" w:hAnsi="仿宋" w:cs="仿宋" w:hint="eastAsia"/>
            <w:lang w:eastAsia="zh-CN"/>
          </w:rPr>
          <w:t>(一)、建设区域环境质量现状</w:t>
        </w:r>
        <w:r>
          <w:tab/>
        </w:r>
        <w:r>
          <w:fldChar w:fldCharType="begin"/>
        </w:r>
        <w:r>
          <w:instrText xml:space="preserve"> PAGEREF _Toc32212 \h </w:instrText>
        </w:r>
        <w:r>
          <w:fldChar w:fldCharType="separate"/>
        </w:r>
        <w:r>
          <w:t>34</w:t>
        </w:r>
        <w:r>
          <w:fldChar w:fldCharType="end"/>
        </w:r>
      </w:hyperlink>
    </w:p>
    <w:p>
      <w:pPr>
        <w:pStyle w:val="TOC2"/>
        <w:tabs>
          <w:tab w:val="right" w:leader="dot" w:pos="8306"/>
        </w:tabs>
      </w:pPr>
      <w:hyperlink w:anchor="_Toc12120" w:history="1">
        <w:r>
          <w:rPr>
            <w:rFonts w:ascii="仿宋" w:eastAsia="仿宋" w:hAnsi="仿宋" w:cs="仿宋" w:hint="eastAsia"/>
            <w:lang w:eastAsia="zh-CN"/>
          </w:rPr>
          <w:t>(二)、建设期环境保护</w:t>
        </w:r>
        <w:r>
          <w:tab/>
        </w:r>
        <w:r>
          <w:fldChar w:fldCharType="begin"/>
        </w:r>
        <w:r>
          <w:instrText xml:space="preserve"> PAGEREF _Toc12120 \h </w:instrText>
        </w:r>
        <w:r>
          <w:fldChar w:fldCharType="separate"/>
        </w:r>
        <w:r>
          <w:t>35</w:t>
        </w:r>
        <w:r>
          <w:fldChar w:fldCharType="end"/>
        </w:r>
      </w:hyperlink>
    </w:p>
    <w:p>
      <w:pPr>
        <w:pStyle w:val="TOC2"/>
        <w:tabs>
          <w:tab w:val="right" w:leader="dot" w:pos="8306"/>
        </w:tabs>
      </w:pPr>
      <w:hyperlink w:anchor="_Toc30834" w:history="1">
        <w:r>
          <w:rPr>
            <w:rFonts w:ascii="仿宋" w:eastAsia="仿宋" w:hAnsi="仿宋" w:cs="仿宋" w:hint="eastAsia"/>
            <w:lang w:eastAsia="zh-CN"/>
          </w:rPr>
          <w:t>(三)、运营期环境保护</w:t>
        </w:r>
        <w:r>
          <w:tab/>
        </w:r>
        <w:r>
          <w:fldChar w:fldCharType="begin"/>
        </w:r>
        <w:r>
          <w:instrText xml:space="preserve"> PAGEREF _Toc30834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1" w:history="1">
        <w:r>
          <w:rPr>
            <w:rFonts w:ascii="仿宋" w:eastAsia="仿宋" w:hAnsi="仿宋" w:cs="仿宋" w:hint="eastAsia"/>
            <w:lang w:eastAsia="zh-CN"/>
          </w:rPr>
          <w:t>(四)、圆形堆取料机项目建设对区域经济的影响</w:t>
        </w:r>
        <w:r>
          <w:tab/>
        </w:r>
        <w:r>
          <w:fldChar w:fldCharType="begin"/>
        </w:r>
        <w:r>
          <w:instrText xml:space="preserve"> PAGEREF _Toc9891 \h </w:instrText>
        </w:r>
        <w:r>
          <w:fldChar w:fldCharType="separate"/>
        </w:r>
        <w:r>
          <w:t>38</w:t>
        </w:r>
        <w:r>
          <w:fldChar w:fldCharType="end"/>
        </w:r>
      </w:hyperlink>
    </w:p>
    <w:p>
      <w:pPr>
        <w:pStyle w:val="TOC2"/>
        <w:tabs>
          <w:tab w:val="right" w:leader="dot" w:pos="8306"/>
        </w:tabs>
      </w:pPr>
      <w:hyperlink w:anchor="_Toc22595" w:history="1">
        <w:r>
          <w:rPr>
            <w:rFonts w:ascii="仿宋" w:eastAsia="仿宋" w:hAnsi="仿宋" w:cs="仿宋" w:hint="eastAsia"/>
            <w:lang w:eastAsia="zh-CN"/>
          </w:rPr>
          <w:t>(五)、废弃物处理</w:t>
        </w:r>
        <w:r>
          <w:tab/>
        </w:r>
        <w:r>
          <w:fldChar w:fldCharType="begin"/>
        </w:r>
        <w:r>
          <w:instrText xml:space="preserve"> PAGEREF _Toc22595 \h </w:instrText>
        </w:r>
        <w:r>
          <w:fldChar w:fldCharType="separate"/>
        </w:r>
        <w:r>
          <w:t>40</w:t>
        </w:r>
        <w:r>
          <w:fldChar w:fldCharType="end"/>
        </w:r>
      </w:hyperlink>
    </w:p>
    <w:p>
      <w:pPr>
        <w:pStyle w:val="TOC2"/>
        <w:tabs>
          <w:tab w:val="right" w:leader="dot" w:pos="8306"/>
        </w:tabs>
      </w:pPr>
      <w:hyperlink w:anchor="_Toc17590" w:history="1">
        <w:r>
          <w:rPr>
            <w:rFonts w:ascii="仿宋" w:eastAsia="仿宋" w:hAnsi="仿宋" w:cs="仿宋" w:hint="eastAsia"/>
            <w:lang w:eastAsia="zh-CN"/>
          </w:rPr>
          <w:t>(六)、特殊环境影响分析</w:t>
        </w:r>
        <w:r>
          <w:tab/>
        </w:r>
        <w:r>
          <w:fldChar w:fldCharType="begin"/>
        </w:r>
        <w:r>
          <w:instrText xml:space="preserve"> PAGEREF _Toc17590 \h </w:instrText>
        </w:r>
        <w:r>
          <w:fldChar w:fldCharType="separate"/>
        </w:r>
        <w:r>
          <w:t>41</w:t>
        </w:r>
        <w:r>
          <w:fldChar w:fldCharType="end"/>
        </w:r>
      </w:hyperlink>
    </w:p>
    <w:p>
      <w:pPr>
        <w:pStyle w:val="TOC2"/>
        <w:tabs>
          <w:tab w:val="right" w:leader="dot" w:pos="8306"/>
        </w:tabs>
      </w:pPr>
      <w:hyperlink w:anchor="_Toc6552" w:history="1">
        <w:r>
          <w:rPr>
            <w:rFonts w:ascii="仿宋" w:eastAsia="仿宋" w:hAnsi="仿宋" w:cs="仿宋" w:hint="eastAsia"/>
            <w:lang w:eastAsia="zh-CN"/>
          </w:rPr>
          <w:t>(七)、清洁生产</w:t>
        </w:r>
        <w:r>
          <w:tab/>
        </w:r>
        <w:r>
          <w:fldChar w:fldCharType="begin"/>
        </w:r>
        <w:r>
          <w:instrText xml:space="preserve"> PAGEREF _Toc6552 \h </w:instrText>
        </w:r>
        <w:r>
          <w:fldChar w:fldCharType="separate"/>
        </w:r>
        <w:r>
          <w:t>42</w:t>
        </w:r>
        <w:r>
          <w:fldChar w:fldCharType="end"/>
        </w:r>
      </w:hyperlink>
    </w:p>
    <w:p>
      <w:pPr>
        <w:pStyle w:val="TOC2"/>
        <w:tabs>
          <w:tab w:val="right" w:leader="dot" w:pos="8306"/>
        </w:tabs>
      </w:pPr>
      <w:hyperlink w:anchor="_Toc12721" w:history="1">
        <w:r>
          <w:rPr>
            <w:rFonts w:ascii="仿宋" w:eastAsia="仿宋" w:hAnsi="仿宋" w:cs="仿宋" w:hint="eastAsia"/>
            <w:lang w:eastAsia="zh-CN"/>
          </w:rPr>
          <w:t>(八)、环境保护综合评价</w:t>
        </w:r>
        <w:r>
          <w:tab/>
        </w:r>
        <w:r>
          <w:fldChar w:fldCharType="begin"/>
        </w:r>
        <w:r>
          <w:instrText xml:space="preserve"> PAGEREF _Toc12721 \h </w:instrText>
        </w:r>
        <w:r>
          <w:fldChar w:fldCharType="separate"/>
        </w:r>
        <w:r>
          <w:t>43</w:t>
        </w:r>
        <w:r>
          <w:fldChar w:fldCharType="end"/>
        </w:r>
      </w:hyperlink>
    </w:p>
    <w:p>
      <w:pPr>
        <w:pStyle w:val="TOC1"/>
        <w:tabs>
          <w:tab w:val="right" w:leader="dot" w:pos="8306"/>
        </w:tabs>
      </w:pPr>
      <w:hyperlink w:anchor="_Toc13526" w:history="1">
        <w:r>
          <w:rPr>
            <w:rFonts w:ascii="仿宋" w:eastAsia="仿宋" w:hAnsi="仿宋" w:cs="仿宋" w:hint="eastAsia"/>
            <w:lang w:eastAsia="zh-CN"/>
          </w:rPr>
          <w:t>十二、圆形堆取料机项目投资规划</w:t>
        </w:r>
        <w:r>
          <w:tab/>
        </w:r>
        <w:r>
          <w:fldChar w:fldCharType="begin"/>
        </w:r>
        <w:r>
          <w:instrText xml:space="preserve"> PAGEREF _Toc13526 \h </w:instrText>
        </w:r>
        <w:r>
          <w:fldChar w:fldCharType="separate"/>
        </w:r>
        <w:r>
          <w:t>44</w:t>
        </w:r>
        <w:r>
          <w:fldChar w:fldCharType="end"/>
        </w:r>
      </w:hyperlink>
    </w:p>
    <w:p>
      <w:pPr>
        <w:pStyle w:val="TOC2"/>
        <w:tabs>
          <w:tab w:val="right" w:leader="dot" w:pos="8306"/>
        </w:tabs>
      </w:pPr>
      <w:hyperlink w:anchor="_Toc23048" w:history="1">
        <w:r>
          <w:rPr>
            <w:rFonts w:ascii="仿宋" w:eastAsia="仿宋" w:hAnsi="仿宋" w:cs="仿宋" w:hint="eastAsia"/>
            <w:lang w:eastAsia="zh-CN"/>
          </w:rPr>
          <w:t>(一)、圆形堆取料机项目总投资估算</w:t>
        </w:r>
        <w:r>
          <w:tab/>
        </w:r>
        <w:r>
          <w:fldChar w:fldCharType="begin"/>
        </w:r>
        <w:r>
          <w:instrText xml:space="preserve"> PAGEREF _Toc23048 \h </w:instrText>
        </w:r>
        <w:r>
          <w:fldChar w:fldCharType="separate"/>
        </w:r>
        <w:r>
          <w:t>44</w:t>
        </w:r>
        <w:r>
          <w:fldChar w:fldCharType="end"/>
        </w:r>
      </w:hyperlink>
    </w:p>
    <w:p>
      <w:pPr>
        <w:pStyle w:val="TOC2"/>
        <w:tabs>
          <w:tab w:val="right" w:leader="dot" w:pos="8306"/>
        </w:tabs>
      </w:pPr>
      <w:hyperlink w:anchor="_Toc27582" w:history="1">
        <w:r>
          <w:rPr>
            <w:rFonts w:ascii="仿宋" w:eastAsia="仿宋" w:hAnsi="仿宋" w:cs="仿宋" w:hint="eastAsia"/>
            <w:lang w:eastAsia="zh-CN"/>
          </w:rPr>
          <w:t>(二)、资金筹措</w:t>
        </w:r>
        <w:r>
          <w:tab/>
        </w:r>
        <w:r>
          <w:fldChar w:fldCharType="begin"/>
        </w:r>
        <w:r>
          <w:instrText xml:space="preserve"> PAGEREF _Toc27582 \h </w:instrText>
        </w:r>
        <w:r>
          <w:fldChar w:fldCharType="separate"/>
        </w:r>
        <w:r>
          <w:t>46</w:t>
        </w:r>
        <w:r>
          <w:fldChar w:fldCharType="end"/>
        </w:r>
      </w:hyperlink>
    </w:p>
    <w:p>
      <w:pPr>
        <w:pStyle w:val="TOC1"/>
        <w:tabs>
          <w:tab w:val="right" w:leader="dot" w:pos="8306"/>
        </w:tabs>
      </w:pPr>
      <w:hyperlink w:anchor="_Toc19242" w:history="1">
        <w:r>
          <w:rPr>
            <w:rFonts w:ascii="仿宋" w:eastAsia="仿宋" w:hAnsi="仿宋" w:cs="仿宋" w:hint="eastAsia"/>
            <w:lang w:eastAsia="zh-CN"/>
          </w:rPr>
          <w:t>十三、利益相关者分析与沟通计划</w:t>
        </w:r>
        <w:r>
          <w:tab/>
        </w:r>
        <w:r>
          <w:fldChar w:fldCharType="begin"/>
        </w:r>
        <w:r>
          <w:instrText xml:space="preserve"> PAGEREF _Toc19242 \h </w:instrText>
        </w:r>
        <w:r>
          <w:fldChar w:fldCharType="separate"/>
        </w:r>
        <w:r>
          <w:t>46</w:t>
        </w:r>
        <w:r>
          <w:fldChar w:fldCharType="end"/>
        </w:r>
      </w:hyperlink>
    </w:p>
    <w:p>
      <w:pPr>
        <w:pStyle w:val="TOC2"/>
        <w:tabs>
          <w:tab w:val="right" w:leader="dot" w:pos="8306"/>
        </w:tabs>
      </w:pPr>
      <w:hyperlink w:anchor="_Toc26093" w:history="1">
        <w:r>
          <w:rPr>
            <w:rFonts w:ascii="仿宋" w:eastAsia="仿宋" w:hAnsi="仿宋" w:cs="仿宋" w:hint="eastAsia"/>
            <w:lang w:eastAsia="zh-CN"/>
          </w:rPr>
          <w:t>(一)、利益相关者分析</w:t>
        </w:r>
        <w:r>
          <w:tab/>
        </w:r>
        <w:r>
          <w:fldChar w:fldCharType="begin"/>
        </w:r>
        <w:r>
          <w:instrText xml:space="preserve"> PAGEREF _Toc26093 \h </w:instrText>
        </w:r>
        <w:r>
          <w:fldChar w:fldCharType="separate"/>
        </w:r>
        <w:r>
          <w:t>46</w:t>
        </w:r>
        <w:r>
          <w:fldChar w:fldCharType="end"/>
        </w:r>
      </w:hyperlink>
    </w:p>
    <w:p>
      <w:pPr>
        <w:pStyle w:val="TOC2"/>
        <w:tabs>
          <w:tab w:val="right" w:leader="dot" w:pos="8306"/>
        </w:tabs>
      </w:pPr>
      <w:hyperlink w:anchor="_Toc18049" w:history="1">
        <w:r>
          <w:rPr>
            <w:rFonts w:ascii="仿宋" w:eastAsia="仿宋" w:hAnsi="仿宋" w:cs="仿宋" w:hint="eastAsia"/>
            <w:lang w:eastAsia="zh-CN"/>
          </w:rPr>
          <w:t>(二)、沟通计划</w:t>
        </w:r>
        <w:r>
          <w:tab/>
        </w:r>
        <w:r>
          <w:fldChar w:fldCharType="begin"/>
        </w:r>
        <w:r>
          <w:instrText xml:space="preserve"> PAGEREF _Toc18049 \h </w:instrText>
        </w:r>
        <w:r>
          <w:fldChar w:fldCharType="separate"/>
        </w:r>
        <w:r>
          <w:t>48</w:t>
        </w:r>
        <w:r>
          <w:fldChar w:fldCharType="end"/>
        </w:r>
      </w:hyperlink>
    </w:p>
    <w:p>
      <w:pPr>
        <w:pStyle w:val="TOC1"/>
        <w:tabs>
          <w:tab w:val="right" w:leader="dot" w:pos="8306"/>
        </w:tabs>
      </w:pPr>
      <w:hyperlink w:anchor="_Toc15965" w:history="1">
        <w:r>
          <w:rPr>
            <w:rFonts w:ascii="仿宋" w:eastAsia="仿宋" w:hAnsi="仿宋" w:cs="仿宋" w:hint="eastAsia"/>
            <w:lang w:eastAsia="zh-CN"/>
          </w:rPr>
          <w:t>十四、圆形堆取料机项目工程方案分析</w:t>
        </w:r>
        <w:r>
          <w:tab/>
        </w:r>
        <w:r>
          <w:fldChar w:fldCharType="begin"/>
        </w:r>
        <w:r>
          <w:instrText xml:space="preserve"> PAGEREF _Toc15965 \h </w:instrText>
        </w:r>
        <w:r>
          <w:fldChar w:fldCharType="separate"/>
        </w:r>
        <w:r>
          <w:t>49</w:t>
        </w:r>
        <w:r>
          <w:fldChar w:fldCharType="end"/>
        </w:r>
      </w:hyperlink>
    </w:p>
    <w:p>
      <w:pPr>
        <w:pStyle w:val="TOC2"/>
        <w:tabs>
          <w:tab w:val="right" w:leader="dot" w:pos="8306"/>
        </w:tabs>
      </w:pPr>
      <w:hyperlink w:anchor="_Toc17776" w:history="1">
        <w:r>
          <w:rPr>
            <w:rFonts w:ascii="仿宋" w:eastAsia="仿宋" w:hAnsi="仿宋" w:cs="仿宋" w:hint="eastAsia"/>
            <w:lang w:eastAsia="zh-CN"/>
          </w:rPr>
          <w:t>(一)、建筑工程设计原则</w:t>
        </w:r>
        <w:r>
          <w:tab/>
        </w:r>
        <w:r>
          <w:fldChar w:fldCharType="begin"/>
        </w:r>
        <w:r>
          <w:instrText xml:space="preserve"> PAGEREF _Toc17776 \h </w:instrText>
        </w:r>
        <w:r>
          <w:fldChar w:fldCharType="separate"/>
        </w:r>
        <w:r>
          <w:t>49</w:t>
        </w:r>
        <w:r>
          <w:fldChar w:fldCharType="end"/>
        </w:r>
      </w:hyperlink>
    </w:p>
    <w:p>
      <w:pPr>
        <w:pStyle w:val="TOC2"/>
        <w:tabs>
          <w:tab w:val="right" w:leader="dot" w:pos="8306"/>
        </w:tabs>
      </w:pPr>
      <w:hyperlink w:anchor="_Toc29169" w:history="1">
        <w:r>
          <w:rPr>
            <w:rFonts w:ascii="仿宋" w:eastAsia="仿宋" w:hAnsi="仿宋" w:cs="仿宋" w:hint="eastAsia"/>
            <w:lang w:eastAsia="zh-CN"/>
          </w:rPr>
          <w:t>(二)、土建工程建设指标</w:t>
        </w:r>
        <w:r>
          <w:tab/>
        </w:r>
        <w:r>
          <w:fldChar w:fldCharType="begin"/>
        </w:r>
        <w:r>
          <w:instrText xml:space="preserve"> PAGEREF _Toc29169 \h </w:instrText>
        </w:r>
        <w:r>
          <w:fldChar w:fldCharType="separate"/>
        </w:r>
        <w:r>
          <w:t>52</w:t>
        </w:r>
        <w:r>
          <w:fldChar w:fldCharType="end"/>
        </w:r>
      </w:hyperlink>
    </w:p>
    <w:p>
      <w:pPr>
        <w:pStyle w:val="TOC1"/>
        <w:tabs>
          <w:tab w:val="right" w:leader="dot" w:pos="8306"/>
        </w:tabs>
      </w:pPr>
      <w:hyperlink w:anchor="_Toc15924" w:history="1">
        <w:r>
          <w:rPr>
            <w:rFonts w:ascii="仿宋" w:eastAsia="仿宋" w:hAnsi="仿宋" w:cs="仿宋" w:hint="eastAsia"/>
            <w:lang w:eastAsia="zh-CN"/>
          </w:rPr>
          <w:t>十五、圆形堆取料机项目实施保障措施</w:t>
        </w:r>
        <w:r>
          <w:tab/>
        </w:r>
        <w:r>
          <w:fldChar w:fldCharType="begin"/>
        </w:r>
        <w:r>
          <w:instrText xml:space="preserve"> PAGEREF _Toc15924 \h </w:instrText>
        </w:r>
        <w:r>
          <w:fldChar w:fldCharType="separate"/>
        </w:r>
        <w:r>
          <w:t>54</w:t>
        </w:r>
        <w:r>
          <w:fldChar w:fldCharType="end"/>
        </w:r>
      </w:hyperlink>
    </w:p>
    <w:p>
      <w:pPr>
        <w:pStyle w:val="TOC2"/>
        <w:tabs>
          <w:tab w:val="right" w:leader="dot" w:pos="8306"/>
        </w:tabs>
      </w:pPr>
      <w:hyperlink w:anchor="_Toc24396" w:history="1">
        <w:r>
          <w:rPr>
            <w:rFonts w:ascii="仿宋" w:eastAsia="仿宋" w:hAnsi="仿宋" w:cs="仿宋" w:hint="eastAsia"/>
            <w:lang w:eastAsia="zh-CN"/>
          </w:rPr>
          <w:t>(一)、圆形堆取料机项目实施保障机制</w:t>
        </w:r>
        <w:r>
          <w:tab/>
        </w:r>
        <w:r>
          <w:fldChar w:fldCharType="begin"/>
        </w:r>
        <w:r>
          <w:instrText xml:space="preserve"> PAGEREF _Toc24396 \h </w:instrText>
        </w:r>
        <w:r>
          <w:fldChar w:fldCharType="separate"/>
        </w:r>
        <w:r>
          <w:t>54</w:t>
        </w:r>
        <w:r>
          <w:fldChar w:fldCharType="end"/>
        </w:r>
      </w:hyperlink>
    </w:p>
    <w:p>
      <w:pPr>
        <w:pStyle w:val="TOC2"/>
        <w:tabs>
          <w:tab w:val="right" w:leader="dot" w:pos="8306"/>
        </w:tabs>
      </w:pPr>
      <w:hyperlink w:anchor="_Toc14545" w:history="1">
        <w:r>
          <w:rPr>
            <w:rFonts w:ascii="仿宋" w:eastAsia="仿宋" w:hAnsi="仿宋" w:cs="仿宋" w:hint="eastAsia"/>
            <w:lang w:eastAsia="zh-CN"/>
          </w:rPr>
          <w:t>(二)、圆形堆取料机项目法律合规要求</w:t>
        </w:r>
        <w:r>
          <w:tab/>
        </w:r>
        <w:r>
          <w:fldChar w:fldCharType="begin"/>
        </w:r>
        <w:r>
          <w:instrText xml:space="preserve"> PAGEREF _Toc14545 \h </w:instrText>
        </w:r>
        <w:r>
          <w:fldChar w:fldCharType="separate"/>
        </w:r>
        <w:r>
          <w:t>57</w:t>
        </w:r>
        <w:r>
          <w:fldChar w:fldCharType="end"/>
        </w:r>
      </w:hyperlink>
    </w:p>
    <w:p>
      <w:pPr>
        <w:pStyle w:val="TOC2"/>
        <w:tabs>
          <w:tab w:val="right" w:leader="dot" w:pos="8306"/>
        </w:tabs>
      </w:pPr>
      <w:hyperlink w:anchor="_Toc19081" w:history="1">
        <w:r>
          <w:rPr>
            <w:rFonts w:ascii="仿宋" w:eastAsia="仿宋" w:hAnsi="仿宋" w:cs="仿宋" w:hint="eastAsia"/>
            <w:lang w:eastAsia="zh-CN"/>
          </w:rPr>
          <w:t>(三)、圆形堆取料机项目合同管理与法律事务</w:t>
        </w:r>
        <w:r>
          <w:tab/>
        </w:r>
        <w:r>
          <w:fldChar w:fldCharType="begin"/>
        </w:r>
        <w:r>
          <w:instrText xml:space="preserve"> PAGEREF _Toc19081 \h </w:instrText>
        </w:r>
        <w:r>
          <w:fldChar w:fldCharType="separate"/>
        </w:r>
        <w:r>
          <w:t>62</w:t>
        </w:r>
        <w:r>
          <w:fldChar w:fldCharType="end"/>
        </w:r>
      </w:hyperlink>
    </w:p>
    <w:p>
      <w:pPr>
        <w:pStyle w:val="TOC2"/>
        <w:tabs>
          <w:tab w:val="right" w:leader="dot" w:pos="8306"/>
        </w:tabs>
      </w:pPr>
      <w:hyperlink w:anchor="_Toc31865" w:history="1">
        <w:r>
          <w:rPr>
            <w:rFonts w:ascii="仿宋" w:eastAsia="仿宋" w:hAnsi="仿宋" w:cs="仿宋" w:hint="eastAsia"/>
            <w:lang w:eastAsia="zh-CN"/>
          </w:rPr>
          <w:t>(四)、圆形堆取料机项目知识产权保护策略</w:t>
        </w:r>
        <w:r>
          <w:tab/>
        </w:r>
        <w:r>
          <w:fldChar w:fldCharType="begin"/>
        </w:r>
        <w:r>
          <w:instrText xml:space="preserve"> PAGEREF _Toc31865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03"/>
      <w:r>
        <w:rPr>
          <w:rFonts w:ascii="仿宋" w:eastAsia="仿宋" w:hAnsi="仿宋" w:cs="仿宋" w:hint="eastAsia"/>
          <w:sz w:val="28"/>
          <w:lang w:eastAsia="zh-CN"/>
        </w:rPr>
        <w:t>一、圆形堆取料机项目文档管理</w:t>
      </w:r>
      <w:bookmarkEnd w:id="2"/>
    </w:p>
    <w:p>
      <w:pPr>
        <w:pStyle w:val="Heading2"/>
        <w:rPr>
          <w:rFonts w:ascii="仿宋" w:eastAsia="仿宋" w:hAnsi="仿宋" w:cs="仿宋" w:hint="eastAsia"/>
          <w:lang w:eastAsia="zh-CN"/>
        </w:rPr>
      </w:pPr>
      <w:bookmarkStart w:id="3" w:name="_Toc258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圆形堆取料机项目高度重视文档的质量和准确性，以支持圆形堆取料机项目的各项活动和决策。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文档的编制始于圆形堆取料机项目计划的初期，我们制定了详细的文档编制计划，明确了每个文档的内容、格式和编写责任人。在圆形堆取料机项目启动阶段，我们首先编制了圆形堆取料机项目章程，明确定义了圆形堆取料机项目的目标、范围、风险等关键要素。随后，圆形堆取料机项目团队根据计划陆续编制了需求文档、设计文档、测试文档等各类文档，确保圆形堆取料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圆形堆取料机项目管理中的重要环节，旨在确保圆形堆取料机项目文档符合质量标准和圆形堆取料机项目需求。在圆形堆取料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圆形堆取料机项目相关利益方和专业领域的专家对文档进行独立审查。这有助于获取更全面、客观的反馈，确保圆形堆取料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圆形堆取料机项目在文档编制与审查方面建立了严格的管理机制，通过规范的流程和多维度的审查，确保圆形堆取料机项目文档的质量、准确性和可靠性，为圆形堆取料机项目的顺利推进提供了有力支持。</w:t>
      </w:r>
    </w:p>
    <w:p>
      <w:pPr>
        <w:pStyle w:val="Heading2"/>
        <w:ind w:firstLine="560" w:firstLineChars="200"/>
        <w:rPr>
          <w:rFonts w:ascii="仿宋" w:eastAsia="仿宋" w:hAnsi="仿宋" w:cs="仿宋" w:hint="eastAsia"/>
          <w:sz w:val="28"/>
          <w:lang w:eastAsia="zh-CN"/>
        </w:rPr>
      </w:pPr>
      <w:bookmarkStart w:id="4" w:name="_Toc72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我们通过多渠道发布文档，包括电子邮件、圆形堆取料机项目管理平台、内部网站等，以满足不同团队成员的偏好和需求。多渠道发布确保了信息的全面覆盖。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我们采用了精细的权限控制，确保只有授权人员可以访问敏感信息。这种安全措施保护了圆形堆取料机项目文档的机密性，防止了未经授权的信息泄露。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4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圆形堆取料机项目生命周期中一个至关重要的环节，直接关系到圆形堆取料机项目信息的长期保存和历史记录的完整性。在圆形堆取料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179"/>
      <w:r>
        <w:rPr>
          <w:rFonts w:ascii="仿宋" w:eastAsia="仿宋" w:hAnsi="仿宋" w:cs="仿宋" w:hint="eastAsia"/>
          <w:sz w:val="28"/>
          <w:lang w:eastAsia="zh-CN"/>
        </w:rPr>
        <w:t>二、圆形堆取料机项目建设背景及必要性分析</w:t>
      </w:r>
      <w:bookmarkEnd w:id="6"/>
    </w:p>
    <w:p>
      <w:pPr>
        <w:pStyle w:val="Heading2"/>
        <w:rPr>
          <w:rFonts w:ascii="仿宋" w:eastAsia="仿宋" w:hAnsi="仿宋" w:cs="仿宋" w:hint="eastAsia"/>
          <w:lang w:eastAsia="zh-CN"/>
        </w:rPr>
      </w:pPr>
      <w:bookmarkStart w:id="7" w:name="_Toc29720"/>
      <w:r>
        <w:rPr>
          <w:rFonts w:ascii="仿宋" w:eastAsia="仿宋" w:hAnsi="仿宋" w:cs="仿宋" w:hint="eastAsia"/>
          <w:lang w:eastAsia="zh-CN"/>
        </w:rPr>
        <w:t>(一)、圆形堆取料机项目背景分析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圆形堆取料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圆形堆取料机项目在这个潮流中的定位。同时，我们将关注行业内涌现的新兴机遇，以便圆形堆取料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圆形堆取料机项目提供了强大的发展动力。我们将聚焦于行业内最新的技术发展趋势，包括但不限于人工智能、大数据分析、物联网等领域。通过深度的技术研究，我们将确保圆形堆取料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圆形堆取料机项目发展的源泉。我们将投入更多的精力对市场需求进行深入剖析，超越表面的需求，深入挖掘潜在的市场痛点和机遇。通过对市场需求的细致了解，圆形堆取料机项目将更有针对性地设计解决方案，满足市场的多样化需求，从而更好地促进圆形堆取料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圆形堆取料机项目战略至关重要。我们将对竞争态势进行更为深入的分析，包括但不限于市场份额、产品特点、客户满意度等多个维度。通过深度的竞争分析，圆形堆取料机项目将能够更准确地把握市场脉搏，制定具有竞争力的圆形堆取料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圆形堆取料机项目的发展具有直接的影响。我们将进行更为全面的法规和政策分析，了解行业发展中的潜在法律风险和合规挑战。通过充分了解和遵守相关法规，圆形堆取料机项目将确保在法律框架内合法合规运营，为圆形堆取料机项目的稳健发展提供有力支持。</w:t>
      </w:r>
    </w:p>
    <w:p>
      <w:pPr>
        <w:pStyle w:val="Heading2"/>
        <w:ind w:firstLine="560" w:firstLineChars="200"/>
        <w:rPr>
          <w:rFonts w:ascii="仿宋" w:eastAsia="仿宋" w:hAnsi="仿宋" w:cs="仿宋" w:hint="eastAsia"/>
          <w:sz w:val="28"/>
          <w:lang w:eastAsia="zh-CN"/>
        </w:rPr>
      </w:pPr>
      <w:bookmarkStart w:id="8" w:name="_Toc20826"/>
      <w:r>
        <w:rPr>
          <w:rFonts w:ascii="仿宋" w:eastAsia="仿宋" w:hAnsi="仿宋" w:cs="仿宋" w:hint="eastAsia"/>
          <w:sz w:val="28"/>
          <w:lang w:eastAsia="zh-CN"/>
        </w:rPr>
        <w:t>(二)、圆形堆取料机项目建设必要性分析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建设的迫切性源于对行业发展趋势的深刻洞察。我们正处于一个行业变革的时代，科技创新、数字化转型成为企业发展的关键动力。圆形堆取料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建设不仅仅是为了跟上潮流，更是为了通过技术创新推动企业的持续发展。通过引入先进的技术和解决方案，圆形堆取料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圆形堆取料机项目的建设成为必然选择，通过提高产品质量、拓展服务领域，从而在竞争中获得更多的机会。圆形堆取料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圆形堆取料机项目建设的必要性体现在对客户需求更精准的满足。通过圆形堆取料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圆形堆取料机项目建设的背后是对企业持续创新的追求。只有通过不断创新，企业才能在竞争中立于不败之地。圆形堆取料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659"/>
      <w:r>
        <w:rPr>
          <w:rFonts w:ascii="仿宋" w:eastAsia="仿宋" w:hAnsi="仿宋" w:cs="仿宋" w:hint="eastAsia"/>
          <w:sz w:val="28"/>
          <w:lang w:eastAsia="zh-CN"/>
        </w:rPr>
        <w:t>三、圆形堆取料机项目可持续发展</w:t>
      </w:r>
      <w:bookmarkEnd w:id="9"/>
    </w:p>
    <w:p>
      <w:pPr>
        <w:pStyle w:val="Heading2"/>
        <w:rPr>
          <w:rFonts w:ascii="仿宋" w:eastAsia="仿宋" w:hAnsi="仿宋" w:cs="仿宋" w:hint="eastAsia"/>
          <w:lang w:eastAsia="zh-CN"/>
        </w:rPr>
      </w:pPr>
      <w:bookmarkStart w:id="10" w:name="_Toc2692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项目中，圆形堆取料机项目团队着眼于未来，明确了可持续发展的战略方向。制定的具体可持续发展目标包括降低资源使用、采用环保技术、最大化社会效益等。这一步骤不仅有助于圆形堆取料机项目在环保和社会责任方面达到最高标准，也为未来提供了明确的指引，确保圆形堆取料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可持续实践的融入圆形堆取料机项目管理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圆形堆取料机项目管理周期。从圆形堆取料机项目规划开始，圆形堆取料机项目团队就考虑了环境和社会的因素。在执行阶段，圆形堆取料机项目团队积极推动绿色技术的应用，优化资源利用。此外，关注员工的社会责任，通过培训和沟通活动提高员工对可持续发展的认知，使他们能够在日常工作中践行可持续实践。这些举措不仅为圆形堆取料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84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扎根于圆形堆取料机项目的可持续发展理念，我们深信环保与社会责任是圆形堆取料机项目成功的关键支柱。在圆形堆取料机项目的每一步，我们都致力于通过创新和实践，履行对环境和社会的坚定责任。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团队通过引入先进的环保技术、建立高效的废物处理系统以及推动能源节约措施，积极履行环保责任。定期的环保监测和评估确保圆形堆取料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不仅致力于自身可持续发展，还注重对社会的回馈。通过支持社区圆形堆取料机项目、参与慈善事业、提供培训机会等方式，圆形堆取料机项目积极履行社会责任。与当地社区建立积极互动，关注员工的工作与生活平衡，以及员工的身心健康，是圆形堆取料机项目在社会责任层面的关键举措。这样的实践不仅增强了圆形堆取料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478"/>
      <w:r>
        <w:rPr>
          <w:rFonts w:ascii="仿宋" w:eastAsia="仿宋" w:hAnsi="仿宋" w:cs="仿宋" w:hint="eastAsia"/>
          <w:sz w:val="28"/>
          <w:lang w:eastAsia="zh-CN"/>
        </w:rPr>
        <w:t>四、圆形堆取料机项目绩效评估</w:t>
      </w:r>
      <w:bookmarkEnd w:id="12"/>
    </w:p>
    <w:p>
      <w:pPr>
        <w:pStyle w:val="Heading2"/>
        <w:rPr>
          <w:rFonts w:ascii="仿宋" w:eastAsia="仿宋" w:hAnsi="仿宋" w:cs="仿宋" w:hint="eastAsia"/>
          <w:lang w:eastAsia="zh-CN"/>
        </w:rPr>
      </w:pPr>
      <w:bookmarkStart w:id="13" w:name="_Toc2876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圆形堆取料机项目中，我们设计了一套全面的绩效评估指标，以确保圆形堆取料机项目的可控和成功交付。这些指标跨足圆形堆取料机项目目标、成本、进度和质量等多个维度，为我们提供了全面洞察圆形堆取料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目标达成率是我们关注的首要指标。我们设定了明确的目标，并通过定期监测和评估，迅速发现并应对潜在的目标偏差。这为圆形堆取料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成本绩效是另一个核心关注点。通过实际成本与预算成本的对比分析，我们深入了解成本差异的原因，及时调整资源分配，保持圆形堆取料机项目在经济效益方面的合理水平。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进度作为关键的绩效指标之一，得到了精心的关注。我们制定了详细的圆形堆取料机项目进度计划，并设立了进度符合度指标，确保实际进度与计划进度保持一致。这使我们能够快速发现和解决潜在的进度问题，保持圆形堆取料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圆形堆取料机项目绩效的不可或缺的一环。我们引入了一系列的质量标准和客户满意度指标，以确保圆形堆取料机项目交付的成果在质量上达到或超越预期水平。通过持续监测这些指标，我们努力提升圆形堆取料机项目整体质量水平，为圆形堆取料机项目的成功交付提供有力保障。通过这些科学且全面的绩效评估，我们能够更好地引导圆形堆取料机项目的持续改进，确保圆形堆取料机项目目标的顺利达成。</w:t>
      </w:r>
    </w:p>
    <w:p>
      <w:pPr>
        <w:pStyle w:val="Heading2"/>
        <w:ind w:firstLine="560" w:firstLineChars="200"/>
        <w:rPr>
          <w:rFonts w:ascii="仿宋" w:eastAsia="仿宋" w:hAnsi="仿宋" w:cs="仿宋" w:hint="eastAsia"/>
          <w:sz w:val="28"/>
          <w:lang w:eastAsia="zh-CN"/>
        </w:rPr>
      </w:pPr>
      <w:bookmarkStart w:id="14" w:name="_Toc372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绩效评估是圆形堆取料机项目中的关键环节，为确保圆形堆取料机项目达到预期目标，我们采用了多层次、多维度的绩效评估方法。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圆形堆取料机项目的战略目标对齐，确保每个决策和行动都与圆形堆取料机项目整体目标保持一致。团队会定期召开战略对齐会议，审视当前工作与圆形堆取料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圆形堆取料机项目进度、质量、成本和风险等方面。这些指标通过数据收集和分析，为圆形堆取料机项目管理团队提供了客观的评估依据。例如，我们通过圆形堆取料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绩效评估不仅仅停留在圆形堆取料机项目内部，还考虑了圆形堆取料机项目对外部环境的影响。我们定期进行干系人满意度调查，以了解各利益相关方对圆形堆取料机项目的期望和满意度，并及时做出调整。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这种多层次、多角度的绩效评估方法，使得我们能够全面了解圆形堆取料机项目的运行状态，及时做出调整，确保圆形堆取料机项目在不断变化的环境中保持稳健前行。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837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为了确保圆形堆取料机项目的有效管理和不断优化，我们采用了精心设计的绩效评估周期。这个周期旨在实现灵活、实时和全面的评估，以适应圆形堆取料机项目执行中的各种挑战。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圆形堆取料机项目的不同需求，分为短期、中期和长期。短期评估关注每个迭代或工作周期，以及时发现和解决当前任务中的问题。中期评估涵盖几个迭代，深入了解整体圆形堆取料机项目的趋势和性能。长期评估则着眼于整个圆形堆取料机项目阶段，确保圆形堆取料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圆形堆取料机项目管理工具和协作平台，团队成员能够随时更新和分享圆形堆取料机项目数据。这种实时性的反馈机制使我们能够及时察觉潜在问题，快速调整，保持圆形堆取料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圆形堆取料机项目的决策制定密不可分。每个周期的圆形堆取料机项目回顾会议成为集体总结经验、识别问题深层次原因并找到创新解决方案的平台。这种定期的反思与调整机制使圆形堆取料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475"/>
      <w:r>
        <w:rPr>
          <w:rFonts w:ascii="仿宋" w:eastAsia="仿宋" w:hAnsi="仿宋" w:cs="仿宋" w:hint="eastAsia"/>
          <w:sz w:val="28"/>
          <w:lang w:eastAsia="zh-CN"/>
        </w:rPr>
        <w:t>五、圆形堆取料机项目危机管理</w:t>
      </w:r>
      <w:bookmarkEnd w:id="16"/>
    </w:p>
    <w:p>
      <w:pPr>
        <w:pStyle w:val="Heading2"/>
        <w:rPr>
          <w:rFonts w:ascii="仿宋" w:eastAsia="仿宋" w:hAnsi="仿宋" w:cs="仿宋" w:hint="eastAsia"/>
          <w:lang w:eastAsia="zh-CN"/>
        </w:rPr>
      </w:pPr>
      <w:bookmarkStart w:id="17" w:name="_Toc2560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项目危机管理中，危机预警与识别是确保圆形堆取料机项目稳健运行的核心步骤。通过建立全面的监测机制，圆形堆取料机项目团队旨在及时发现和理解潜在的风险和危机因素，以便采取及时的预防和应对措施，确保圆形堆取料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首先，通过深入的风险评估，圆形堆取料机项目团队全面分析了整个圆形堆取料机项目和各个阶段可能存在的威胁。这包括准确评估每个潜在风险的发生概率和可能影响的程度，为后续危机预警提供了有力支持。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圆形堆取料机项目团队着重于明确定义圆形堆取料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圆形堆取料机项目进展的持续监控，团队能够及时发现潜在问题并作出迅速反应。圆形堆取料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在这一阶段，团队的专业素养和反应速度将发挥至关重要的作用，以确保潜在危机能够在初期得到有效的处理，最大程度地减轻负面影响。通过危机预警与识别，圆形堆取料机项目得以更有序、可控地推进。</w:t>
      </w:r>
    </w:p>
    <w:p>
      <w:pPr>
        <w:pStyle w:val="Heading2"/>
        <w:ind w:firstLine="560" w:firstLineChars="200"/>
        <w:rPr>
          <w:rFonts w:ascii="仿宋" w:eastAsia="仿宋" w:hAnsi="仿宋" w:cs="仿宋" w:hint="eastAsia"/>
          <w:sz w:val="28"/>
          <w:lang w:eastAsia="zh-CN"/>
        </w:rPr>
      </w:pPr>
      <w:bookmarkStart w:id="18" w:name="_Toc691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在危机发生时，圆形堆取料机项目团队立即行动，成立了应急小组。该小组的任务是迅速制定并实施紧急应对措施，以最小化潜在损失。以下是采取的主要措施：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暂停圆形堆取料机项目进度：为遏制危机蔓延，圆形堆取料机项目暂时停止进行，以便全面评估当前状况。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资源重新分配：重新评估圆形堆取料机项目资源的分配，确保最大限度地减小损失。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实时沟通：与关键利益相关者建立实时沟通机制，向他们传递圆形堆取料机项目危机的实际状况，保障圆形堆取料机项目核心利益。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在紧急应对的同时，圆形堆取料机项目团队强调了团队协作和有效沟通的重要性。以下是团队协作的关键举措：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信息共享机制：建立了信息共享平台，确保团队成员能够及时获取圆形堆取料机项目危机的实时信息。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领导者沟通：圆形堆取料机项目领导者通过定期会议和即时沟通工具，指导团队应对危机，保持团队稳定运行。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https://d.book118.com/586120115211010031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B565B"/>
    <w:rsid w:val="422B5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2011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2024-01-03T23:42:00Z</dcterms:created>
  <dcterms:modified xsi:type="dcterms:W3CDTF">2024-01-03T23:42:39Z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165C21623DF6411096312B9A4469A55A_11</vt:lpwstr>
  </property>
  <property fmtid="{D5CDD505-2E9C-101B-9397-08002B2CF9AE}" pid="3" name="KSOProductBuildVer">
    <vt:lpwstr>2052-12.1.0.16120</vt:lpwstr>
  </property>
</Properties>
</file>