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化学气相沉积硒化锌(CVDZNSE)晶体项目规划设计蓝图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947" w:history="1">
        <w:r>
          <w:rPr>
            <w:rFonts w:ascii="仿宋" w:eastAsia="仿宋" w:hAnsi="仿宋" w:cs="仿宋" w:hint="eastAsia"/>
            <w:lang w:eastAsia="zh-CN"/>
          </w:rPr>
          <w:t>前言</w:t>
        </w:r>
        <w:r>
          <w:tab/>
        </w:r>
        <w:r>
          <w:fldChar w:fldCharType="begin"/>
        </w:r>
        <w:r>
          <w:instrText xml:space="preserve"> PAGEREF _Toc24947 \h </w:instrText>
        </w:r>
        <w:r>
          <w:fldChar w:fldCharType="separate"/>
        </w:r>
        <w:r>
          <w:t>3</w:t>
        </w:r>
        <w:r>
          <w:fldChar w:fldCharType="end"/>
        </w:r>
      </w:hyperlink>
    </w:p>
    <w:p>
      <w:pPr>
        <w:pStyle w:val="TOC1"/>
        <w:tabs>
          <w:tab w:val="right" w:leader="dot" w:pos="8306"/>
        </w:tabs>
      </w:pPr>
      <w:hyperlink w:anchor="_Toc25365" w:history="1">
        <w:r>
          <w:rPr>
            <w:rFonts w:ascii="仿宋" w:eastAsia="仿宋" w:hAnsi="仿宋" w:cs="仿宋" w:hint="eastAsia"/>
            <w:lang w:eastAsia="zh-CN"/>
          </w:rPr>
          <w:t>一、市场分析、调研</w:t>
        </w:r>
        <w:r>
          <w:tab/>
        </w:r>
        <w:r>
          <w:fldChar w:fldCharType="begin"/>
        </w:r>
        <w:r>
          <w:instrText xml:space="preserve"> PAGEREF _Toc25365 \h </w:instrText>
        </w:r>
        <w:r>
          <w:fldChar w:fldCharType="separate"/>
        </w:r>
        <w:r>
          <w:t>3</w:t>
        </w:r>
        <w:r>
          <w:fldChar w:fldCharType="end"/>
        </w:r>
      </w:hyperlink>
    </w:p>
    <w:p>
      <w:pPr>
        <w:pStyle w:val="TOC2"/>
        <w:tabs>
          <w:tab w:val="right" w:leader="dot" w:pos="8306"/>
        </w:tabs>
      </w:pPr>
      <w:hyperlink w:anchor="_Toc11289" w:history="1">
        <w:r>
          <w:rPr>
            <w:rFonts w:ascii="仿宋" w:eastAsia="仿宋" w:hAnsi="仿宋" w:cs="仿宋" w:hint="eastAsia"/>
            <w:lang w:eastAsia="zh-CN"/>
          </w:rPr>
          <w:t>(一)、化学气相沉积硒化锌(CVDZNSE)晶体行业分析</w:t>
        </w:r>
        <w:r>
          <w:tab/>
        </w:r>
        <w:r>
          <w:fldChar w:fldCharType="begin"/>
        </w:r>
        <w:r>
          <w:instrText xml:space="preserve"> PAGEREF _Toc11289 \h </w:instrText>
        </w:r>
        <w:r>
          <w:fldChar w:fldCharType="separate"/>
        </w:r>
        <w:r>
          <w:t>3</w:t>
        </w:r>
        <w:r>
          <w:fldChar w:fldCharType="end"/>
        </w:r>
      </w:hyperlink>
    </w:p>
    <w:p>
      <w:pPr>
        <w:pStyle w:val="TOC2"/>
        <w:tabs>
          <w:tab w:val="right" w:leader="dot" w:pos="8306"/>
        </w:tabs>
      </w:pPr>
      <w:hyperlink w:anchor="_Toc7936" w:history="1">
        <w:r>
          <w:rPr>
            <w:rFonts w:ascii="仿宋" w:eastAsia="仿宋" w:hAnsi="仿宋" w:cs="仿宋" w:hint="eastAsia"/>
            <w:lang w:eastAsia="zh-CN"/>
          </w:rPr>
          <w:t>(二)、化学气相沉积硒化锌(CVDZNSE)晶体市场分析预测</w:t>
        </w:r>
        <w:r>
          <w:tab/>
        </w:r>
        <w:r>
          <w:fldChar w:fldCharType="begin"/>
        </w:r>
        <w:r>
          <w:instrText xml:space="preserve"> PAGEREF _Toc7936 \h </w:instrText>
        </w:r>
        <w:r>
          <w:fldChar w:fldCharType="separate"/>
        </w:r>
        <w:r>
          <w:t>4</w:t>
        </w:r>
        <w:r>
          <w:fldChar w:fldCharType="end"/>
        </w:r>
      </w:hyperlink>
    </w:p>
    <w:p>
      <w:pPr>
        <w:pStyle w:val="TOC1"/>
        <w:tabs>
          <w:tab w:val="right" w:leader="dot" w:pos="8306"/>
        </w:tabs>
      </w:pPr>
      <w:hyperlink w:anchor="_Toc30054" w:history="1">
        <w:r>
          <w:rPr>
            <w:rFonts w:ascii="仿宋" w:eastAsia="仿宋" w:hAnsi="仿宋" w:cs="仿宋" w:hint="eastAsia"/>
            <w:lang w:eastAsia="zh-CN"/>
          </w:rPr>
          <w:t>二、化学气相沉积硒化锌(CVDZNSE)晶体项目建设背景及必要性分析</w:t>
        </w:r>
        <w:r>
          <w:tab/>
        </w:r>
        <w:r>
          <w:fldChar w:fldCharType="begin"/>
        </w:r>
        <w:r>
          <w:instrText xml:space="preserve"> PAGEREF _Toc30054 \h </w:instrText>
        </w:r>
        <w:r>
          <w:fldChar w:fldCharType="separate"/>
        </w:r>
        <w:r>
          <w:t>5</w:t>
        </w:r>
        <w:r>
          <w:fldChar w:fldCharType="end"/>
        </w:r>
      </w:hyperlink>
    </w:p>
    <w:p>
      <w:pPr>
        <w:pStyle w:val="TOC2"/>
        <w:tabs>
          <w:tab w:val="right" w:leader="dot" w:pos="8306"/>
        </w:tabs>
      </w:pPr>
      <w:hyperlink w:anchor="_Toc23057" w:history="1">
        <w:r>
          <w:rPr>
            <w:rFonts w:ascii="仿宋" w:eastAsia="仿宋" w:hAnsi="仿宋" w:cs="仿宋" w:hint="eastAsia"/>
            <w:lang w:eastAsia="zh-CN"/>
          </w:rPr>
          <w:t>(一)、化学气相沉积硒化锌(CVDZNSE)晶体项目背景分析</w:t>
        </w:r>
        <w:r>
          <w:tab/>
        </w:r>
        <w:r>
          <w:fldChar w:fldCharType="begin"/>
        </w:r>
        <w:r>
          <w:instrText xml:space="preserve"> PAGEREF _Toc23057 \h </w:instrText>
        </w:r>
        <w:r>
          <w:fldChar w:fldCharType="separate"/>
        </w:r>
        <w:r>
          <w:t>5</w:t>
        </w:r>
        <w:r>
          <w:fldChar w:fldCharType="end"/>
        </w:r>
      </w:hyperlink>
    </w:p>
    <w:p>
      <w:pPr>
        <w:pStyle w:val="TOC2"/>
        <w:tabs>
          <w:tab w:val="right" w:leader="dot" w:pos="8306"/>
        </w:tabs>
      </w:pPr>
      <w:hyperlink w:anchor="_Toc21737" w:history="1">
        <w:r>
          <w:rPr>
            <w:rFonts w:ascii="仿宋" w:eastAsia="仿宋" w:hAnsi="仿宋" w:cs="仿宋" w:hint="eastAsia"/>
            <w:lang w:eastAsia="zh-CN"/>
          </w:rPr>
          <w:t>(二)、化学气相沉积硒化锌(CVDZNSE)晶体项目建设必要性分析</w:t>
        </w:r>
        <w:r>
          <w:tab/>
        </w:r>
        <w:r>
          <w:fldChar w:fldCharType="begin"/>
        </w:r>
        <w:r>
          <w:instrText xml:space="preserve"> PAGEREF _Toc21737 \h </w:instrText>
        </w:r>
        <w:r>
          <w:fldChar w:fldCharType="separate"/>
        </w:r>
        <w:r>
          <w:t>7</w:t>
        </w:r>
        <w:r>
          <w:fldChar w:fldCharType="end"/>
        </w:r>
      </w:hyperlink>
    </w:p>
    <w:p>
      <w:pPr>
        <w:pStyle w:val="TOC1"/>
        <w:tabs>
          <w:tab w:val="right" w:leader="dot" w:pos="8306"/>
        </w:tabs>
      </w:pPr>
      <w:hyperlink w:anchor="_Toc2185" w:history="1">
        <w:r>
          <w:rPr>
            <w:rFonts w:ascii="仿宋" w:eastAsia="仿宋" w:hAnsi="仿宋" w:cs="仿宋" w:hint="eastAsia"/>
            <w:lang w:eastAsia="zh-CN"/>
          </w:rPr>
          <w:t>三、化学气相沉积硒化锌(CVDZNSE)晶体项目建设单位说明</w:t>
        </w:r>
        <w:r>
          <w:tab/>
        </w:r>
        <w:r>
          <w:fldChar w:fldCharType="begin"/>
        </w:r>
        <w:r>
          <w:instrText xml:space="preserve"> PAGEREF _Toc2185 \h </w:instrText>
        </w:r>
        <w:r>
          <w:fldChar w:fldCharType="separate"/>
        </w:r>
        <w:r>
          <w:t>8</w:t>
        </w:r>
        <w:r>
          <w:fldChar w:fldCharType="end"/>
        </w:r>
      </w:hyperlink>
    </w:p>
    <w:p>
      <w:pPr>
        <w:pStyle w:val="TOC2"/>
        <w:tabs>
          <w:tab w:val="right" w:leader="dot" w:pos="8306"/>
        </w:tabs>
      </w:pPr>
      <w:hyperlink w:anchor="_Toc25888" w:history="1">
        <w:r>
          <w:rPr>
            <w:rFonts w:ascii="仿宋" w:eastAsia="仿宋" w:hAnsi="仿宋" w:cs="仿宋" w:hint="eastAsia"/>
            <w:lang w:eastAsia="zh-CN"/>
          </w:rPr>
          <w:t>(一)、化学气相沉积硒化锌(CVDZNSE)晶体项目承办单位基本情况</w:t>
        </w:r>
        <w:r>
          <w:tab/>
        </w:r>
        <w:r>
          <w:fldChar w:fldCharType="begin"/>
        </w:r>
        <w:r>
          <w:instrText xml:space="preserve"> PAGEREF _Toc25888 \h </w:instrText>
        </w:r>
        <w:r>
          <w:fldChar w:fldCharType="separate"/>
        </w:r>
        <w:r>
          <w:t>8</w:t>
        </w:r>
        <w:r>
          <w:fldChar w:fldCharType="end"/>
        </w:r>
      </w:hyperlink>
    </w:p>
    <w:p>
      <w:pPr>
        <w:pStyle w:val="TOC2"/>
        <w:tabs>
          <w:tab w:val="right" w:leader="dot" w:pos="8306"/>
        </w:tabs>
      </w:pPr>
      <w:hyperlink w:anchor="_Toc32036" w:history="1">
        <w:r>
          <w:rPr>
            <w:rFonts w:ascii="仿宋" w:eastAsia="仿宋" w:hAnsi="仿宋" w:cs="仿宋" w:hint="eastAsia"/>
            <w:lang w:eastAsia="zh-CN"/>
          </w:rPr>
          <w:t>(二)、公司经济效益分析</w:t>
        </w:r>
        <w:r>
          <w:tab/>
        </w:r>
        <w:r>
          <w:fldChar w:fldCharType="begin"/>
        </w:r>
        <w:r>
          <w:instrText xml:space="preserve"> PAGEREF _Toc32036 \h </w:instrText>
        </w:r>
        <w:r>
          <w:fldChar w:fldCharType="separate"/>
        </w:r>
        <w:r>
          <w:t>9</w:t>
        </w:r>
        <w:r>
          <w:fldChar w:fldCharType="end"/>
        </w:r>
      </w:hyperlink>
    </w:p>
    <w:p>
      <w:pPr>
        <w:pStyle w:val="TOC1"/>
        <w:tabs>
          <w:tab w:val="right" w:leader="dot" w:pos="8306"/>
        </w:tabs>
      </w:pPr>
      <w:hyperlink w:anchor="_Toc12074" w:history="1">
        <w:r>
          <w:rPr>
            <w:rFonts w:ascii="仿宋" w:eastAsia="仿宋" w:hAnsi="仿宋" w:cs="仿宋" w:hint="eastAsia"/>
            <w:lang w:eastAsia="zh-CN"/>
          </w:rPr>
          <w:t>四、化学气相沉积硒化锌(CVDZNSE)晶体项目文档管理</w:t>
        </w:r>
        <w:r>
          <w:tab/>
        </w:r>
        <w:r>
          <w:fldChar w:fldCharType="begin"/>
        </w:r>
        <w:r>
          <w:instrText xml:space="preserve"> PAGEREF _Toc12074 \h </w:instrText>
        </w:r>
        <w:r>
          <w:fldChar w:fldCharType="separate"/>
        </w:r>
        <w:r>
          <w:t>10</w:t>
        </w:r>
        <w:r>
          <w:fldChar w:fldCharType="end"/>
        </w:r>
      </w:hyperlink>
    </w:p>
    <w:p>
      <w:pPr>
        <w:pStyle w:val="TOC2"/>
        <w:tabs>
          <w:tab w:val="right" w:leader="dot" w:pos="8306"/>
        </w:tabs>
      </w:pPr>
      <w:hyperlink w:anchor="_Toc24725" w:history="1">
        <w:r>
          <w:rPr>
            <w:rFonts w:ascii="仿宋" w:eastAsia="仿宋" w:hAnsi="仿宋" w:cs="仿宋" w:hint="eastAsia"/>
            <w:lang w:eastAsia="zh-CN"/>
          </w:rPr>
          <w:t>(一)、文档编制与审查</w:t>
        </w:r>
        <w:r>
          <w:tab/>
        </w:r>
        <w:r>
          <w:fldChar w:fldCharType="begin"/>
        </w:r>
        <w:r>
          <w:instrText xml:space="preserve"> PAGEREF _Toc24725 \h </w:instrText>
        </w:r>
        <w:r>
          <w:fldChar w:fldCharType="separate"/>
        </w:r>
        <w:r>
          <w:t>10</w:t>
        </w:r>
        <w:r>
          <w:fldChar w:fldCharType="end"/>
        </w:r>
      </w:hyperlink>
    </w:p>
    <w:p>
      <w:pPr>
        <w:pStyle w:val="TOC2"/>
        <w:tabs>
          <w:tab w:val="right" w:leader="dot" w:pos="8306"/>
        </w:tabs>
      </w:pPr>
      <w:hyperlink w:anchor="_Toc5331" w:history="1">
        <w:r>
          <w:rPr>
            <w:rFonts w:ascii="仿宋" w:eastAsia="仿宋" w:hAnsi="仿宋" w:cs="仿宋" w:hint="eastAsia"/>
            <w:lang w:eastAsia="zh-CN"/>
          </w:rPr>
          <w:t>(二)、文档发布与分发</w:t>
        </w:r>
        <w:r>
          <w:tab/>
        </w:r>
        <w:r>
          <w:fldChar w:fldCharType="begin"/>
        </w:r>
        <w:r>
          <w:instrText xml:space="preserve"> PAGEREF _Toc5331 \h </w:instrText>
        </w:r>
        <w:r>
          <w:fldChar w:fldCharType="separate"/>
        </w:r>
        <w:r>
          <w:t>12</w:t>
        </w:r>
        <w:r>
          <w:fldChar w:fldCharType="end"/>
        </w:r>
      </w:hyperlink>
    </w:p>
    <w:p>
      <w:pPr>
        <w:pStyle w:val="TOC2"/>
        <w:tabs>
          <w:tab w:val="right" w:leader="dot" w:pos="8306"/>
        </w:tabs>
      </w:pPr>
      <w:hyperlink w:anchor="_Toc460" w:history="1">
        <w:r>
          <w:rPr>
            <w:rFonts w:ascii="仿宋" w:eastAsia="仿宋" w:hAnsi="仿宋" w:cs="仿宋" w:hint="eastAsia"/>
            <w:lang w:eastAsia="zh-CN"/>
          </w:rPr>
          <w:t>(三)、文档存档与归档</w:t>
        </w:r>
        <w:r>
          <w:tab/>
        </w:r>
        <w:r>
          <w:fldChar w:fldCharType="begin"/>
        </w:r>
        <w:r>
          <w:instrText xml:space="preserve"> PAGEREF _Toc460 \h </w:instrText>
        </w:r>
        <w:r>
          <w:fldChar w:fldCharType="separate"/>
        </w:r>
        <w:r>
          <w:t>13</w:t>
        </w:r>
        <w:r>
          <w:fldChar w:fldCharType="end"/>
        </w:r>
      </w:hyperlink>
    </w:p>
    <w:p>
      <w:pPr>
        <w:pStyle w:val="TOC1"/>
        <w:tabs>
          <w:tab w:val="right" w:leader="dot" w:pos="8306"/>
        </w:tabs>
      </w:pPr>
      <w:hyperlink w:anchor="_Toc13367" w:history="1">
        <w:r>
          <w:rPr>
            <w:rFonts w:ascii="仿宋" w:eastAsia="仿宋" w:hAnsi="仿宋" w:cs="仿宋" w:hint="eastAsia"/>
            <w:lang w:eastAsia="zh-CN"/>
          </w:rPr>
          <w:t>五、工艺说明</w:t>
        </w:r>
        <w:r>
          <w:tab/>
        </w:r>
        <w:r>
          <w:fldChar w:fldCharType="begin"/>
        </w:r>
        <w:r>
          <w:instrText xml:space="preserve"> PAGEREF _Toc13367 \h </w:instrText>
        </w:r>
        <w:r>
          <w:fldChar w:fldCharType="separate"/>
        </w:r>
        <w:r>
          <w:t>14</w:t>
        </w:r>
        <w:r>
          <w:fldChar w:fldCharType="end"/>
        </w:r>
      </w:hyperlink>
    </w:p>
    <w:p>
      <w:pPr>
        <w:pStyle w:val="TOC2"/>
        <w:tabs>
          <w:tab w:val="right" w:leader="dot" w:pos="8306"/>
        </w:tabs>
      </w:pPr>
      <w:hyperlink w:anchor="_Toc11681" w:history="1">
        <w:r>
          <w:rPr>
            <w:rFonts w:ascii="仿宋" w:eastAsia="仿宋" w:hAnsi="仿宋" w:cs="仿宋" w:hint="eastAsia"/>
            <w:lang w:eastAsia="zh-CN"/>
          </w:rPr>
          <w:t>(一)、技术管理特点</w:t>
        </w:r>
        <w:r>
          <w:tab/>
        </w:r>
        <w:r>
          <w:fldChar w:fldCharType="begin"/>
        </w:r>
        <w:r>
          <w:instrText xml:space="preserve"> PAGEREF _Toc11681 \h </w:instrText>
        </w:r>
        <w:r>
          <w:fldChar w:fldCharType="separate"/>
        </w:r>
        <w:r>
          <w:t>14</w:t>
        </w:r>
        <w:r>
          <w:fldChar w:fldCharType="end"/>
        </w:r>
      </w:hyperlink>
    </w:p>
    <w:p>
      <w:pPr>
        <w:pStyle w:val="TOC2"/>
        <w:tabs>
          <w:tab w:val="right" w:leader="dot" w:pos="8306"/>
        </w:tabs>
      </w:pPr>
      <w:hyperlink w:anchor="_Toc22868" w:history="1">
        <w:r>
          <w:rPr>
            <w:rFonts w:ascii="仿宋" w:eastAsia="仿宋" w:hAnsi="仿宋" w:cs="仿宋" w:hint="eastAsia"/>
            <w:lang w:eastAsia="zh-CN"/>
          </w:rPr>
          <w:t>(二)、化学气相沉积硒化锌(CVDZNSE)晶体项目工艺技术设计方案</w:t>
        </w:r>
        <w:r>
          <w:tab/>
        </w:r>
        <w:r>
          <w:fldChar w:fldCharType="begin"/>
        </w:r>
        <w:r>
          <w:instrText xml:space="preserve"> PAGEREF _Toc22868 \h </w:instrText>
        </w:r>
        <w:r>
          <w:fldChar w:fldCharType="separate"/>
        </w:r>
        <w:r>
          <w:t>15</w:t>
        </w:r>
        <w:r>
          <w:fldChar w:fldCharType="end"/>
        </w:r>
      </w:hyperlink>
    </w:p>
    <w:p>
      <w:pPr>
        <w:pStyle w:val="TOC2"/>
        <w:tabs>
          <w:tab w:val="right" w:leader="dot" w:pos="8306"/>
        </w:tabs>
      </w:pPr>
      <w:hyperlink w:anchor="_Toc28821" w:history="1">
        <w:r>
          <w:rPr>
            <w:rFonts w:ascii="仿宋" w:eastAsia="仿宋" w:hAnsi="仿宋" w:cs="仿宋" w:hint="eastAsia"/>
            <w:lang w:eastAsia="zh-CN"/>
          </w:rPr>
          <w:t>(三)、设备选型方案</w:t>
        </w:r>
        <w:r>
          <w:tab/>
        </w:r>
        <w:r>
          <w:fldChar w:fldCharType="begin"/>
        </w:r>
        <w:r>
          <w:instrText xml:space="preserve"> PAGEREF _Toc28821 \h </w:instrText>
        </w:r>
        <w:r>
          <w:fldChar w:fldCharType="separate"/>
        </w:r>
        <w:r>
          <w:t>17</w:t>
        </w:r>
        <w:r>
          <w:fldChar w:fldCharType="end"/>
        </w:r>
      </w:hyperlink>
    </w:p>
    <w:p>
      <w:pPr>
        <w:pStyle w:val="TOC1"/>
        <w:tabs>
          <w:tab w:val="right" w:leader="dot" w:pos="8306"/>
        </w:tabs>
      </w:pPr>
      <w:hyperlink w:anchor="_Toc30010" w:history="1">
        <w:r>
          <w:rPr>
            <w:rFonts w:ascii="仿宋" w:eastAsia="仿宋" w:hAnsi="仿宋" w:cs="仿宋" w:hint="eastAsia"/>
            <w:lang w:eastAsia="zh-CN"/>
          </w:rPr>
          <w:t>六、化学气相沉积硒化锌(CVDZNSE)晶体项目概论</w:t>
        </w:r>
        <w:r>
          <w:tab/>
        </w:r>
        <w:r>
          <w:fldChar w:fldCharType="begin"/>
        </w:r>
        <w:r>
          <w:instrText xml:space="preserve"> PAGEREF _Toc30010 \h </w:instrText>
        </w:r>
        <w:r>
          <w:fldChar w:fldCharType="separate"/>
        </w:r>
        <w:r>
          <w:t>18</w:t>
        </w:r>
        <w:r>
          <w:fldChar w:fldCharType="end"/>
        </w:r>
      </w:hyperlink>
    </w:p>
    <w:p>
      <w:pPr>
        <w:pStyle w:val="TOC2"/>
        <w:tabs>
          <w:tab w:val="right" w:leader="dot" w:pos="8306"/>
        </w:tabs>
      </w:pPr>
      <w:hyperlink w:anchor="_Toc31679" w:history="1">
        <w:r>
          <w:rPr>
            <w:rFonts w:ascii="仿宋" w:eastAsia="仿宋" w:hAnsi="仿宋" w:cs="仿宋" w:hint="eastAsia"/>
            <w:lang w:eastAsia="zh-CN"/>
          </w:rPr>
          <w:t>(一)、化学气相沉积硒化锌(CVDZNSE)晶体项目概况</w:t>
        </w:r>
        <w:r>
          <w:tab/>
        </w:r>
        <w:r>
          <w:fldChar w:fldCharType="begin"/>
        </w:r>
        <w:r>
          <w:instrText xml:space="preserve"> PAGEREF _Toc31679 \h </w:instrText>
        </w:r>
        <w:r>
          <w:fldChar w:fldCharType="separate"/>
        </w:r>
        <w:r>
          <w:t>18</w:t>
        </w:r>
        <w:r>
          <w:fldChar w:fldCharType="end"/>
        </w:r>
      </w:hyperlink>
    </w:p>
    <w:p>
      <w:pPr>
        <w:pStyle w:val="TOC2"/>
        <w:tabs>
          <w:tab w:val="right" w:leader="dot" w:pos="8306"/>
        </w:tabs>
      </w:pPr>
      <w:hyperlink w:anchor="_Toc4035" w:history="1">
        <w:r>
          <w:rPr>
            <w:rFonts w:ascii="仿宋" w:eastAsia="仿宋" w:hAnsi="仿宋" w:cs="仿宋" w:hint="eastAsia"/>
            <w:lang w:eastAsia="zh-CN"/>
          </w:rPr>
          <w:t>(二)、化学气相沉积硒化锌(CVDZNSE)晶体项目目标</w:t>
        </w:r>
        <w:r>
          <w:tab/>
        </w:r>
        <w:r>
          <w:fldChar w:fldCharType="begin"/>
        </w:r>
        <w:r>
          <w:instrText xml:space="preserve"> PAGEREF _Toc4035 \h </w:instrText>
        </w:r>
        <w:r>
          <w:fldChar w:fldCharType="separate"/>
        </w:r>
        <w:r>
          <w:t>21</w:t>
        </w:r>
        <w:r>
          <w:fldChar w:fldCharType="end"/>
        </w:r>
      </w:hyperlink>
    </w:p>
    <w:p>
      <w:pPr>
        <w:pStyle w:val="TOC2"/>
        <w:tabs>
          <w:tab w:val="right" w:leader="dot" w:pos="8306"/>
        </w:tabs>
      </w:pPr>
      <w:hyperlink w:anchor="_Toc28207" w:history="1">
        <w:r>
          <w:rPr>
            <w:rFonts w:ascii="仿宋" w:eastAsia="仿宋" w:hAnsi="仿宋" w:cs="仿宋" w:hint="eastAsia"/>
            <w:lang w:eastAsia="zh-CN"/>
          </w:rPr>
          <w:t>(三)、化学气相沉积硒化锌(CVDZNSE)晶体项目提出的理由</w:t>
        </w:r>
        <w:r>
          <w:tab/>
        </w:r>
        <w:r>
          <w:fldChar w:fldCharType="begin"/>
        </w:r>
        <w:r>
          <w:instrText xml:space="preserve"> PAGEREF _Toc28207 \h </w:instrText>
        </w:r>
        <w:r>
          <w:fldChar w:fldCharType="separate"/>
        </w:r>
        <w:r>
          <w:t>22</w:t>
        </w:r>
        <w:r>
          <w:fldChar w:fldCharType="end"/>
        </w:r>
      </w:hyperlink>
    </w:p>
    <w:p>
      <w:pPr>
        <w:pStyle w:val="TOC2"/>
        <w:tabs>
          <w:tab w:val="right" w:leader="dot" w:pos="8306"/>
        </w:tabs>
      </w:pPr>
      <w:hyperlink w:anchor="_Toc4082" w:history="1">
        <w:r>
          <w:rPr>
            <w:rFonts w:ascii="仿宋" w:eastAsia="仿宋" w:hAnsi="仿宋" w:cs="仿宋" w:hint="eastAsia"/>
            <w:lang w:eastAsia="zh-CN"/>
          </w:rPr>
          <w:t>(四)、化学气相沉积硒化锌(CVDZNSE)晶体项目意义</w:t>
        </w:r>
        <w:r>
          <w:tab/>
        </w:r>
        <w:r>
          <w:fldChar w:fldCharType="begin"/>
        </w:r>
        <w:r>
          <w:instrText xml:space="preserve"> PAGEREF _Toc4082 \h </w:instrText>
        </w:r>
        <w:r>
          <w:fldChar w:fldCharType="separate"/>
        </w:r>
        <w:r>
          <w:t>24</w:t>
        </w:r>
        <w:r>
          <w:fldChar w:fldCharType="end"/>
        </w:r>
      </w:hyperlink>
    </w:p>
    <w:p>
      <w:pPr>
        <w:pStyle w:val="TOC2"/>
        <w:tabs>
          <w:tab w:val="right" w:leader="dot" w:pos="8306"/>
        </w:tabs>
      </w:pPr>
      <w:hyperlink w:anchor="_Toc3651" w:history="1">
        <w:r>
          <w:rPr>
            <w:rFonts w:ascii="仿宋" w:eastAsia="仿宋" w:hAnsi="仿宋" w:cs="仿宋" w:hint="eastAsia"/>
            <w:lang w:eastAsia="zh-CN"/>
          </w:rPr>
          <w:t>(五)、化学气相沉积硒化锌(CVDZNSE)晶体项目背景</w:t>
        </w:r>
        <w:r>
          <w:tab/>
        </w:r>
        <w:r>
          <w:fldChar w:fldCharType="begin"/>
        </w:r>
        <w:r>
          <w:instrText xml:space="preserve"> PAGEREF _Toc3651 \h </w:instrText>
        </w:r>
        <w:r>
          <w:fldChar w:fldCharType="separate"/>
        </w:r>
        <w:r>
          <w:t>25</w:t>
        </w:r>
        <w:r>
          <w:fldChar w:fldCharType="end"/>
        </w:r>
      </w:hyperlink>
    </w:p>
    <w:p>
      <w:pPr>
        <w:pStyle w:val="TOC1"/>
        <w:tabs>
          <w:tab w:val="right" w:leader="dot" w:pos="8306"/>
        </w:tabs>
      </w:pPr>
      <w:hyperlink w:anchor="_Toc22638" w:history="1">
        <w:r>
          <w:rPr>
            <w:rFonts w:ascii="仿宋" w:eastAsia="仿宋" w:hAnsi="仿宋" w:cs="仿宋" w:hint="eastAsia"/>
            <w:lang w:eastAsia="zh-CN"/>
          </w:rPr>
          <w:t>七、化学气相沉积硒化锌(CVDZNSE)晶体项目计划安排</w:t>
        </w:r>
        <w:r>
          <w:tab/>
        </w:r>
        <w:r>
          <w:fldChar w:fldCharType="begin"/>
        </w:r>
        <w:r>
          <w:instrText xml:space="preserve"> PAGEREF _Toc22638 \h </w:instrText>
        </w:r>
        <w:r>
          <w:fldChar w:fldCharType="separate"/>
        </w:r>
        <w:r>
          <w:t>26</w:t>
        </w:r>
        <w:r>
          <w:fldChar w:fldCharType="end"/>
        </w:r>
      </w:hyperlink>
    </w:p>
    <w:p>
      <w:pPr>
        <w:pStyle w:val="TOC2"/>
        <w:tabs>
          <w:tab w:val="right" w:leader="dot" w:pos="8306"/>
        </w:tabs>
      </w:pPr>
      <w:hyperlink w:anchor="_Toc6851" w:history="1">
        <w:r>
          <w:rPr>
            <w:rFonts w:ascii="仿宋" w:eastAsia="仿宋" w:hAnsi="仿宋" w:cs="仿宋" w:hint="eastAsia"/>
            <w:lang w:eastAsia="zh-CN"/>
          </w:rPr>
          <w:t>(一)、建设周期</w:t>
        </w:r>
        <w:r>
          <w:tab/>
        </w:r>
        <w:r>
          <w:fldChar w:fldCharType="begin"/>
        </w:r>
        <w:r>
          <w:instrText xml:space="preserve"> PAGEREF _Toc6851 \h </w:instrText>
        </w:r>
        <w:r>
          <w:fldChar w:fldCharType="separate"/>
        </w:r>
        <w:r>
          <w:t>26</w:t>
        </w:r>
        <w:r>
          <w:fldChar w:fldCharType="end"/>
        </w:r>
      </w:hyperlink>
    </w:p>
    <w:p>
      <w:pPr>
        <w:pStyle w:val="TOC2"/>
        <w:tabs>
          <w:tab w:val="right" w:leader="dot" w:pos="8306"/>
        </w:tabs>
      </w:pPr>
      <w:hyperlink w:anchor="_Toc24756" w:history="1">
        <w:r>
          <w:rPr>
            <w:rFonts w:ascii="仿宋" w:eastAsia="仿宋" w:hAnsi="仿宋" w:cs="仿宋" w:hint="eastAsia"/>
            <w:lang w:eastAsia="zh-CN"/>
          </w:rPr>
          <w:t>(二)、建设进度</w:t>
        </w:r>
        <w:r>
          <w:tab/>
        </w:r>
        <w:r>
          <w:fldChar w:fldCharType="begin"/>
        </w:r>
        <w:r>
          <w:instrText xml:space="preserve"> PAGEREF _Toc24756 \h </w:instrText>
        </w:r>
        <w:r>
          <w:fldChar w:fldCharType="separate"/>
        </w:r>
        <w:r>
          <w:t>27</w:t>
        </w:r>
        <w:r>
          <w:fldChar w:fldCharType="end"/>
        </w:r>
      </w:hyperlink>
    </w:p>
    <w:p>
      <w:pPr>
        <w:pStyle w:val="TOC2"/>
        <w:tabs>
          <w:tab w:val="right" w:leader="dot" w:pos="8306"/>
        </w:tabs>
      </w:pPr>
      <w:hyperlink w:anchor="_Toc22976" w:history="1">
        <w:r>
          <w:rPr>
            <w:rFonts w:ascii="仿宋" w:eastAsia="仿宋" w:hAnsi="仿宋" w:cs="仿宋" w:hint="eastAsia"/>
            <w:lang w:eastAsia="zh-CN"/>
          </w:rPr>
          <w:t>(三)、进度安排注意事项</w:t>
        </w:r>
        <w:r>
          <w:tab/>
        </w:r>
        <w:r>
          <w:fldChar w:fldCharType="begin"/>
        </w:r>
        <w:r>
          <w:instrText xml:space="preserve"> PAGEREF _Toc22976 \h </w:instrText>
        </w:r>
        <w:r>
          <w:fldChar w:fldCharType="separate"/>
        </w:r>
        <w:r>
          <w:t>28</w:t>
        </w:r>
        <w:r>
          <w:fldChar w:fldCharType="end"/>
        </w:r>
      </w:hyperlink>
    </w:p>
    <w:p>
      <w:pPr>
        <w:pStyle w:val="TOC2"/>
        <w:tabs>
          <w:tab w:val="right" w:leader="dot" w:pos="8306"/>
        </w:tabs>
      </w:pPr>
      <w:hyperlink w:anchor="_Toc30963" w:history="1">
        <w:r>
          <w:rPr>
            <w:rFonts w:ascii="仿宋" w:eastAsia="仿宋" w:hAnsi="仿宋" w:cs="仿宋" w:hint="eastAsia"/>
            <w:lang w:eastAsia="zh-CN"/>
          </w:rPr>
          <w:t>(四)、人力资源配置</w:t>
        </w:r>
        <w:r>
          <w:tab/>
        </w:r>
        <w:r>
          <w:fldChar w:fldCharType="begin"/>
        </w:r>
        <w:r>
          <w:instrText xml:space="preserve"> PAGEREF _Toc30963 \h </w:instrText>
        </w:r>
        <w:r>
          <w:fldChar w:fldCharType="separate"/>
        </w:r>
        <w:r>
          <w:t>30</w:t>
        </w:r>
        <w:r>
          <w:fldChar w:fldCharType="end"/>
        </w:r>
      </w:hyperlink>
    </w:p>
    <w:p>
      <w:pPr>
        <w:pStyle w:val="TOC1"/>
        <w:tabs>
          <w:tab w:val="right" w:leader="dot" w:pos="8306"/>
        </w:tabs>
      </w:pPr>
      <w:hyperlink w:anchor="_Toc31623" w:history="1">
        <w:r>
          <w:rPr>
            <w:rFonts w:ascii="仿宋" w:eastAsia="仿宋" w:hAnsi="仿宋" w:cs="仿宋" w:hint="eastAsia"/>
            <w:lang w:eastAsia="zh-CN"/>
          </w:rPr>
          <w:t>八、化学气相沉积硒化锌(CVDZNSE)晶体项目创新与研发</w:t>
        </w:r>
        <w:r>
          <w:tab/>
        </w:r>
        <w:r>
          <w:fldChar w:fldCharType="begin"/>
        </w:r>
        <w:r>
          <w:instrText xml:space="preserve"> PAGEREF _Toc31623 \h </w:instrText>
        </w:r>
        <w:r>
          <w:fldChar w:fldCharType="separate"/>
        </w:r>
        <w:r>
          <w:t>31</w:t>
        </w:r>
        <w:r>
          <w:fldChar w:fldCharType="end"/>
        </w:r>
      </w:hyperlink>
    </w:p>
    <w:p>
      <w:pPr>
        <w:pStyle w:val="TOC2"/>
        <w:tabs>
          <w:tab w:val="right" w:leader="dot" w:pos="8306"/>
        </w:tabs>
      </w:pPr>
      <w:hyperlink w:anchor="_Toc5552" w:history="1">
        <w:r>
          <w:rPr>
            <w:rFonts w:ascii="仿宋" w:eastAsia="仿宋" w:hAnsi="仿宋" w:cs="仿宋" w:hint="eastAsia"/>
            <w:lang w:eastAsia="zh-CN"/>
          </w:rPr>
          <w:t>(一)、创新策略与方向</w:t>
        </w:r>
        <w:r>
          <w:tab/>
        </w:r>
        <w:r>
          <w:fldChar w:fldCharType="begin"/>
        </w:r>
        <w:r>
          <w:instrText xml:space="preserve"> PAGEREF _Toc5552 \h </w:instrText>
        </w:r>
        <w:r>
          <w:fldChar w:fldCharType="separate"/>
        </w:r>
        <w:r>
          <w:t>31</w:t>
        </w:r>
        <w:r>
          <w:fldChar w:fldCharType="end"/>
        </w:r>
      </w:hyperlink>
    </w:p>
    <w:p>
      <w:pPr>
        <w:pStyle w:val="TOC2"/>
        <w:tabs>
          <w:tab w:val="right" w:leader="dot" w:pos="8306"/>
        </w:tabs>
      </w:pPr>
      <w:hyperlink w:anchor="_Toc23091" w:history="1">
        <w:r>
          <w:rPr>
            <w:rFonts w:ascii="仿宋" w:eastAsia="仿宋" w:hAnsi="仿宋" w:cs="仿宋" w:hint="eastAsia"/>
            <w:lang w:eastAsia="zh-CN"/>
          </w:rPr>
          <w:t>(二)、研发规划与投入</w:t>
        </w:r>
        <w:r>
          <w:tab/>
        </w:r>
        <w:r>
          <w:fldChar w:fldCharType="begin"/>
        </w:r>
        <w:r>
          <w:instrText xml:space="preserve"> PAGEREF _Toc23091 \h </w:instrText>
        </w:r>
        <w:r>
          <w:fldChar w:fldCharType="separate"/>
        </w:r>
        <w:r>
          <w:t>32</w:t>
        </w:r>
        <w:r>
          <w:fldChar w:fldCharType="end"/>
        </w:r>
      </w:hyperlink>
    </w:p>
    <w:p>
      <w:pPr>
        <w:pStyle w:val="TOC1"/>
        <w:tabs>
          <w:tab w:val="right" w:leader="dot" w:pos="8306"/>
        </w:tabs>
      </w:pPr>
      <w:hyperlink w:anchor="_Toc10661" w:history="1">
        <w:r>
          <w:rPr>
            <w:rFonts w:ascii="仿宋" w:eastAsia="仿宋" w:hAnsi="仿宋" w:cs="仿宋" w:hint="eastAsia"/>
            <w:lang w:eastAsia="zh-CN"/>
          </w:rPr>
          <w:t>九、生产安全保护</w:t>
        </w:r>
        <w:r>
          <w:tab/>
        </w:r>
        <w:r>
          <w:fldChar w:fldCharType="begin"/>
        </w:r>
        <w:r>
          <w:instrText xml:space="preserve"> PAGEREF _Toc10661 \h </w:instrText>
        </w:r>
        <w:r>
          <w:fldChar w:fldCharType="separate"/>
        </w:r>
        <w:r>
          <w:t>34</w:t>
        </w:r>
        <w:r>
          <w:fldChar w:fldCharType="end"/>
        </w:r>
      </w:hyperlink>
    </w:p>
    <w:p>
      <w:pPr>
        <w:pStyle w:val="TOC2"/>
        <w:tabs>
          <w:tab w:val="right" w:leader="dot" w:pos="8306"/>
        </w:tabs>
      </w:pPr>
      <w:hyperlink w:anchor="_Toc8849" w:history="1">
        <w:r>
          <w:rPr>
            <w:rFonts w:ascii="仿宋" w:eastAsia="仿宋" w:hAnsi="仿宋" w:cs="仿宋" w:hint="eastAsia"/>
            <w:lang w:eastAsia="zh-CN"/>
          </w:rPr>
          <w:t>(一)、消防安全</w:t>
        </w:r>
        <w:r>
          <w:tab/>
        </w:r>
        <w:r>
          <w:fldChar w:fldCharType="begin"/>
        </w:r>
        <w:r>
          <w:instrText xml:space="preserve"> PAGEREF _Toc8849 \h </w:instrText>
        </w:r>
        <w:r>
          <w:fldChar w:fldCharType="separate"/>
        </w:r>
        <w:r>
          <w:t>34</w:t>
        </w:r>
        <w:r>
          <w:fldChar w:fldCharType="end"/>
        </w:r>
      </w:hyperlink>
    </w:p>
    <w:p>
      <w:pPr>
        <w:pStyle w:val="TOC2"/>
        <w:tabs>
          <w:tab w:val="right" w:leader="dot" w:pos="8306"/>
        </w:tabs>
      </w:pPr>
      <w:hyperlink w:anchor="_Toc1910" w:history="1">
        <w:r>
          <w:rPr>
            <w:rFonts w:ascii="仿宋" w:eastAsia="仿宋" w:hAnsi="仿宋" w:cs="仿宋" w:hint="eastAsia"/>
            <w:lang w:eastAsia="zh-CN"/>
          </w:rPr>
          <w:t>(二)、防火防爆总图布置措施</w:t>
        </w:r>
        <w:r>
          <w:tab/>
        </w:r>
        <w:r>
          <w:fldChar w:fldCharType="begin"/>
        </w:r>
        <w:r>
          <w:instrText xml:space="preserve"> PAGEREF _Toc1910 \h </w:instrText>
        </w:r>
        <w:r>
          <w:fldChar w:fldCharType="separate"/>
        </w:r>
        <w:r>
          <w:t>36</w:t>
        </w:r>
        <w:r>
          <w:fldChar w:fldCharType="end"/>
        </w:r>
      </w:hyperlink>
    </w:p>
    <w:p>
      <w:pPr>
        <w:pStyle w:val="TOC2"/>
        <w:tabs>
          <w:tab w:val="right" w:leader="dot" w:pos="8306"/>
        </w:tabs>
      </w:pPr>
      <w:hyperlink w:anchor="_Toc6525" w:history="1">
        <w:r>
          <w:rPr>
            <w:rFonts w:ascii="仿宋" w:eastAsia="仿宋" w:hAnsi="仿宋" w:cs="仿宋" w:hint="eastAsia"/>
            <w:lang w:eastAsia="zh-CN"/>
          </w:rPr>
          <w:t>(三)、自然灾害防范措施</w:t>
        </w:r>
        <w:r>
          <w:tab/>
        </w:r>
        <w:r>
          <w:fldChar w:fldCharType="begin"/>
        </w:r>
        <w:r>
          <w:instrText xml:space="preserve"> PAGEREF _Toc6525 \h </w:instrText>
        </w:r>
        <w:r>
          <w:fldChar w:fldCharType="separate"/>
        </w:r>
        <w:r>
          <w:t>37</w:t>
        </w:r>
        <w:r>
          <w:fldChar w:fldCharType="end"/>
        </w:r>
      </w:hyperlink>
    </w:p>
    <w:p>
      <w:pPr>
        <w:pStyle w:val="TOC2"/>
        <w:tabs>
          <w:tab w:val="right" w:leader="dot" w:pos="8306"/>
        </w:tabs>
      </w:pPr>
      <w:hyperlink w:anchor="_Toc21041" w:history="1">
        <w:r>
          <w:rPr>
            <w:rFonts w:ascii="仿宋" w:eastAsia="仿宋" w:hAnsi="仿宋" w:cs="仿宋" w:hint="eastAsia"/>
            <w:lang w:eastAsia="zh-CN"/>
          </w:rPr>
          <w:t>(四)、安全色及安全标志使用要求</w:t>
        </w:r>
        <w:r>
          <w:tab/>
        </w:r>
        <w:r>
          <w:fldChar w:fldCharType="begin"/>
        </w:r>
        <w:r>
          <w:instrText xml:space="preserve"> PAGEREF _Toc21041 \h </w:instrText>
        </w:r>
        <w:r>
          <w:fldChar w:fldCharType="separate"/>
        </w:r>
        <w:r>
          <w:t>39</w:t>
        </w:r>
        <w:r>
          <w:fldChar w:fldCharType="end"/>
        </w:r>
      </w:hyperlink>
    </w:p>
    <w:p>
      <w:pPr>
        <w:pStyle w:val="TOC2"/>
        <w:tabs>
          <w:tab w:val="right" w:leader="dot" w:pos="8306"/>
        </w:tabs>
      </w:pPr>
      <w:hyperlink w:anchor="_Toc2281" w:history="1">
        <w:r>
          <w:rPr>
            <w:rFonts w:ascii="仿宋" w:eastAsia="仿宋" w:hAnsi="仿宋" w:cs="仿宋" w:hint="eastAsia"/>
            <w:lang w:eastAsia="zh-CN"/>
          </w:rPr>
          <w:t>(五)、防尘防毒措施</w:t>
        </w:r>
        <w:r>
          <w:tab/>
        </w:r>
        <w:r>
          <w:fldChar w:fldCharType="begin"/>
        </w:r>
        <w:r>
          <w:instrText xml:space="preserve"> PAGEREF _Toc2281 \h </w:instrText>
        </w:r>
        <w:r>
          <w:fldChar w:fldCharType="separate"/>
        </w:r>
        <w:r>
          <w:t>40</w:t>
        </w:r>
        <w:r>
          <w:fldChar w:fldCharType="end"/>
        </w:r>
      </w:hyperlink>
    </w:p>
    <w:p>
      <w:pPr>
        <w:pStyle w:val="TOC2"/>
        <w:tabs>
          <w:tab w:val="right" w:leader="dot" w:pos="8306"/>
        </w:tabs>
      </w:pPr>
      <w:hyperlink w:anchor="_Toc31417" w:history="1">
        <w:r>
          <w:rPr>
            <w:rFonts w:ascii="仿宋" w:eastAsia="仿宋" w:hAnsi="仿宋" w:cs="仿宋" w:hint="eastAsia"/>
            <w:lang w:eastAsia="zh-CN"/>
          </w:rPr>
          <w:t>(六)、防静电、触电防护及防雷措施</w:t>
        </w:r>
        <w:r>
          <w:tab/>
        </w:r>
        <w:r>
          <w:fldChar w:fldCharType="begin"/>
        </w:r>
        <w:r>
          <w:instrText xml:space="preserve"> PAGEREF _Toc31417 \h </w:instrText>
        </w:r>
        <w:r>
          <w:fldChar w:fldCharType="separate"/>
        </w:r>
        <w:r>
          <w:t>41</w:t>
        </w:r>
        <w:r>
          <w:fldChar w:fldCharType="end"/>
        </w:r>
      </w:hyperlink>
    </w:p>
    <w:p>
      <w:pPr>
        <w:pStyle w:val="TOC2"/>
        <w:tabs>
          <w:tab w:val="right" w:leader="dot" w:pos="8306"/>
        </w:tabs>
      </w:pPr>
      <w:hyperlink w:anchor="_Toc31255" w:history="1">
        <w:r>
          <w:rPr>
            <w:rFonts w:ascii="仿宋" w:eastAsia="仿宋" w:hAnsi="仿宋" w:cs="仿宋" w:hint="eastAsia"/>
            <w:lang w:eastAsia="zh-CN"/>
          </w:rPr>
          <w:t>(七)、机械设备安全保障措施</w:t>
        </w:r>
        <w:r>
          <w:tab/>
        </w:r>
        <w:r>
          <w:fldChar w:fldCharType="begin"/>
        </w:r>
        <w:r>
          <w:instrText xml:space="preserve"> PAGEREF _Toc31255 \h </w:instrText>
        </w:r>
        <w:r>
          <w:fldChar w:fldCharType="separate"/>
        </w:r>
        <w:r>
          <w:t>42</w:t>
        </w:r>
        <w:r>
          <w:fldChar w:fldCharType="end"/>
        </w:r>
      </w:hyperlink>
    </w:p>
    <w:p>
      <w:pPr>
        <w:pStyle w:val="TOC1"/>
        <w:tabs>
          <w:tab w:val="right" w:leader="dot" w:pos="8306"/>
        </w:tabs>
      </w:pPr>
      <w:hyperlink w:anchor="_Toc31106" w:history="1">
        <w:r>
          <w:rPr>
            <w:rFonts w:ascii="仿宋" w:eastAsia="仿宋" w:hAnsi="仿宋" w:cs="仿宋" w:hint="eastAsia"/>
            <w:lang w:eastAsia="zh-CN"/>
          </w:rPr>
          <w:t>十、化学气相沉积硒化锌(CVDZNSE)晶体项目环境影响分析</w:t>
        </w:r>
        <w:r>
          <w:tab/>
        </w:r>
        <w:r>
          <w:fldChar w:fldCharType="begin"/>
        </w:r>
        <w:r>
          <w:instrText xml:space="preserve"> PAGEREF _Toc31106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193" w:history="1">
        <w:r>
          <w:rPr>
            <w:rFonts w:ascii="仿宋" w:eastAsia="仿宋" w:hAnsi="仿宋" w:cs="仿宋" w:hint="eastAsia"/>
            <w:lang w:eastAsia="zh-CN"/>
          </w:rPr>
          <w:t>(一)、建设区域环境质量现状</w:t>
        </w:r>
        <w:r>
          <w:tab/>
        </w:r>
        <w:r>
          <w:fldChar w:fldCharType="begin"/>
        </w:r>
        <w:r>
          <w:instrText xml:space="preserve"> PAGEREF _Toc20193 \h </w:instrText>
        </w:r>
        <w:r>
          <w:fldChar w:fldCharType="separate"/>
        </w:r>
        <w:r>
          <w:t>44</w:t>
        </w:r>
        <w:r>
          <w:fldChar w:fldCharType="end"/>
        </w:r>
      </w:hyperlink>
    </w:p>
    <w:p>
      <w:pPr>
        <w:pStyle w:val="TOC2"/>
        <w:tabs>
          <w:tab w:val="right" w:leader="dot" w:pos="8306"/>
        </w:tabs>
      </w:pPr>
      <w:hyperlink w:anchor="_Toc12114" w:history="1">
        <w:r>
          <w:rPr>
            <w:rFonts w:ascii="仿宋" w:eastAsia="仿宋" w:hAnsi="仿宋" w:cs="仿宋" w:hint="eastAsia"/>
            <w:lang w:eastAsia="zh-CN"/>
          </w:rPr>
          <w:t>(二)、建设期环境保护</w:t>
        </w:r>
        <w:r>
          <w:tab/>
        </w:r>
        <w:r>
          <w:fldChar w:fldCharType="begin"/>
        </w:r>
        <w:r>
          <w:instrText xml:space="preserve"> PAGEREF _Toc12114 \h </w:instrText>
        </w:r>
        <w:r>
          <w:fldChar w:fldCharType="separate"/>
        </w:r>
        <w:r>
          <w:t>45</w:t>
        </w:r>
        <w:r>
          <w:fldChar w:fldCharType="end"/>
        </w:r>
      </w:hyperlink>
    </w:p>
    <w:p>
      <w:pPr>
        <w:pStyle w:val="TOC2"/>
        <w:tabs>
          <w:tab w:val="right" w:leader="dot" w:pos="8306"/>
        </w:tabs>
      </w:pPr>
      <w:hyperlink w:anchor="_Toc6657" w:history="1">
        <w:r>
          <w:rPr>
            <w:rFonts w:ascii="仿宋" w:eastAsia="仿宋" w:hAnsi="仿宋" w:cs="仿宋" w:hint="eastAsia"/>
            <w:lang w:eastAsia="zh-CN"/>
          </w:rPr>
          <w:t>(三)、运营期环境保护</w:t>
        </w:r>
        <w:r>
          <w:tab/>
        </w:r>
        <w:r>
          <w:fldChar w:fldCharType="begin"/>
        </w:r>
        <w:r>
          <w:instrText xml:space="preserve"> PAGEREF _Toc6657 \h </w:instrText>
        </w:r>
        <w:r>
          <w:fldChar w:fldCharType="separate"/>
        </w:r>
        <w:r>
          <w:t>47</w:t>
        </w:r>
        <w:r>
          <w:fldChar w:fldCharType="end"/>
        </w:r>
      </w:hyperlink>
    </w:p>
    <w:p>
      <w:pPr>
        <w:pStyle w:val="TOC2"/>
        <w:tabs>
          <w:tab w:val="right" w:leader="dot" w:pos="8306"/>
        </w:tabs>
      </w:pPr>
      <w:hyperlink w:anchor="_Toc27873" w:history="1">
        <w:r>
          <w:rPr>
            <w:rFonts w:ascii="仿宋" w:eastAsia="仿宋" w:hAnsi="仿宋" w:cs="仿宋" w:hint="eastAsia"/>
            <w:lang w:eastAsia="zh-CN"/>
          </w:rPr>
          <w:t>(四)、化学气相沉积硒化锌(CVDZNSE)晶体项目建设对区域经济的影响</w:t>
        </w:r>
        <w:r>
          <w:tab/>
        </w:r>
        <w:r>
          <w:fldChar w:fldCharType="begin"/>
        </w:r>
        <w:r>
          <w:instrText xml:space="preserve"> PAGEREF _Toc27873 \h </w:instrText>
        </w:r>
        <w:r>
          <w:fldChar w:fldCharType="separate"/>
        </w:r>
        <w:r>
          <w:t>48</w:t>
        </w:r>
        <w:r>
          <w:fldChar w:fldCharType="end"/>
        </w:r>
      </w:hyperlink>
    </w:p>
    <w:p>
      <w:pPr>
        <w:pStyle w:val="TOC2"/>
        <w:tabs>
          <w:tab w:val="right" w:leader="dot" w:pos="8306"/>
        </w:tabs>
      </w:pPr>
      <w:hyperlink w:anchor="_Toc22185" w:history="1">
        <w:r>
          <w:rPr>
            <w:rFonts w:ascii="仿宋" w:eastAsia="仿宋" w:hAnsi="仿宋" w:cs="仿宋" w:hint="eastAsia"/>
            <w:lang w:eastAsia="zh-CN"/>
          </w:rPr>
          <w:t>(五)、废弃物处理</w:t>
        </w:r>
        <w:r>
          <w:tab/>
        </w:r>
        <w:r>
          <w:fldChar w:fldCharType="begin"/>
        </w:r>
        <w:r>
          <w:instrText xml:space="preserve"> PAGEREF _Toc22185 \h </w:instrText>
        </w:r>
        <w:r>
          <w:fldChar w:fldCharType="separate"/>
        </w:r>
        <w:r>
          <w:t>50</w:t>
        </w:r>
        <w:r>
          <w:fldChar w:fldCharType="end"/>
        </w:r>
      </w:hyperlink>
    </w:p>
    <w:p>
      <w:pPr>
        <w:pStyle w:val="TOC2"/>
        <w:tabs>
          <w:tab w:val="right" w:leader="dot" w:pos="8306"/>
        </w:tabs>
      </w:pPr>
      <w:hyperlink w:anchor="_Toc24711" w:history="1">
        <w:r>
          <w:rPr>
            <w:rFonts w:ascii="仿宋" w:eastAsia="仿宋" w:hAnsi="仿宋" w:cs="仿宋" w:hint="eastAsia"/>
            <w:lang w:eastAsia="zh-CN"/>
          </w:rPr>
          <w:t>(六)、特殊环境影响分析</w:t>
        </w:r>
        <w:r>
          <w:tab/>
        </w:r>
        <w:r>
          <w:fldChar w:fldCharType="begin"/>
        </w:r>
        <w:r>
          <w:instrText xml:space="preserve"> PAGEREF _Toc24711 \h </w:instrText>
        </w:r>
        <w:r>
          <w:fldChar w:fldCharType="separate"/>
        </w:r>
        <w:r>
          <w:t>52</w:t>
        </w:r>
        <w:r>
          <w:fldChar w:fldCharType="end"/>
        </w:r>
      </w:hyperlink>
    </w:p>
    <w:p>
      <w:pPr>
        <w:pStyle w:val="TOC2"/>
        <w:tabs>
          <w:tab w:val="right" w:leader="dot" w:pos="8306"/>
        </w:tabs>
      </w:pPr>
      <w:hyperlink w:anchor="_Toc25083" w:history="1">
        <w:r>
          <w:rPr>
            <w:rFonts w:ascii="仿宋" w:eastAsia="仿宋" w:hAnsi="仿宋" w:cs="仿宋" w:hint="eastAsia"/>
            <w:lang w:eastAsia="zh-CN"/>
          </w:rPr>
          <w:t>(七)、清洁生产</w:t>
        </w:r>
        <w:r>
          <w:tab/>
        </w:r>
        <w:r>
          <w:fldChar w:fldCharType="begin"/>
        </w:r>
        <w:r>
          <w:instrText xml:space="preserve"> PAGEREF _Toc25083 \h </w:instrText>
        </w:r>
        <w:r>
          <w:fldChar w:fldCharType="separate"/>
        </w:r>
        <w:r>
          <w:t>53</w:t>
        </w:r>
        <w:r>
          <w:fldChar w:fldCharType="end"/>
        </w:r>
      </w:hyperlink>
    </w:p>
    <w:p>
      <w:pPr>
        <w:pStyle w:val="TOC2"/>
        <w:tabs>
          <w:tab w:val="right" w:leader="dot" w:pos="8306"/>
        </w:tabs>
      </w:pPr>
      <w:hyperlink w:anchor="_Toc25185" w:history="1">
        <w:r>
          <w:rPr>
            <w:rFonts w:ascii="仿宋" w:eastAsia="仿宋" w:hAnsi="仿宋" w:cs="仿宋" w:hint="eastAsia"/>
            <w:lang w:eastAsia="zh-CN"/>
          </w:rPr>
          <w:t>(八)、环境保护综合评价</w:t>
        </w:r>
        <w:r>
          <w:tab/>
        </w:r>
        <w:r>
          <w:fldChar w:fldCharType="begin"/>
        </w:r>
        <w:r>
          <w:instrText xml:space="preserve"> PAGEREF _Toc25185 \h </w:instrText>
        </w:r>
        <w:r>
          <w:fldChar w:fldCharType="separate"/>
        </w:r>
        <w:r>
          <w:t>54</w:t>
        </w:r>
        <w:r>
          <w:fldChar w:fldCharType="end"/>
        </w:r>
      </w:hyperlink>
    </w:p>
    <w:p>
      <w:pPr>
        <w:pStyle w:val="TOC1"/>
        <w:tabs>
          <w:tab w:val="right" w:leader="dot" w:pos="8306"/>
        </w:tabs>
      </w:pPr>
      <w:hyperlink w:anchor="_Toc27934" w:history="1">
        <w:r>
          <w:rPr>
            <w:rFonts w:ascii="仿宋" w:eastAsia="仿宋" w:hAnsi="仿宋" w:cs="仿宋" w:hint="eastAsia"/>
            <w:lang w:eastAsia="zh-CN"/>
          </w:rPr>
          <w:t>十一、化学气相沉积硒化锌(CVDZNSE)晶体项目人力资源管理</w:t>
        </w:r>
        <w:r>
          <w:tab/>
        </w:r>
        <w:r>
          <w:fldChar w:fldCharType="begin"/>
        </w:r>
        <w:r>
          <w:instrText xml:space="preserve"> PAGEREF _Toc27934 \h </w:instrText>
        </w:r>
        <w:r>
          <w:fldChar w:fldCharType="separate"/>
        </w:r>
        <w:r>
          <w:t>56</w:t>
        </w:r>
        <w:r>
          <w:fldChar w:fldCharType="end"/>
        </w:r>
      </w:hyperlink>
    </w:p>
    <w:p>
      <w:pPr>
        <w:pStyle w:val="TOC2"/>
        <w:tabs>
          <w:tab w:val="right" w:leader="dot" w:pos="8306"/>
        </w:tabs>
      </w:pPr>
      <w:hyperlink w:anchor="_Toc6798" w:history="1">
        <w:r>
          <w:rPr>
            <w:rFonts w:ascii="仿宋" w:eastAsia="仿宋" w:hAnsi="仿宋" w:cs="仿宋" w:hint="eastAsia"/>
            <w:lang w:eastAsia="zh-CN"/>
          </w:rPr>
          <w:t>(一)、建立健全的预算管理制度</w:t>
        </w:r>
        <w:r>
          <w:tab/>
        </w:r>
        <w:r>
          <w:fldChar w:fldCharType="begin"/>
        </w:r>
        <w:r>
          <w:instrText xml:space="preserve"> PAGEREF _Toc6798 \h </w:instrText>
        </w:r>
        <w:r>
          <w:fldChar w:fldCharType="separate"/>
        </w:r>
        <w:r>
          <w:t>56</w:t>
        </w:r>
        <w:r>
          <w:fldChar w:fldCharType="end"/>
        </w:r>
      </w:hyperlink>
    </w:p>
    <w:p>
      <w:pPr>
        <w:pStyle w:val="TOC2"/>
        <w:tabs>
          <w:tab w:val="right" w:leader="dot" w:pos="8306"/>
        </w:tabs>
      </w:pPr>
      <w:hyperlink w:anchor="_Toc5368" w:history="1">
        <w:r>
          <w:rPr>
            <w:rFonts w:ascii="仿宋" w:eastAsia="仿宋" w:hAnsi="仿宋" w:cs="仿宋" w:hint="eastAsia"/>
            <w:lang w:eastAsia="zh-CN"/>
          </w:rPr>
          <w:t>(二)、加强资金流动监控</w:t>
        </w:r>
        <w:r>
          <w:tab/>
        </w:r>
        <w:r>
          <w:fldChar w:fldCharType="begin"/>
        </w:r>
        <w:r>
          <w:instrText xml:space="preserve"> PAGEREF _Toc5368 \h </w:instrText>
        </w:r>
        <w:r>
          <w:fldChar w:fldCharType="separate"/>
        </w:r>
        <w:r>
          <w:t>58</w:t>
        </w:r>
        <w:r>
          <w:fldChar w:fldCharType="end"/>
        </w:r>
      </w:hyperlink>
    </w:p>
    <w:p>
      <w:pPr>
        <w:pStyle w:val="TOC2"/>
        <w:tabs>
          <w:tab w:val="right" w:leader="dot" w:pos="8306"/>
        </w:tabs>
      </w:pPr>
      <w:hyperlink w:anchor="_Toc6778" w:history="1">
        <w:r>
          <w:rPr>
            <w:rFonts w:ascii="仿宋" w:eastAsia="仿宋" w:hAnsi="仿宋" w:cs="仿宋" w:hint="eastAsia"/>
            <w:lang w:eastAsia="zh-CN"/>
          </w:rPr>
          <w:t>(三)、制定完善的风险控制机制</w:t>
        </w:r>
        <w:r>
          <w:tab/>
        </w:r>
        <w:r>
          <w:fldChar w:fldCharType="begin"/>
        </w:r>
        <w:r>
          <w:instrText xml:space="preserve"> PAGEREF _Toc6778 \h </w:instrText>
        </w:r>
        <w:r>
          <w:fldChar w:fldCharType="separate"/>
        </w:r>
        <w:r>
          <w:t>59</w:t>
        </w:r>
        <w:r>
          <w:fldChar w:fldCharType="end"/>
        </w:r>
      </w:hyperlink>
    </w:p>
    <w:p>
      <w:pPr>
        <w:pStyle w:val="TOC2"/>
        <w:tabs>
          <w:tab w:val="right" w:leader="dot" w:pos="8306"/>
        </w:tabs>
      </w:pPr>
      <w:hyperlink w:anchor="_Toc29923" w:history="1">
        <w:r>
          <w:rPr>
            <w:rFonts w:ascii="仿宋" w:eastAsia="仿宋" w:hAnsi="仿宋" w:cs="仿宋" w:hint="eastAsia"/>
            <w:lang w:eastAsia="zh-CN"/>
          </w:rPr>
          <w:t>(四)、优化成本管理</w:t>
        </w:r>
        <w:r>
          <w:tab/>
        </w:r>
        <w:r>
          <w:fldChar w:fldCharType="begin"/>
        </w:r>
        <w:r>
          <w:instrText xml:space="preserve"> PAGEREF _Toc29923 \h </w:instrText>
        </w:r>
        <w:r>
          <w:fldChar w:fldCharType="separate"/>
        </w:r>
        <w:r>
          <w:t>61</w:t>
        </w:r>
        <w:r>
          <w:fldChar w:fldCharType="end"/>
        </w:r>
      </w:hyperlink>
    </w:p>
    <w:p>
      <w:pPr>
        <w:pStyle w:val="TOC1"/>
        <w:tabs>
          <w:tab w:val="right" w:leader="dot" w:pos="8306"/>
        </w:tabs>
      </w:pPr>
      <w:hyperlink w:anchor="_Toc2381" w:history="1">
        <w:r>
          <w:rPr>
            <w:rFonts w:ascii="仿宋" w:eastAsia="仿宋" w:hAnsi="仿宋" w:cs="仿宋" w:hint="eastAsia"/>
            <w:lang w:eastAsia="zh-CN"/>
          </w:rPr>
          <w:t>十二、化学气相沉积硒化锌(CVDZNSE)晶体项目经营效益</w:t>
        </w:r>
        <w:r>
          <w:tab/>
        </w:r>
        <w:r>
          <w:fldChar w:fldCharType="begin"/>
        </w:r>
        <w:r>
          <w:instrText xml:space="preserve"> PAGEREF _Toc2381 \h </w:instrText>
        </w:r>
        <w:r>
          <w:fldChar w:fldCharType="separate"/>
        </w:r>
        <w:r>
          <w:t>62</w:t>
        </w:r>
        <w:r>
          <w:fldChar w:fldCharType="end"/>
        </w:r>
      </w:hyperlink>
    </w:p>
    <w:p>
      <w:pPr>
        <w:pStyle w:val="TOC2"/>
        <w:tabs>
          <w:tab w:val="right" w:leader="dot" w:pos="8306"/>
        </w:tabs>
      </w:pPr>
      <w:hyperlink w:anchor="_Toc29648" w:history="1">
        <w:r>
          <w:rPr>
            <w:rFonts w:ascii="仿宋" w:eastAsia="仿宋" w:hAnsi="仿宋" w:cs="仿宋" w:hint="eastAsia"/>
            <w:lang w:eastAsia="zh-CN"/>
          </w:rPr>
          <w:t>(一)、经济评价财务测算</w:t>
        </w:r>
        <w:r>
          <w:tab/>
        </w:r>
        <w:r>
          <w:fldChar w:fldCharType="begin"/>
        </w:r>
        <w:r>
          <w:instrText xml:space="preserve"> PAGEREF _Toc29648 \h </w:instrText>
        </w:r>
        <w:r>
          <w:fldChar w:fldCharType="separate"/>
        </w:r>
        <w:r>
          <w:t>62</w:t>
        </w:r>
        <w:r>
          <w:fldChar w:fldCharType="end"/>
        </w:r>
      </w:hyperlink>
    </w:p>
    <w:p>
      <w:pPr>
        <w:pStyle w:val="TOC2"/>
        <w:tabs>
          <w:tab w:val="right" w:leader="dot" w:pos="8306"/>
        </w:tabs>
      </w:pPr>
      <w:hyperlink w:anchor="_Toc17652" w:history="1">
        <w:r>
          <w:rPr>
            <w:rFonts w:ascii="仿宋" w:eastAsia="仿宋" w:hAnsi="仿宋" w:cs="仿宋" w:hint="eastAsia"/>
            <w:lang w:eastAsia="zh-CN"/>
          </w:rPr>
          <w:t>(二)、化学气相沉积硒化锌(CVDZNSE)晶体项目盈利能力分析</w:t>
        </w:r>
        <w:r>
          <w:tab/>
        </w:r>
        <w:r>
          <w:fldChar w:fldCharType="begin"/>
        </w:r>
        <w:r>
          <w:instrText xml:space="preserve"> PAGEREF _Toc17652 \h </w:instrText>
        </w:r>
        <w:r>
          <w:fldChar w:fldCharType="separate"/>
        </w:r>
        <w:r>
          <w:t>64</w:t>
        </w:r>
        <w:r>
          <w:fldChar w:fldCharType="end"/>
        </w:r>
      </w:hyperlink>
    </w:p>
    <w:p>
      <w:pPr>
        <w:pStyle w:val="TOC1"/>
        <w:tabs>
          <w:tab w:val="right" w:leader="dot" w:pos="8306"/>
        </w:tabs>
      </w:pPr>
      <w:hyperlink w:anchor="_Toc18355" w:history="1">
        <w:r>
          <w:rPr>
            <w:rFonts w:ascii="仿宋" w:eastAsia="仿宋" w:hAnsi="仿宋" w:cs="仿宋" w:hint="eastAsia"/>
            <w:lang w:eastAsia="zh-CN"/>
          </w:rPr>
          <w:t>十三、利益相关者分析与沟通计划</w:t>
        </w:r>
        <w:r>
          <w:tab/>
        </w:r>
        <w:r>
          <w:fldChar w:fldCharType="begin"/>
        </w:r>
        <w:r>
          <w:instrText xml:space="preserve"> PAGEREF _Toc18355 \h </w:instrText>
        </w:r>
        <w:r>
          <w:fldChar w:fldCharType="separate"/>
        </w:r>
        <w:r>
          <w:t>65</w:t>
        </w:r>
        <w:r>
          <w:fldChar w:fldCharType="end"/>
        </w:r>
      </w:hyperlink>
    </w:p>
    <w:p>
      <w:pPr>
        <w:pStyle w:val="TOC2"/>
        <w:tabs>
          <w:tab w:val="right" w:leader="dot" w:pos="8306"/>
        </w:tabs>
      </w:pPr>
      <w:hyperlink w:anchor="_Toc9316" w:history="1">
        <w:r>
          <w:rPr>
            <w:rFonts w:ascii="仿宋" w:eastAsia="仿宋" w:hAnsi="仿宋" w:cs="仿宋" w:hint="eastAsia"/>
            <w:lang w:eastAsia="zh-CN"/>
          </w:rPr>
          <w:t>(一)、利益相关者分析</w:t>
        </w:r>
        <w:r>
          <w:tab/>
        </w:r>
        <w:r>
          <w:fldChar w:fldCharType="begin"/>
        </w:r>
        <w:r>
          <w:instrText xml:space="preserve"> PAGEREF _Toc9316 \h </w:instrText>
        </w:r>
        <w:r>
          <w:fldChar w:fldCharType="separate"/>
        </w:r>
        <w:r>
          <w:t>65</w:t>
        </w:r>
        <w:r>
          <w:fldChar w:fldCharType="end"/>
        </w:r>
      </w:hyperlink>
    </w:p>
    <w:p>
      <w:pPr>
        <w:pStyle w:val="TOC2"/>
        <w:tabs>
          <w:tab w:val="right" w:leader="dot" w:pos="8306"/>
        </w:tabs>
      </w:pPr>
      <w:hyperlink w:anchor="_Toc18741" w:history="1">
        <w:r>
          <w:rPr>
            <w:rFonts w:ascii="仿宋" w:eastAsia="仿宋" w:hAnsi="仿宋" w:cs="仿宋" w:hint="eastAsia"/>
            <w:lang w:eastAsia="zh-CN"/>
          </w:rPr>
          <w:t>(二)、沟通计划</w:t>
        </w:r>
        <w:r>
          <w:tab/>
        </w:r>
        <w:r>
          <w:fldChar w:fldCharType="begin"/>
        </w:r>
        <w:r>
          <w:instrText xml:space="preserve"> PAGEREF _Toc18741 \h </w:instrText>
        </w:r>
        <w:r>
          <w:fldChar w:fldCharType="separate"/>
        </w:r>
        <w:r>
          <w:t>66</w:t>
        </w:r>
        <w:r>
          <w:fldChar w:fldCharType="end"/>
        </w:r>
      </w:hyperlink>
    </w:p>
    <w:p>
      <w:pPr>
        <w:pStyle w:val="TOC1"/>
        <w:tabs>
          <w:tab w:val="right" w:leader="dot" w:pos="8306"/>
        </w:tabs>
      </w:pPr>
      <w:hyperlink w:anchor="_Toc11526" w:history="1">
        <w:r>
          <w:rPr>
            <w:rFonts w:ascii="仿宋" w:eastAsia="仿宋" w:hAnsi="仿宋" w:cs="仿宋" w:hint="eastAsia"/>
            <w:lang w:eastAsia="zh-CN"/>
          </w:rPr>
          <w:t>十四、风险识别与分类</w:t>
        </w:r>
        <w:r>
          <w:tab/>
        </w:r>
        <w:r>
          <w:fldChar w:fldCharType="begin"/>
        </w:r>
        <w:r>
          <w:instrText xml:space="preserve"> PAGEREF _Toc11526 \h </w:instrText>
        </w:r>
        <w:r>
          <w:fldChar w:fldCharType="separate"/>
        </w:r>
        <w:r>
          <w:t>67</w:t>
        </w:r>
        <w:r>
          <w:fldChar w:fldCharType="end"/>
        </w:r>
      </w:hyperlink>
    </w:p>
    <w:p>
      <w:pPr>
        <w:pStyle w:val="TOC2"/>
        <w:tabs>
          <w:tab w:val="right" w:leader="dot" w:pos="8306"/>
        </w:tabs>
      </w:pPr>
      <w:hyperlink w:anchor="_Toc16885" w:history="1">
        <w:r>
          <w:rPr>
            <w:rFonts w:ascii="仿宋" w:eastAsia="仿宋" w:hAnsi="仿宋" w:cs="仿宋" w:hint="eastAsia"/>
            <w:lang w:eastAsia="zh-CN"/>
          </w:rPr>
          <w:t>(一)、风险识别</w:t>
        </w:r>
        <w:r>
          <w:tab/>
        </w:r>
        <w:r>
          <w:fldChar w:fldCharType="begin"/>
        </w:r>
        <w:r>
          <w:instrText xml:space="preserve"> PAGEREF _Toc16885 \h </w:instrText>
        </w:r>
        <w:r>
          <w:fldChar w:fldCharType="separate"/>
        </w:r>
        <w:r>
          <w:t>67</w:t>
        </w:r>
        <w:r>
          <w:fldChar w:fldCharType="end"/>
        </w:r>
      </w:hyperlink>
    </w:p>
    <w:p>
      <w:pPr>
        <w:pStyle w:val="TOC2"/>
        <w:tabs>
          <w:tab w:val="right" w:leader="dot" w:pos="8306"/>
        </w:tabs>
      </w:pPr>
      <w:hyperlink w:anchor="_Toc23661" w:history="1">
        <w:r>
          <w:rPr>
            <w:rFonts w:ascii="仿宋" w:eastAsia="仿宋" w:hAnsi="仿宋" w:cs="仿宋" w:hint="eastAsia"/>
            <w:lang w:eastAsia="zh-CN"/>
          </w:rPr>
          <w:t>(二)、风险分类</w:t>
        </w:r>
        <w:r>
          <w:tab/>
        </w:r>
        <w:r>
          <w:fldChar w:fldCharType="begin"/>
        </w:r>
        <w:r>
          <w:instrText xml:space="preserve"> PAGEREF _Toc23661 \h </w:instrText>
        </w:r>
        <w:r>
          <w:fldChar w:fldCharType="separate"/>
        </w:r>
        <w:r>
          <w:t>69</w:t>
        </w:r>
        <w:r>
          <w:fldChar w:fldCharType="end"/>
        </w:r>
      </w:hyperlink>
    </w:p>
    <w:p>
      <w:pPr>
        <w:pStyle w:val="TOC1"/>
        <w:tabs>
          <w:tab w:val="right" w:leader="dot" w:pos="8306"/>
        </w:tabs>
      </w:pPr>
      <w:hyperlink w:anchor="_Toc29160" w:history="1">
        <w:r>
          <w:rPr>
            <w:rFonts w:ascii="仿宋" w:eastAsia="仿宋" w:hAnsi="仿宋" w:cs="仿宋" w:hint="eastAsia"/>
            <w:lang w:eastAsia="zh-CN"/>
          </w:rPr>
          <w:t>十五、化学气相沉积硒化锌(CVDZNSE)晶体项目变更管理</w:t>
        </w:r>
        <w:r>
          <w:tab/>
        </w:r>
        <w:r>
          <w:fldChar w:fldCharType="begin"/>
        </w:r>
        <w:r>
          <w:instrText xml:space="preserve"> PAGEREF _Toc29160 \h </w:instrText>
        </w:r>
        <w:r>
          <w:fldChar w:fldCharType="separate"/>
        </w:r>
        <w:r>
          <w:t>71</w:t>
        </w:r>
        <w:r>
          <w:fldChar w:fldCharType="end"/>
        </w:r>
      </w:hyperlink>
    </w:p>
    <w:p>
      <w:pPr>
        <w:pStyle w:val="TOC2"/>
        <w:tabs>
          <w:tab w:val="right" w:leader="dot" w:pos="8306"/>
        </w:tabs>
      </w:pPr>
      <w:hyperlink w:anchor="_Toc28864" w:history="1">
        <w:r>
          <w:rPr>
            <w:rFonts w:ascii="仿宋" w:eastAsia="仿宋" w:hAnsi="仿宋" w:cs="仿宋" w:hint="eastAsia"/>
            <w:lang w:eastAsia="zh-CN"/>
          </w:rPr>
          <w:t>(一)、变更申请与评估</w:t>
        </w:r>
        <w:r>
          <w:tab/>
        </w:r>
        <w:r>
          <w:fldChar w:fldCharType="begin"/>
        </w:r>
        <w:r>
          <w:instrText xml:space="preserve"> PAGEREF _Toc28864 \h </w:instrText>
        </w:r>
        <w:r>
          <w:fldChar w:fldCharType="separate"/>
        </w:r>
        <w:r>
          <w:t>71</w:t>
        </w:r>
        <w:r>
          <w:fldChar w:fldCharType="end"/>
        </w:r>
      </w:hyperlink>
    </w:p>
    <w:p>
      <w:pPr>
        <w:pStyle w:val="TOC2"/>
        <w:tabs>
          <w:tab w:val="right" w:leader="dot" w:pos="8306"/>
        </w:tabs>
      </w:pPr>
      <w:hyperlink w:anchor="_Toc11409" w:history="1">
        <w:r>
          <w:rPr>
            <w:rFonts w:ascii="仿宋" w:eastAsia="仿宋" w:hAnsi="仿宋" w:cs="仿宋" w:hint="eastAsia"/>
            <w:lang w:eastAsia="zh-CN"/>
          </w:rPr>
          <w:t>(二)、变更实施与控制</w:t>
        </w:r>
        <w:r>
          <w:tab/>
        </w:r>
        <w:r>
          <w:fldChar w:fldCharType="begin"/>
        </w:r>
        <w:r>
          <w:instrText xml:space="preserve"> PAGEREF _Toc11409 \h </w:instrText>
        </w:r>
        <w:r>
          <w:fldChar w:fldCharType="separate"/>
        </w:r>
        <w:r>
          <w:t>71</w:t>
        </w:r>
        <w:r>
          <w:fldChar w:fldCharType="end"/>
        </w:r>
      </w:hyperlink>
    </w:p>
    <w:p>
      <w:pPr>
        <w:pStyle w:val="TOC1"/>
        <w:tabs>
          <w:tab w:val="right" w:leader="dot" w:pos="8306"/>
        </w:tabs>
      </w:pPr>
      <w:hyperlink w:anchor="_Toc11650" w:history="1">
        <w:r>
          <w:rPr>
            <w:rFonts w:ascii="仿宋" w:eastAsia="仿宋" w:hAnsi="仿宋" w:cs="仿宋" w:hint="eastAsia"/>
            <w:lang w:eastAsia="zh-CN"/>
          </w:rPr>
          <w:t>十六、化学气相沉积硒化锌(CVDZNSE)晶体项目治理与监督</w:t>
        </w:r>
        <w:r>
          <w:tab/>
        </w:r>
        <w:r>
          <w:fldChar w:fldCharType="begin"/>
        </w:r>
        <w:r>
          <w:instrText xml:space="preserve"> PAGEREF _Toc11650 \h </w:instrText>
        </w:r>
        <w:r>
          <w:fldChar w:fldCharType="separate"/>
        </w:r>
        <w:r>
          <w:t>72</w:t>
        </w:r>
        <w:r>
          <w:fldChar w:fldCharType="end"/>
        </w:r>
      </w:hyperlink>
    </w:p>
    <w:p>
      <w:pPr>
        <w:pStyle w:val="TOC2"/>
        <w:tabs>
          <w:tab w:val="right" w:leader="dot" w:pos="8306"/>
        </w:tabs>
      </w:pPr>
      <w:hyperlink w:anchor="_Toc13612" w:history="1">
        <w:r>
          <w:rPr>
            <w:rFonts w:ascii="仿宋" w:eastAsia="仿宋" w:hAnsi="仿宋" w:cs="仿宋" w:hint="eastAsia"/>
            <w:lang w:eastAsia="zh-CN"/>
          </w:rPr>
          <w:t>(一)、化学气相沉积硒化锌(CVDZNSE)晶体项目治理结构</w:t>
        </w:r>
        <w:r>
          <w:tab/>
        </w:r>
        <w:r>
          <w:fldChar w:fldCharType="begin"/>
        </w:r>
        <w:r>
          <w:instrText xml:space="preserve"> PAGEREF _Toc13612 \h </w:instrText>
        </w:r>
        <w:r>
          <w:fldChar w:fldCharType="separate"/>
        </w:r>
        <w:r>
          <w:t>72</w:t>
        </w:r>
        <w:r>
          <w:fldChar w:fldCharType="end"/>
        </w:r>
      </w:hyperlink>
    </w:p>
    <w:p>
      <w:pPr>
        <w:pStyle w:val="TOC2"/>
        <w:tabs>
          <w:tab w:val="right" w:leader="dot" w:pos="8306"/>
        </w:tabs>
      </w:pPr>
      <w:hyperlink w:anchor="_Toc18342" w:history="1">
        <w:r>
          <w:rPr>
            <w:rFonts w:ascii="仿宋" w:eastAsia="仿宋" w:hAnsi="仿宋" w:cs="仿宋" w:hint="eastAsia"/>
            <w:lang w:eastAsia="zh-CN"/>
          </w:rPr>
          <w:t>(二)、监督与审计</w:t>
        </w:r>
        <w:r>
          <w:tab/>
        </w:r>
        <w:r>
          <w:fldChar w:fldCharType="begin"/>
        </w:r>
        <w:r>
          <w:instrText xml:space="preserve"> PAGEREF _Toc18342 \h </w:instrText>
        </w:r>
        <w:r>
          <w:fldChar w:fldCharType="separate"/>
        </w:r>
        <w:r>
          <w:t>74</w:t>
        </w:r>
        <w:r>
          <w:fldChar w:fldCharType="end"/>
        </w:r>
      </w:hyperlink>
    </w:p>
    <w:p>
      <w:pPr>
        <w:pStyle w:val="TOC1"/>
        <w:tabs>
          <w:tab w:val="right" w:leader="dot" w:pos="8306"/>
        </w:tabs>
      </w:pPr>
      <w:hyperlink w:anchor="_Toc30979" w:history="1">
        <w:r>
          <w:rPr>
            <w:rFonts w:ascii="仿宋" w:eastAsia="仿宋" w:hAnsi="仿宋" w:cs="仿宋" w:hint="eastAsia"/>
            <w:lang w:eastAsia="zh-CN"/>
          </w:rPr>
          <w:t>十七、营销与推广策略</w:t>
        </w:r>
        <w:r>
          <w:tab/>
        </w:r>
        <w:r>
          <w:fldChar w:fldCharType="begin"/>
        </w:r>
        <w:r>
          <w:instrText xml:space="preserve"> PAGEREF _Toc30979 \h </w:instrText>
        </w:r>
        <w:r>
          <w:fldChar w:fldCharType="separate"/>
        </w:r>
        <w:r>
          <w:t>75</w:t>
        </w:r>
        <w:r>
          <w:fldChar w:fldCharType="end"/>
        </w:r>
      </w:hyperlink>
    </w:p>
    <w:p>
      <w:pPr>
        <w:pStyle w:val="TOC2"/>
        <w:tabs>
          <w:tab w:val="right" w:leader="dot" w:pos="8306"/>
        </w:tabs>
      </w:pPr>
      <w:hyperlink w:anchor="_Toc15104" w:history="1">
        <w:r>
          <w:rPr>
            <w:rFonts w:ascii="仿宋" w:eastAsia="仿宋" w:hAnsi="仿宋" w:cs="仿宋" w:hint="eastAsia"/>
            <w:lang w:eastAsia="zh-CN"/>
          </w:rPr>
          <w:t>(一)、产品/服务定位与特点</w:t>
        </w:r>
        <w:r>
          <w:tab/>
        </w:r>
        <w:r>
          <w:fldChar w:fldCharType="begin"/>
        </w:r>
        <w:r>
          <w:instrText xml:space="preserve"> PAGEREF _Toc15104 \h </w:instrText>
        </w:r>
        <w:r>
          <w:fldChar w:fldCharType="separate"/>
        </w:r>
        <w:r>
          <w:t>75</w:t>
        </w:r>
        <w:r>
          <w:fldChar w:fldCharType="end"/>
        </w:r>
      </w:hyperlink>
    </w:p>
    <w:p>
      <w:pPr>
        <w:pStyle w:val="TOC2"/>
        <w:tabs>
          <w:tab w:val="right" w:leader="dot" w:pos="8306"/>
        </w:tabs>
      </w:pPr>
      <w:hyperlink w:anchor="_Toc380" w:history="1">
        <w:r>
          <w:rPr>
            <w:rFonts w:ascii="仿宋" w:eastAsia="仿宋" w:hAnsi="仿宋" w:cs="仿宋" w:hint="eastAsia"/>
            <w:lang w:eastAsia="zh-CN"/>
          </w:rPr>
          <w:t>(二)、市场定位与竞争分析</w:t>
        </w:r>
        <w:r>
          <w:tab/>
        </w:r>
        <w:r>
          <w:fldChar w:fldCharType="begin"/>
        </w:r>
        <w:r>
          <w:instrText xml:space="preserve"> PAGEREF _Toc380 \h </w:instrText>
        </w:r>
        <w:r>
          <w:fldChar w:fldCharType="separate"/>
        </w:r>
        <w:r>
          <w:t>77</w:t>
        </w:r>
        <w:r>
          <w:fldChar w:fldCharType="end"/>
        </w:r>
      </w:hyperlink>
    </w:p>
    <w:p>
      <w:pPr>
        <w:pStyle w:val="TOC2"/>
        <w:tabs>
          <w:tab w:val="right" w:leader="dot" w:pos="8306"/>
        </w:tabs>
      </w:pPr>
      <w:hyperlink w:anchor="_Toc7326" w:history="1">
        <w:r>
          <w:rPr>
            <w:rFonts w:ascii="仿宋" w:eastAsia="仿宋" w:hAnsi="仿宋" w:cs="仿宋" w:hint="eastAsia"/>
            <w:lang w:eastAsia="zh-CN"/>
          </w:rPr>
          <w:t>(三)、营销渠道与策略</w:t>
        </w:r>
        <w:r>
          <w:tab/>
        </w:r>
        <w:r>
          <w:fldChar w:fldCharType="begin"/>
        </w:r>
        <w:r>
          <w:instrText xml:space="preserve"> PAGEREF _Toc7326 \h </w:instrText>
        </w:r>
        <w:r>
          <w:fldChar w:fldCharType="separate"/>
        </w:r>
        <w:r>
          <w:t>78</w:t>
        </w:r>
        <w:r>
          <w:fldChar w:fldCharType="end"/>
        </w:r>
      </w:hyperlink>
    </w:p>
    <w:p>
      <w:pPr>
        <w:pStyle w:val="TOC2"/>
        <w:tabs>
          <w:tab w:val="right" w:leader="dot" w:pos="8306"/>
        </w:tabs>
      </w:pPr>
      <w:hyperlink w:anchor="_Toc942" w:history="1">
        <w:r>
          <w:rPr>
            <w:rFonts w:ascii="仿宋" w:eastAsia="仿宋" w:hAnsi="仿宋" w:cs="仿宋" w:hint="eastAsia"/>
            <w:lang w:eastAsia="zh-CN"/>
          </w:rPr>
          <w:t>(四)、推广与宣传活动</w:t>
        </w:r>
        <w:r>
          <w:tab/>
        </w:r>
        <w:r>
          <w:fldChar w:fldCharType="begin"/>
        </w:r>
        <w:r>
          <w:instrText xml:space="preserve"> PAGEREF _Toc942 \h </w:instrText>
        </w:r>
        <w:r>
          <w:fldChar w:fldCharType="separate"/>
        </w:r>
        <w:r>
          <w:t>79</w:t>
        </w:r>
        <w:r>
          <w:fldChar w:fldCharType="end"/>
        </w:r>
      </w:hyperlink>
    </w:p>
    <w:p>
      <w:pPr>
        <w:pStyle w:val="TOC1"/>
        <w:tabs>
          <w:tab w:val="right" w:leader="dot" w:pos="8306"/>
        </w:tabs>
      </w:pPr>
      <w:hyperlink w:anchor="_Toc22667" w:history="1">
        <w:r>
          <w:rPr>
            <w:rFonts w:ascii="仿宋" w:eastAsia="仿宋" w:hAnsi="仿宋" w:cs="仿宋" w:hint="eastAsia"/>
            <w:lang w:eastAsia="zh-CN"/>
          </w:rPr>
          <w:t>十八、化学气相沉积硒化锌(CVDZNSE)晶体项目实施时间节点</w:t>
        </w:r>
        <w:r>
          <w:tab/>
        </w:r>
        <w:r>
          <w:fldChar w:fldCharType="begin"/>
        </w:r>
        <w:r>
          <w:instrText xml:space="preserve"> PAGEREF _Toc22667 \h </w:instrText>
        </w:r>
        <w:r>
          <w:fldChar w:fldCharType="separate"/>
        </w:r>
        <w:r>
          <w:t>85</w:t>
        </w:r>
        <w:r>
          <w:fldChar w:fldCharType="end"/>
        </w:r>
      </w:hyperlink>
    </w:p>
    <w:p>
      <w:pPr>
        <w:pStyle w:val="TOC2"/>
        <w:tabs>
          <w:tab w:val="right" w:leader="dot" w:pos="8306"/>
        </w:tabs>
      </w:pPr>
      <w:hyperlink w:anchor="_Toc24953" w:history="1">
        <w:r>
          <w:rPr>
            <w:rFonts w:ascii="仿宋" w:eastAsia="仿宋" w:hAnsi="仿宋" w:cs="仿宋" w:hint="eastAsia"/>
            <w:lang w:eastAsia="zh-CN"/>
          </w:rPr>
          <w:t>(一)、化学气相沉积硒化锌(CVDZNSE)晶体项目启动阶段时间节点</w:t>
        </w:r>
        <w:r>
          <w:tab/>
        </w:r>
        <w:r>
          <w:fldChar w:fldCharType="begin"/>
        </w:r>
        <w:r>
          <w:instrText xml:space="preserve"> PAGEREF _Toc24953 \h </w:instrText>
        </w:r>
        <w:r>
          <w:fldChar w:fldCharType="separate"/>
        </w:r>
        <w:r>
          <w:t>85</w:t>
        </w:r>
        <w:r>
          <w:fldChar w:fldCharType="end"/>
        </w:r>
      </w:hyperlink>
    </w:p>
    <w:p>
      <w:pPr>
        <w:pStyle w:val="TOC2"/>
        <w:tabs>
          <w:tab w:val="right" w:leader="dot" w:pos="8306"/>
        </w:tabs>
      </w:pPr>
      <w:hyperlink w:anchor="_Toc32524" w:history="1">
        <w:r>
          <w:rPr>
            <w:rFonts w:ascii="仿宋" w:eastAsia="仿宋" w:hAnsi="仿宋" w:cs="仿宋" w:hint="eastAsia"/>
            <w:lang w:eastAsia="zh-CN"/>
          </w:rPr>
          <w:t>(二)、化学气相沉积硒化锌(CVDZNSE)晶体项目执行阶段时间节点</w:t>
        </w:r>
        <w:r>
          <w:tab/>
        </w:r>
        <w:r>
          <w:fldChar w:fldCharType="begin"/>
        </w:r>
        <w:r>
          <w:instrText xml:space="preserve"> PAGEREF _Toc32524 \h </w:instrText>
        </w:r>
        <w:r>
          <w:fldChar w:fldCharType="separate"/>
        </w:r>
        <w:r>
          <w:t>86</w:t>
        </w:r>
        <w:r>
          <w:fldChar w:fldCharType="end"/>
        </w:r>
      </w:hyperlink>
    </w:p>
    <w:p>
      <w:pPr>
        <w:pStyle w:val="TOC2"/>
        <w:tabs>
          <w:tab w:val="right" w:leader="dot" w:pos="8306"/>
        </w:tabs>
      </w:pPr>
      <w:hyperlink w:anchor="_Toc20594" w:history="1">
        <w:r>
          <w:rPr>
            <w:rFonts w:ascii="仿宋" w:eastAsia="仿宋" w:hAnsi="仿宋" w:cs="仿宋" w:hint="eastAsia"/>
            <w:lang w:eastAsia="zh-CN"/>
          </w:rPr>
          <w:t>(三)、化学气相沉积硒化锌(CVDZNSE)晶体项目完成阶段时间节点</w:t>
        </w:r>
        <w:r>
          <w:tab/>
        </w:r>
        <w:r>
          <w:fldChar w:fldCharType="begin"/>
        </w:r>
        <w:r>
          <w:instrText xml:space="preserve"> PAGEREF _Toc20594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9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365"/>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1289"/>
      <w:r>
        <w:rPr>
          <w:rFonts w:ascii="仿宋" w:eastAsia="仿宋" w:hAnsi="仿宋" w:cs="仿宋" w:hint="eastAsia"/>
          <w:lang w:eastAsia="zh-CN"/>
        </w:rPr>
        <w:t>(一)、化学气相沉积硒化锌(CVDZNSE)晶体行业分析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化学气相沉积硒化锌(CVDZNSE)晶体行业一直以来都是市场的关注焦点。行业内的发展趋势、竞争态势以及潜在机会都对化学气相沉积硒化锌(CVDZNSE)晶体项目的推进产生深远的影响。通过深入研究行业的整体概貌，我们将更好地理解行业的核心特征，为化学气相沉积硒化锌(CVDZNSE)晶体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化学气相沉积硒化锌(CVDZNSE)晶体行业，技术一直是推动创新和发展的关键因素。我们将对当前技术趋势进行详尽分析，包括但不限于人工智能、大数据应用、先进制造技术等。这有助于化学气相沉积硒化锌(CVDZNSE)晶体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化学气相沉积硒化锌(CVDZNSE)晶体项目成功的基础。我们将对主要竞争对手进行深入研究，包括其市场份额、产品特点、市场定位等。通过全面了解竞争对手的优势和劣势，化学气相沉积硒化锌(CVDZNSE)晶体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7936"/>
      <w:r>
        <w:rPr>
          <w:rFonts w:ascii="仿宋" w:eastAsia="仿宋" w:hAnsi="仿宋" w:cs="仿宋" w:hint="eastAsia"/>
          <w:sz w:val="28"/>
          <w:lang w:eastAsia="zh-CN"/>
        </w:rPr>
        <w:t>(二)、化学气相沉积硒化锌(CVDZNSE)晶体市场分析预测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化学气相沉积硒化锌(CVDZNSE)晶体市场未来的增长趋势。这包括市场的整体规模、各细分领域的发展趋势等。化学气相沉积硒化锌(CVDZNSE)晶体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化学气相沉积硒化锌(CVDZNSE)晶体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化学气相沉积硒化锌(CVDZNSE)晶体项目实施过程中需要充分考虑的因素。我们将对市场风险进行全面评估，包括但不限于政策法规风险、市场竞争风险、技术变革风险等。通过对潜在风险的深入分析，化学气相沉积硒化锌(CVDZNSE)晶体项目可以制定相应的风险缓解策略，降低不确定性对化学气相沉积硒化锌(CVDZNSE)晶体项目的影响。</w:t>
      </w:r>
    </w:p>
    <w:p>
      <w:pPr>
        <w:pStyle w:val="Heading1"/>
        <w:ind w:firstLine="560" w:firstLineChars="200"/>
        <w:rPr>
          <w:rFonts w:ascii="仿宋" w:eastAsia="仿宋" w:hAnsi="仿宋" w:cs="仿宋" w:hint="eastAsia"/>
          <w:sz w:val="28"/>
          <w:lang w:eastAsia="zh-CN"/>
        </w:rPr>
      </w:pPr>
      <w:bookmarkStart w:id="5" w:name="_Toc30054"/>
      <w:r>
        <w:rPr>
          <w:rFonts w:ascii="仿宋" w:eastAsia="仿宋" w:hAnsi="仿宋" w:cs="仿宋" w:hint="eastAsia"/>
          <w:sz w:val="28"/>
          <w:lang w:eastAsia="zh-CN"/>
        </w:rPr>
        <w:t>二、化学气相沉积硒化锌(CVDZNSE)晶体项目建设背景及必要性分析</w:t>
      </w:r>
      <w:bookmarkEnd w:id="5"/>
    </w:p>
    <w:p>
      <w:pPr>
        <w:pStyle w:val="Heading2"/>
        <w:rPr>
          <w:rFonts w:ascii="仿宋" w:eastAsia="仿宋" w:hAnsi="仿宋" w:cs="仿宋" w:hint="eastAsia"/>
          <w:lang w:eastAsia="zh-CN"/>
        </w:rPr>
      </w:pPr>
      <w:bookmarkStart w:id="6" w:name="_Toc23057"/>
      <w:r>
        <w:rPr>
          <w:rFonts w:ascii="仿宋" w:eastAsia="仿宋" w:hAnsi="仿宋" w:cs="仿宋" w:hint="eastAsia"/>
          <w:lang w:eastAsia="zh-CN"/>
        </w:rPr>
        <w:t>(一)、化学气相沉积硒化锌(CVDZNSE)晶体项目背景分析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化学气相沉积硒化锌(CVDZNSE)晶体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化学气相沉积硒化锌(CVDZNSE)晶体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化学气相沉积硒化锌(CVDZNSE)晶体项目在这个潮流中的定位。同时，我们将关注行业内涌现的新兴机遇，以便化学气相沉积硒化锌(CVDZNSE)晶体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化学气相沉积硒化锌(CVDZNSE)晶体项目提供了强大的发展动力。我们将聚焦于行业内最新的技术发展趋势，包括但不限于人工智能、大数据分析、物联网等领域。通过深度的技术研究，我们将确保化学气相沉积硒化锌(CVDZNSE)晶体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化学气相沉积硒化锌(CVDZNSE)晶体项目发展的源泉。我们将投入更多的精力对市场需求进行深入剖析，超越表面的需求，深入挖掘潜在的市场痛点和机遇。通过对市场需求的细致了解，化学气相沉积硒化锌(CVDZNSE)晶体项目将更有针对性地设计解决方案，满足市场的多样化需求，从而更好地促进化学气相沉积硒化锌(CVDZNSE)晶体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化学气相沉积硒化锌(CVDZNSE)晶体项目战略至关重要。我们将对竞争态势进行更为深入的分析，包括但不限于市场份额、产品特点、客户满意度等多个维度。通过深度的竞争分析，化学气相沉积硒化锌(CVDZNSE)晶体项目将能够更准确地把握市场脉搏，制定具有竞争力的化学气相沉积硒化锌(CVDZNSE)晶体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化学气相沉积硒化锌(CVDZNSE)晶体项目的发展具有直接的影响。我们将进行更为全面的法规和政策分析，了解行业发展中的潜在法律风险和合规挑战。通过充分了解和遵守相关法规，化学气相沉积硒化锌(CVDZNSE)晶体项目将确保在法律框架内合法合规运营，为化学气相沉积硒化锌(CVDZNSE)晶体项目的稳健发展提供有力支持。</w:t>
      </w:r>
    </w:p>
    <w:p>
      <w:pPr>
        <w:pStyle w:val="Heading2"/>
        <w:ind w:firstLine="560" w:firstLineChars="200"/>
        <w:rPr>
          <w:rFonts w:ascii="仿宋" w:eastAsia="仿宋" w:hAnsi="仿宋" w:cs="仿宋" w:hint="eastAsia"/>
          <w:sz w:val="28"/>
          <w:lang w:eastAsia="zh-CN"/>
        </w:rPr>
      </w:pPr>
      <w:bookmarkStart w:id="7" w:name="_Toc21737"/>
      <w:r>
        <w:rPr>
          <w:rFonts w:ascii="仿宋" w:eastAsia="仿宋" w:hAnsi="仿宋" w:cs="仿宋" w:hint="eastAsia"/>
          <w:sz w:val="28"/>
          <w:lang w:eastAsia="zh-CN"/>
        </w:rPr>
        <w:t>(二)、化学气相沉积硒化锌(CVDZNSE)晶体项目建设必要性分析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化学气相沉积硒化锌(CVDZNSE)晶体项目建设的迫切性源于对行业发展趋势的深刻洞察。我们正处于一个行业变革的时代，科技创新、数字化转型成为企业发展的关键动力。化学气相沉积硒化锌(CVDZNSE)晶体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化学气相沉积硒化锌(CVDZNSE)晶体项目建设不仅仅是为了跟上潮流，更是为了通过技术创新推动企业的持续发展。通过引入先进的技术和解决方案，化学气相沉积硒化锌(CVDZNSE)晶体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化学气相沉积硒化锌(CVDZNSE)晶体项目的建设成为必然选择，通过提高产品质量、拓展服务领域，从而在竞争中获得更多的机会。化学气相沉积硒化锌(CVDZNSE)晶体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化学气相沉积硒化锌(CVDZNSE)晶体项目建设的必要性体现在对客户需求更精准的满足。通过化学气相沉积硒化锌(CVDZNSE)晶体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化学气相沉积硒化锌(CVDZNSE)晶体项目建设的背后是对企业持续创新的追求。只有通过不断创新，企业才能在竞争中立于不败之地。化学气相沉积硒化锌(CVDZNSE)晶体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185"/>
      <w:r>
        <w:rPr>
          <w:rFonts w:ascii="仿宋" w:eastAsia="仿宋" w:hAnsi="仿宋" w:cs="仿宋" w:hint="eastAsia"/>
          <w:sz w:val="28"/>
          <w:lang w:eastAsia="zh-CN"/>
        </w:rPr>
        <w:t>三、化学气相沉积硒化锌(CVDZNSE)晶体项目建设单位说明</w:t>
      </w:r>
      <w:bookmarkEnd w:id="8"/>
    </w:p>
    <w:p>
      <w:pPr>
        <w:pStyle w:val="Heading2"/>
        <w:rPr>
          <w:rFonts w:ascii="仿宋" w:eastAsia="仿宋" w:hAnsi="仿宋" w:cs="仿宋" w:hint="eastAsia"/>
          <w:lang w:eastAsia="zh-CN"/>
        </w:rPr>
      </w:pPr>
      <w:bookmarkStart w:id="9" w:name="_Toc25888"/>
      <w:r>
        <w:rPr>
          <w:rFonts w:ascii="仿宋" w:eastAsia="仿宋" w:hAnsi="仿宋" w:cs="仿宋" w:hint="eastAsia"/>
          <w:lang w:eastAsia="zh-CN"/>
        </w:rPr>
        <w:t>(一)、化学气相沉积硒化锌(CVDZNSE)晶体项目承办单位基本情况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32036"/>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化学气相沉积硒化锌(CVDZNSE)晶体项目承办单位的XXXX，我们着眼于实现可持续的经济效益。通过技术创新和解决方案的提供，公司预计在化学气相沉积硒化锌(CVDZNSE)晶体项目执行期间将获得可观的收入增长。这一收入来源主要包括化学气相沉积硒化锌(CVDZNSE)晶体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同时，我们注重成本控制和效率提升，以确保化学气相沉积硒化锌(CVDZNSE)晶体项目的可持续盈利。透过精细的管理和资源优化，公司期望实现化学气相沉积硒化锌(CVDZNSE)晶体项目利润最大化。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化学气相沉积硒化锌(CVDZNSE)晶体项目实施进行全面的投资评估，包括化学气相沉积硒化锌(CVDZNSE)晶体项目启动阶段的资金投入和后续运营成本。通过对化学气相沉积硒化锌(CVDZNSE)晶体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化学气相沉积硒化锌(CVDZNSE)晶体项目实施过程中具备足够的资金流动性，公司将进行详尽的现金流分析。这包括资金需求的合理预测、化学气相沉积硒化锌(CVDZNSE)晶体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2074"/>
      <w:r>
        <w:rPr>
          <w:rFonts w:ascii="仿宋" w:eastAsia="仿宋" w:hAnsi="仿宋" w:cs="仿宋" w:hint="eastAsia"/>
          <w:sz w:val="28"/>
          <w:lang w:eastAsia="zh-CN"/>
        </w:rPr>
        <w:t>四、化学气相沉积硒化锌(CVDZNSE)晶体项目文档管理</w:t>
      </w:r>
      <w:bookmarkEnd w:id="11"/>
    </w:p>
    <w:p>
      <w:pPr>
        <w:pStyle w:val="Heading2"/>
        <w:rPr>
          <w:rFonts w:ascii="仿宋" w:eastAsia="仿宋" w:hAnsi="仿宋" w:cs="仿宋" w:hint="eastAsia"/>
          <w:lang w:eastAsia="zh-CN"/>
        </w:rPr>
      </w:pPr>
      <w:bookmarkStart w:id="12" w:name="_Toc24725"/>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化学气相沉积硒化锌(CVDZNSE)晶体项目高度重视文档的质量和准确性，以支持化学气相沉积硒化锌(CVDZNSE)晶体项目的各项活动和决策。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化学气相沉积硒化锌(CVDZNSE)晶体项目文档的编制始于化学气相沉积硒化锌(CVDZNSE)晶体项目计划的初期，我们制定了详细的文档编制计划，明确了每个文档的内容、格式和编写责任人。在化学气相沉积硒化锌(CVDZNSE)晶体项目启动阶段，我们首先编制了化学气相沉积硒化锌(CVDZNSE)晶体项目章程，明确定义了化学气相沉积硒化锌(CVDZNSE)晶体项目的目标、范围、风险等关键要素。随后，化学气相沉积硒化锌(CVDZNSE)晶体项目团队根据计划陆续编制了需求文档、设计文档、测试文档等各类文档，确保化学气相沉积硒化锌(CVDZNSE)晶体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化学气相沉积硒化锌(CVDZNSE)晶体项目管理中的重要环节，旨在确保化学气相沉积硒化锌(CVDZNSE)晶体项目文档符合质量标准和化学气相沉积硒化锌(CVDZNSE)晶体项目需求。在化学气相沉积硒化锌(CVDZNSE)晶体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化学气相沉积硒化锌(CVDZNSE)晶体项目相关利益方和专业领域的专家对文档进行独立审查。这有助于获取更全面、客观的反馈，确保化学气相沉积硒化锌(CVDZNSE)晶体项目文档不仅符合内部标准，也满足外部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化学气相沉积硒化锌(CVDZNSE)晶体项目在文档编制与审查方面建立了严格的管理机制，通过规范的流程和多维度的审查，确保化学气相沉积硒化锌(CVDZNSE)晶体项目文档的质量、准确性和可靠性，为化学气相沉积硒化锌(CVDZNSE)晶体项目的顺利推进提供了有力支持。</w:t>
      </w:r>
    </w:p>
    <w:p>
      <w:pPr>
        <w:pStyle w:val="Heading2"/>
        <w:ind w:firstLine="560" w:firstLineChars="200"/>
        <w:rPr>
          <w:rFonts w:ascii="仿宋" w:eastAsia="仿宋" w:hAnsi="仿宋" w:cs="仿宋" w:hint="eastAsia"/>
          <w:sz w:val="28"/>
          <w:lang w:eastAsia="zh-CN"/>
        </w:rPr>
      </w:pPr>
      <w:bookmarkStart w:id="13" w:name="_Toc5331"/>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在化学气相沉积硒化锌(CVDZNSE)晶体项目中，我们致力于优化文档发布与分发过程，以确保信息的高效传递和团队间协作的顺畅进行。以下是我们采取的关键优化策略：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我们通过多渠道发布文档，包括电子邮件、化学气相沉积硒化锌(CVDZNSE)晶体项目管理平台、内部网站等，以满足不同团队成员的偏好和需求。多渠道发布确保了信息的全面覆盖。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我们采用了精细的权限控制，确保只有授权人员可以访问敏感信息。这种安全措施保护了化学气相沉积硒化锌(CVDZNSE)晶体项目文档的机密性，防止了未经授权的信息泄露。</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460"/>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化学气相沉积硒化锌(CVDZNSE)晶体项目生命周期中一个至关重要的环节，直接关系到化学气相沉积硒化锌(CVDZNSE)晶体项目信息的长期保存和历史记录的完整性。在化学气相沉积硒化锌(CVDZNSE)晶体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13367"/>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11681"/>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化学气相沉积硒化锌(CVDZNSE)晶体项目的技术管理特点体现在其创新导向。通过引入最先进的技术趋势和解决方案，化学气相沉积硒化锌(CVDZNSE)晶体项目致力于提升科技含量、提高质量和效率水平。这意味着我们将采用最新的工具和方法，确保化学气相沉积硒化锌(CVDZNSE)晶体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化学气相沉积硒化锌(CVDZNSE)晶体项目技术管理的显著特征。通过整合不同领域的技术资源，我们实现了跨学科的协同工作。这有助于优化技术架构，提高整体效能。此外，整合性策略还促进了不同技术团队之间的紧密沟通和高效合作，确保化学气相沉积硒化锌(CVDZNSE)晶体项目各方面的技术都能得到协同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化学气相沉积硒化锌(CVDZNSE)晶体项目所采用的技术。通过不断优化技术方案，化学气相沉积硒化锌(CVDZNSE)晶体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化学气相沉积硒化锌(CVDZNSE)晶体项目团队将在化学气相沉积硒化锌(CVDZNSE)晶体项目初期识别可能的技术风险，并采取相应的预防和应对措施。通过建立健全的风险评估机制，化学气相沉积硒化锌(CVDZNSE)晶体项目能够在实施过程中及时发现并解决潜在的技术问题，保障化学气相沉积硒化锌(CVDZNSE)晶体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化学气相沉积硒化锌(CVDZNSE)晶体项目中，技术将成为化学气相沉积硒化锌(CVDZNSE)晶体项目成功的有力支持。这一深度剖析揭示了技术管理在化学气相沉积硒化锌(CVDZNSE)晶体项目实施中的关键作用，为化学气相沉积硒化锌(CVDZNSE)晶体项目的技术基础奠定了坚实的基础。</w:t>
      </w:r>
    </w:p>
    <w:p>
      <w:pPr>
        <w:pStyle w:val="Heading2"/>
        <w:ind w:firstLine="560" w:firstLineChars="200"/>
        <w:rPr>
          <w:rFonts w:ascii="仿宋" w:eastAsia="仿宋" w:hAnsi="仿宋" w:cs="仿宋" w:hint="eastAsia"/>
          <w:sz w:val="28"/>
          <w:lang w:eastAsia="zh-CN"/>
        </w:rPr>
      </w:pPr>
      <w:bookmarkStart w:id="17" w:name="_Toc22868"/>
      <w:r>
        <w:rPr>
          <w:rFonts w:ascii="仿宋" w:eastAsia="仿宋" w:hAnsi="仿宋" w:cs="仿宋" w:hint="eastAsia"/>
          <w:sz w:val="28"/>
          <w:lang w:eastAsia="zh-CN"/>
        </w:rPr>
        <w:t>(二)、化学气相沉积硒化锌(CVDZNSE)晶体项目工艺技术设计方案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化学气相沉积硒化锌(CVDZNSE)晶体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化学气相沉积硒化锌(CVDZNSE)晶体项目将严格按照相关行业规范要求进行组织。通过有效控制产品质量，化学气相沉积硒化锌(CVDZNSE)晶体项目将致力于为顾客提供优质的化学气相沉积硒化锌(CVDZNSE)晶体项目产品和良好的服务。这体现了化学气相沉积硒化锌(CVDZNSE)晶体项目对于生产活动合规性和质量标准的高度重视，为化学气相沉积硒化锌(CVDZNSE)晶体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化学气相沉积硒化锌(CVDZNSE)晶体项目注重生态效益和清洁生产原则。化学气相沉积硒化锌(CVDZNSE)晶体项目建设将紧密结合地方特色经济发展，与社会经济发展规划和区域环境保护规划方案相协调一致。通过与当地区域自然生态系统的结合，化学气相沉积硒化锌(CVDZNSE)晶体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化学气相沉积硒化锌(CVDZNSE)晶体项目产品具有多样化的客户需求和个性化的特点。因此，化学气相沉积硒化锌(CVDZNSE)晶体项目产品规格品种多样，且单批生产数量较小。为满足这一特点，化学气相沉积硒化锌(CVDZNSE)晶体项目承办单位将建设先进的柔性制造生产线。通过广泛应用柔性制造技术，化学气相沉积硒化锌(CVDZNSE)晶体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https://d.book118.com/586200004021010033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化学气相沉积硒化锌(CVDZNSE)晶体项目规划设计蓝图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化学气相沉积硒化锌(CVDZNSE)晶体项目规划设计蓝图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化学气相沉积硒化锌(CVDZNSE)晶体项目规划设计蓝图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化学气相沉积硒化锌(CVDZNSE)晶体项目规划设计蓝图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化学气相沉积硒化锌(CVDZNSE)晶体项目规划设计蓝图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化学气相沉积硒化锌(CVDZNSE)晶体项目规划设计蓝图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化学气相沉积硒化锌(CVDZNSE)晶体项目规划设计蓝图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化学气相沉积硒化锌(CVDZNSE)晶体项目规划设计蓝图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化学气相沉积硒化锌(CVDZNSE)晶体项目规划设计蓝图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化学气相沉积硒化锌(CVDZNSE)晶体项目规划设计蓝图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化学气相沉积硒化锌(CVDZNSE)晶体项目规划设计蓝图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化学气相沉积硒化锌(CVDZNSE)晶体项目规划设计蓝图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化学气相沉积硒化锌(CVDZNSE)晶体项目规划设计蓝图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化学气相沉积硒化锌(CVDZNSE)晶体项目规划设计蓝图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化学气相沉积硒化锌(CVDZNSE)晶体项目规划设计蓝图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化学气相沉积硒化锌(CVDZNSE)晶体项目规划设计蓝图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化学气相沉积硒化锌(CVDZNSE)晶体项目规划设计蓝图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3545C9"/>
    <w:rsid w:val="483545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620000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2024-01-07T19:14:00Z</dcterms:created>
  <dcterms:modified xsi:type="dcterms:W3CDTF">2024-01-07T19:14:43Z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8211B33CA2B54D30A7FF8E342B885909_11</vt:lpwstr>
  </property>
  <property fmtid="{D5CDD505-2E9C-101B-9397-08002B2CF9AE}" pid="3" name="KSOProductBuildVer">
    <vt:lpwstr>2052-12.1.0.16120</vt:lpwstr>
  </property>
</Properties>
</file>