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高纯砷及氧化砷项目计划设计方案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69" w:history="1">
        <w:r>
          <w:rPr>
            <w:rFonts w:ascii="仿宋" w:eastAsia="仿宋" w:hAnsi="仿宋" w:cs="仿宋" w:hint="eastAsia"/>
            <w:lang w:eastAsia="zh-CN"/>
          </w:rPr>
          <w:t>序言</w:t>
        </w:r>
        <w:r>
          <w:tab/>
        </w:r>
        <w:r>
          <w:fldChar w:fldCharType="begin"/>
        </w:r>
        <w:r>
          <w:instrText xml:space="preserve"> PAGEREF _Toc12469 \h </w:instrText>
        </w:r>
        <w:r>
          <w:fldChar w:fldCharType="separate"/>
        </w:r>
        <w:r>
          <w:t>3</w:t>
        </w:r>
        <w:r>
          <w:fldChar w:fldCharType="end"/>
        </w:r>
      </w:hyperlink>
    </w:p>
    <w:p>
      <w:pPr>
        <w:pStyle w:val="TOC1"/>
        <w:tabs>
          <w:tab w:val="right" w:leader="dot" w:pos="8306"/>
        </w:tabs>
      </w:pPr>
      <w:hyperlink w:anchor="_Toc26507" w:history="1">
        <w:r>
          <w:rPr>
            <w:rFonts w:ascii="仿宋" w:eastAsia="仿宋" w:hAnsi="仿宋" w:cs="仿宋" w:hint="eastAsia"/>
            <w:lang w:eastAsia="zh-CN"/>
          </w:rPr>
          <w:t>一、市场分析、调研</w:t>
        </w:r>
        <w:r>
          <w:tab/>
        </w:r>
        <w:r>
          <w:fldChar w:fldCharType="begin"/>
        </w:r>
        <w:r>
          <w:instrText xml:space="preserve"> PAGEREF _Toc26507 \h </w:instrText>
        </w:r>
        <w:r>
          <w:fldChar w:fldCharType="separate"/>
        </w:r>
        <w:r>
          <w:t>3</w:t>
        </w:r>
        <w:r>
          <w:fldChar w:fldCharType="end"/>
        </w:r>
      </w:hyperlink>
    </w:p>
    <w:p>
      <w:pPr>
        <w:pStyle w:val="TOC2"/>
        <w:tabs>
          <w:tab w:val="right" w:leader="dot" w:pos="8306"/>
        </w:tabs>
      </w:pPr>
      <w:hyperlink w:anchor="_Toc8323" w:history="1">
        <w:r>
          <w:rPr>
            <w:rFonts w:ascii="仿宋" w:eastAsia="仿宋" w:hAnsi="仿宋" w:cs="仿宋" w:hint="eastAsia"/>
            <w:lang w:eastAsia="zh-CN"/>
          </w:rPr>
          <w:t>(一)、高纯砷及氧化砷行业分析</w:t>
        </w:r>
        <w:r>
          <w:tab/>
        </w:r>
        <w:r>
          <w:fldChar w:fldCharType="begin"/>
        </w:r>
        <w:r>
          <w:instrText xml:space="preserve"> PAGEREF _Toc8323 \h </w:instrText>
        </w:r>
        <w:r>
          <w:fldChar w:fldCharType="separate"/>
        </w:r>
        <w:r>
          <w:t>3</w:t>
        </w:r>
        <w:r>
          <w:fldChar w:fldCharType="end"/>
        </w:r>
      </w:hyperlink>
    </w:p>
    <w:p>
      <w:pPr>
        <w:pStyle w:val="TOC2"/>
        <w:tabs>
          <w:tab w:val="right" w:leader="dot" w:pos="8306"/>
        </w:tabs>
      </w:pPr>
      <w:hyperlink w:anchor="_Toc13022" w:history="1">
        <w:r>
          <w:rPr>
            <w:rFonts w:ascii="仿宋" w:eastAsia="仿宋" w:hAnsi="仿宋" w:cs="仿宋" w:hint="eastAsia"/>
            <w:lang w:eastAsia="zh-CN"/>
          </w:rPr>
          <w:t>(二)、高纯砷及氧化砷市场分析预测</w:t>
        </w:r>
        <w:r>
          <w:tab/>
        </w:r>
        <w:r>
          <w:fldChar w:fldCharType="begin"/>
        </w:r>
        <w:r>
          <w:instrText xml:space="preserve"> PAGEREF _Toc13022 \h </w:instrText>
        </w:r>
        <w:r>
          <w:fldChar w:fldCharType="separate"/>
        </w:r>
        <w:r>
          <w:t>4</w:t>
        </w:r>
        <w:r>
          <w:fldChar w:fldCharType="end"/>
        </w:r>
      </w:hyperlink>
    </w:p>
    <w:p>
      <w:pPr>
        <w:pStyle w:val="TOC1"/>
        <w:tabs>
          <w:tab w:val="right" w:leader="dot" w:pos="8306"/>
        </w:tabs>
      </w:pPr>
      <w:hyperlink w:anchor="_Toc757" w:history="1">
        <w:r>
          <w:rPr>
            <w:rFonts w:ascii="仿宋" w:eastAsia="仿宋" w:hAnsi="仿宋" w:cs="仿宋" w:hint="eastAsia"/>
            <w:lang w:eastAsia="zh-CN"/>
          </w:rPr>
          <w:t>二、高纯砷及氧化砷项目可持续发展</w:t>
        </w:r>
        <w:r>
          <w:tab/>
        </w:r>
        <w:r>
          <w:fldChar w:fldCharType="begin"/>
        </w:r>
        <w:r>
          <w:instrText xml:space="preserve"> PAGEREF _Toc757 \h </w:instrText>
        </w:r>
        <w:r>
          <w:fldChar w:fldCharType="separate"/>
        </w:r>
        <w:r>
          <w:t>5</w:t>
        </w:r>
        <w:r>
          <w:fldChar w:fldCharType="end"/>
        </w:r>
      </w:hyperlink>
    </w:p>
    <w:p>
      <w:pPr>
        <w:pStyle w:val="TOC2"/>
        <w:tabs>
          <w:tab w:val="right" w:leader="dot" w:pos="8306"/>
        </w:tabs>
      </w:pPr>
      <w:hyperlink w:anchor="_Toc107" w:history="1">
        <w:r>
          <w:rPr>
            <w:rFonts w:ascii="仿宋" w:eastAsia="仿宋" w:hAnsi="仿宋" w:cs="仿宋" w:hint="eastAsia"/>
            <w:lang w:eastAsia="zh-CN"/>
          </w:rPr>
          <w:t>(一)、可持续战略与实践</w:t>
        </w:r>
        <w:r>
          <w:tab/>
        </w:r>
        <w:r>
          <w:fldChar w:fldCharType="begin"/>
        </w:r>
        <w:r>
          <w:instrText xml:space="preserve"> PAGEREF _Toc107 \h </w:instrText>
        </w:r>
        <w:r>
          <w:fldChar w:fldCharType="separate"/>
        </w:r>
        <w:r>
          <w:t>5</w:t>
        </w:r>
        <w:r>
          <w:fldChar w:fldCharType="end"/>
        </w:r>
      </w:hyperlink>
    </w:p>
    <w:p>
      <w:pPr>
        <w:pStyle w:val="TOC2"/>
        <w:tabs>
          <w:tab w:val="right" w:leader="dot" w:pos="8306"/>
        </w:tabs>
      </w:pPr>
      <w:hyperlink w:anchor="_Toc30025" w:history="1">
        <w:r>
          <w:rPr>
            <w:rFonts w:ascii="仿宋" w:eastAsia="仿宋" w:hAnsi="仿宋" w:cs="仿宋" w:hint="eastAsia"/>
            <w:lang w:eastAsia="zh-CN"/>
          </w:rPr>
          <w:t>(二)、环保与社会责任</w:t>
        </w:r>
        <w:r>
          <w:tab/>
        </w:r>
        <w:r>
          <w:fldChar w:fldCharType="begin"/>
        </w:r>
        <w:r>
          <w:instrText xml:space="preserve"> PAGEREF _Toc30025 \h </w:instrText>
        </w:r>
        <w:r>
          <w:fldChar w:fldCharType="separate"/>
        </w:r>
        <w:r>
          <w:t>5</w:t>
        </w:r>
        <w:r>
          <w:fldChar w:fldCharType="end"/>
        </w:r>
      </w:hyperlink>
    </w:p>
    <w:p>
      <w:pPr>
        <w:pStyle w:val="TOC1"/>
        <w:tabs>
          <w:tab w:val="right" w:leader="dot" w:pos="8306"/>
        </w:tabs>
      </w:pPr>
      <w:hyperlink w:anchor="_Toc27551" w:history="1">
        <w:r>
          <w:rPr>
            <w:rFonts w:ascii="仿宋" w:eastAsia="仿宋" w:hAnsi="仿宋" w:cs="仿宋" w:hint="eastAsia"/>
            <w:lang w:eastAsia="zh-CN"/>
          </w:rPr>
          <w:t>三、产品规划分析</w:t>
        </w:r>
        <w:r>
          <w:tab/>
        </w:r>
        <w:r>
          <w:fldChar w:fldCharType="begin"/>
        </w:r>
        <w:r>
          <w:instrText xml:space="preserve"> PAGEREF _Toc27551 \h </w:instrText>
        </w:r>
        <w:r>
          <w:fldChar w:fldCharType="separate"/>
        </w:r>
        <w:r>
          <w:t>6</w:t>
        </w:r>
        <w:r>
          <w:fldChar w:fldCharType="end"/>
        </w:r>
      </w:hyperlink>
    </w:p>
    <w:p>
      <w:pPr>
        <w:pStyle w:val="TOC2"/>
        <w:tabs>
          <w:tab w:val="right" w:leader="dot" w:pos="8306"/>
        </w:tabs>
      </w:pPr>
      <w:hyperlink w:anchor="_Toc29625" w:history="1">
        <w:r>
          <w:rPr>
            <w:rFonts w:ascii="仿宋" w:eastAsia="仿宋" w:hAnsi="仿宋" w:cs="仿宋" w:hint="eastAsia"/>
            <w:lang w:eastAsia="zh-CN"/>
          </w:rPr>
          <w:t>(一)、产品规划</w:t>
        </w:r>
        <w:r>
          <w:tab/>
        </w:r>
        <w:r>
          <w:fldChar w:fldCharType="begin"/>
        </w:r>
        <w:r>
          <w:instrText xml:space="preserve"> PAGEREF _Toc29625 \h </w:instrText>
        </w:r>
        <w:r>
          <w:fldChar w:fldCharType="separate"/>
        </w:r>
        <w:r>
          <w:t>6</w:t>
        </w:r>
        <w:r>
          <w:fldChar w:fldCharType="end"/>
        </w:r>
      </w:hyperlink>
    </w:p>
    <w:p>
      <w:pPr>
        <w:pStyle w:val="TOC2"/>
        <w:tabs>
          <w:tab w:val="right" w:leader="dot" w:pos="8306"/>
        </w:tabs>
      </w:pPr>
      <w:hyperlink w:anchor="_Toc7242" w:history="1">
        <w:r>
          <w:rPr>
            <w:rFonts w:ascii="仿宋" w:eastAsia="仿宋" w:hAnsi="仿宋" w:cs="仿宋" w:hint="eastAsia"/>
            <w:lang w:eastAsia="zh-CN"/>
          </w:rPr>
          <w:t>(二)、建设规模</w:t>
        </w:r>
        <w:r>
          <w:tab/>
        </w:r>
        <w:r>
          <w:fldChar w:fldCharType="begin"/>
        </w:r>
        <w:r>
          <w:instrText xml:space="preserve"> PAGEREF _Toc7242 \h </w:instrText>
        </w:r>
        <w:r>
          <w:fldChar w:fldCharType="separate"/>
        </w:r>
        <w:r>
          <w:t>7</w:t>
        </w:r>
        <w:r>
          <w:fldChar w:fldCharType="end"/>
        </w:r>
      </w:hyperlink>
    </w:p>
    <w:p>
      <w:pPr>
        <w:pStyle w:val="TOC1"/>
        <w:tabs>
          <w:tab w:val="right" w:leader="dot" w:pos="8306"/>
        </w:tabs>
      </w:pPr>
      <w:hyperlink w:anchor="_Toc6504" w:history="1">
        <w:r>
          <w:rPr>
            <w:rFonts w:ascii="仿宋" w:eastAsia="仿宋" w:hAnsi="仿宋" w:cs="仿宋" w:hint="eastAsia"/>
            <w:lang w:eastAsia="zh-CN"/>
          </w:rPr>
          <w:t>四、高纯砷及氧化砷项目土建工程</w:t>
        </w:r>
        <w:r>
          <w:tab/>
        </w:r>
        <w:r>
          <w:fldChar w:fldCharType="begin"/>
        </w:r>
        <w:r>
          <w:instrText xml:space="preserve"> PAGEREF _Toc6504 \h </w:instrText>
        </w:r>
        <w:r>
          <w:fldChar w:fldCharType="separate"/>
        </w:r>
        <w:r>
          <w:t>8</w:t>
        </w:r>
        <w:r>
          <w:fldChar w:fldCharType="end"/>
        </w:r>
      </w:hyperlink>
    </w:p>
    <w:p>
      <w:pPr>
        <w:pStyle w:val="TOC2"/>
        <w:tabs>
          <w:tab w:val="right" w:leader="dot" w:pos="8306"/>
        </w:tabs>
      </w:pPr>
      <w:hyperlink w:anchor="_Toc20812" w:history="1">
        <w:r>
          <w:rPr>
            <w:rFonts w:ascii="仿宋" w:eastAsia="仿宋" w:hAnsi="仿宋" w:cs="仿宋" w:hint="eastAsia"/>
            <w:lang w:eastAsia="zh-CN"/>
          </w:rPr>
          <w:t>(一)、建筑工程设计原则</w:t>
        </w:r>
        <w:r>
          <w:tab/>
        </w:r>
        <w:r>
          <w:fldChar w:fldCharType="begin"/>
        </w:r>
        <w:r>
          <w:instrText xml:space="preserve"> PAGEREF _Toc20812 \h </w:instrText>
        </w:r>
        <w:r>
          <w:fldChar w:fldCharType="separate"/>
        </w:r>
        <w:r>
          <w:t>8</w:t>
        </w:r>
        <w:r>
          <w:fldChar w:fldCharType="end"/>
        </w:r>
      </w:hyperlink>
    </w:p>
    <w:p>
      <w:pPr>
        <w:pStyle w:val="TOC2"/>
        <w:tabs>
          <w:tab w:val="right" w:leader="dot" w:pos="8306"/>
        </w:tabs>
      </w:pPr>
      <w:hyperlink w:anchor="_Toc8409" w:history="1">
        <w:r>
          <w:rPr>
            <w:rFonts w:ascii="仿宋" w:eastAsia="仿宋" w:hAnsi="仿宋" w:cs="仿宋" w:hint="eastAsia"/>
            <w:lang w:eastAsia="zh-CN"/>
          </w:rPr>
          <w:t>(二)、土建工程设计年限及安全等级</w:t>
        </w:r>
        <w:r>
          <w:tab/>
        </w:r>
        <w:r>
          <w:fldChar w:fldCharType="begin"/>
        </w:r>
        <w:r>
          <w:instrText xml:space="preserve"> PAGEREF _Toc8409 \h </w:instrText>
        </w:r>
        <w:r>
          <w:fldChar w:fldCharType="separate"/>
        </w:r>
        <w:r>
          <w:t>10</w:t>
        </w:r>
        <w:r>
          <w:fldChar w:fldCharType="end"/>
        </w:r>
      </w:hyperlink>
    </w:p>
    <w:p>
      <w:pPr>
        <w:pStyle w:val="TOC2"/>
        <w:tabs>
          <w:tab w:val="right" w:leader="dot" w:pos="8306"/>
        </w:tabs>
      </w:pPr>
      <w:hyperlink w:anchor="_Toc32179" w:history="1">
        <w:r>
          <w:rPr>
            <w:rFonts w:ascii="仿宋" w:eastAsia="仿宋" w:hAnsi="仿宋" w:cs="仿宋" w:hint="eastAsia"/>
            <w:lang w:eastAsia="zh-CN"/>
          </w:rPr>
          <w:t>(三)、建筑工程设计总体要求</w:t>
        </w:r>
        <w:r>
          <w:tab/>
        </w:r>
        <w:r>
          <w:fldChar w:fldCharType="begin"/>
        </w:r>
        <w:r>
          <w:instrText xml:space="preserve"> PAGEREF _Toc32179 \h </w:instrText>
        </w:r>
        <w:r>
          <w:fldChar w:fldCharType="separate"/>
        </w:r>
        <w:r>
          <w:t>11</w:t>
        </w:r>
        <w:r>
          <w:fldChar w:fldCharType="end"/>
        </w:r>
      </w:hyperlink>
    </w:p>
    <w:p>
      <w:pPr>
        <w:pStyle w:val="TOC2"/>
        <w:tabs>
          <w:tab w:val="right" w:leader="dot" w:pos="8306"/>
        </w:tabs>
      </w:pPr>
      <w:hyperlink w:anchor="_Toc12564" w:history="1">
        <w:r>
          <w:rPr>
            <w:rFonts w:ascii="仿宋" w:eastAsia="仿宋" w:hAnsi="仿宋" w:cs="仿宋" w:hint="eastAsia"/>
            <w:lang w:eastAsia="zh-CN"/>
          </w:rPr>
          <w:t>(四)、土建工程建设指标</w:t>
        </w:r>
        <w:r>
          <w:tab/>
        </w:r>
        <w:r>
          <w:fldChar w:fldCharType="begin"/>
        </w:r>
        <w:r>
          <w:instrText xml:space="preserve"> PAGEREF _Toc12564 \h </w:instrText>
        </w:r>
        <w:r>
          <w:fldChar w:fldCharType="separate"/>
        </w:r>
        <w:r>
          <w:t>11</w:t>
        </w:r>
        <w:r>
          <w:fldChar w:fldCharType="end"/>
        </w:r>
      </w:hyperlink>
    </w:p>
    <w:p>
      <w:pPr>
        <w:pStyle w:val="TOC1"/>
        <w:tabs>
          <w:tab w:val="right" w:leader="dot" w:pos="8306"/>
        </w:tabs>
      </w:pPr>
      <w:hyperlink w:anchor="_Toc29652" w:history="1">
        <w:r>
          <w:rPr>
            <w:rFonts w:ascii="仿宋" w:eastAsia="仿宋" w:hAnsi="仿宋" w:cs="仿宋" w:hint="eastAsia"/>
            <w:lang w:eastAsia="zh-CN"/>
          </w:rPr>
          <w:t>五、高纯砷及氧化砷项目建设背景及必要性分析</w:t>
        </w:r>
        <w:r>
          <w:tab/>
        </w:r>
        <w:r>
          <w:fldChar w:fldCharType="begin"/>
        </w:r>
        <w:r>
          <w:instrText xml:space="preserve"> PAGEREF _Toc29652 \h </w:instrText>
        </w:r>
        <w:r>
          <w:fldChar w:fldCharType="separate"/>
        </w:r>
        <w:r>
          <w:t>12</w:t>
        </w:r>
        <w:r>
          <w:fldChar w:fldCharType="end"/>
        </w:r>
      </w:hyperlink>
    </w:p>
    <w:p>
      <w:pPr>
        <w:pStyle w:val="TOC2"/>
        <w:tabs>
          <w:tab w:val="right" w:leader="dot" w:pos="8306"/>
        </w:tabs>
      </w:pPr>
      <w:hyperlink w:anchor="_Toc9434" w:history="1">
        <w:r>
          <w:rPr>
            <w:rFonts w:ascii="仿宋" w:eastAsia="仿宋" w:hAnsi="仿宋" w:cs="仿宋" w:hint="eastAsia"/>
            <w:lang w:eastAsia="zh-CN"/>
          </w:rPr>
          <w:t>(一)、高纯砷及氧化砷项目背景分析</w:t>
        </w:r>
        <w:r>
          <w:tab/>
        </w:r>
        <w:r>
          <w:fldChar w:fldCharType="begin"/>
        </w:r>
        <w:r>
          <w:instrText xml:space="preserve"> PAGEREF _Toc9434 \h </w:instrText>
        </w:r>
        <w:r>
          <w:fldChar w:fldCharType="separate"/>
        </w:r>
        <w:r>
          <w:t>12</w:t>
        </w:r>
        <w:r>
          <w:fldChar w:fldCharType="end"/>
        </w:r>
      </w:hyperlink>
    </w:p>
    <w:p>
      <w:pPr>
        <w:pStyle w:val="TOC2"/>
        <w:tabs>
          <w:tab w:val="right" w:leader="dot" w:pos="8306"/>
        </w:tabs>
      </w:pPr>
      <w:hyperlink w:anchor="_Toc13862" w:history="1">
        <w:r>
          <w:rPr>
            <w:rFonts w:ascii="仿宋" w:eastAsia="仿宋" w:hAnsi="仿宋" w:cs="仿宋" w:hint="eastAsia"/>
            <w:lang w:eastAsia="zh-CN"/>
          </w:rPr>
          <w:t>(二)、高纯砷及氧化砷项目建设必要性分析</w:t>
        </w:r>
        <w:r>
          <w:tab/>
        </w:r>
        <w:r>
          <w:fldChar w:fldCharType="begin"/>
        </w:r>
        <w:r>
          <w:instrText xml:space="preserve"> PAGEREF _Toc13862 \h </w:instrText>
        </w:r>
        <w:r>
          <w:fldChar w:fldCharType="separate"/>
        </w:r>
        <w:r>
          <w:t>13</w:t>
        </w:r>
        <w:r>
          <w:fldChar w:fldCharType="end"/>
        </w:r>
      </w:hyperlink>
    </w:p>
    <w:p>
      <w:pPr>
        <w:pStyle w:val="TOC1"/>
        <w:tabs>
          <w:tab w:val="right" w:leader="dot" w:pos="8306"/>
        </w:tabs>
      </w:pPr>
      <w:hyperlink w:anchor="_Toc9372" w:history="1">
        <w:r>
          <w:rPr>
            <w:rFonts w:ascii="仿宋" w:eastAsia="仿宋" w:hAnsi="仿宋" w:cs="仿宋" w:hint="eastAsia"/>
            <w:lang w:eastAsia="zh-CN"/>
          </w:rPr>
          <w:t>六、高纯砷及氧化砷项目绩效评估</w:t>
        </w:r>
        <w:r>
          <w:tab/>
        </w:r>
        <w:r>
          <w:fldChar w:fldCharType="begin"/>
        </w:r>
        <w:r>
          <w:instrText xml:space="preserve"> PAGEREF _Toc9372 \h </w:instrText>
        </w:r>
        <w:r>
          <w:fldChar w:fldCharType="separate"/>
        </w:r>
        <w:r>
          <w:t>15</w:t>
        </w:r>
        <w:r>
          <w:fldChar w:fldCharType="end"/>
        </w:r>
      </w:hyperlink>
    </w:p>
    <w:p>
      <w:pPr>
        <w:pStyle w:val="TOC2"/>
        <w:tabs>
          <w:tab w:val="right" w:leader="dot" w:pos="8306"/>
        </w:tabs>
      </w:pPr>
      <w:hyperlink w:anchor="_Toc991" w:history="1">
        <w:r>
          <w:rPr>
            <w:rFonts w:ascii="仿宋" w:eastAsia="仿宋" w:hAnsi="仿宋" w:cs="仿宋" w:hint="eastAsia"/>
            <w:lang w:eastAsia="zh-CN"/>
          </w:rPr>
          <w:t>(一)、绩效评估指标</w:t>
        </w:r>
        <w:r>
          <w:tab/>
        </w:r>
        <w:r>
          <w:fldChar w:fldCharType="begin"/>
        </w:r>
        <w:r>
          <w:instrText xml:space="preserve"> PAGEREF _Toc991 \h </w:instrText>
        </w:r>
        <w:r>
          <w:fldChar w:fldCharType="separate"/>
        </w:r>
        <w:r>
          <w:t>15</w:t>
        </w:r>
        <w:r>
          <w:fldChar w:fldCharType="end"/>
        </w:r>
      </w:hyperlink>
    </w:p>
    <w:p>
      <w:pPr>
        <w:pStyle w:val="TOC2"/>
        <w:tabs>
          <w:tab w:val="right" w:leader="dot" w:pos="8306"/>
        </w:tabs>
      </w:pPr>
      <w:hyperlink w:anchor="_Toc28946" w:history="1">
        <w:r>
          <w:rPr>
            <w:rFonts w:ascii="仿宋" w:eastAsia="仿宋" w:hAnsi="仿宋" w:cs="仿宋" w:hint="eastAsia"/>
            <w:lang w:eastAsia="zh-CN"/>
          </w:rPr>
          <w:t>(二)、绩效评估方法</w:t>
        </w:r>
        <w:r>
          <w:tab/>
        </w:r>
        <w:r>
          <w:fldChar w:fldCharType="begin"/>
        </w:r>
        <w:r>
          <w:instrText xml:space="preserve"> PAGEREF _Toc28946 \h </w:instrText>
        </w:r>
        <w:r>
          <w:fldChar w:fldCharType="separate"/>
        </w:r>
        <w:r>
          <w:t>16</w:t>
        </w:r>
        <w:r>
          <w:fldChar w:fldCharType="end"/>
        </w:r>
      </w:hyperlink>
    </w:p>
    <w:p>
      <w:pPr>
        <w:pStyle w:val="TOC2"/>
        <w:tabs>
          <w:tab w:val="right" w:leader="dot" w:pos="8306"/>
        </w:tabs>
      </w:pPr>
      <w:hyperlink w:anchor="_Toc10159" w:history="1">
        <w:r>
          <w:rPr>
            <w:rFonts w:ascii="仿宋" w:eastAsia="仿宋" w:hAnsi="仿宋" w:cs="仿宋" w:hint="eastAsia"/>
            <w:lang w:eastAsia="zh-CN"/>
          </w:rPr>
          <w:t>(三)、绩效评估周期</w:t>
        </w:r>
        <w:r>
          <w:tab/>
        </w:r>
        <w:r>
          <w:fldChar w:fldCharType="begin"/>
        </w:r>
        <w:r>
          <w:instrText xml:space="preserve"> PAGEREF _Toc10159 \h </w:instrText>
        </w:r>
        <w:r>
          <w:fldChar w:fldCharType="separate"/>
        </w:r>
        <w:r>
          <w:t>17</w:t>
        </w:r>
        <w:r>
          <w:fldChar w:fldCharType="end"/>
        </w:r>
      </w:hyperlink>
    </w:p>
    <w:p>
      <w:pPr>
        <w:pStyle w:val="TOC1"/>
        <w:tabs>
          <w:tab w:val="right" w:leader="dot" w:pos="8306"/>
        </w:tabs>
      </w:pPr>
      <w:hyperlink w:anchor="_Toc27559" w:history="1">
        <w:r>
          <w:rPr>
            <w:rFonts w:ascii="仿宋" w:eastAsia="仿宋" w:hAnsi="仿宋" w:cs="仿宋" w:hint="eastAsia"/>
            <w:lang w:eastAsia="zh-CN"/>
          </w:rPr>
          <w:t>七、高纯砷及氧化砷项目财务管理</w:t>
        </w:r>
        <w:r>
          <w:tab/>
        </w:r>
        <w:r>
          <w:fldChar w:fldCharType="begin"/>
        </w:r>
        <w:r>
          <w:instrText xml:space="preserve"> PAGEREF _Toc27559 \h </w:instrText>
        </w:r>
        <w:r>
          <w:fldChar w:fldCharType="separate"/>
        </w:r>
        <w:r>
          <w:t>18</w:t>
        </w:r>
        <w:r>
          <w:fldChar w:fldCharType="end"/>
        </w:r>
      </w:hyperlink>
    </w:p>
    <w:p>
      <w:pPr>
        <w:pStyle w:val="TOC2"/>
        <w:tabs>
          <w:tab w:val="right" w:leader="dot" w:pos="8306"/>
        </w:tabs>
      </w:pPr>
      <w:hyperlink w:anchor="_Toc261" w:history="1">
        <w:r>
          <w:rPr>
            <w:rFonts w:ascii="仿宋" w:eastAsia="仿宋" w:hAnsi="仿宋" w:cs="仿宋" w:hint="eastAsia"/>
            <w:lang w:eastAsia="zh-CN"/>
          </w:rPr>
          <w:t>(一)、资金需求大</w:t>
        </w:r>
        <w:r>
          <w:tab/>
        </w:r>
        <w:r>
          <w:fldChar w:fldCharType="begin"/>
        </w:r>
        <w:r>
          <w:instrText xml:space="preserve"> PAGEREF _Toc261 \h </w:instrText>
        </w:r>
        <w:r>
          <w:fldChar w:fldCharType="separate"/>
        </w:r>
        <w:r>
          <w:t>18</w:t>
        </w:r>
        <w:r>
          <w:fldChar w:fldCharType="end"/>
        </w:r>
      </w:hyperlink>
    </w:p>
    <w:p>
      <w:pPr>
        <w:pStyle w:val="TOC2"/>
        <w:tabs>
          <w:tab w:val="right" w:leader="dot" w:pos="8306"/>
        </w:tabs>
      </w:pPr>
      <w:hyperlink w:anchor="_Toc4877" w:history="1">
        <w:r>
          <w:rPr>
            <w:rFonts w:ascii="仿宋" w:eastAsia="仿宋" w:hAnsi="仿宋" w:cs="仿宋" w:hint="eastAsia"/>
            <w:lang w:eastAsia="zh-CN"/>
          </w:rPr>
          <w:t>(二)、研发周期长</w:t>
        </w:r>
        <w:r>
          <w:tab/>
        </w:r>
        <w:r>
          <w:fldChar w:fldCharType="begin"/>
        </w:r>
        <w:r>
          <w:instrText xml:space="preserve"> PAGEREF _Toc4877 \h </w:instrText>
        </w:r>
        <w:r>
          <w:fldChar w:fldCharType="separate"/>
        </w:r>
        <w:r>
          <w:t>19</w:t>
        </w:r>
        <w:r>
          <w:fldChar w:fldCharType="end"/>
        </w:r>
      </w:hyperlink>
    </w:p>
    <w:p>
      <w:pPr>
        <w:pStyle w:val="TOC2"/>
        <w:tabs>
          <w:tab w:val="right" w:leader="dot" w:pos="8306"/>
        </w:tabs>
      </w:pPr>
      <w:hyperlink w:anchor="_Toc17597" w:history="1">
        <w:r>
          <w:rPr>
            <w:rFonts w:ascii="仿宋" w:eastAsia="仿宋" w:hAnsi="仿宋" w:cs="仿宋" w:hint="eastAsia"/>
            <w:lang w:eastAsia="zh-CN"/>
          </w:rPr>
          <w:t>(三)、市场风险大</w:t>
        </w:r>
        <w:r>
          <w:tab/>
        </w:r>
        <w:r>
          <w:fldChar w:fldCharType="begin"/>
        </w:r>
        <w:r>
          <w:instrText xml:space="preserve"> PAGEREF _Toc17597 \h </w:instrText>
        </w:r>
        <w:r>
          <w:fldChar w:fldCharType="separate"/>
        </w:r>
        <w:r>
          <w:t>20</w:t>
        </w:r>
        <w:r>
          <w:fldChar w:fldCharType="end"/>
        </w:r>
      </w:hyperlink>
    </w:p>
    <w:p>
      <w:pPr>
        <w:pStyle w:val="TOC2"/>
        <w:tabs>
          <w:tab w:val="right" w:leader="dot" w:pos="8306"/>
        </w:tabs>
      </w:pPr>
      <w:hyperlink w:anchor="_Toc7613" w:history="1">
        <w:r>
          <w:rPr>
            <w:rFonts w:ascii="仿宋" w:eastAsia="仿宋" w:hAnsi="仿宋" w:cs="仿宋" w:hint="eastAsia"/>
            <w:lang w:eastAsia="zh-CN"/>
          </w:rPr>
          <w:t>(四)、利润率高</w:t>
        </w:r>
        <w:r>
          <w:tab/>
        </w:r>
        <w:r>
          <w:fldChar w:fldCharType="begin"/>
        </w:r>
        <w:r>
          <w:instrText xml:space="preserve"> PAGEREF _Toc7613 \h </w:instrText>
        </w:r>
        <w:r>
          <w:fldChar w:fldCharType="separate"/>
        </w:r>
        <w:r>
          <w:t>23</w:t>
        </w:r>
        <w:r>
          <w:fldChar w:fldCharType="end"/>
        </w:r>
      </w:hyperlink>
    </w:p>
    <w:p>
      <w:pPr>
        <w:pStyle w:val="TOC1"/>
        <w:tabs>
          <w:tab w:val="right" w:leader="dot" w:pos="8306"/>
        </w:tabs>
      </w:pPr>
      <w:hyperlink w:anchor="_Toc6205" w:history="1">
        <w:r>
          <w:rPr>
            <w:rFonts w:ascii="仿宋" w:eastAsia="仿宋" w:hAnsi="仿宋" w:cs="仿宋" w:hint="eastAsia"/>
            <w:lang w:eastAsia="zh-CN"/>
          </w:rPr>
          <w:t>八、高纯砷及氧化砷项目投资规划</w:t>
        </w:r>
        <w:r>
          <w:tab/>
        </w:r>
        <w:r>
          <w:fldChar w:fldCharType="begin"/>
        </w:r>
        <w:r>
          <w:instrText xml:space="preserve"> PAGEREF _Toc6205 \h </w:instrText>
        </w:r>
        <w:r>
          <w:fldChar w:fldCharType="separate"/>
        </w:r>
        <w:r>
          <w:t>25</w:t>
        </w:r>
        <w:r>
          <w:fldChar w:fldCharType="end"/>
        </w:r>
      </w:hyperlink>
    </w:p>
    <w:p>
      <w:pPr>
        <w:pStyle w:val="TOC2"/>
        <w:tabs>
          <w:tab w:val="right" w:leader="dot" w:pos="8306"/>
        </w:tabs>
      </w:pPr>
      <w:hyperlink w:anchor="_Toc26928" w:history="1">
        <w:r>
          <w:rPr>
            <w:rFonts w:ascii="仿宋" w:eastAsia="仿宋" w:hAnsi="仿宋" w:cs="仿宋" w:hint="eastAsia"/>
            <w:lang w:eastAsia="zh-CN"/>
          </w:rPr>
          <w:t>(一)、高纯砷及氧化砷项目总投资估算</w:t>
        </w:r>
        <w:r>
          <w:tab/>
        </w:r>
        <w:r>
          <w:fldChar w:fldCharType="begin"/>
        </w:r>
        <w:r>
          <w:instrText xml:space="preserve"> PAGEREF _Toc26928 \h </w:instrText>
        </w:r>
        <w:r>
          <w:fldChar w:fldCharType="separate"/>
        </w:r>
        <w:r>
          <w:t>25</w:t>
        </w:r>
        <w:r>
          <w:fldChar w:fldCharType="end"/>
        </w:r>
      </w:hyperlink>
    </w:p>
    <w:p>
      <w:pPr>
        <w:pStyle w:val="TOC2"/>
        <w:tabs>
          <w:tab w:val="right" w:leader="dot" w:pos="8306"/>
        </w:tabs>
      </w:pPr>
      <w:hyperlink w:anchor="_Toc562" w:history="1">
        <w:r>
          <w:rPr>
            <w:rFonts w:ascii="仿宋" w:eastAsia="仿宋" w:hAnsi="仿宋" w:cs="仿宋" w:hint="eastAsia"/>
            <w:lang w:eastAsia="zh-CN"/>
          </w:rPr>
          <w:t>(二)、资金筹措</w:t>
        </w:r>
        <w:r>
          <w:tab/>
        </w:r>
        <w:r>
          <w:fldChar w:fldCharType="begin"/>
        </w:r>
        <w:r>
          <w:instrText xml:space="preserve"> PAGEREF _Toc562 \h </w:instrText>
        </w:r>
        <w:r>
          <w:fldChar w:fldCharType="separate"/>
        </w:r>
        <w:r>
          <w:t>27</w:t>
        </w:r>
        <w:r>
          <w:fldChar w:fldCharType="end"/>
        </w:r>
      </w:hyperlink>
    </w:p>
    <w:p>
      <w:pPr>
        <w:pStyle w:val="TOC1"/>
        <w:tabs>
          <w:tab w:val="right" w:leader="dot" w:pos="8306"/>
        </w:tabs>
      </w:pPr>
      <w:hyperlink w:anchor="_Toc27658" w:history="1">
        <w:r>
          <w:rPr>
            <w:rFonts w:ascii="仿宋" w:eastAsia="仿宋" w:hAnsi="仿宋" w:cs="仿宋" w:hint="eastAsia"/>
            <w:lang w:eastAsia="zh-CN"/>
          </w:rPr>
          <w:t>九、生产安全保护</w:t>
        </w:r>
        <w:r>
          <w:tab/>
        </w:r>
        <w:r>
          <w:fldChar w:fldCharType="begin"/>
        </w:r>
        <w:r>
          <w:instrText xml:space="preserve"> PAGEREF _Toc27658 \h </w:instrText>
        </w:r>
        <w:r>
          <w:fldChar w:fldCharType="separate"/>
        </w:r>
        <w:r>
          <w:t>27</w:t>
        </w:r>
        <w:r>
          <w:fldChar w:fldCharType="end"/>
        </w:r>
      </w:hyperlink>
    </w:p>
    <w:p>
      <w:pPr>
        <w:pStyle w:val="TOC2"/>
        <w:tabs>
          <w:tab w:val="right" w:leader="dot" w:pos="8306"/>
        </w:tabs>
      </w:pPr>
      <w:hyperlink w:anchor="_Toc18072" w:history="1">
        <w:r>
          <w:rPr>
            <w:rFonts w:ascii="仿宋" w:eastAsia="仿宋" w:hAnsi="仿宋" w:cs="仿宋" w:hint="eastAsia"/>
            <w:lang w:eastAsia="zh-CN"/>
          </w:rPr>
          <w:t>(一)、消防安全</w:t>
        </w:r>
        <w:r>
          <w:tab/>
        </w:r>
        <w:r>
          <w:fldChar w:fldCharType="begin"/>
        </w:r>
        <w:r>
          <w:instrText xml:space="preserve"> PAGEREF _Toc18072 \h </w:instrText>
        </w:r>
        <w:r>
          <w:fldChar w:fldCharType="separate"/>
        </w:r>
        <w:r>
          <w:t>27</w:t>
        </w:r>
        <w:r>
          <w:fldChar w:fldCharType="end"/>
        </w:r>
      </w:hyperlink>
    </w:p>
    <w:p>
      <w:pPr>
        <w:pStyle w:val="TOC2"/>
        <w:tabs>
          <w:tab w:val="right" w:leader="dot" w:pos="8306"/>
        </w:tabs>
      </w:pPr>
      <w:hyperlink w:anchor="_Toc2716" w:history="1">
        <w:r>
          <w:rPr>
            <w:rFonts w:ascii="仿宋" w:eastAsia="仿宋" w:hAnsi="仿宋" w:cs="仿宋" w:hint="eastAsia"/>
            <w:lang w:eastAsia="zh-CN"/>
          </w:rPr>
          <w:t>(二)、防火防爆总图布置措施</w:t>
        </w:r>
        <w:r>
          <w:tab/>
        </w:r>
        <w:r>
          <w:fldChar w:fldCharType="begin"/>
        </w:r>
        <w:r>
          <w:instrText xml:space="preserve"> PAGEREF _Toc2716 \h </w:instrText>
        </w:r>
        <w:r>
          <w:fldChar w:fldCharType="separate"/>
        </w:r>
        <w:r>
          <w:t>29</w:t>
        </w:r>
        <w:r>
          <w:fldChar w:fldCharType="end"/>
        </w:r>
      </w:hyperlink>
    </w:p>
    <w:p>
      <w:pPr>
        <w:pStyle w:val="TOC2"/>
        <w:tabs>
          <w:tab w:val="right" w:leader="dot" w:pos="8306"/>
        </w:tabs>
      </w:pPr>
      <w:hyperlink w:anchor="_Toc12215" w:history="1">
        <w:r>
          <w:rPr>
            <w:rFonts w:ascii="仿宋" w:eastAsia="仿宋" w:hAnsi="仿宋" w:cs="仿宋" w:hint="eastAsia"/>
            <w:lang w:eastAsia="zh-CN"/>
          </w:rPr>
          <w:t>(三)、自然灾害防范措施</w:t>
        </w:r>
        <w:r>
          <w:tab/>
        </w:r>
        <w:r>
          <w:fldChar w:fldCharType="begin"/>
        </w:r>
        <w:r>
          <w:instrText xml:space="preserve"> PAGEREF _Toc12215 \h </w:instrText>
        </w:r>
        <w:r>
          <w:fldChar w:fldCharType="separate"/>
        </w:r>
        <w:r>
          <w:t>30</w:t>
        </w:r>
        <w:r>
          <w:fldChar w:fldCharType="end"/>
        </w:r>
      </w:hyperlink>
    </w:p>
    <w:p>
      <w:pPr>
        <w:pStyle w:val="TOC2"/>
        <w:tabs>
          <w:tab w:val="right" w:leader="dot" w:pos="8306"/>
        </w:tabs>
      </w:pPr>
      <w:hyperlink w:anchor="_Toc26719" w:history="1">
        <w:r>
          <w:rPr>
            <w:rFonts w:ascii="仿宋" w:eastAsia="仿宋" w:hAnsi="仿宋" w:cs="仿宋" w:hint="eastAsia"/>
            <w:lang w:eastAsia="zh-CN"/>
          </w:rPr>
          <w:t>(四)、安全色及安全标志使用要求</w:t>
        </w:r>
        <w:r>
          <w:tab/>
        </w:r>
        <w:r>
          <w:fldChar w:fldCharType="begin"/>
        </w:r>
        <w:r>
          <w:instrText xml:space="preserve"> PAGEREF _Toc26719 \h </w:instrText>
        </w:r>
        <w:r>
          <w:fldChar w:fldCharType="separate"/>
        </w:r>
        <w:r>
          <w:t>31</w:t>
        </w:r>
        <w:r>
          <w:fldChar w:fldCharType="end"/>
        </w:r>
      </w:hyperlink>
    </w:p>
    <w:p>
      <w:pPr>
        <w:pStyle w:val="TOC2"/>
        <w:tabs>
          <w:tab w:val="right" w:leader="dot" w:pos="8306"/>
        </w:tabs>
      </w:pPr>
      <w:hyperlink w:anchor="_Toc5167" w:history="1">
        <w:r>
          <w:rPr>
            <w:rFonts w:ascii="仿宋" w:eastAsia="仿宋" w:hAnsi="仿宋" w:cs="仿宋" w:hint="eastAsia"/>
            <w:lang w:eastAsia="zh-CN"/>
          </w:rPr>
          <w:t>(五)、防尘防毒措施</w:t>
        </w:r>
        <w:r>
          <w:tab/>
        </w:r>
        <w:r>
          <w:fldChar w:fldCharType="begin"/>
        </w:r>
        <w:r>
          <w:instrText xml:space="preserve"> PAGEREF _Toc5167 \h </w:instrText>
        </w:r>
        <w:r>
          <w:fldChar w:fldCharType="separate"/>
        </w:r>
        <w:r>
          <w:t>32</w:t>
        </w:r>
        <w:r>
          <w:fldChar w:fldCharType="end"/>
        </w:r>
      </w:hyperlink>
    </w:p>
    <w:p>
      <w:pPr>
        <w:pStyle w:val="TOC2"/>
        <w:tabs>
          <w:tab w:val="right" w:leader="dot" w:pos="8306"/>
        </w:tabs>
      </w:pPr>
      <w:hyperlink w:anchor="_Toc26198" w:history="1">
        <w:r>
          <w:rPr>
            <w:rFonts w:ascii="仿宋" w:eastAsia="仿宋" w:hAnsi="仿宋" w:cs="仿宋" w:hint="eastAsia"/>
            <w:lang w:eastAsia="zh-CN"/>
          </w:rPr>
          <w:t>(六)、防静电、触电防护及防雷措施</w:t>
        </w:r>
        <w:r>
          <w:tab/>
        </w:r>
        <w:r>
          <w:fldChar w:fldCharType="begin"/>
        </w:r>
        <w:r>
          <w:instrText xml:space="preserve"> PAGEREF _Toc26198 \h </w:instrText>
        </w:r>
        <w:r>
          <w:fldChar w:fldCharType="separate"/>
        </w:r>
        <w:r>
          <w:t>33</w:t>
        </w:r>
        <w:r>
          <w:fldChar w:fldCharType="end"/>
        </w:r>
      </w:hyperlink>
    </w:p>
    <w:p>
      <w:pPr>
        <w:pStyle w:val="TOC2"/>
        <w:tabs>
          <w:tab w:val="right" w:leader="dot" w:pos="8306"/>
        </w:tabs>
      </w:pPr>
      <w:hyperlink w:anchor="_Toc10834" w:history="1">
        <w:r>
          <w:rPr>
            <w:rFonts w:ascii="仿宋" w:eastAsia="仿宋" w:hAnsi="仿宋" w:cs="仿宋" w:hint="eastAsia"/>
            <w:lang w:eastAsia="zh-CN"/>
          </w:rPr>
          <w:t>(七)、机械设备安全保障措施</w:t>
        </w:r>
        <w:r>
          <w:tab/>
        </w:r>
        <w:r>
          <w:fldChar w:fldCharType="begin"/>
        </w:r>
        <w:r>
          <w:instrText xml:space="preserve"> PAGEREF _Toc10834 \h </w:instrText>
        </w:r>
        <w:r>
          <w:fldChar w:fldCharType="separate"/>
        </w:r>
        <w:r>
          <w:t>34</w:t>
        </w:r>
        <w:r>
          <w:fldChar w:fldCharType="end"/>
        </w:r>
      </w:hyperlink>
    </w:p>
    <w:p>
      <w:pPr>
        <w:pStyle w:val="TOC1"/>
        <w:tabs>
          <w:tab w:val="right" w:leader="dot" w:pos="8306"/>
        </w:tabs>
      </w:pPr>
      <w:hyperlink w:anchor="_Toc15738" w:history="1">
        <w:r>
          <w:rPr>
            <w:rFonts w:ascii="仿宋" w:eastAsia="仿宋" w:hAnsi="仿宋" w:cs="仿宋" w:hint="eastAsia"/>
            <w:lang w:eastAsia="zh-CN"/>
          </w:rPr>
          <w:t>十、高纯砷及氧化砷项目社会影响</w:t>
        </w:r>
        <w:r>
          <w:tab/>
        </w:r>
        <w:r>
          <w:fldChar w:fldCharType="begin"/>
        </w:r>
        <w:r>
          <w:instrText xml:space="preserve"> PAGEREF _Toc15738 \h </w:instrText>
        </w:r>
        <w:r>
          <w:fldChar w:fldCharType="separate"/>
        </w:r>
        <w:r>
          <w:t>36</w:t>
        </w:r>
        <w:r>
          <w:fldChar w:fldCharType="end"/>
        </w:r>
      </w:hyperlink>
    </w:p>
    <w:p>
      <w:pPr>
        <w:pStyle w:val="TOC2"/>
        <w:tabs>
          <w:tab w:val="right" w:leader="dot" w:pos="8306"/>
        </w:tabs>
      </w:pPr>
      <w:hyperlink w:anchor="_Toc31577" w:history="1">
        <w:r>
          <w:rPr>
            <w:rFonts w:ascii="仿宋" w:eastAsia="仿宋" w:hAnsi="仿宋" w:cs="仿宋" w:hint="eastAsia"/>
            <w:lang w:eastAsia="zh-CN"/>
          </w:rPr>
          <w:t>(一)、社会责任与义务</w:t>
        </w:r>
        <w:r>
          <w:tab/>
        </w:r>
        <w:r>
          <w:fldChar w:fldCharType="begin"/>
        </w:r>
        <w:r>
          <w:instrText xml:space="preserve"> PAGEREF _Toc31577 \h </w:instrText>
        </w:r>
        <w:r>
          <w:fldChar w:fldCharType="separate"/>
        </w:r>
        <w:r>
          <w:t>36</w:t>
        </w:r>
        <w:r>
          <w:fldChar w:fldCharType="end"/>
        </w:r>
      </w:hyperlink>
    </w:p>
    <w:p>
      <w:pPr>
        <w:pStyle w:val="TOC2"/>
        <w:tabs>
          <w:tab w:val="right" w:leader="dot" w:pos="8306"/>
        </w:tabs>
      </w:pPr>
      <w:hyperlink w:anchor="_Toc23972" w:history="1">
        <w:r>
          <w:rPr>
            <w:rFonts w:ascii="仿宋" w:eastAsia="仿宋" w:hAnsi="仿宋" w:cs="仿宋" w:hint="eastAsia"/>
            <w:lang w:eastAsia="zh-CN"/>
          </w:rPr>
          <w:t>(二)、社会参与与沟通</w:t>
        </w:r>
        <w:r>
          <w:tab/>
        </w:r>
        <w:r>
          <w:fldChar w:fldCharType="begin"/>
        </w:r>
        <w:r>
          <w:instrText xml:space="preserve"> PAGEREF _Toc23972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82" w:history="1">
        <w:r>
          <w:rPr>
            <w:rFonts w:ascii="仿宋" w:eastAsia="仿宋" w:hAnsi="仿宋" w:cs="仿宋" w:hint="eastAsia"/>
            <w:lang w:eastAsia="zh-CN"/>
          </w:rPr>
          <w:t>十一、高纯砷及氧化砷项目计划安排</w:t>
        </w:r>
        <w:r>
          <w:tab/>
        </w:r>
        <w:r>
          <w:fldChar w:fldCharType="begin"/>
        </w:r>
        <w:r>
          <w:instrText xml:space="preserve"> PAGEREF _Toc7482 \h </w:instrText>
        </w:r>
        <w:r>
          <w:fldChar w:fldCharType="separate"/>
        </w:r>
        <w:r>
          <w:t>37</w:t>
        </w:r>
        <w:r>
          <w:fldChar w:fldCharType="end"/>
        </w:r>
      </w:hyperlink>
    </w:p>
    <w:p>
      <w:pPr>
        <w:pStyle w:val="TOC2"/>
        <w:tabs>
          <w:tab w:val="right" w:leader="dot" w:pos="8306"/>
        </w:tabs>
      </w:pPr>
      <w:hyperlink w:anchor="_Toc15495" w:history="1">
        <w:r>
          <w:rPr>
            <w:rFonts w:ascii="仿宋" w:eastAsia="仿宋" w:hAnsi="仿宋" w:cs="仿宋" w:hint="eastAsia"/>
            <w:lang w:eastAsia="zh-CN"/>
          </w:rPr>
          <w:t>(一)、建设周期</w:t>
        </w:r>
        <w:r>
          <w:tab/>
        </w:r>
        <w:r>
          <w:fldChar w:fldCharType="begin"/>
        </w:r>
        <w:r>
          <w:instrText xml:space="preserve"> PAGEREF _Toc15495 \h </w:instrText>
        </w:r>
        <w:r>
          <w:fldChar w:fldCharType="separate"/>
        </w:r>
        <w:r>
          <w:t>37</w:t>
        </w:r>
        <w:r>
          <w:fldChar w:fldCharType="end"/>
        </w:r>
      </w:hyperlink>
    </w:p>
    <w:p>
      <w:pPr>
        <w:pStyle w:val="TOC2"/>
        <w:tabs>
          <w:tab w:val="right" w:leader="dot" w:pos="8306"/>
        </w:tabs>
      </w:pPr>
      <w:hyperlink w:anchor="_Toc20514" w:history="1">
        <w:r>
          <w:rPr>
            <w:rFonts w:ascii="仿宋" w:eastAsia="仿宋" w:hAnsi="仿宋" w:cs="仿宋" w:hint="eastAsia"/>
            <w:lang w:eastAsia="zh-CN"/>
          </w:rPr>
          <w:t>(二)、建设进度</w:t>
        </w:r>
        <w:r>
          <w:tab/>
        </w:r>
        <w:r>
          <w:fldChar w:fldCharType="begin"/>
        </w:r>
        <w:r>
          <w:instrText xml:space="preserve"> PAGEREF _Toc20514 \h </w:instrText>
        </w:r>
        <w:r>
          <w:fldChar w:fldCharType="separate"/>
        </w:r>
        <w:r>
          <w:t>38</w:t>
        </w:r>
        <w:r>
          <w:fldChar w:fldCharType="end"/>
        </w:r>
      </w:hyperlink>
    </w:p>
    <w:p>
      <w:pPr>
        <w:pStyle w:val="TOC2"/>
        <w:tabs>
          <w:tab w:val="right" w:leader="dot" w:pos="8306"/>
        </w:tabs>
      </w:pPr>
      <w:hyperlink w:anchor="_Toc23994" w:history="1">
        <w:r>
          <w:rPr>
            <w:rFonts w:ascii="仿宋" w:eastAsia="仿宋" w:hAnsi="仿宋" w:cs="仿宋" w:hint="eastAsia"/>
            <w:lang w:eastAsia="zh-CN"/>
          </w:rPr>
          <w:t>(三)、进度安排注意事项</w:t>
        </w:r>
        <w:r>
          <w:tab/>
        </w:r>
        <w:r>
          <w:fldChar w:fldCharType="begin"/>
        </w:r>
        <w:r>
          <w:instrText xml:space="preserve"> PAGEREF _Toc23994 \h </w:instrText>
        </w:r>
        <w:r>
          <w:fldChar w:fldCharType="separate"/>
        </w:r>
        <w:r>
          <w:t>39</w:t>
        </w:r>
        <w:r>
          <w:fldChar w:fldCharType="end"/>
        </w:r>
      </w:hyperlink>
    </w:p>
    <w:p>
      <w:pPr>
        <w:pStyle w:val="TOC2"/>
        <w:tabs>
          <w:tab w:val="right" w:leader="dot" w:pos="8306"/>
        </w:tabs>
      </w:pPr>
      <w:hyperlink w:anchor="_Toc17642" w:history="1">
        <w:r>
          <w:rPr>
            <w:rFonts w:ascii="仿宋" w:eastAsia="仿宋" w:hAnsi="仿宋" w:cs="仿宋" w:hint="eastAsia"/>
            <w:lang w:eastAsia="zh-CN"/>
          </w:rPr>
          <w:t>(四)、人力资源配置</w:t>
        </w:r>
        <w:r>
          <w:tab/>
        </w:r>
        <w:r>
          <w:fldChar w:fldCharType="begin"/>
        </w:r>
        <w:r>
          <w:instrText xml:space="preserve"> PAGEREF _Toc17642 \h </w:instrText>
        </w:r>
        <w:r>
          <w:fldChar w:fldCharType="separate"/>
        </w:r>
        <w:r>
          <w:t>41</w:t>
        </w:r>
        <w:r>
          <w:fldChar w:fldCharType="end"/>
        </w:r>
      </w:hyperlink>
    </w:p>
    <w:p>
      <w:pPr>
        <w:pStyle w:val="TOC1"/>
        <w:tabs>
          <w:tab w:val="right" w:leader="dot" w:pos="8306"/>
        </w:tabs>
      </w:pPr>
      <w:hyperlink w:anchor="_Toc25575" w:history="1">
        <w:r>
          <w:rPr>
            <w:rFonts w:ascii="仿宋" w:eastAsia="仿宋" w:hAnsi="仿宋" w:cs="仿宋" w:hint="eastAsia"/>
            <w:lang w:eastAsia="zh-CN"/>
          </w:rPr>
          <w:t>十二、高纯砷及氧化砷项目风险管理</w:t>
        </w:r>
        <w:r>
          <w:tab/>
        </w:r>
        <w:r>
          <w:fldChar w:fldCharType="begin"/>
        </w:r>
        <w:r>
          <w:instrText xml:space="preserve"> PAGEREF _Toc25575 \h </w:instrText>
        </w:r>
        <w:r>
          <w:fldChar w:fldCharType="separate"/>
        </w:r>
        <w:r>
          <w:t>42</w:t>
        </w:r>
        <w:r>
          <w:fldChar w:fldCharType="end"/>
        </w:r>
      </w:hyperlink>
    </w:p>
    <w:p>
      <w:pPr>
        <w:pStyle w:val="TOC2"/>
        <w:tabs>
          <w:tab w:val="right" w:leader="dot" w:pos="8306"/>
        </w:tabs>
      </w:pPr>
      <w:hyperlink w:anchor="_Toc15353" w:history="1">
        <w:r>
          <w:rPr>
            <w:rFonts w:ascii="仿宋" w:eastAsia="仿宋" w:hAnsi="仿宋" w:cs="仿宋" w:hint="eastAsia"/>
            <w:lang w:eastAsia="zh-CN"/>
          </w:rPr>
          <w:t>(一)、风险识别与评估</w:t>
        </w:r>
        <w:r>
          <w:tab/>
        </w:r>
        <w:r>
          <w:fldChar w:fldCharType="begin"/>
        </w:r>
        <w:r>
          <w:instrText xml:space="preserve"> PAGEREF _Toc15353 \h </w:instrText>
        </w:r>
        <w:r>
          <w:fldChar w:fldCharType="separate"/>
        </w:r>
        <w:r>
          <w:t>42</w:t>
        </w:r>
        <w:r>
          <w:fldChar w:fldCharType="end"/>
        </w:r>
      </w:hyperlink>
    </w:p>
    <w:p>
      <w:pPr>
        <w:pStyle w:val="TOC2"/>
        <w:tabs>
          <w:tab w:val="right" w:leader="dot" w:pos="8306"/>
        </w:tabs>
      </w:pPr>
      <w:hyperlink w:anchor="_Toc15509" w:history="1">
        <w:r>
          <w:rPr>
            <w:rFonts w:ascii="仿宋" w:eastAsia="仿宋" w:hAnsi="仿宋" w:cs="仿宋" w:hint="eastAsia"/>
            <w:lang w:eastAsia="zh-CN"/>
          </w:rPr>
          <w:t>(二)、风险应对策略</w:t>
        </w:r>
        <w:r>
          <w:tab/>
        </w:r>
        <w:r>
          <w:fldChar w:fldCharType="begin"/>
        </w:r>
        <w:r>
          <w:instrText xml:space="preserve"> PAGEREF _Toc15509 \h </w:instrText>
        </w:r>
        <w:r>
          <w:fldChar w:fldCharType="separate"/>
        </w:r>
        <w:r>
          <w:t>43</w:t>
        </w:r>
        <w:r>
          <w:fldChar w:fldCharType="end"/>
        </w:r>
      </w:hyperlink>
    </w:p>
    <w:p>
      <w:pPr>
        <w:pStyle w:val="TOC2"/>
        <w:tabs>
          <w:tab w:val="right" w:leader="dot" w:pos="8306"/>
        </w:tabs>
      </w:pPr>
      <w:hyperlink w:anchor="_Toc26740" w:history="1">
        <w:r>
          <w:rPr>
            <w:rFonts w:ascii="仿宋" w:eastAsia="仿宋" w:hAnsi="仿宋" w:cs="仿宋" w:hint="eastAsia"/>
            <w:lang w:eastAsia="zh-CN"/>
          </w:rPr>
          <w:t>(三)、风险监控与控制</w:t>
        </w:r>
        <w:r>
          <w:tab/>
        </w:r>
        <w:r>
          <w:fldChar w:fldCharType="begin"/>
        </w:r>
        <w:r>
          <w:instrText xml:space="preserve"> PAGEREF _Toc26740 \h </w:instrText>
        </w:r>
        <w:r>
          <w:fldChar w:fldCharType="separate"/>
        </w:r>
        <w:r>
          <w:t>45</w:t>
        </w:r>
        <w:r>
          <w:fldChar w:fldCharType="end"/>
        </w:r>
      </w:hyperlink>
    </w:p>
    <w:p>
      <w:pPr>
        <w:pStyle w:val="TOC1"/>
        <w:tabs>
          <w:tab w:val="right" w:leader="dot" w:pos="8306"/>
        </w:tabs>
      </w:pPr>
      <w:hyperlink w:anchor="_Toc17199" w:history="1">
        <w:r>
          <w:rPr>
            <w:rFonts w:ascii="仿宋" w:eastAsia="仿宋" w:hAnsi="仿宋" w:cs="仿宋" w:hint="eastAsia"/>
            <w:lang w:eastAsia="zh-CN"/>
          </w:rPr>
          <w:t>十三、营销与推广策略</w:t>
        </w:r>
        <w:r>
          <w:tab/>
        </w:r>
        <w:r>
          <w:fldChar w:fldCharType="begin"/>
        </w:r>
        <w:r>
          <w:instrText xml:space="preserve"> PAGEREF _Toc17199 \h </w:instrText>
        </w:r>
        <w:r>
          <w:fldChar w:fldCharType="separate"/>
        </w:r>
        <w:r>
          <w:t>46</w:t>
        </w:r>
        <w:r>
          <w:fldChar w:fldCharType="end"/>
        </w:r>
      </w:hyperlink>
    </w:p>
    <w:p>
      <w:pPr>
        <w:pStyle w:val="TOC2"/>
        <w:tabs>
          <w:tab w:val="right" w:leader="dot" w:pos="8306"/>
        </w:tabs>
      </w:pPr>
      <w:hyperlink w:anchor="_Toc8617" w:history="1">
        <w:r>
          <w:rPr>
            <w:rFonts w:ascii="仿宋" w:eastAsia="仿宋" w:hAnsi="仿宋" w:cs="仿宋" w:hint="eastAsia"/>
            <w:lang w:eastAsia="zh-CN"/>
          </w:rPr>
          <w:t>(一)、产品/服务定位与特点</w:t>
        </w:r>
        <w:r>
          <w:tab/>
        </w:r>
        <w:r>
          <w:fldChar w:fldCharType="begin"/>
        </w:r>
        <w:r>
          <w:instrText xml:space="preserve"> PAGEREF _Toc8617 \h </w:instrText>
        </w:r>
        <w:r>
          <w:fldChar w:fldCharType="separate"/>
        </w:r>
        <w:r>
          <w:t>46</w:t>
        </w:r>
        <w:r>
          <w:fldChar w:fldCharType="end"/>
        </w:r>
      </w:hyperlink>
    </w:p>
    <w:p>
      <w:pPr>
        <w:pStyle w:val="TOC2"/>
        <w:tabs>
          <w:tab w:val="right" w:leader="dot" w:pos="8306"/>
        </w:tabs>
      </w:pPr>
      <w:hyperlink w:anchor="_Toc23848" w:history="1">
        <w:r>
          <w:rPr>
            <w:rFonts w:ascii="仿宋" w:eastAsia="仿宋" w:hAnsi="仿宋" w:cs="仿宋" w:hint="eastAsia"/>
            <w:lang w:eastAsia="zh-CN"/>
          </w:rPr>
          <w:t>(二)、市场定位与竞争分析</w:t>
        </w:r>
        <w:r>
          <w:tab/>
        </w:r>
        <w:r>
          <w:fldChar w:fldCharType="begin"/>
        </w:r>
        <w:r>
          <w:instrText xml:space="preserve"> PAGEREF _Toc23848 \h </w:instrText>
        </w:r>
        <w:r>
          <w:fldChar w:fldCharType="separate"/>
        </w:r>
        <w:r>
          <w:t>47</w:t>
        </w:r>
        <w:r>
          <w:fldChar w:fldCharType="end"/>
        </w:r>
      </w:hyperlink>
    </w:p>
    <w:p>
      <w:pPr>
        <w:pStyle w:val="TOC2"/>
        <w:tabs>
          <w:tab w:val="right" w:leader="dot" w:pos="8306"/>
        </w:tabs>
      </w:pPr>
      <w:hyperlink w:anchor="_Toc32024" w:history="1">
        <w:r>
          <w:rPr>
            <w:rFonts w:ascii="仿宋" w:eastAsia="仿宋" w:hAnsi="仿宋" w:cs="仿宋" w:hint="eastAsia"/>
            <w:lang w:eastAsia="zh-CN"/>
          </w:rPr>
          <w:t>(三)、营销渠道与策略</w:t>
        </w:r>
        <w:r>
          <w:tab/>
        </w:r>
        <w:r>
          <w:fldChar w:fldCharType="begin"/>
        </w:r>
        <w:r>
          <w:instrText xml:space="preserve"> PAGEREF _Toc32024 \h </w:instrText>
        </w:r>
        <w:r>
          <w:fldChar w:fldCharType="separate"/>
        </w:r>
        <w:r>
          <w:t>48</w:t>
        </w:r>
        <w:r>
          <w:fldChar w:fldCharType="end"/>
        </w:r>
      </w:hyperlink>
    </w:p>
    <w:p>
      <w:pPr>
        <w:pStyle w:val="TOC2"/>
        <w:tabs>
          <w:tab w:val="right" w:leader="dot" w:pos="8306"/>
        </w:tabs>
      </w:pPr>
      <w:hyperlink w:anchor="_Toc24692" w:history="1">
        <w:r>
          <w:rPr>
            <w:rFonts w:ascii="仿宋" w:eastAsia="仿宋" w:hAnsi="仿宋" w:cs="仿宋" w:hint="eastAsia"/>
            <w:lang w:eastAsia="zh-CN"/>
          </w:rPr>
          <w:t>(四)、推广与宣传活动</w:t>
        </w:r>
        <w:r>
          <w:tab/>
        </w:r>
        <w:r>
          <w:fldChar w:fldCharType="begin"/>
        </w:r>
        <w:r>
          <w:instrText xml:space="preserve"> PAGEREF _Toc24692 \h </w:instrText>
        </w:r>
        <w:r>
          <w:fldChar w:fldCharType="separate"/>
        </w:r>
        <w:r>
          <w:t>49</w:t>
        </w:r>
        <w:r>
          <w:fldChar w:fldCharType="end"/>
        </w:r>
      </w:hyperlink>
    </w:p>
    <w:p>
      <w:pPr>
        <w:pStyle w:val="TOC1"/>
        <w:tabs>
          <w:tab w:val="right" w:leader="dot" w:pos="8306"/>
        </w:tabs>
      </w:pPr>
      <w:hyperlink w:anchor="_Toc32139" w:history="1">
        <w:r>
          <w:rPr>
            <w:rFonts w:ascii="仿宋" w:eastAsia="仿宋" w:hAnsi="仿宋" w:cs="仿宋" w:hint="eastAsia"/>
            <w:lang w:eastAsia="zh-CN"/>
          </w:rPr>
          <w:t>十四、高纯砷及氧化砷项目工程方案分析</w:t>
        </w:r>
        <w:r>
          <w:tab/>
        </w:r>
        <w:r>
          <w:fldChar w:fldCharType="begin"/>
        </w:r>
        <w:r>
          <w:instrText xml:space="preserve"> PAGEREF _Toc32139 \h </w:instrText>
        </w:r>
        <w:r>
          <w:fldChar w:fldCharType="separate"/>
        </w:r>
        <w:r>
          <w:t>55</w:t>
        </w:r>
        <w:r>
          <w:fldChar w:fldCharType="end"/>
        </w:r>
      </w:hyperlink>
    </w:p>
    <w:p>
      <w:pPr>
        <w:pStyle w:val="TOC2"/>
        <w:tabs>
          <w:tab w:val="right" w:leader="dot" w:pos="8306"/>
        </w:tabs>
      </w:pPr>
      <w:hyperlink w:anchor="_Toc24246" w:history="1">
        <w:r>
          <w:rPr>
            <w:rFonts w:ascii="仿宋" w:eastAsia="仿宋" w:hAnsi="仿宋" w:cs="仿宋" w:hint="eastAsia"/>
            <w:lang w:eastAsia="zh-CN"/>
          </w:rPr>
          <w:t>(一)、建筑工程设计原则</w:t>
        </w:r>
        <w:r>
          <w:tab/>
        </w:r>
        <w:r>
          <w:fldChar w:fldCharType="begin"/>
        </w:r>
        <w:r>
          <w:instrText xml:space="preserve"> PAGEREF _Toc24246 \h </w:instrText>
        </w:r>
        <w:r>
          <w:fldChar w:fldCharType="separate"/>
        </w:r>
        <w:r>
          <w:t>55</w:t>
        </w:r>
        <w:r>
          <w:fldChar w:fldCharType="end"/>
        </w:r>
      </w:hyperlink>
    </w:p>
    <w:p>
      <w:pPr>
        <w:pStyle w:val="TOC2"/>
        <w:tabs>
          <w:tab w:val="right" w:leader="dot" w:pos="8306"/>
        </w:tabs>
      </w:pPr>
      <w:hyperlink w:anchor="_Toc10261" w:history="1">
        <w:r>
          <w:rPr>
            <w:rFonts w:ascii="仿宋" w:eastAsia="仿宋" w:hAnsi="仿宋" w:cs="仿宋" w:hint="eastAsia"/>
            <w:lang w:eastAsia="zh-CN"/>
          </w:rPr>
          <w:t>(二)、土建工程建设指标</w:t>
        </w:r>
        <w:r>
          <w:tab/>
        </w:r>
        <w:r>
          <w:fldChar w:fldCharType="begin"/>
        </w:r>
        <w:r>
          <w:instrText xml:space="preserve"> PAGEREF _Toc10261 \h </w:instrText>
        </w:r>
        <w:r>
          <w:fldChar w:fldCharType="separate"/>
        </w:r>
        <w:r>
          <w:t>58</w:t>
        </w:r>
        <w:r>
          <w:fldChar w:fldCharType="end"/>
        </w:r>
      </w:hyperlink>
    </w:p>
    <w:p>
      <w:pPr>
        <w:pStyle w:val="TOC1"/>
        <w:tabs>
          <w:tab w:val="right" w:leader="dot" w:pos="8306"/>
        </w:tabs>
      </w:pPr>
      <w:hyperlink w:anchor="_Toc710" w:history="1">
        <w:r>
          <w:rPr>
            <w:rFonts w:ascii="仿宋" w:eastAsia="仿宋" w:hAnsi="仿宋" w:cs="仿宋" w:hint="eastAsia"/>
            <w:lang w:eastAsia="zh-CN"/>
          </w:rPr>
          <w:t>十五、高纯砷及氧化砷项目实施保障措施</w:t>
        </w:r>
        <w:r>
          <w:tab/>
        </w:r>
        <w:r>
          <w:fldChar w:fldCharType="begin"/>
        </w:r>
        <w:r>
          <w:instrText xml:space="preserve"> PAGEREF _Toc710 \h </w:instrText>
        </w:r>
        <w:r>
          <w:fldChar w:fldCharType="separate"/>
        </w:r>
        <w:r>
          <w:t>60</w:t>
        </w:r>
        <w:r>
          <w:fldChar w:fldCharType="end"/>
        </w:r>
      </w:hyperlink>
    </w:p>
    <w:p>
      <w:pPr>
        <w:pStyle w:val="TOC2"/>
        <w:tabs>
          <w:tab w:val="right" w:leader="dot" w:pos="8306"/>
        </w:tabs>
      </w:pPr>
      <w:hyperlink w:anchor="_Toc5625" w:history="1">
        <w:r>
          <w:rPr>
            <w:rFonts w:ascii="仿宋" w:eastAsia="仿宋" w:hAnsi="仿宋" w:cs="仿宋" w:hint="eastAsia"/>
            <w:lang w:eastAsia="zh-CN"/>
          </w:rPr>
          <w:t>(一)、高纯砷及氧化砷项目实施保障机制</w:t>
        </w:r>
        <w:r>
          <w:tab/>
        </w:r>
        <w:r>
          <w:fldChar w:fldCharType="begin"/>
        </w:r>
        <w:r>
          <w:instrText xml:space="preserve"> PAGEREF _Toc5625 \h </w:instrText>
        </w:r>
        <w:r>
          <w:fldChar w:fldCharType="separate"/>
        </w:r>
        <w:r>
          <w:t>60</w:t>
        </w:r>
        <w:r>
          <w:fldChar w:fldCharType="end"/>
        </w:r>
      </w:hyperlink>
    </w:p>
    <w:p>
      <w:pPr>
        <w:pStyle w:val="TOC2"/>
        <w:tabs>
          <w:tab w:val="right" w:leader="dot" w:pos="8306"/>
        </w:tabs>
      </w:pPr>
      <w:hyperlink w:anchor="_Toc23423" w:history="1">
        <w:r>
          <w:rPr>
            <w:rFonts w:ascii="仿宋" w:eastAsia="仿宋" w:hAnsi="仿宋" w:cs="仿宋" w:hint="eastAsia"/>
            <w:lang w:eastAsia="zh-CN"/>
          </w:rPr>
          <w:t>(二)、高纯砷及氧化砷项目法律合规要求</w:t>
        </w:r>
        <w:r>
          <w:tab/>
        </w:r>
        <w:r>
          <w:fldChar w:fldCharType="begin"/>
        </w:r>
        <w:r>
          <w:instrText xml:space="preserve"> PAGEREF _Toc23423 \h </w:instrText>
        </w:r>
        <w:r>
          <w:fldChar w:fldCharType="separate"/>
        </w:r>
        <w:r>
          <w:t>64</w:t>
        </w:r>
        <w:r>
          <w:fldChar w:fldCharType="end"/>
        </w:r>
      </w:hyperlink>
    </w:p>
    <w:p>
      <w:pPr>
        <w:pStyle w:val="TOC2"/>
        <w:tabs>
          <w:tab w:val="right" w:leader="dot" w:pos="8306"/>
        </w:tabs>
      </w:pPr>
      <w:hyperlink w:anchor="_Toc4799" w:history="1">
        <w:r>
          <w:rPr>
            <w:rFonts w:ascii="仿宋" w:eastAsia="仿宋" w:hAnsi="仿宋" w:cs="仿宋" w:hint="eastAsia"/>
            <w:lang w:eastAsia="zh-CN"/>
          </w:rPr>
          <w:t>(三)、高纯砷及氧化砷项目合同管理与法律事务</w:t>
        </w:r>
        <w:r>
          <w:tab/>
        </w:r>
        <w:r>
          <w:fldChar w:fldCharType="begin"/>
        </w:r>
        <w:r>
          <w:instrText xml:space="preserve"> PAGEREF _Toc4799 \h </w:instrText>
        </w:r>
        <w:r>
          <w:fldChar w:fldCharType="separate"/>
        </w:r>
        <w:r>
          <w:t>68</w:t>
        </w:r>
        <w:r>
          <w:fldChar w:fldCharType="end"/>
        </w:r>
      </w:hyperlink>
    </w:p>
    <w:p>
      <w:pPr>
        <w:pStyle w:val="TOC2"/>
        <w:tabs>
          <w:tab w:val="right" w:leader="dot" w:pos="8306"/>
        </w:tabs>
      </w:pPr>
      <w:hyperlink w:anchor="_Toc1530" w:history="1">
        <w:r>
          <w:rPr>
            <w:rFonts w:ascii="仿宋" w:eastAsia="仿宋" w:hAnsi="仿宋" w:cs="仿宋" w:hint="eastAsia"/>
            <w:lang w:eastAsia="zh-CN"/>
          </w:rPr>
          <w:t>(四)、高纯砷及氧化砷项目知识产权保护策略</w:t>
        </w:r>
        <w:r>
          <w:tab/>
        </w:r>
        <w:r>
          <w:fldChar w:fldCharType="begin"/>
        </w:r>
        <w:r>
          <w:instrText xml:space="preserve"> PAGEREF _Toc1530 \h </w:instrText>
        </w:r>
        <w:r>
          <w:fldChar w:fldCharType="separate"/>
        </w:r>
        <w:r>
          <w:t>74</w:t>
        </w:r>
        <w:r>
          <w:fldChar w:fldCharType="end"/>
        </w:r>
      </w:hyperlink>
    </w:p>
    <w:p>
      <w:pPr>
        <w:pStyle w:val="TOC1"/>
        <w:tabs>
          <w:tab w:val="right" w:leader="dot" w:pos="8306"/>
        </w:tabs>
      </w:pPr>
      <w:hyperlink w:anchor="_Toc4101" w:history="1">
        <w:r>
          <w:rPr>
            <w:rFonts w:ascii="仿宋" w:eastAsia="仿宋" w:hAnsi="仿宋" w:cs="仿宋" w:hint="eastAsia"/>
            <w:lang w:eastAsia="zh-CN"/>
          </w:rPr>
          <w:t>十六、高纯砷及氧化砷项目治理与监督</w:t>
        </w:r>
        <w:r>
          <w:tab/>
        </w:r>
        <w:r>
          <w:fldChar w:fldCharType="begin"/>
        </w:r>
        <w:r>
          <w:instrText xml:space="preserve"> PAGEREF _Toc4101 \h </w:instrText>
        </w:r>
        <w:r>
          <w:fldChar w:fldCharType="separate"/>
        </w:r>
        <w:r>
          <w:t>77</w:t>
        </w:r>
        <w:r>
          <w:fldChar w:fldCharType="end"/>
        </w:r>
      </w:hyperlink>
    </w:p>
    <w:p>
      <w:pPr>
        <w:pStyle w:val="TOC2"/>
        <w:tabs>
          <w:tab w:val="right" w:leader="dot" w:pos="8306"/>
        </w:tabs>
      </w:pPr>
      <w:hyperlink w:anchor="_Toc31390" w:history="1">
        <w:r>
          <w:rPr>
            <w:rFonts w:ascii="仿宋" w:eastAsia="仿宋" w:hAnsi="仿宋" w:cs="仿宋" w:hint="eastAsia"/>
            <w:lang w:eastAsia="zh-CN"/>
          </w:rPr>
          <w:t>(一)、高纯砷及氧化砷项目治理结构</w:t>
        </w:r>
        <w:r>
          <w:tab/>
        </w:r>
        <w:r>
          <w:fldChar w:fldCharType="begin"/>
        </w:r>
        <w:r>
          <w:instrText xml:space="preserve"> PAGEREF _Toc31390 \h </w:instrText>
        </w:r>
        <w:r>
          <w:fldChar w:fldCharType="separate"/>
        </w:r>
        <w:r>
          <w:t>77</w:t>
        </w:r>
        <w:r>
          <w:fldChar w:fldCharType="end"/>
        </w:r>
      </w:hyperlink>
    </w:p>
    <w:p>
      <w:pPr>
        <w:pStyle w:val="TOC2"/>
        <w:tabs>
          <w:tab w:val="right" w:leader="dot" w:pos="8306"/>
        </w:tabs>
      </w:pPr>
      <w:hyperlink w:anchor="_Toc17618" w:history="1">
        <w:r>
          <w:rPr>
            <w:rFonts w:ascii="仿宋" w:eastAsia="仿宋" w:hAnsi="仿宋" w:cs="仿宋" w:hint="eastAsia"/>
            <w:lang w:eastAsia="zh-CN"/>
          </w:rPr>
          <w:t>(二)、监督与审计</w:t>
        </w:r>
        <w:r>
          <w:tab/>
        </w:r>
        <w:r>
          <w:fldChar w:fldCharType="begin"/>
        </w:r>
        <w:r>
          <w:instrText xml:space="preserve"> PAGEREF _Toc17618 \h </w:instrText>
        </w:r>
        <w:r>
          <w:fldChar w:fldCharType="separate"/>
        </w:r>
        <w:r>
          <w:t>79</w:t>
        </w:r>
        <w:r>
          <w:fldChar w:fldCharType="end"/>
        </w:r>
      </w:hyperlink>
    </w:p>
    <w:p>
      <w:pPr>
        <w:pStyle w:val="TOC1"/>
        <w:tabs>
          <w:tab w:val="right" w:leader="dot" w:pos="8306"/>
        </w:tabs>
      </w:pPr>
      <w:hyperlink w:anchor="_Toc7085" w:history="1">
        <w:r>
          <w:rPr>
            <w:rFonts w:ascii="仿宋" w:eastAsia="仿宋" w:hAnsi="仿宋" w:cs="仿宋" w:hint="eastAsia"/>
            <w:lang w:eastAsia="zh-CN"/>
          </w:rPr>
          <w:t>十七、利益相关者分析与沟通计划</w:t>
        </w:r>
        <w:r>
          <w:tab/>
        </w:r>
        <w:r>
          <w:fldChar w:fldCharType="begin"/>
        </w:r>
        <w:r>
          <w:instrText xml:space="preserve"> PAGEREF _Toc7085 \h </w:instrText>
        </w:r>
        <w:r>
          <w:fldChar w:fldCharType="separate"/>
        </w:r>
        <w:r>
          <w:t>80</w:t>
        </w:r>
        <w:r>
          <w:fldChar w:fldCharType="end"/>
        </w:r>
      </w:hyperlink>
    </w:p>
    <w:p>
      <w:pPr>
        <w:pStyle w:val="TOC2"/>
        <w:tabs>
          <w:tab w:val="right" w:leader="dot" w:pos="8306"/>
        </w:tabs>
      </w:pPr>
      <w:hyperlink w:anchor="_Toc15467" w:history="1">
        <w:r>
          <w:rPr>
            <w:rFonts w:ascii="仿宋" w:eastAsia="仿宋" w:hAnsi="仿宋" w:cs="仿宋" w:hint="eastAsia"/>
            <w:lang w:eastAsia="zh-CN"/>
          </w:rPr>
          <w:t>(一)、利益相关者分析</w:t>
        </w:r>
        <w:r>
          <w:tab/>
        </w:r>
        <w:r>
          <w:fldChar w:fldCharType="begin"/>
        </w:r>
        <w:r>
          <w:instrText xml:space="preserve"> PAGEREF _Toc15467 \h </w:instrText>
        </w:r>
        <w:r>
          <w:fldChar w:fldCharType="separate"/>
        </w:r>
        <w:r>
          <w:t>80</w:t>
        </w:r>
        <w:r>
          <w:fldChar w:fldCharType="end"/>
        </w:r>
      </w:hyperlink>
    </w:p>
    <w:p>
      <w:pPr>
        <w:pStyle w:val="TOC2"/>
        <w:tabs>
          <w:tab w:val="right" w:leader="dot" w:pos="8306"/>
        </w:tabs>
      </w:pPr>
      <w:hyperlink w:anchor="_Toc22834" w:history="1">
        <w:r>
          <w:rPr>
            <w:rFonts w:ascii="仿宋" w:eastAsia="仿宋" w:hAnsi="仿宋" w:cs="仿宋" w:hint="eastAsia"/>
            <w:lang w:eastAsia="zh-CN"/>
          </w:rPr>
          <w:t>(二)、沟通计划</w:t>
        </w:r>
        <w:r>
          <w:tab/>
        </w:r>
        <w:r>
          <w:fldChar w:fldCharType="begin"/>
        </w:r>
        <w:r>
          <w:instrText xml:space="preserve"> PAGEREF _Toc22834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50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323"/>
      <w:r>
        <w:rPr>
          <w:rFonts w:ascii="仿宋" w:eastAsia="仿宋" w:hAnsi="仿宋" w:cs="仿宋" w:hint="eastAsia"/>
          <w:lang w:eastAsia="zh-CN"/>
        </w:rPr>
        <w:t>(一)、高纯砷及氧化砷行业分析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行业一直以来都是市场的关注焦点。行业内的发展趋势、竞争态势以及潜在机会都对高纯砷及氧化砷项目的推进产生深远的影响。通过深入研究行业的整体概貌，我们将更好地理解行业的核心特征，为高纯砷及氧化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行业，技术一直是推动创新和发展的关键因素。我们将对当前技术趋势进行详尽分析，包括但不限于人工智能、大数据应用、先进制造技术等。这有助于高纯砷及氧化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纯砷及氧化砷项目成功的基础。我们将对主要竞争对手进行深入研究，包括其市场份额、产品特点、市场定位等。通过全面了解竞争对手的优势和劣势，高纯砷及氧化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3022"/>
      <w:r>
        <w:rPr>
          <w:rFonts w:ascii="仿宋" w:eastAsia="仿宋" w:hAnsi="仿宋" w:cs="仿宋" w:hint="eastAsia"/>
          <w:sz w:val="28"/>
          <w:lang w:eastAsia="zh-CN"/>
        </w:rPr>
        <w:t>(二)、高纯砷及氧化砷市场分析预测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纯砷及氧化砷市场未来的增长趋势。这包括市场的整体规模、各细分领域的发展趋势等。高纯砷及氧化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纯砷及氧化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高纯砷及氧化砷项目实施过程中需要充分考虑的因素。我们将对市场风险进行全面评估，包括但不限于政策法规风险、市场竞争风险、技术变革风险等。通过对潜在风险的深入分析，高纯砷及氧化砷项目可以制定相应的风险缓解策略，降低不确定性对高纯砷及氧化砷项目的影响。</w:t>
      </w:r>
    </w:p>
    <w:p>
      <w:pPr>
        <w:pStyle w:val="Heading1"/>
        <w:ind w:firstLine="560" w:firstLineChars="200"/>
        <w:rPr>
          <w:rFonts w:ascii="仿宋" w:eastAsia="仿宋" w:hAnsi="仿宋" w:cs="仿宋" w:hint="eastAsia"/>
          <w:sz w:val="28"/>
          <w:lang w:eastAsia="zh-CN"/>
        </w:rPr>
      </w:pPr>
      <w:bookmarkStart w:id="5" w:name="_Toc757"/>
      <w:r>
        <w:rPr>
          <w:rFonts w:ascii="仿宋" w:eastAsia="仿宋" w:hAnsi="仿宋" w:cs="仿宋" w:hint="eastAsia"/>
          <w:sz w:val="28"/>
          <w:lang w:eastAsia="zh-CN"/>
        </w:rPr>
        <w:t>二、高纯砷及氧化砷项目可持续发展</w:t>
      </w:r>
      <w:bookmarkEnd w:id="5"/>
    </w:p>
    <w:p>
      <w:pPr>
        <w:pStyle w:val="Heading2"/>
        <w:rPr>
          <w:rFonts w:ascii="仿宋" w:eastAsia="仿宋" w:hAnsi="仿宋" w:cs="仿宋" w:hint="eastAsia"/>
          <w:lang w:eastAsia="zh-CN"/>
        </w:rPr>
      </w:pPr>
      <w:bookmarkStart w:id="6" w:name="_Toc10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项目中，高纯砷及氧化砷项目团队着眼于未来，明确了可持续发展的战略方向。制定的具体可持续发展目标包括降低资源使用、采用环保技术、最大化社会效益等。这一步骤不仅有助于高纯砷及氧化砷项目在环保和社会责任方面达到最高标准，也为未来提供了明确的指引，确保高纯砷及氧化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可持续实践的融入高纯砷及氧化砷项目管理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纯砷及氧化砷项目管理周期。从高纯砷及氧化砷项目规划开始，高纯砷及氧化砷项目团队就考虑了环境和社会的因素。在执行阶段，高纯砷及氧化砷项目团队积极推动绿色技术的应用，优化资源利用。此外，关注员工的社会责任，通过培训和沟通活动提高员工对可持续发展的认知，使他们能够在日常工作中践行可持续实践。这些举措不仅为高纯砷及氧化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02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扎根于高纯砷及氧化砷项目的可持续发展理念，我们深信环保与社会责任是高纯砷及氧化砷项目成功的关键支柱。在高纯砷及氧化砷项目的每一步，我们都致力于通过创新和实践，履行对环境和社会的坚定责任。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团队通过引入先进的环保技术、建立高效的废物处理系统以及推动能源节约措施，积极履行环保责任。定期的环保监测和评估确保高纯砷及氧化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不仅致力于自身可持续发展，还注重对社会的回馈。通过支持社区高纯砷及氧化砷项目、参与慈善事业、提供培训机会等方式，高纯砷及氧化砷项目积极履行社会责任。与当地社区建立积极互动，关注员工的工作与生活平衡，以及员工的身心健康，是高纯砷及氧化砷项目在社会责任层面的关键举措。这样的实践不仅增强了高纯砷及氧化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7551"/>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962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高纯砷及氧化砷项目的主要产品是XXXX，预计年产值为XXX万元。这一产品在市场中占据着重要的地位，其广泛的应用范围使得该高纯砷及氧化砷项目的市场前景非常广阔。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纯砷及氧化砷项目的xxx产品作为重要的原材料之一，将在多个领域发挥关键作用。其在建筑、交通、能源等方面的广泛应用将为整个产业链提供强大的支持，形成产业协同效应。高纯砷及氧化砷项目的年产值XXX万XXX万XXX万万元不仅反映了其在市场上的巨大潜力，更预示着它对国民经济的积极贡献。这种关联度高、涉及面广的产业关系，使得该高纯砷及氧化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724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总征地面积为XXXX平方米，相当于约XX.XX亩，其中净用地面积为XXXX平方米，红线范围内相当于约XX.XX亩。这一用地规模充分考虑了高纯砷及氧化砷项目的建设需求，保障了高纯砷及氧化砷项目在合适的空间内得以充分发展。高纯砷及氧化砷项目规划的总建筑面积为XXXX平方米，其中主体工程建设占XXXX平方米，计容建筑面积达XXXX平方米。预计建筑工程的投资将达到XXXX万元，为高纯砷及氧化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计划购置的设备共计XXXX台（套），设备购置费用为XXXX万元。这一设备购置计划充分考虑到高纯砷及氧化砷项目的生产需求和技术要求，确保了高纯砷及氧化砷项目在生产运营中具备先进的技术装备和高效的生产能力。设备的合理配置将为高纯砷及氧化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计划总投资为XXXX万元，预计年实现营业收入为XXXX万元。这一产能规模的设定旨在确保高纯砷及氧化砷项目能够在投资与回报之间取得平衡，实现长期可持续的发展。高纯砷及氧化砷项目的总投资充分考虑到各个方面的需求，包括用地建设、设备购置等多个环节，以确保高纯砷及氧化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6504"/>
      <w:r>
        <w:rPr>
          <w:rFonts w:ascii="仿宋" w:eastAsia="仿宋" w:hAnsi="仿宋" w:cs="仿宋" w:hint="eastAsia"/>
          <w:sz w:val="28"/>
          <w:lang w:eastAsia="zh-CN"/>
        </w:rPr>
        <w:t>四、高纯砷及氧化砷项目土建工程</w:t>
      </w:r>
      <w:bookmarkEnd w:id="11"/>
    </w:p>
    <w:p>
      <w:pPr>
        <w:pStyle w:val="Heading2"/>
        <w:rPr>
          <w:rFonts w:ascii="仿宋" w:eastAsia="仿宋" w:hAnsi="仿宋" w:cs="仿宋" w:hint="eastAsia"/>
          <w:lang w:eastAsia="zh-CN"/>
        </w:rPr>
      </w:pPr>
      <w:bookmarkStart w:id="12" w:name="_Toc2081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在高纯砷及氧化砷项目的建筑工程设计中，我们将秉承一系列重要的设计原则，以确保高纯砷及氧化砷项目建筑在功能、美观、可持续性等方面达到最佳效果。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首要原则是确保建筑的功能性得到最大化的发挥。我们将充分理解高纯砷及氧化砷项目的实际需求，合理布局各个功能区域，保证建筑在满足业务需求的同时，提供高效的工作环境。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在建筑设计中，我们将综合考虑建设和运营成本。通过精细的经济效益分析，确保设计方案在高效利用资源的同时，对高纯砷及氧化砷项目的长期盈利能力有积极的贡献。</w:t>
      </w:r>
    </w:p>
    <w:p>
      <w:pPr>
        <w:pStyle w:val="Heading2"/>
        <w:ind w:firstLine="560" w:firstLineChars="200"/>
        <w:rPr>
          <w:rFonts w:ascii="仿宋" w:eastAsia="仿宋" w:hAnsi="仿宋" w:cs="仿宋" w:hint="eastAsia"/>
          <w:sz w:val="28"/>
          <w:lang w:eastAsia="zh-CN"/>
        </w:rPr>
      </w:pPr>
      <w:bookmarkStart w:id="13" w:name="_Toc8409"/>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项目的土建工程设计中，我们将精准设定设计年限，结合高纯砷及氧化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纯砷及氧化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2179"/>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高纯砷及氧化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纯砷及氧化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纯砷及氧化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256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本期工程高纯砷及氧化砷项目预计总建筑面积XXX平方米，其中：计容建筑面积XXX平方米，计划建筑工程投资XX万元，占高纯砷及氧化砷项目总投资的XX%。</w:t>
      </w:r>
    </w:p>
    <w:p>
      <w:pPr>
        <w:pStyle w:val="Heading1"/>
        <w:ind w:firstLine="560" w:firstLineChars="200"/>
        <w:rPr>
          <w:rFonts w:ascii="仿宋" w:eastAsia="仿宋" w:hAnsi="仿宋" w:cs="仿宋" w:hint="eastAsia"/>
          <w:sz w:val="28"/>
          <w:lang w:eastAsia="zh-CN"/>
        </w:rPr>
      </w:pPr>
      <w:bookmarkStart w:id="16" w:name="_Toc29652"/>
      <w:r>
        <w:rPr>
          <w:rFonts w:ascii="仿宋" w:eastAsia="仿宋" w:hAnsi="仿宋" w:cs="仿宋" w:hint="eastAsia"/>
          <w:sz w:val="28"/>
          <w:lang w:eastAsia="zh-CN"/>
        </w:rPr>
        <w:t>五、高纯砷及氧化砷项目建设背景及必要性分析</w:t>
      </w:r>
      <w:bookmarkEnd w:id="16"/>
    </w:p>
    <w:p>
      <w:pPr>
        <w:pStyle w:val="Heading2"/>
        <w:rPr>
          <w:rFonts w:ascii="仿宋" w:eastAsia="仿宋" w:hAnsi="仿宋" w:cs="仿宋" w:hint="eastAsia"/>
          <w:lang w:eastAsia="zh-CN"/>
        </w:rPr>
      </w:pPr>
      <w:bookmarkStart w:id="17" w:name="_Toc9434"/>
      <w:r>
        <w:rPr>
          <w:rFonts w:ascii="仿宋" w:eastAsia="仿宋" w:hAnsi="仿宋" w:cs="仿宋" w:hint="eastAsia"/>
          <w:lang w:eastAsia="zh-CN"/>
        </w:rPr>
        <w:t>(一)、高纯砷及氧化砷项目背景分析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纯砷及氧化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纯砷及氧化砷项目在这个潮流中的定位。同时，我们将关注行业内涌现的新兴机遇，以便高纯砷及氧化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纯砷及氧化砷项目提供了强大的发展动力。我们将聚焦于行业内最新的技术发展趋势，包括但不限于人工智能、大数据分析、物联网等领域。通过深度的技术研究，我们将确保高纯砷及氧化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纯砷及氧化砷项目发展的源泉。我们将投入更多的精力对市场需求进行深入剖析，超越表面的需求，深入挖掘潜在的市场痛点和机遇。通过对市场需求的细致了解，高纯砷及氧化砷项目将更有针对性地设计解决方案，满足市场的多样化需求，从而更好地促进高纯砷及氧化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纯砷及氧化砷项目战略至关重要。我们将对竞争态势进行更为深入的分析，包括但不限于市场份额、产品特点、客户满意度等多个维度。通过深度的竞争分析，高纯砷及氧化砷项目将能够更准确地把握市场脉搏，制定具有竞争力的高纯砷及氧化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纯砷及氧化砷项目的发展具有直接的影响。我们将进行更为全面的法规和政策分析，了解行业发展中的潜在法律风险和合规挑战。通过充分了解和遵守相关法规，高纯砷及氧化砷项目将确保在法律框架内合法合规运营，为高纯砷及氧化砷项目的稳健发展提供有力支持。</w:t>
      </w:r>
    </w:p>
    <w:p>
      <w:pPr>
        <w:pStyle w:val="Heading2"/>
        <w:ind w:firstLine="560" w:firstLineChars="200"/>
        <w:rPr>
          <w:rFonts w:ascii="仿宋" w:eastAsia="仿宋" w:hAnsi="仿宋" w:cs="仿宋" w:hint="eastAsia"/>
          <w:sz w:val="28"/>
          <w:lang w:eastAsia="zh-CN"/>
        </w:rPr>
      </w:pPr>
      <w:bookmarkStart w:id="18" w:name="_Toc13862"/>
      <w:r>
        <w:rPr>
          <w:rFonts w:ascii="仿宋" w:eastAsia="仿宋" w:hAnsi="仿宋" w:cs="仿宋" w:hint="eastAsia"/>
          <w:sz w:val="28"/>
          <w:lang w:eastAsia="zh-CN"/>
        </w:rPr>
        <w:t>(二)、高纯砷及氧化砷项目建设必要性分析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建设的迫切性源于对行业发展趋势的深刻洞察。我们正处于一个行业变革的时代，科技创新、数字化转型成为企业发展的关键动力。高纯砷及氧化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建设不仅仅是为了跟上潮流，更是为了通过技术创新推动企业的持续发展。通过引入先进的技术和解决方案，高纯砷及氧化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纯砷及氧化砷项目的建设成为必然选择，通过提高产品质量、拓展服务领域，从而在竞争中获得更多的机会。高纯砷及氧化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纯砷及氧化砷项目建设的必要性体现在对客户需求更精准的满足。通过高纯砷及氧化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建设的背后是对企业持续创新的追求。只有通过不断创新，企业才能在竞争中立于不败之地。高纯砷及氧化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9372"/>
      <w:r>
        <w:rPr>
          <w:rFonts w:ascii="仿宋" w:eastAsia="仿宋" w:hAnsi="仿宋" w:cs="仿宋" w:hint="eastAsia"/>
          <w:sz w:val="28"/>
          <w:lang w:eastAsia="zh-CN"/>
        </w:rPr>
        <w:t>六、高纯砷及氧化砷项目绩效评估</w:t>
      </w:r>
      <w:bookmarkEnd w:id="19"/>
    </w:p>
    <w:p>
      <w:pPr>
        <w:pStyle w:val="Heading2"/>
        <w:rPr>
          <w:rFonts w:ascii="仿宋" w:eastAsia="仿宋" w:hAnsi="仿宋" w:cs="仿宋" w:hint="eastAsia"/>
          <w:lang w:eastAsia="zh-CN"/>
        </w:rPr>
      </w:pPr>
      <w:bookmarkStart w:id="20" w:name="_Toc991"/>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砷及氧化砷项目中，我们设计了一套全面的绩效评估指标，以确保高纯砷及氧化砷项目的可控和成功交付。这些指标跨足高纯砷及氧化砷项目目标、成本、进度和质量等多个维度，为我们提供了全面洞察高纯砷及氧化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目标达成率是我们关注的首要指标。我们设定了明确的目标，并通过定期监测和评估，迅速发现并应对潜在的目标偏差。这为高纯砷及氧化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成本绩效是另一个核心关注点。通过实际成本与预算成本的对比分析，我们深入了解成本差异的原因，及时调整资源分配，保持高纯砷及氧化砷项目在经济效益方面的合理水平。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砷及氧化砷项目进度作为关键的绩效指标之一，得到了精心的关注。我们制定了详细的高纯砷及氧化砷项目进度计划，并设立了进度符合度指标，确保实际进度与计划进度保持一致。这使我们能够快速发现和解决潜在的进度问题，保持高纯砷及氧化砷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纯砷及氧化砷项目绩效的不可或缺的一环。我们引入了一系列的质量标准和客户满意度指标，以确保高纯砷及氧化砷项目交付的成果在质量上达到或超越预期水平。通过持续监测这些指标，我们努力提升高纯砷及氧化砷项目整体质量水平，为高纯砷及氧化砷项目的成功交付提供有力保障。通过这些科学且全面的绩效评估，我们能够更好地引导高纯砷及氧化砷项目的持续改进，确保高纯砷及氧化砷项目目标的顺利达成。</w:t>
      </w:r>
    </w:p>
    <w:p>
      <w:pPr>
        <w:pStyle w:val="Heading2"/>
        <w:ind w:firstLine="560" w:firstLineChars="200"/>
        <w:rPr>
          <w:rFonts w:ascii="仿宋" w:eastAsia="仿宋" w:hAnsi="仿宋" w:cs="仿宋" w:hint="eastAsia"/>
          <w:sz w:val="28"/>
          <w:lang w:eastAsia="zh-CN"/>
        </w:rPr>
      </w:pPr>
      <w:bookmarkStart w:id="21" w:name="_Toc28946"/>
      <w:r>
        <w:rPr>
          <w:rFonts w:ascii="仿宋" w:eastAsia="仿宋" w:hAnsi="仿宋" w:cs="仿宋" w:hint="eastAsia"/>
          <w:sz w:val="28"/>
          <w:lang w:eastAsia="zh-CN"/>
        </w:rPr>
        <w:t>(二)、绩效评估方法</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绩效评估是高纯砷及氧化砷项目中的关键环节，为确保高纯砷及氧化砷项目达到预期目标，我们采用了多层次、多维度的绩效评估方法。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纯砷及氧化砷项目的战略目标对齐，确保每个决策和行动都与高纯砷及氧化砷项目整体目标保持一致。团队会定期召开战略对齐会议，审视当前工作与高纯砷及氧化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纯砷及氧化砷项目进度、质量、成本和风险等方面。这些指标通过数据收集和分析，为高纯砷及氧化砷项目管理团队提供了客观的评估依据。例如，我们通过高纯砷及氧化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https://d.book118.com/587153152135006052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高纯砷及氧化砷项目计划设计方案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057242"/>
    <w:rsid w:val="170572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7153152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2024-03-01T12:42:00Z</dcterms:created>
  <dcterms:modified xsi:type="dcterms:W3CDTF">2024-03-01T12:42:55Z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280A48CCC40B4E06BC7D7B94AFF4954B_11</vt:lpwstr>
  </property>
  <property fmtid="{D5CDD505-2E9C-101B-9397-08002B2CF9AE}" pid="3" name="KSOProductBuildVer">
    <vt:lpwstr>2052-12.1.0.16388</vt:lpwstr>
  </property>
</Properties>
</file>