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竹藤家具机械相关行业公司成立报告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(七)、竹藤家具机械项目建设必要性分析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_Toc7364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五、竹藤家具机械筹建公司基本信息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_Toc32396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9" w:history="1">
        <w:r>
          <w:rPr>
            <w:rFonts w:ascii="仿宋" w:eastAsia="仿宋" w:hAnsi="仿宋" w:cs="仿宋" w:hint="eastAsia"/>
            <w:lang w:eastAsia="zh-CN"/>
          </w:rPr>
          <w:t>(一)、竹藤家具机械项目背景分析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(二)、竹藤家具机械项目建设必要性分析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_Toc21965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(五)、竹藤家具机械项目总投资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_Toc9808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_Toc21461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(一)、社会责任竹藤家具机械项目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(二)、合作竹藤家具机械项目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8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0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https://d.book118.com/588017137054006037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竹藤家具机械相关行业公司成立报告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竹藤家具机械相关行业公司成立报告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竹藤家具机械相关行业公司成立报告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竹藤家具机械相关行业公司成立报告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竹藤家具机械相关行业公司成立报告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17137054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2024-02-03T17:43:00Z</dcterms:created>
  <dcterms:modified xsi:type="dcterms:W3CDTF">2024-02-03T17:43:46Z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347AE9F8299E4EADBBF263E39715A3D5_11</vt:lpwstr>
  </property>
  <property fmtid="{D5CDD505-2E9C-101B-9397-08002B2CF9AE}" pid="3" name="KSOProductBuildVer">
    <vt:lpwstr>2052-12.1.0.16250</vt:lpwstr>
  </property>
</Properties>
</file>