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tabs>
          <w:tab w:val="right" w:leader="hyphen" w:pos="12492"/>
        </w:tabs>
        <w:bidi w:val="0"/>
        <w:spacing w:before="0" w:line="240" w:lineRule="auto"/>
        <w:ind w:left="0" w:right="0" w:firstLine="0"/>
        <w:jc w:val="both"/>
        <w:rPr>
          <w:sz w:val="40"/>
          <w:szCs w:val="40"/>
        </w:rPr>
      </w:pPr>
      <w:r>
        <w:fldChar w:fldCharType="begin"/>
      </w:r>
      <w:r>
        <w:instrText xml:space="preserve"> TOC \o "1-5" \h \z </w:instrText>
      </w:r>
      <w:r>
        <w:fldChar w:fldCharType="separate"/>
      </w:r>
      <w:hyperlink w:anchor="bookmark6" w:tooltip="Current Document" w:history="1">
        <w:r>
          <w:rPr>
            <w:rFonts w:ascii="Times New Roman" w:eastAsia="Times New Roman" w:hAnsi="Times New Roman" w:cs="Times New Roman"/>
            <w:b/>
            <w:bCs/>
            <w:color w:val="000000"/>
            <w:spacing w:val="0"/>
            <w:w w:val="100"/>
            <w:position w:val="0"/>
            <w:sz w:val="40"/>
            <w:szCs w:val="40"/>
          </w:rPr>
          <w:t>1</w:t>
        </w:r>
        <w:r>
          <w:rPr>
            <w:b/>
            <w:bCs/>
            <w:color w:val="000000"/>
            <w:spacing w:val="0"/>
            <w:w w:val="100"/>
            <w:position w:val="0"/>
            <w:sz w:val="42"/>
            <w:szCs w:val="42"/>
          </w:rPr>
          <w:t>适用范围</w:t>
          <w:tab/>
        </w:r>
        <w:r>
          <w:rPr>
            <w:rFonts w:ascii="Times New Roman" w:eastAsia="Times New Roman" w:hAnsi="Times New Roman" w:cs="Times New Roman"/>
            <w:b/>
            <w:bCs/>
            <w:color w:val="000000"/>
            <w:spacing w:val="0"/>
            <w:w w:val="100"/>
            <w:position w:val="0"/>
            <w:sz w:val="40"/>
            <w:szCs w:val="40"/>
          </w:rPr>
          <w:t>2</w:t>
        </w:r>
      </w:hyperlink>
    </w:p>
    <w:p>
      <w:pPr>
        <w:pStyle w:val="a4"/>
        <w:keepNext w:val="0"/>
        <w:keepLines w:val="0"/>
        <w:widowControl w:val="0"/>
        <w:shd w:val="clear" w:color="auto" w:fill="auto"/>
        <w:tabs>
          <w:tab w:val="right" w:leader="hyphen" w:pos="12492"/>
        </w:tabs>
        <w:bidi w:val="0"/>
        <w:spacing w:before="0" w:after="580" w:line="240" w:lineRule="auto"/>
        <w:ind w:left="0" w:right="0" w:firstLine="0"/>
        <w:jc w:val="both"/>
        <w:rPr>
          <w:sz w:val="40"/>
          <w:szCs w:val="40"/>
        </w:rPr>
      </w:pPr>
      <w:hyperlink w:anchor="bookmark9" w:tooltip="Current Document" w:history="1">
        <w:r>
          <w:rPr>
            <w:rFonts w:ascii="Times New Roman" w:eastAsia="Times New Roman" w:hAnsi="Times New Roman" w:cs="Times New Roman"/>
            <w:b/>
            <w:bCs/>
            <w:color w:val="000000"/>
            <w:spacing w:val="0"/>
            <w:w w:val="100"/>
            <w:position w:val="0"/>
            <w:sz w:val="40"/>
            <w:szCs w:val="40"/>
          </w:rPr>
          <w:t>2</w:t>
        </w:r>
        <w:r>
          <w:rPr>
            <w:b/>
            <w:bCs/>
            <w:color w:val="000000"/>
            <w:spacing w:val="0"/>
            <w:w w:val="100"/>
            <w:position w:val="0"/>
            <w:sz w:val="42"/>
            <w:szCs w:val="42"/>
          </w:rPr>
          <w:t>取样方案的设计</w:t>
          <w:tab/>
        </w:r>
        <w:r>
          <w:rPr>
            <w:rFonts w:ascii="Times New Roman" w:eastAsia="Times New Roman" w:hAnsi="Times New Roman" w:cs="Times New Roman"/>
            <w:b/>
            <w:bCs/>
            <w:color w:val="000000"/>
            <w:spacing w:val="0"/>
            <w:w w:val="100"/>
            <w:position w:val="0"/>
            <w:sz w:val="40"/>
            <w:szCs w:val="40"/>
          </w:rPr>
          <w:t>2</w:t>
        </w:r>
      </w:hyperlink>
    </w:p>
    <w:p>
      <w:pPr>
        <w:pStyle w:val="a4"/>
        <w:keepNext w:val="0"/>
        <w:keepLines w:val="0"/>
        <w:widowControl w:val="0"/>
        <w:shd w:val="clear" w:color="auto" w:fill="auto"/>
        <w:tabs>
          <w:tab w:val="right" w:leader="dot" w:pos="12492"/>
        </w:tabs>
        <w:bidi w:val="0"/>
        <w:spacing w:before="0" w:line="240" w:lineRule="auto"/>
        <w:ind w:left="0" w:right="0" w:firstLine="520"/>
        <w:jc w:val="both"/>
      </w:pPr>
      <w:hyperlink w:anchor="bookmark12" w:tooltip="Current Document" w:history="1">
        <w:r>
          <w:rPr>
            <w:b/>
            <w:bCs/>
            <w:color w:val="000000"/>
            <w:spacing w:val="0"/>
            <w:w w:val="100"/>
            <w:position w:val="0"/>
          </w:rPr>
          <w:t>2.1</w:t>
        </w:r>
        <w:r>
          <w:rPr>
            <w:color w:val="000000"/>
            <w:spacing w:val="0"/>
            <w:w w:val="100"/>
            <w:position w:val="0"/>
          </w:rPr>
          <w:t>对拟研究问题的分析及理论准备</w:t>
        </w:r>
        <w:r>
          <w:rPr>
            <w:color w:val="000000"/>
            <w:spacing w:val="0"/>
            <w:w w:val="100"/>
            <w:position w:val="0"/>
          </w:rPr>
          <w:tab/>
        </w:r>
        <w:r>
          <w:rPr>
            <w:b/>
            <w:bCs/>
            <w:color w:val="000000"/>
            <w:spacing w:val="0"/>
            <w:w w:val="100"/>
            <w:position w:val="0"/>
          </w:rPr>
          <w:t>2</w:t>
        </w:r>
      </w:hyperlink>
    </w:p>
    <w:p>
      <w:pPr>
        <w:pStyle w:val="a4"/>
        <w:keepNext w:val="0"/>
        <w:keepLines w:val="0"/>
        <w:widowControl w:val="0"/>
        <w:shd w:val="clear" w:color="auto" w:fill="auto"/>
        <w:tabs>
          <w:tab w:val="right" w:leader="dot" w:pos="12492"/>
        </w:tabs>
        <w:bidi w:val="0"/>
        <w:spacing w:before="0" w:line="240" w:lineRule="auto"/>
        <w:ind w:left="0" w:right="0" w:firstLine="520"/>
        <w:jc w:val="both"/>
      </w:pPr>
      <w:hyperlink w:anchor="bookmark15" w:tooltip="Current Document" w:history="1">
        <w:r>
          <w:rPr>
            <w:b/>
            <w:bCs/>
            <w:color w:val="000000"/>
            <w:spacing w:val="0"/>
            <w:w w:val="100"/>
            <w:position w:val="0"/>
          </w:rPr>
          <w:t>2.2</w:t>
        </w:r>
        <w:r>
          <w:rPr>
            <w:color w:val="000000"/>
            <w:spacing w:val="0"/>
            <w:w w:val="100"/>
            <w:position w:val="0"/>
          </w:rPr>
          <w:t>环境同位素方法选择</w:t>
        </w:r>
        <w:r>
          <w:rPr>
            <w:color w:val="000000"/>
            <w:spacing w:val="0"/>
            <w:w w:val="100"/>
            <w:position w:val="0"/>
          </w:rPr>
          <w:tab/>
        </w:r>
        <w:r>
          <w:rPr>
            <w:b/>
            <w:bCs/>
            <w:color w:val="000000"/>
            <w:spacing w:val="0"/>
            <w:w w:val="100"/>
            <w:position w:val="0"/>
          </w:rPr>
          <w:t>3</w:t>
        </w:r>
      </w:hyperlink>
    </w:p>
    <w:p>
      <w:pPr>
        <w:pStyle w:val="a4"/>
        <w:keepNext w:val="0"/>
        <w:keepLines w:val="0"/>
        <w:widowControl w:val="0"/>
        <w:shd w:val="clear" w:color="auto" w:fill="auto"/>
        <w:tabs>
          <w:tab w:val="right" w:leader="dot" w:pos="12492"/>
        </w:tabs>
        <w:bidi w:val="0"/>
        <w:spacing w:before="0" w:line="240" w:lineRule="auto"/>
        <w:ind w:left="0" w:right="0" w:firstLine="520"/>
        <w:jc w:val="both"/>
      </w:pPr>
      <w:hyperlink w:anchor="bookmark18" w:tooltip="Current Document" w:history="1">
        <w:r>
          <w:rPr>
            <w:b/>
            <w:bCs/>
            <w:color w:val="000000"/>
            <w:spacing w:val="0"/>
            <w:w w:val="100"/>
            <w:position w:val="0"/>
          </w:rPr>
          <w:t>2.3</w:t>
        </w:r>
        <w:r>
          <w:rPr>
            <w:color w:val="000000"/>
            <w:spacing w:val="0"/>
            <w:w w:val="100"/>
            <w:position w:val="0"/>
          </w:rPr>
          <w:t>采样点线的布置与时间安排</w:t>
        </w:r>
        <w:r>
          <w:rPr>
            <w:color w:val="000000"/>
            <w:spacing w:val="0"/>
            <w:w w:val="100"/>
            <w:position w:val="0"/>
          </w:rPr>
          <w:tab/>
        </w:r>
        <w:r>
          <w:rPr>
            <w:b/>
            <w:bCs/>
            <w:color w:val="000000"/>
            <w:spacing w:val="0"/>
            <w:w w:val="100"/>
            <w:position w:val="0"/>
          </w:rPr>
          <w:t>4</w:t>
        </w:r>
      </w:hyperlink>
    </w:p>
    <w:p>
      <w:pPr>
        <w:pStyle w:val="a4"/>
        <w:keepNext w:val="0"/>
        <w:keepLines w:val="0"/>
        <w:widowControl w:val="0"/>
        <w:shd w:val="clear" w:color="auto" w:fill="auto"/>
        <w:tabs>
          <w:tab w:val="right" w:leader="hyphen" w:pos="12492"/>
        </w:tabs>
        <w:bidi w:val="0"/>
        <w:spacing w:before="0" w:after="580" w:line="240" w:lineRule="auto"/>
        <w:ind w:left="0" w:right="0" w:firstLine="0"/>
        <w:jc w:val="both"/>
        <w:rPr>
          <w:sz w:val="40"/>
          <w:szCs w:val="40"/>
        </w:rPr>
      </w:pPr>
      <w:hyperlink w:anchor="bookmark26" w:tooltip="Current Document" w:history="1">
        <w:r>
          <w:rPr>
            <w:rFonts w:ascii="Times New Roman" w:eastAsia="Times New Roman" w:hAnsi="Times New Roman" w:cs="Times New Roman"/>
            <w:b/>
            <w:bCs/>
            <w:color w:val="000000"/>
            <w:spacing w:val="0"/>
            <w:w w:val="100"/>
            <w:position w:val="0"/>
            <w:sz w:val="40"/>
            <w:szCs w:val="40"/>
          </w:rPr>
          <w:t>3</w:t>
        </w:r>
        <w:r>
          <w:rPr>
            <w:b/>
            <w:bCs/>
            <w:color w:val="000000"/>
            <w:spacing w:val="0"/>
            <w:w w:val="100"/>
            <w:position w:val="0"/>
            <w:sz w:val="42"/>
            <w:szCs w:val="42"/>
          </w:rPr>
          <w:t>常用环境同位素分析水样采集</w:t>
          <w:tab/>
        </w:r>
        <w:r>
          <w:rPr>
            <w:rFonts w:ascii="Times New Roman" w:eastAsia="Times New Roman" w:hAnsi="Times New Roman" w:cs="Times New Roman"/>
            <w:b/>
            <w:bCs/>
            <w:color w:val="000000"/>
            <w:spacing w:val="0"/>
            <w:w w:val="100"/>
            <w:position w:val="0"/>
            <w:sz w:val="40"/>
            <w:szCs w:val="40"/>
          </w:rPr>
          <w:t>5</w:t>
        </w:r>
      </w:hyperlink>
    </w:p>
    <w:p>
      <w:pPr>
        <w:pStyle w:val="a4"/>
        <w:keepNext w:val="0"/>
        <w:keepLines w:val="0"/>
        <w:widowControl w:val="0"/>
        <w:shd w:val="clear" w:color="auto" w:fill="auto"/>
        <w:tabs>
          <w:tab w:val="right" w:leader="dot" w:pos="12492"/>
        </w:tabs>
        <w:bidi w:val="0"/>
        <w:spacing w:before="0" w:line="240" w:lineRule="auto"/>
        <w:ind w:left="0" w:right="0" w:firstLine="520"/>
        <w:jc w:val="both"/>
      </w:pPr>
      <w:hyperlink w:anchor="bookmark29" w:tooltip="Current Document" w:history="1">
        <w:r>
          <w:rPr>
            <w:b/>
            <w:bCs/>
            <w:color w:val="000000"/>
            <w:spacing w:val="0"/>
            <w:w w:val="100"/>
            <w:position w:val="0"/>
          </w:rPr>
          <w:t>3.1</w:t>
        </w:r>
        <w:r>
          <w:rPr>
            <w:color w:val="000000"/>
            <w:spacing w:val="0"/>
            <w:w w:val="100"/>
            <w:position w:val="0"/>
          </w:rPr>
          <w:t>野外取样准备</w:t>
        </w:r>
        <w:r>
          <w:rPr>
            <w:color w:val="000000"/>
            <w:spacing w:val="0"/>
            <w:w w:val="100"/>
            <w:position w:val="0"/>
          </w:rPr>
          <w:tab/>
        </w:r>
        <w:r>
          <w:rPr>
            <w:b/>
            <w:bCs/>
            <w:color w:val="000000"/>
            <w:spacing w:val="0"/>
            <w:w w:val="100"/>
            <w:position w:val="0"/>
          </w:rPr>
          <w:t>5</w:t>
        </w:r>
      </w:hyperlink>
    </w:p>
    <w:p>
      <w:pPr>
        <w:pStyle w:val="a4"/>
        <w:keepNext w:val="0"/>
        <w:keepLines w:val="0"/>
        <w:widowControl w:val="0"/>
        <w:shd w:val="clear" w:color="auto" w:fill="auto"/>
        <w:tabs>
          <w:tab w:val="left" w:leader="dot" w:pos="12256"/>
        </w:tabs>
        <w:bidi w:val="0"/>
        <w:spacing w:before="0" w:after="380" w:line="240" w:lineRule="auto"/>
        <w:ind w:left="1560" w:right="0" w:firstLine="0"/>
        <w:jc w:val="left"/>
      </w:pPr>
      <w:hyperlink w:anchor="bookmark32" w:tooltip="Current Document" w:history="1">
        <w:r>
          <w:rPr>
            <w:b/>
            <w:bCs/>
            <w:color w:val="000000"/>
            <w:spacing w:val="0"/>
            <w:w w:val="100"/>
            <w:position w:val="0"/>
          </w:rPr>
          <w:t>3.1.1</w:t>
        </w:r>
        <w:r>
          <w:rPr>
            <w:color w:val="000000"/>
            <w:spacing w:val="0"/>
            <w:w w:val="100"/>
            <w:position w:val="0"/>
          </w:rPr>
          <w:t>野外作业准备</w:t>
        </w:r>
        <w:r>
          <w:rPr>
            <w:color w:val="000000"/>
            <w:spacing w:val="0"/>
            <w:w w:val="100"/>
            <w:position w:val="0"/>
          </w:rPr>
          <w:tab/>
        </w:r>
        <w:r>
          <w:rPr>
            <w:b/>
            <w:bCs/>
            <w:color w:val="000000"/>
            <w:spacing w:val="0"/>
            <w:w w:val="100"/>
            <w:position w:val="0"/>
          </w:rPr>
          <w:t>6</w:t>
        </w:r>
      </w:hyperlink>
    </w:p>
    <w:p>
      <w:pPr>
        <w:pStyle w:val="a4"/>
        <w:keepNext w:val="0"/>
        <w:keepLines w:val="0"/>
        <w:widowControl w:val="0"/>
        <w:shd w:val="clear" w:color="auto" w:fill="auto"/>
        <w:tabs>
          <w:tab w:val="left" w:leader="dot" w:pos="12256"/>
        </w:tabs>
        <w:bidi w:val="0"/>
        <w:spacing w:before="0" w:after="380" w:line="240" w:lineRule="auto"/>
        <w:ind w:left="1560" w:right="0" w:firstLine="0"/>
        <w:jc w:val="left"/>
      </w:pPr>
      <w:hyperlink w:anchor="bookmark45" w:tooltip="Current Document" w:history="1">
        <w:r>
          <w:rPr>
            <w:b/>
            <w:bCs/>
            <w:color w:val="000000"/>
            <w:spacing w:val="0"/>
            <w:w w:val="100"/>
            <w:position w:val="0"/>
          </w:rPr>
          <w:t>3.1.2</w:t>
        </w:r>
        <w:r>
          <w:rPr>
            <w:color w:val="000000"/>
            <w:spacing w:val="0"/>
            <w:w w:val="100"/>
            <w:position w:val="0"/>
          </w:rPr>
          <w:t>取样瓶要求</w:t>
        </w:r>
        <w:r>
          <w:rPr>
            <w:color w:val="000000"/>
            <w:spacing w:val="0"/>
            <w:w w:val="100"/>
            <w:position w:val="0"/>
          </w:rPr>
          <w:tab/>
        </w:r>
        <w:r>
          <w:rPr>
            <w:b/>
            <w:bCs/>
            <w:color w:val="000000"/>
            <w:spacing w:val="0"/>
            <w:w w:val="100"/>
            <w:position w:val="0"/>
          </w:rPr>
          <w:t>6</w:t>
        </w:r>
      </w:hyperlink>
    </w:p>
    <w:p>
      <w:pPr>
        <w:pStyle w:val="a4"/>
        <w:keepNext w:val="0"/>
        <w:keepLines w:val="0"/>
        <w:widowControl w:val="0"/>
        <w:shd w:val="clear" w:color="auto" w:fill="auto"/>
        <w:tabs>
          <w:tab w:val="left" w:leader="dot" w:pos="12256"/>
        </w:tabs>
        <w:bidi w:val="0"/>
        <w:spacing w:before="0" w:line="240" w:lineRule="auto"/>
        <w:ind w:left="0" w:right="0" w:firstLine="520"/>
        <w:jc w:val="both"/>
      </w:pPr>
      <w:r>
        <w:rPr>
          <w:b/>
          <w:bCs/>
          <w:color w:val="000000"/>
          <w:spacing w:val="0"/>
          <w:w w:val="100"/>
          <w:position w:val="0"/>
        </w:rPr>
        <w:t>3.2</w:t>
      </w:r>
      <w:r>
        <w:rPr>
          <w:color w:val="000000"/>
          <w:spacing w:val="0"/>
          <w:w w:val="100"/>
          <w:position w:val="0"/>
        </w:rPr>
        <w:t>不同水样采集技术要求</w:t>
      </w:r>
      <w:r>
        <w:rPr>
          <w:color w:val="000000"/>
          <w:spacing w:val="0"/>
          <w:w w:val="100"/>
          <w:position w:val="0"/>
        </w:rPr>
        <w:tab/>
      </w:r>
      <w:r>
        <w:rPr>
          <w:b/>
          <w:bCs/>
          <w:color w:val="000000"/>
          <w:spacing w:val="0"/>
          <w:w w:val="100"/>
          <w:position w:val="0"/>
        </w:rPr>
        <w:t>7</w:t>
      </w:r>
    </w:p>
    <w:p>
      <w:pPr>
        <w:pStyle w:val="a4"/>
        <w:keepNext w:val="0"/>
        <w:keepLines w:val="0"/>
        <w:widowControl w:val="0"/>
        <w:numPr>
          <w:ilvl w:val="0"/>
          <w:numId w:val="1"/>
        </w:numPr>
        <w:shd w:val="clear" w:color="auto" w:fill="auto"/>
        <w:tabs>
          <w:tab w:val="left" w:pos="2628"/>
          <w:tab w:val="right" w:leader="dot" w:pos="12492"/>
        </w:tabs>
        <w:bidi w:val="0"/>
        <w:spacing w:before="0" w:after="380" w:line="240" w:lineRule="auto"/>
        <w:ind w:left="1560" w:right="0" w:firstLine="0"/>
        <w:jc w:val="left"/>
      </w:pPr>
      <w:hyperlink w:anchor="bookmark54" w:tooltip="Current Document" w:history="1">
        <w:bookmarkStart w:id="0" w:name="bookmark0"/>
        <w:bookmarkEnd w:id="0"/>
        <w:r>
          <w:rPr>
            <w:color w:val="000000"/>
            <w:spacing w:val="0"/>
            <w:w w:val="100"/>
            <w:position w:val="0"/>
          </w:rPr>
          <w:t>降水</w:t>
        </w:r>
        <w:r>
          <w:rPr>
            <w:b/>
            <w:bCs/>
            <w:color w:val="000000"/>
            <w:spacing w:val="0"/>
            <w:w w:val="100"/>
            <w:position w:val="0"/>
          </w:rPr>
          <w:t>（</w:t>
        </w:r>
        <w:r>
          <w:rPr>
            <w:color w:val="000000"/>
            <w:spacing w:val="0"/>
            <w:w w:val="100"/>
            <w:position w:val="0"/>
          </w:rPr>
          <w:t>雨和雪</w:t>
        </w:r>
        <w:r>
          <w:rPr>
            <w:b/>
            <w:bCs/>
            <w:color w:val="000000"/>
            <w:spacing w:val="0"/>
            <w:w w:val="100"/>
            <w:position w:val="0"/>
          </w:rPr>
          <w:t>）</w:t>
        </w:r>
        <w:r>
          <w:rPr>
            <w:color w:val="000000"/>
            <w:spacing w:val="0"/>
            <w:w w:val="100"/>
            <w:position w:val="0"/>
          </w:rPr>
          <w:t>样品的采集</w:t>
        </w:r>
        <w:r>
          <w:rPr>
            <w:color w:val="000000"/>
            <w:spacing w:val="0"/>
            <w:w w:val="100"/>
            <w:position w:val="0"/>
          </w:rPr>
          <w:tab/>
        </w:r>
        <w:r>
          <w:rPr>
            <w:b/>
            <w:bCs/>
            <w:color w:val="000000"/>
            <w:spacing w:val="0"/>
            <w:w w:val="100"/>
            <w:position w:val="0"/>
          </w:rPr>
          <w:t>7</w:t>
        </w:r>
      </w:hyperlink>
    </w:p>
    <w:p>
      <w:pPr>
        <w:pStyle w:val="a4"/>
        <w:keepNext w:val="0"/>
        <w:keepLines w:val="0"/>
        <w:widowControl w:val="0"/>
        <w:numPr>
          <w:ilvl w:val="0"/>
          <w:numId w:val="1"/>
        </w:numPr>
        <w:shd w:val="clear" w:color="auto" w:fill="auto"/>
        <w:tabs>
          <w:tab w:val="left" w:pos="2628"/>
          <w:tab w:val="right" w:leader="dot" w:pos="12492"/>
        </w:tabs>
        <w:bidi w:val="0"/>
        <w:spacing w:before="0" w:after="380" w:line="240" w:lineRule="auto"/>
        <w:ind w:left="1560" w:right="0" w:firstLine="0"/>
        <w:jc w:val="left"/>
      </w:pPr>
      <w:hyperlink w:anchor="bookmark57" w:tooltip="Current Document" w:history="1">
        <w:bookmarkStart w:id="1" w:name="bookmark1"/>
        <w:bookmarkEnd w:id="1"/>
        <w:r>
          <w:rPr>
            <w:color w:val="000000"/>
            <w:spacing w:val="0"/>
            <w:w w:val="100"/>
            <w:position w:val="0"/>
          </w:rPr>
          <w:t>地表水样品的采集</w:t>
        </w:r>
        <w:r>
          <w:rPr>
            <w:color w:val="000000"/>
            <w:spacing w:val="0"/>
            <w:w w:val="100"/>
            <w:position w:val="0"/>
          </w:rPr>
          <w:tab/>
        </w:r>
        <w:r>
          <w:rPr>
            <w:b/>
            <w:bCs/>
            <w:color w:val="000000"/>
            <w:spacing w:val="0"/>
            <w:w w:val="100"/>
            <w:position w:val="0"/>
          </w:rPr>
          <w:t>7</w:t>
        </w:r>
      </w:hyperlink>
    </w:p>
    <w:p>
      <w:pPr>
        <w:pStyle w:val="a4"/>
        <w:keepNext w:val="0"/>
        <w:keepLines w:val="0"/>
        <w:widowControl w:val="0"/>
        <w:numPr>
          <w:ilvl w:val="0"/>
          <w:numId w:val="1"/>
        </w:numPr>
        <w:shd w:val="clear" w:color="auto" w:fill="auto"/>
        <w:tabs>
          <w:tab w:val="left" w:pos="2628"/>
          <w:tab w:val="right" w:leader="dot" w:pos="12492"/>
        </w:tabs>
        <w:bidi w:val="0"/>
        <w:spacing w:before="0" w:after="380" w:line="240" w:lineRule="auto"/>
        <w:ind w:left="1560" w:right="0" w:firstLine="0"/>
        <w:jc w:val="left"/>
      </w:pPr>
      <w:hyperlink w:anchor="bookmark60" w:tooltip="Current Document" w:history="1">
        <w:bookmarkStart w:id="2" w:name="bookmark2"/>
        <w:bookmarkEnd w:id="2"/>
        <w:r>
          <w:rPr>
            <w:color w:val="000000"/>
            <w:spacing w:val="0"/>
            <w:w w:val="100"/>
            <w:position w:val="0"/>
          </w:rPr>
          <w:t>非饱和带水样品的采集</w:t>
        </w:r>
        <w:r>
          <w:rPr>
            <w:color w:val="000000"/>
            <w:spacing w:val="0"/>
            <w:w w:val="100"/>
            <w:position w:val="0"/>
          </w:rPr>
          <w:tab/>
        </w:r>
        <w:r>
          <w:rPr>
            <w:b/>
            <w:bCs/>
            <w:color w:val="000000"/>
            <w:spacing w:val="0"/>
            <w:w w:val="100"/>
            <w:position w:val="0"/>
          </w:rPr>
          <w:t>8</w:t>
        </w:r>
      </w:hyperlink>
    </w:p>
    <w:p>
      <w:pPr>
        <w:pStyle w:val="a4"/>
        <w:keepNext w:val="0"/>
        <w:keepLines w:val="0"/>
        <w:widowControl w:val="0"/>
        <w:numPr>
          <w:ilvl w:val="0"/>
          <w:numId w:val="1"/>
        </w:numPr>
        <w:shd w:val="clear" w:color="auto" w:fill="auto"/>
        <w:tabs>
          <w:tab w:val="left" w:pos="2628"/>
          <w:tab w:val="right" w:leader="dot" w:pos="12492"/>
        </w:tabs>
        <w:bidi w:val="0"/>
        <w:spacing w:before="0" w:after="380" w:line="240" w:lineRule="auto"/>
        <w:ind w:left="1560" w:right="0" w:firstLine="0"/>
        <w:jc w:val="left"/>
      </w:pPr>
      <w:hyperlink w:anchor="bookmark63" w:tooltip="Current Document" w:history="1">
        <w:bookmarkStart w:id="3" w:name="bookmark3"/>
        <w:bookmarkEnd w:id="3"/>
        <w:r>
          <w:rPr>
            <w:color w:val="000000"/>
            <w:spacing w:val="0"/>
            <w:w w:val="100"/>
            <w:position w:val="0"/>
          </w:rPr>
          <w:t>地下水样品的采集</w:t>
        </w:r>
        <w:r>
          <w:rPr>
            <w:color w:val="000000"/>
            <w:spacing w:val="0"/>
            <w:w w:val="100"/>
            <w:position w:val="0"/>
          </w:rPr>
          <w:tab/>
        </w:r>
        <w:r>
          <w:rPr>
            <w:b/>
            <w:bCs/>
            <w:color w:val="000000"/>
            <w:spacing w:val="0"/>
            <w:w w:val="100"/>
            <w:position w:val="0"/>
          </w:rPr>
          <w:t>8</w:t>
        </w:r>
      </w:hyperlink>
    </w:p>
    <w:p>
      <w:pPr>
        <w:pStyle w:val="a4"/>
        <w:keepNext w:val="0"/>
        <w:keepLines w:val="0"/>
        <w:widowControl w:val="0"/>
        <w:numPr>
          <w:ilvl w:val="0"/>
          <w:numId w:val="1"/>
        </w:numPr>
        <w:shd w:val="clear" w:color="auto" w:fill="auto"/>
        <w:tabs>
          <w:tab w:val="left" w:pos="2628"/>
          <w:tab w:val="right" w:leader="dot" w:pos="12492"/>
        </w:tabs>
        <w:bidi w:val="0"/>
        <w:spacing w:before="0" w:after="380" w:line="240" w:lineRule="auto"/>
        <w:ind w:left="1560" w:right="0" w:firstLine="0"/>
        <w:jc w:val="left"/>
      </w:pPr>
      <w:hyperlink w:anchor="bookmark70" w:tooltip="Current Document" w:history="1">
        <w:bookmarkStart w:id="4" w:name="bookmark4"/>
        <w:bookmarkEnd w:id="4"/>
        <w:r>
          <w:rPr>
            <w:color w:val="000000"/>
            <w:spacing w:val="0"/>
            <w:w w:val="100"/>
            <w:position w:val="0"/>
          </w:rPr>
          <w:t>地热样品的采集</w:t>
        </w:r>
        <w:r>
          <w:rPr>
            <w:color w:val="000000"/>
            <w:spacing w:val="0"/>
            <w:w w:val="100"/>
            <w:position w:val="0"/>
          </w:rPr>
          <w:tab/>
        </w:r>
        <w:r>
          <w:rPr>
            <w:b/>
            <w:bCs/>
            <w:color w:val="000000"/>
            <w:spacing w:val="0"/>
            <w:w w:val="100"/>
            <w:position w:val="0"/>
          </w:rPr>
          <w:t>8</w:t>
        </w:r>
      </w:hyperlink>
    </w:p>
    <w:p>
      <w:pPr>
        <w:pStyle w:val="a4"/>
        <w:keepNext w:val="0"/>
        <w:keepLines w:val="0"/>
        <w:widowControl w:val="0"/>
        <w:shd w:val="clear" w:color="auto" w:fill="auto"/>
        <w:tabs>
          <w:tab w:val="right" w:leader="hyphen" w:pos="12492"/>
        </w:tabs>
        <w:bidi w:val="0"/>
        <w:spacing w:before="0" w:line="240" w:lineRule="auto"/>
        <w:ind w:left="0" w:right="0" w:firstLine="0"/>
        <w:jc w:val="left"/>
        <w:rPr>
          <w:sz w:val="40"/>
          <w:szCs w:val="40"/>
        </w:rPr>
      </w:pPr>
      <w:hyperlink w:anchor="bookmark73" w:tooltip="Current Document" w:history="1">
        <w:r>
          <w:rPr>
            <w:rFonts w:ascii="Times New Roman" w:eastAsia="Times New Roman" w:hAnsi="Times New Roman" w:cs="Times New Roman"/>
            <w:b/>
            <w:bCs/>
            <w:color w:val="000000"/>
            <w:spacing w:val="0"/>
            <w:w w:val="100"/>
            <w:position w:val="0"/>
            <w:sz w:val="40"/>
            <w:szCs w:val="40"/>
          </w:rPr>
          <w:t>4</w:t>
        </w:r>
        <w:r>
          <w:rPr>
            <w:b/>
            <w:bCs/>
            <w:color w:val="000000"/>
            <w:spacing w:val="0"/>
            <w:w w:val="100"/>
            <w:position w:val="0"/>
            <w:sz w:val="42"/>
            <w:szCs w:val="42"/>
          </w:rPr>
          <w:t>样品采集数量、保存时间</w:t>
          <w:tab/>
        </w:r>
        <w:r>
          <w:rPr>
            <w:rFonts w:ascii="Times New Roman" w:eastAsia="Times New Roman" w:hAnsi="Times New Roman" w:cs="Times New Roman"/>
            <w:b/>
            <w:bCs/>
            <w:color w:val="000000"/>
            <w:spacing w:val="0"/>
            <w:w w:val="100"/>
            <w:position w:val="0"/>
            <w:sz w:val="40"/>
            <w:szCs w:val="40"/>
          </w:rPr>
          <w:t>9</w:t>
        </w:r>
      </w:hyperlink>
    </w:p>
    <w:p>
      <w:pPr>
        <w:pStyle w:val="a4"/>
        <w:keepNext w:val="0"/>
        <w:keepLines w:val="0"/>
        <w:widowControl w:val="0"/>
        <w:shd w:val="clear" w:color="auto" w:fill="auto"/>
        <w:tabs>
          <w:tab w:val="left" w:leader="hyphen" w:pos="12256"/>
        </w:tabs>
        <w:bidi w:val="0"/>
        <w:spacing w:before="0" w:after="580" w:line="240" w:lineRule="auto"/>
        <w:ind w:left="0" w:right="0" w:firstLine="0"/>
        <w:jc w:val="left"/>
        <w:rPr>
          <w:sz w:val="40"/>
          <w:szCs w:val="40"/>
        </w:rPr>
      </w:pPr>
      <w:hyperlink w:anchor="bookmark76" w:tooltip="Current Document" w:history="1">
        <w:r>
          <w:rPr>
            <w:rFonts w:ascii="Times New Roman" w:eastAsia="Times New Roman" w:hAnsi="Times New Roman" w:cs="Times New Roman"/>
            <w:b/>
            <w:bCs/>
            <w:color w:val="000000"/>
            <w:spacing w:val="0"/>
            <w:w w:val="100"/>
            <w:position w:val="0"/>
            <w:sz w:val="40"/>
            <w:szCs w:val="40"/>
          </w:rPr>
          <w:t>5</w:t>
        </w:r>
        <w:r>
          <w:rPr>
            <w:b/>
            <w:bCs/>
            <w:color w:val="000000"/>
            <w:spacing w:val="0"/>
            <w:w w:val="100"/>
            <w:position w:val="0"/>
            <w:sz w:val="42"/>
            <w:szCs w:val="42"/>
          </w:rPr>
          <w:t>取样方法、程序与步骤</w:t>
          <w:tab/>
        </w:r>
        <w:r>
          <w:rPr>
            <w:rFonts w:ascii="Times New Roman" w:eastAsia="Times New Roman" w:hAnsi="Times New Roman" w:cs="Times New Roman"/>
            <w:b/>
            <w:bCs/>
            <w:color w:val="000000"/>
            <w:spacing w:val="0"/>
            <w:w w:val="100"/>
            <w:position w:val="0"/>
            <w:sz w:val="40"/>
            <w:szCs w:val="40"/>
          </w:rPr>
          <w:t>10</w:t>
        </w:r>
      </w:hyperlink>
    </w:p>
    <w:p>
      <w:pPr>
        <w:pStyle w:val="a4"/>
        <w:keepNext w:val="0"/>
        <w:keepLines w:val="0"/>
        <w:widowControl w:val="0"/>
        <w:shd w:val="clear" w:color="auto" w:fill="auto"/>
        <w:tabs>
          <w:tab w:val="left" w:pos="1192"/>
          <w:tab w:val="right" w:leader="dot" w:pos="12492"/>
        </w:tabs>
        <w:bidi w:val="0"/>
        <w:spacing w:before="0" w:line="240" w:lineRule="auto"/>
        <w:ind w:left="0" w:right="0" w:firstLine="520"/>
        <w:jc w:val="both"/>
      </w:pPr>
      <w:hyperlink w:anchor="bookmark79" w:tooltip="Current Document" w:history="1">
        <w:r>
          <w:rPr>
            <w:rFonts w:ascii="Times New Roman" w:eastAsia="Times New Roman" w:hAnsi="Times New Roman" w:cs="Times New Roman"/>
            <w:color w:val="000000"/>
            <w:spacing w:val="0"/>
            <w:w w:val="100"/>
            <w:position w:val="0"/>
            <w:sz w:val="22"/>
            <w:szCs w:val="22"/>
          </w:rPr>
          <w:t>5.1</w:t>
          <w:tab/>
          <w:t>14</w:t>
        </w:r>
        <w:r>
          <w:rPr>
            <w:b/>
            <w:bCs/>
            <w:color w:val="000000"/>
            <w:spacing w:val="0"/>
            <w:w w:val="100"/>
            <w:position w:val="0"/>
          </w:rPr>
          <w:t>C</w:t>
        </w:r>
        <w:r>
          <w:rPr>
            <w:color w:val="000000"/>
            <w:spacing w:val="0"/>
            <w:w w:val="100"/>
            <w:position w:val="0"/>
          </w:rPr>
          <w:t>水样采集</w:t>
        </w:r>
        <w:r>
          <w:rPr>
            <w:color w:val="000000"/>
            <w:spacing w:val="0"/>
            <w:w w:val="100"/>
            <w:position w:val="0"/>
          </w:rPr>
          <w:tab/>
        </w:r>
        <w:r>
          <w:rPr>
            <w:b/>
            <w:bCs/>
            <w:color w:val="000000"/>
            <w:spacing w:val="0"/>
            <w:w w:val="100"/>
            <w:position w:val="0"/>
          </w:rPr>
          <w:t>10</w:t>
        </w:r>
      </w:hyperlink>
    </w:p>
    <w:p>
      <w:pPr>
        <w:pStyle w:val="a4"/>
        <w:keepNext w:val="0"/>
        <w:keepLines w:val="0"/>
        <w:widowControl w:val="0"/>
        <w:shd w:val="clear" w:color="auto" w:fill="auto"/>
        <w:tabs>
          <w:tab w:val="center" w:leader="dot" w:pos="12318"/>
        </w:tabs>
        <w:bidi w:val="0"/>
        <w:spacing w:before="0" w:line="240" w:lineRule="auto"/>
        <w:ind w:left="0" w:right="0" w:firstLine="520"/>
        <w:jc w:val="both"/>
        <w:sectPr>
          <w:pgSz w:w="17861" w:h="25258"/>
          <w:pgMar w:top="3137" w:right="2253" w:bottom="3931" w:left="2791" w:header="0" w:footer="3" w:gutter="0"/>
          <w:cols w:space="720"/>
          <w:noEndnote/>
          <w:rtlGutter w:val="0"/>
          <w:docGrid w:linePitch="360"/>
        </w:sectPr>
      </w:pPr>
      <w:hyperlink w:anchor="bookmark99" w:tooltip="Current Document" w:history="1">
        <w:r>
          <w:rPr>
            <w:b/>
            <w:bCs/>
            <w:color w:val="000000"/>
            <w:spacing w:val="0"/>
            <w:w w:val="100"/>
            <w:position w:val="0"/>
          </w:rPr>
          <w:t>5.2</w:t>
        </w:r>
        <w:r>
          <w:rPr>
            <w:color w:val="000000"/>
            <w:spacing w:val="0"/>
            <w:w w:val="100"/>
            <w:position w:val="0"/>
          </w:rPr>
          <w:t>降水同位素分析采样技术步骤</w:t>
        </w:r>
        <w:r>
          <w:rPr>
            <w:color w:val="000000"/>
            <w:spacing w:val="0"/>
            <w:w w:val="100"/>
            <w:position w:val="0"/>
          </w:rPr>
          <w:tab/>
        </w:r>
        <w:r>
          <w:rPr>
            <w:b/>
            <w:bCs/>
            <w:color w:val="000000"/>
            <w:spacing w:val="0"/>
            <w:w w:val="100"/>
            <w:position w:val="0"/>
          </w:rPr>
          <w:t>13</w:t>
        </w:r>
      </w:hyperlink>
    </w:p>
    <w:p>
      <w:pPr>
        <w:pStyle w:val="a4"/>
        <w:keepNext w:val="0"/>
        <w:keepLines w:val="0"/>
        <w:widowControl w:val="0"/>
        <w:shd w:val="clear" w:color="auto" w:fill="auto"/>
        <w:tabs>
          <w:tab w:val="center" w:leader="dot" w:pos="12318"/>
        </w:tabs>
        <w:bidi w:val="0"/>
        <w:spacing w:before="0" w:line="240" w:lineRule="auto"/>
        <w:ind w:left="0" w:right="0" w:firstLine="520"/>
        <w:jc w:val="both"/>
      </w:pPr>
      <w:hyperlink w:anchor="bookmark107" w:tooltip="Current Document" w:history="1">
        <w:r>
          <w:rPr>
            <w:b/>
            <w:bCs/>
            <w:color w:val="000000"/>
            <w:spacing w:val="0"/>
            <w:w w:val="100"/>
            <w:position w:val="0"/>
          </w:rPr>
          <w:t>5.3</w:t>
        </w:r>
        <w:r>
          <w:rPr>
            <w:color w:val="000000"/>
            <w:spacing w:val="0"/>
            <w:w w:val="100"/>
            <w:position w:val="0"/>
          </w:rPr>
          <w:t>地下水中的</w:t>
        </w:r>
        <w:r>
          <w:rPr>
            <w:rFonts w:ascii="Times New Roman" w:eastAsia="Times New Roman" w:hAnsi="Times New Roman" w:cs="Times New Roman"/>
            <w:color w:val="000000"/>
            <w:spacing w:val="0"/>
            <w:w w:val="100"/>
            <w:position w:val="0"/>
            <w:sz w:val="22"/>
            <w:szCs w:val="22"/>
          </w:rPr>
          <w:t>18</w:t>
        </w:r>
        <w:r>
          <w:rPr>
            <w:b/>
            <w:bCs/>
            <w:color w:val="000000"/>
            <w:spacing w:val="0"/>
            <w:w w:val="100"/>
            <w:position w:val="0"/>
          </w:rPr>
          <w:t>O</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2</w:t>
        </w:r>
        <w:r>
          <w:rPr>
            <w:b/>
            <w:bCs/>
            <w:color w:val="000000"/>
            <w:spacing w:val="0"/>
            <w:w w:val="100"/>
            <w:position w:val="0"/>
          </w:rPr>
          <w:t>H</w:t>
        </w:r>
        <w:r>
          <w:rPr>
            <w:color w:val="000000"/>
            <w:spacing w:val="0"/>
            <w:w w:val="100"/>
            <w:position w:val="0"/>
          </w:rPr>
          <w:t>分析样</w:t>
        </w:r>
        <w:r>
          <w:rPr>
            <w:color w:val="000000"/>
            <w:spacing w:val="0"/>
            <w:w w:val="100"/>
            <w:position w:val="0"/>
          </w:rPr>
          <w:tab/>
        </w:r>
        <w:r>
          <w:rPr>
            <w:b/>
            <w:bCs/>
            <w:color w:val="000000"/>
            <w:spacing w:val="0"/>
            <w:w w:val="100"/>
            <w:position w:val="0"/>
          </w:rPr>
          <w:t>14</w:t>
        </w:r>
      </w:hyperlink>
    </w:p>
    <w:p>
      <w:pPr>
        <w:pStyle w:val="a4"/>
        <w:keepNext w:val="0"/>
        <w:keepLines w:val="0"/>
        <w:widowControl w:val="0"/>
        <w:pBdr>
          <w:top w:val="single" w:sz="4" w:space="0" w:color="auto"/>
        </w:pBdr>
        <w:shd w:val="clear" w:color="auto" w:fill="auto"/>
        <w:tabs>
          <w:tab w:val="right" w:leader="dot" w:pos="12460"/>
        </w:tabs>
        <w:bidi w:val="0"/>
        <w:spacing w:before="0" w:after="520" w:line="240" w:lineRule="auto"/>
        <w:ind w:left="0" w:right="0" w:firstLine="520"/>
        <w:jc w:val="left"/>
      </w:pPr>
      <w:hyperlink w:anchor="bookmark110" w:tooltip="Current Document" w:history="1">
        <w:r>
          <w:rPr>
            <w:b/>
            <w:bCs/>
            <w:color w:val="000000"/>
            <w:spacing w:val="0"/>
            <w:w w:val="100"/>
            <w:position w:val="0"/>
          </w:rPr>
          <w:t>5.4</w:t>
        </w:r>
        <w:r>
          <w:rPr>
            <w:color w:val="000000"/>
            <w:spacing w:val="0"/>
            <w:w w:val="100"/>
            <w:position w:val="0"/>
          </w:rPr>
          <w:t>氚样品米集</w:t>
        </w:r>
        <w:r>
          <w:rPr>
            <w:color w:val="000000"/>
            <w:spacing w:val="0"/>
            <w:w w:val="100"/>
            <w:position w:val="0"/>
          </w:rPr>
          <w:tab/>
        </w:r>
        <w:r>
          <w:rPr>
            <w:b/>
            <w:bCs/>
            <w:color w:val="000000"/>
            <w:spacing w:val="0"/>
            <w:w w:val="100"/>
            <w:position w:val="0"/>
          </w:rPr>
          <w:t>14</w:t>
        </w:r>
      </w:hyperlink>
    </w:p>
    <w:p>
      <w:pPr>
        <w:pStyle w:val="a4"/>
        <w:keepNext w:val="0"/>
        <w:keepLines w:val="0"/>
        <w:widowControl w:val="0"/>
        <w:shd w:val="clear" w:color="auto" w:fill="auto"/>
        <w:tabs>
          <w:tab w:val="right" w:leader="dot" w:pos="12460"/>
        </w:tabs>
        <w:bidi w:val="0"/>
        <w:spacing w:before="0" w:after="520" w:line="240" w:lineRule="auto"/>
        <w:ind w:left="0" w:right="0" w:firstLine="520"/>
        <w:jc w:val="left"/>
      </w:pPr>
      <w:hyperlink w:anchor="bookmark113" w:tooltip="Current Document" w:history="1">
        <w:r>
          <w:rPr>
            <w:b/>
            <w:bCs/>
            <w:color w:val="000000"/>
            <w:spacing w:val="0"/>
            <w:w w:val="100"/>
            <w:position w:val="0"/>
          </w:rPr>
          <w:t>5.5</w:t>
        </w:r>
        <w:r>
          <w:rPr>
            <w:color w:val="000000"/>
            <w:spacing w:val="0"/>
            <w:w w:val="100"/>
            <w:position w:val="0"/>
          </w:rPr>
          <w:t>水中溶解无机碳的</w:t>
        </w:r>
        <w:r>
          <w:rPr>
            <w:rFonts w:ascii="Arial" w:eastAsia="Arial" w:hAnsi="Arial" w:cs="Arial"/>
            <w:color w:val="000000"/>
            <w:spacing w:val="0"/>
            <w:w w:val="100"/>
            <w:position w:val="0"/>
            <w:sz w:val="24"/>
            <w:szCs w:val="24"/>
          </w:rPr>
          <w:t>13</w:t>
        </w:r>
        <w:r>
          <w:rPr>
            <w:b/>
            <w:bCs/>
            <w:color w:val="000000"/>
            <w:spacing w:val="0"/>
            <w:w w:val="100"/>
            <w:position w:val="0"/>
          </w:rPr>
          <w:t>C</w:t>
        </w:r>
        <w:r>
          <w:rPr>
            <w:color w:val="000000"/>
            <w:spacing w:val="0"/>
            <w:w w:val="100"/>
            <w:position w:val="0"/>
          </w:rPr>
          <w:t>取样</w:t>
        </w:r>
        <w:r>
          <w:rPr>
            <w:color w:val="000000"/>
            <w:spacing w:val="0"/>
            <w:w w:val="100"/>
            <w:position w:val="0"/>
          </w:rPr>
          <w:tab/>
        </w:r>
        <w:r>
          <w:rPr>
            <w:b/>
            <w:bCs/>
            <w:color w:val="000000"/>
            <w:spacing w:val="0"/>
            <w:w w:val="100"/>
            <w:position w:val="0"/>
          </w:rPr>
          <w:t>14</w:t>
        </w:r>
      </w:hyperlink>
    </w:p>
    <w:p>
      <w:pPr>
        <w:pStyle w:val="a4"/>
        <w:keepNext w:val="0"/>
        <w:keepLines w:val="0"/>
        <w:widowControl w:val="0"/>
        <w:shd w:val="clear" w:color="auto" w:fill="auto"/>
        <w:tabs>
          <w:tab w:val="right" w:leader="dot" w:pos="12460"/>
        </w:tabs>
        <w:bidi w:val="0"/>
        <w:spacing w:before="0" w:after="520" w:line="240" w:lineRule="auto"/>
        <w:ind w:left="0" w:right="0" w:firstLine="520"/>
        <w:jc w:val="left"/>
      </w:pPr>
      <w:hyperlink w:anchor="bookmark116" w:tooltip="Current Document" w:history="1">
        <w:r>
          <w:rPr>
            <w:b/>
            <w:bCs/>
            <w:color w:val="000000"/>
            <w:spacing w:val="0"/>
            <w:w w:val="100"/>
            <w:position w:val="0"/>
          </w:rPr>
          <w:t>5.6</w:t>
        </w:r>
        <w:r>
          <w:rPr>
            <w:color w:val="000000"/>
            <w:spacing w:val="0"/>
            <w:w w:val="100"/>
            <w:position w:val="0"/>
          </w:rPr>
          <w:t>硫酸盐样的采取</w:t>
        </w:r>
        <w:r>
          <w:rPr>
            <w:color w:val="000000"/>
            <w:spacing w:val="0"/>
            <w:w w:val="100"/>
            <w:position w:val="0"/>
          </w:rPr>
          <w:tab/>
        </w:r>
        <w:r>
          <w:rPr>
            <w:b/>
            <w:bCs/>
            <w:color w:val="000000"/>
            <w:spacing w:val="0"/>
            <w:w w:val="100"/>
            <w:position w:val="0"/>
          </w:rPr>
          <w:t>14</w:t>
        </w:r>
      </w:hyperlink>
    </w:p>
    <w:p>
      <w:pPr>
        <w:pStyle w:val="a4"/>
        <w:keepNext w:val="0"/>
        <w:keepLines w:val="0"/>
        <w:widowControl w:val="0"/>
        <w:shd w:val="clear" w:color="auto" w:fill="auto"/>
        <w:tabs>
          <w:tab w:val="right" w:leader="dot" w:pos="12460"/>
        </w:tabs>
        <w:bidi w:val="0"/>
        <w:spacing w:before="0" w:after="460" w:line="240" w:lineRule="auto"/>
        <w:ind w:left="0" w:right="0" w:firstLine="520"/>
        <w:jc w:val="left"/>
      </w:pPr>
      <w:hyperlink w:anchor="bookmark119" w:tooltip="Current Document" w:history="1">
        <w:r>
          <w:rPr>
            <w:b/>
            <w:bCs/>
            <w:color w:val="000000"/>
            <w:spacing w:val="0"/>
            <w:w w:val="100"/>
            <w:position w:val="0"/>
          </w:rPr>
          <w:t>5.7</w:t>
        </w:r>
        <w:r>
          <w:rPr>
            <w:color w:val="000000"/>
            <w:spacing w:val="0"/>
            <w:w w:val="100"/>
            <w:position w:val="0"/>
          </w:rPr>
          <w:t>间接测年示踪剂</w:t>
        </w:r>
        <w:r>
          <w:rPr>
            <w:b/>
            <w:bCs/>
            <w:color w:val="000000"/>
            <w:spacing w:val="0"/>
            <w:w w:val="100"/>
            <w:position w:val="0"/>
          </w:rPr>
          <w:t>CFC（</w:t>
        </w:r>
        <w:r>
          <w:rPr>
            <w:color w:val="000000"/>
            <w:spacing w:val="0"/>
            <w:w w:val="100"/>
            <w:position w:val="0"/>
          </w:rPr>
          <w:t>氟氯化碳</w:t>
        </w:r>
        <w:r>
          <w:rPr>
            <w:b/>
            <w:bCs/>
            <w:color w:val="000000"/>
            <w:spacing w:val="0"/>
            <w:w w:val="100"/>
            <w:position w:val="0"/>
          </w:rPr>
          <w:t>）</w:t>
        </w:r>
        <w:r>
          <w:rPr>
            <w:color w:val="000000"/>
            <w:spacing w:val="0"/>
            <w:w w:val="100"/>
            <w:position w:val="0"/>
          </w:rPr>
          <w:t>分析水样的采集</w:t>
        </w:r>
        <w:r>
          <w:rPr>
            <w:color w:val="000000"/>
            <w:spacing w:val="0"/>
            <w:w w:val="100"/>
            <w:position w:val="0"/>
          </w:rPr>
          <w:tab/>
        </w:r>
        <w:r>
          <w:rPr>
            <w:b/>
            <w:bCs/>
            <w:color w:val="000000"/>
            <w:spacing w:val="0"/>
            <w:w w:val="100"/>
            <w:position w:val="0"/>
          </w:rPr>
          <w:t>15</w:t>
        </w:r>
      </w:hyperlink>
    </w:p>
    <w:p>
      <w:pPr>
        <w:pStyle w:val="a4"/>
        <w:keepNext w:val="0"/>
        <w:keepLines w:val="0"/>
        <w:widowControl w:val="0"/>
        <w:shd w:val="clear" w:color="auto" w:fill="auto"/>
        <w:tabs>
          <w:tab w:val="right" w:leader="hyphen" w:pos="12708"/>
        </w:tabs>
        <w:bidi w:val="0"/>
        <w:spacing w:before="0" w:after="1540" w:line="240" w:lineRule="auto"/>
        <w:ind w:left="0" w:right="0" w:firstLine="0"/>
        <w:jc w:val="left"/>
        <w:rPr>
          <w:sz w:val="40"/>
          <w:szCs w:val="40"/>
        </w:rPr>
      </w:pPr>
      <w:hyperlink w:anchor="bookmark134" w:tooltip="Current Document" w:history="1">
        <w:r>
          <w:rPr>
            <w:rFonts w:ascii="Times New Roman" w:eastAsia="Times New Roman" w:hAnsi="Times New Roman" w:cs="Times New Roman"/>
            <w:b/>
            <w:bCs/>
            <w:color w:val="000000"/>
            <w:spacing w:val="0"/>
            <w:w w:val="100"/>
            <w:position w:val="0"/>
            <w:sz w:val="40"/>
            <w:szCs w:val="40"/>
          </w:rPr>
          <w:t>6</w:t>
        </w:r>
        <w:r>
          <w:rPr>
            <w:b/>
            <w:bCs/>
            <w:color w:val="000000"/>
            <w:spacing w:val="0"/>
            <w:w w:val="100"/>
            <w:position w:val="0"/>
            <w:sz w:val="42"/>
            <w:szCs w:val="42"/>
          </w:rPr>
          <w:t>水样采集注意事项</w:t>
          <w:tab/>
        </w:r>
        <w:r>
          <w:rPr>
            <w:rFonts w:ascii="Times New Roman" w:eastAsia="Times New Roman" w:hAnsi="Times New Roman" w:cs="Times New Roman"/>
            <w:b/>
            <w:bCs/>
            <w:color w:val="000000"/>
            <w:spacing w:val="0"/>
            <w:w w:val="100"/>
            <w:position w:val="0"/>
            <w:sz w:val="40"/>
            <w:szCs w:val="40"/>
          </w:rPr>
          <w:t>17</w:t>
        </w:r>
      </w:hyperlink>
    </w:p>
    <w:p>
      <w:pPr>
        <w:pStyle w:val="a4"/>
        <w:keepNext w:val="0"/>
        <w:keepLines w:val="0"/>
        <w:widowControl w:val="0"/>
        <w:shd w:val="clear" w:color="auto" w:fill="auto"/>
        <w:tabs>
          <w:tab w:val="right" w:leader="dot" w:pos="12708"/>
        </w:tabs>
        <w:bidi w:val="0"/>
        <w:spacing w:before="0" w:after="400" w:line="240" w:lineRule="auto"/>
        <w:ind w:left="0" w:right="0"/>
        <w:jc w:val="both"/>
      </w:pPr>
      <w:r>
        <w:rPr>
          <w:color w:val="000000"/>
          <w:spacing w:val="0"/>
          <w:w w:val="100"/>
          <w:position w:val="0"/>
        </w:rPr>
        <w:t>表</w:t>
      </w:r>
      <w:r>
        <w:rPr>
          <w:b/>
          <w:bCs/>
          <w:color w:val="000000"/>
          <w:spacing w:val="0"/>
          <w:w w:val="100"/>
          <w:position w:val="0"/>
        </w:rPr>
        <w:t>2-1</w:t>
      </w:r>
      <w:r>
        <w:rPr>
          <w:color w:val="000000"/>
          <w:spacing w:val="0"/>
          <w:w w:val="100"/>
          <w:position w:val="0"/>
        </w:rPr>
        <w:t>可用于地下水测年的环境同位素</w:t>
      </w:r>
      <w:r>
        <w:rPr>
          <w:color w:val="000000"/>
          <w:spacing w:val="0"/>
          <w:w w:val="100"/>
          <w:position w:val="0"/>
        </w:rPr>
        <w:tab/>
      </w:r>
      <w:r>
        <w:rPr>
          <w:b/>
          <w:bCs/>
          <w:color w:val="000000"/>
          <w:spacing w:val="0"/>
          <w:w w:val="100"/>
          <w:position w:val="0"/>
        </w:rPr>
        <w:t>4</w:t>
      </w:r>
    </w:p>
    <w:p>
      <w:pPr>
        <w:pStyle w:val="a4"/>
        <w:keepNext w:val="0"/>
        <w:keepLines w:val="0"/>
        <w:widowControl w:val="0"/>
        <w:shd w:val="clear" w:color="auto" w:fill="auto"/>
        <w:tabs>
          <w:tab w:val="right" w:leader="dot" w:pos="12708"/>
        </w:tabs>
        <w:bidi w:val="0"/>
        <w:spacing w:before="0" w:after="400" w:line="240" w:lineRule="auto"/>
        <w:ind w:left="0" w:right="0"/>
        <w:jc w:val="both"/>
      </w:pPr>
      <w:r>
        <w:rPr>
          <w:color w:val="000000"/>
          <w:spacing w:val="0"/>
          <w:w w:val="100"/>
          <w:position w:val="0"/>
        </w:rPr>
        <w:t>表</w:t>
      </w:r>
      <w:r>
        <w:rPr>
          <w:b/>
          <w:bCs/>
          <w:color w:val="000000"/>
          <w:spacing w:val="0"/>
          <w:w w:val="100"/>
          <w:position w:val="0"/>
        </w:rPr>
        <w:t>4-1</w:t>
      </w:r>
      <w:r>
        <w:rPr>
          <w:color w:val="000000"/>
          <w:spacing w:val="0"/>
          <w:w w:val="100"/>
          <w:position w:val="0"/>
        </w:rPr>
        <w:t>样品采集数量、保存时间</w:t>
      </w:r>
      <w:r>
        <w:rPr>
          <w:color w:val="000000"/>
          <w:spacing w:val="0"/>
          <w:w w:val="100"/>
          <w:position w:val="0"/>
        </w:rPr>
        <w:tab/>
      </w:r>
      <w:r>
        <w:rPr>
          <w:b/>
          <w:bCs/>
          <w:color w:val="000000"/>
          <w:spacing w:val="0"/>
          <w:w w:val="100"/>
          <w:position w:val="0"/>
        </w:rPr>
        <w:t>9</w:t>
      </w:r>
    </w:p>
    <w:p>
      <w:pPr>
        <w:pStyle w:val="a4"/>
        <w:keepNext w:val="0"/>
        <w:keepLines w:val="0"/>
        <w:widowControl w:val="0"/>
        <w:shd w:val="clear" w:color="auto" w:fill="auto"/>
        <w:tabs>
          <w:tab w:val="right" w:leader="dot" w:pos="12708"/>
        </w:tabs>
        <w:bidi w:val="0"/>
        <w:spacing w:before="0" w:after="1360" w:line="240" w:lineRule="auto"/>
        <w:ind w:left="0" w:right="0"/>
        <w:jc w:val="both"/>
      </w:pPr>
      <w:r>
        <w:rPr>
          <w:color w:val="000000"/>
          <w:spacing w:val="0"/>
          <w:w w:val="100"/>
          <w:position w:val="0"/>
        </w:rPr>
        <w:t>表</w:t>
      </w:r>
      <w:r>
        <w:rPr>
          <w:b/>
          <w:bCs/>
          <w:color w:val="000000"/>
          <w:spacing w:val="0"/>
          <w:w w:val="100"/>
          <w:position w:val="0"/>
        </w:rPr>
        <w:t>5-1</w:t>
      </w:r>
      <w:r>
        <w:rPr>
          <w:color w:val="000000"/>
          <w:spacing w:val="0"/>
          <w:w w:val="100"/>
          <w:position w:val="0"/>
        </w:rPr>
        <w:t>野外碱度测定值与取样体积的关系</w:t>
      </w:r>
      <w:r>
        <w:rPr>
          <w:color w:val="000000"/>
          <w:spacing w:val="0"/>
          <w:w w:val="100"/>
          <w:position w:val="0"/>
        </w:rPr>
        <w:tab/>
      </w:r>
      <w:r>
        <w:rPr>
          <w:b/>
          <w:bCs/>
          <w:color w:val="000000"/>
          <w:spacing w:val="0"/>
          <w:w w:val="100"/>
          <w:position w:val="0"/>
        </w:rPr>
        <w:t>14</w:t>
      </w:r>
    </w:p>
    <w:p>
      <w:pPr>
        <w:pStyle w:val="a4"/>
        <w:keepNext w:val="0"/>
        <w:keepLines w:val="0"/>
        <w:widowControl w:val="0"/>
        <w:shd w:val="clear" w:color="auto" w:fill="auto"/>
        <w:tabs>
          <w:tab w:val="right" w:leader="dot" w:pos="12708"/>
        </w:tabs>
        <w:bidi w:val="0"/>
        <w:spacing w:before="0" w:after="400" w:line="240" w:lineRule="auto"/>
        <w:ind w:left="0" w:right="0"/>
        <w:jc w:val="both"/>
      </w:pPr>
      <w:r>
        <w:rPr>
          <w:color w:val="000000"/>
          <w:spacing w:val="0"/>
          <w:w w:val="100"/>
          <w:position w:val="0"/>
        </w:rPr>
        <w:t>图</w:t>
      </w:r>
      <w:r>
        <w:rPr>
          <w:b/>
          <w:bCs/>
          <w:color w:val="000000"/>
          <w:spacing w:val="0"/>
          <w:w w:val="100"/>
          <w:position w:val="0"/>
        </w:rPr>
        <w:t>5-1</w:t>
      </w:r>
      <w:r>
        <w:rPr>
          <w:color w:val="000000"/>
          <w:spacing w:val="0"/>
          <w:w w:val="100"/>
          <w:position w:val="0"/>
        </w:rPr>
        <w:t>锥形沉淀器示意图</w:t>
      </w:r>
      <w:r>
        <w:rPr>
          <w:color w:val="000000"/>
          <w:spacing w:val="0"/>
          <w:w w:val="100"/>
          <w:position w:val="0"/>
        </w:rPr>
        <w:tab/>
      </w:r>
      <w:r>
        <w:rPr>
          <w:b/>
          <w:bCs/>
          <w:color w:val="000000"/>
          <w:spacing w:val="0"/>
          <w:w w:val="100"/>
          <w:position w:val="0"/>
        </w:rPr>
        <w:t>11</w:t>
      </w:r>
    </w:p>
    <w:p>
      <w:pPr>
        <w:pStyle w:val="a4"/>
        <w:keepNext w:val="0"/>
        <w:keepLines w:val="0"/>
        <w:widowControl w:val="0"/>
        <w:shd w:val="clear" w:color="auto" w:fill="auto"/>
        <w:tabs>
          <w:tab w:val="left" w:pos="1501"/>
          <w:tab w:val="right" w:leader="dot" w:pos="12708"/>
        </w:tabs>
        <w:bidi w:val="0"/>
        <w:spacing w:before="0" w:after="400" w:line="240" w:lineRule="auto"/>
        <w:ind w:left="0" w:right="0"/>
        <w:jc w:val="both"/>
      </w:pPr>
      <w:r>
        <w:rPr>
          <w:color w:val="000000"/>
          <w:spacing w:val="0"/>
          <w:w w:val="100"/>
          <w:position w:val="0"/>
        </w:rPr>
        <w:t>图</w:t>
      </w:r>
      <w:r>
        <w:rPr>
          <w:b/>
          <w:bCs/>
          <w:color w:val="000000"/>
          <w:spacing w:val="0"/>
          <w:w w:val="100"/>
          <w:position w:val="0"/>
        </w:rPr>
        <w:t>5-2</w:t>
        <w:tab/>
      </w:r>
      <w:r>
        <w:rPr>
          <w:color w:val="000000"/>
          <w:spacing w:val="0"/>
          <w:w w:val="100"/>
          <w:position w:val="0"/>
        </w:rPr>
        <w:t>玻璃瓶采集</w:t>
      </w:r>
      <w:r>
        <w:rPr>
          <w:rFonts w:ascii="Courier New" w:eastAsia="Courier New" w:hAnsi="Courier New" w:cs="Courier New"/>
          <w:color w:val="000000"/>
          <w:spacing w:val="0"/>
          <w:w w:val="100"/>
          <w:position w:val="0"/>
          <w:sz w:val="42"/>
          <w:szCs w:val="42"/>
        </w:rPr>
        <w:t>CFC</w:t>
      </w:r>
      <w:r>
        <w:rPr>
          <w:color w:val="000000"/>
          <w:spacing w:val="0"/>
          <w:w w:val="100"/>
          <w:position w:val="0"/>
        </w:rPr>
        <w:t>分析水样方法一示意图</w:t>
      </w:r>
      <w:r>
        <w:rPr>
          <w:color w:val="000000"/>
          <w:spacing w:val="0"/>
          <w:w w:val="100"/>
          <w:position w:val="0"/>
        </w:rPr>
        <w:tab/>
      </w:r>
      <w:r>
        <w:rPr>
          <w:b/>
          <w:bCs/>
          <w:color w:val="000000"/>
          <w:spacing w:val="0"/>
          <w:w w:val="100"/>
          <w:position w:val="0"/>
        </w:rPr>
        <w:t>16</w:t>
      </w:r>
    </w:p>
    <w:p>
      <w:pPr>
        <w:pStyle w:val="a4"/>
        <w:keepNext w:val="0"/>
        <w:keepLines w:val="0"/>
        <w:widowControl w:val="0"/>
        <w:shd w:val="clear" w:color="auto" w:fill="auto"/>
        <w:tabs>
          <w:tab w:val="left" w:pos="1501"/>
          <w:tab w:val="right" w:leader="dot" w:pos="12708"/>
        </w:tabs>
        <w:bidi w:val="0"/>
        <w:spacing w:before="0" w:after="1160" w:line="240" w:lineRule="auto"/>
        <w:ind w:left="0" w:right="0"/>
        <w:jc w:val="both"/>
      </w:pPr>
      <w:r>
        <w:rPr>
          <w:color w:val="000000"/>
          <w:spacing w:val="0"/>
          <w:w w:val="100"/>
          <w:position w:val="0"/>
        </w:rPr>
        <w:t>图</w:t>
      </w:r>
      <w:r>
        <w:rPr>
          <w:b/>
          <w:bCs/>
          <w:color w:val="000000"/>
          <w:spacing w:val="0"/>
          <w:w w:val="100"/>
          <w:position w:val="0"/>
        </w:rPr>
        <w:t>5-3</w:t>
        <w:tab/>
      </w:r>
      <w:r>
        <w:rPr>
          <w:color w:val="000000"/>
          <w:spacing w:val="0"/>
          <w:w w:val="100"/>
          <w:position w:val="0"/>
        </w:rPr>
        <w:t>玻璃瓶采集</w:t>
      </w:r>
      <w:r>
        <w:rPr>
          <w:b/>
          <w:bCs/>
          <w:color w:val="000000"/>
          <w:spacing w:val="0"/>
          <w:w w:val="100"/>
          <w:position w:val="0"/>
        </w:rPr>
        <w:t>CFC</w:t>
      </w:r>
      <w:r>
        <w:rPr>
          <w:color w:val="000000"/>
          <w:spacing w:val="0"/>
          <w:w w:val="100"/>
          <w:position w:val="0"/>
        </w:rPr>
        <w:t>分析水样方法二示意图</w:t>
      </w:r>
      <w:r>
        <w:rPr>
          <w:color w:val="000000"/>
          <w:spacing w:val="0"/>
          <w:w w:val="100"/>
          <w:position w:val="0"/>
        </w:rPr>
        <w:tab/>
      </w:r>
      <w:r>
        <w:rPr>
          <w:b/>
          <w:bCs/>
          <w:color w:val="000000"/>
          <w:spacing w:val="0"/>
          <w:w w:val="100"/>
          <w:position w:val="0"/>
        </w:rPr>
        <w:t>17</w:t>
      </w:r>
      <w:r>
        <w:fldChar w:fldCharType="end"/>
      </w:r>
    </w:p>
    <w:p>
      <w:pPr>
        <w:pStyle w:val="a5"/>
        <w:keepNext w:val="0"/>
        <w:keepLines w:val="0"/>
        <w:widowControl w:val="0"/>
        <w:shd w:val="clear" w:color="auto" w:fill="auto"/>
        <w:bidi w:val="0"/>
        <w:spacing w:before="0" w:after="400" w:line="240" w:lineRule="auto"/>
        <w:ind w:left="0" w:right="0" w:firstLine="200"/>
        <w:jc w:val="both"/>
      </w:pPr>
      <w:r>
        <w:rPr>
          <w:color w:val="000000"/>
          <w:spacing w:val="0"/>
          <w:w w:val="100"/>
          <w:position w:val="0"/>
        </w:rPr>
        <w:t>附表</w:t>
      </w:r>
      <w:r>
        <w:rPr>
          <w:b/>
          <w:bCs/>
          <w:color w:val="000000"/>
          <w:spacing w:val="0"/>
          <w:w w:val="100"/>
          <w:position w:val="0"/>
        </w:rPr>
        <w:t>1</w:t>
      </w:r>
      <w:r>
        <w:rPr>
          <w:color w:val="000000"/>
          <w:spacing w:val="0"/>
          <w:w w:val="100"/>
          <w:position w:val="0"/>
        </w:rPr>
        <w:t>：同位素取样标签样式</w:t>
      </w:r>
    </w:p>
    <w:p>
      <w:pPr>
        <w:pStyle w:val="a5"/>
        <w:keepNext w:val="0"/>
        <w:keepLines w:val="0"/>
        <w:widowControl w:val="0"/>
        <w:shd w:val="clear" w:color="auto" w:fill="auto"/>
        <w:bidi w:val="0"/>
        <w:spacing w:before="0" w:after="400" w:line="240" w:lineRule="auto"/>
        <w:ind w:left="0" w:right="0" w:firstLine="200"/>
        <w:jc w:val="both"/>
      </w:pPr>
      <w:r>
        <w:rPr>
          <w:color w:val="000000"/>
          <w:spacing w:val="0"/>
          <w:w w:val="100"/>
          <w:position w:val="0"/>
        </w:rPr>
        <w:t>附表</w:t>
      </w:r>
      <w:r>
        <w:rPr>
          <w:b/>
          <w:bCs/>
          <w:color w:val="000000"/>
          <w:spacing w:val="0"/>
          <w:w w:val="100"/>
          <w:position w:val="0"/>
        </w:rPr>
        <w:t>2</w:t>
      </w:r>
      <w:r>
        <w:rPr>
          <w:color w:val="000000"/>
          <w:spacing w:val="0"/>
          <w:w w:val="100"/>
          <w:position w:val="0"/>
        </w:rPr>
        <w:t>：环境同位素分析送样单样式</w:t>
      </w:r>
    </w:p>
    <w:p>
      <w:pPr>
        <w:pStyle w:val="a5"/>
        <w:keepNext w:val="0"/>
        <w:keepLines w:val="0"/>
        <w:widowControl w:val="0"/>
        <w:shd w:val="clear" w:color="auto" w:fill="auto"/>
        <w:bidi w:val="0"/>
        <w:spacing w:before="0" w:after="480" w:line="240" w:lineRule="auto"/>
        <w:ind w:left="0" w:right="0" w:firstLine="200"/>
        <w:jc w:val="both"/>
        <w:sectPr>
          <w:type w:val="nextPage"/>
          <w:pgSz w:w="17861" w:h="25258"/>
          <w:pgMar w:top="3137" w:right="2253" w:bottom="3931" w:left="2791" w:header="0" w:footer="3" w:gutter="0"/>
          <w:pgNumType w:start="2"/>
          <w:cols w:space="720"/>
          <w:noEndnote/>
          <w:titlePg w:val="0"/>
          <w:rtlGutter w:val="0"/>
          <w:docGrid w:linePitch="360"/>
        </w:sectPr>
      </w:pPr>
      <w:r>
        <w:rPr>
          <w:color w:val="000000"/>
          <w:spacing w:val="0"/>
          <w:w w:val="100"/>
          <w:position w:val="0"/>
        </w:rPr>
        <w:t>附表</w:t>
      </w:r>
      <w:r>
        <w:rPr>
          <w:b/>
          <w:bCs/>
          <w:color w:val="000000"/>
          <w:spacing w:val="0"/>
          <w:w w:val="100"/>
          <w:position w:val="0"/>
        </w:rPr>
        <w:t>3</w:t>
      </w:r>
      <w:r>
        <w:rPr>
          <w:color w:val="000000"/>
          <w:spacing w:val="0"/>
          <w:w w:val="100"/>
          <w:position w:val="0"/>
        </w:rPr>
        <w:t>：野外取样记录表样式</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18" w:after="118" w:line="240" w:lineRule="exact"/>
        <w:rPr>
          <w:sz w:val="19"/>
          <w:szCs w:val="19"/>
        </w:rPr>
      </w:pPr>
    </w:p>
    <w:p>
      <w:pPr>
        <w:widowControl w:val="0"/>
        <w:spacing w:line="1" w:lineRule="exact"/>
        <w:sectPr>
          <w:pgSz w:w="17861" w:h="25258"/>
          <w:pgMar w:top="1674" w:right="1867" w:bottom="2321" w:left="2040" w:header="0" w:footer="3" w:gutter="0"/>
          <w:pgNumType w:start="3"/>
          <w:cols w:space="720"/>
          <w:noEndnote/>
          <w:rtlGutter w:val="0"/>
          <w:docGrid w:linePitch="360"/>
        </w:sectPr>
      </w:pPr>
    </w:p>
    <w:p>
      <w:pPr>
        <w:widowControl w:val="0"/>
        <w:spacing w:line="1" w:lineRule="exact"/>
      </w:pPr>
      <w:r>
        <mc:AlternateContent>
          <mc:Choice Requires="wps">
            <w:drawing>
              <wp:anchor distT="0" distB="266700" distL="0" distR="0" simplePos="0" relativeHeight="251659264" behindDoc="0" locked="0" layoutInCell="1" allowOverlap="1">
                <wp:simplePos x="0" y="0"/>
                <wp:positionH relativeFrom="page">
                  <wp:posOffset>4662170</wp:posOffset>
                </wp:positionH>
                <wp:positionV relativeFrom="paragraph">
                  <wp:posOffset>0</wp:posOffset>
                </wp:positionV>
                <wp:extent cx="2091055" cy="53340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91055" cy="533400"/>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left"/>
                            </w:pPr>
                            <w:bookmarkStart w:id="5" w:name="bookmark5"/>
                            <w:bookmarkStart w:id="6" w:name="bookmark6"/>
                            <w:bookmarkStart w:id="7" w:name="bookmark7"/>
                            <w:r>
                              <w:rPr>
                                <w:rFonts w:ascii="Times New Roman" w:eastAsia="Times New Roman" w:hAnsi="Times New Roman" w:cs="Times New Roman"/>
                                <w:color w:val="000000"/>
                                <w:spacing w:val="0"/>
                                <w:w w:val="100"/>
                                <w:position w:val="0"/>
                                <w:sz w:val="70"/>
                                <w:szCs w:val="70"/>
                              </w:rPr>
                              <w:t>1</w:t>
                            </w:r>
                            <w:r>
                              <w:rPr>
                                <w:color w:val="000000"/>
                                <w:spacing w:val="0"/>
                                <w:w w:val="100"/>
                                <w:position w:val="0"/>
                              </w:rPr>
                              <w:t>适用范围</w:t>
                            </w:r>
                            <w:bookmarkEnd w:id="5"/>
                            <w:bookmarkEnd w:id="6"/>
                            <w:bookmarkEnd w:id="7"/>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64.65pt;height:42pt;margin-top:0;margin-left:367.1pt;mso-position-horizontal-relative:page;mso-wrap-distance-bottom:21pt;mso-wrap-distance-left:0;mso-wrap-distance-right:0;mso-wrap-distance-top:0;mso-wrap-style:none;position:absolute;v-text-anchor:top;z-index:251658240" filled="f" fillcolor="this">
                <v:textbox inset="0,0,0,0">
                  <w:txbxContent>
                    <w:p>
                      <w:pPr>
                        <w:pStyle w:val="10"/>
                        <w:keepNext/>
                        <w:keepLines/>
                        <w:widowControl w:val="0"/>
                        <w:shd w:val="clear" w:color="auto" w:fill="auto"/>
                        <w:bidi w:val="0"/>
                        <w:spacing w:before="0" w:after="0" w:line="240" w:lineRule="auto"/>
                        <w:ind w:left="0" w:right="0" w:firstLine="0"/>
                        <w:jc w:val="left"/>
                      </w:pPr>
                      <w:bookmarkStart w:id="5" w:name="bookmark5"/>
                      <w:bookmarkStart w:id="6" w:name="bookmark6"/>
                      <w:bookmarkStart w:id="7" w:name="bookmark7"/>
                      <w:r>
                        <w:rPr>
                          <w:rFonts w:ascii="Times New Roman" w:eastAsia="Times New Roman" w:hAnsi="Times New Roman" w:cs="Times New Roman"/>
                          <w:color w:val="000000"/>
                          <w:spacing w:val="0"/>
                          <w:w w:val="100"/>
                          <w:position w:val="0"/>
                          <w:sz w:val="70"/>
                          <w:szCs w:val="70"/>
                        </w:rPr>
                        <w:t>1</w:t>
                      </w:r>
                      <w:r>
                        <w:rPr>
                          <w:color w:val="000000"/>
                          <w:spacing w:val="0"/>
                          <w:w w:val="100"/>
                          <w:position w:val="0"/>
                        </w:rPr>
                        <w:t>适用范围</w:t>
                      </w:r>
                      <w:bookmarkEnd w:id="5"/>
                      <w:bookmarkEnd w:id="6"/>
                      <w:bookmarkEnd w:id="7"/>
                    </w:p>
                  </w:txbxContent>
                </v:textbox>
                <w10:wrap type="topAndBottom"/>
              </v:shape>
            </w:pict>
          </mc:Fallback>
        </mc:AlternateContent>
      </w:r>
      <w:r>
        <mc:AlternateContent>
          <mc:Choice Requires="wps">
            <w:drawing>
              <wp:anchor distT="207010" distB="376555" distL="0" distR="0" simplePos="0" relativeHeight="251661312" behindDoc="0" locked="0" layoutInCell="1" allowOverlap="1">
                <wp:simplePos x="0" y="0"/>
                <wp:positionH relativeFrom="page">
                  <wp:posOffset>6390640</wp:posOffset>
                </wp:positionH>
                <wp:positionV relativeFrom="paragraph">
                  <wp:posOffset>207010</wp:posOffset>
                </wp:positionV>
                <wp:extent cx="289560" cy="21653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89560" cy="216535"/>
                        </a:xfrm>
                        <a:prstGeom prst="rect">
                          <a:avLst/>
                        </a:prstGeom>
                        <a:noFill/>
                      </wps:spPr>
                      <wps:txbx>
                        <w:txbxContent>
                          <w:p>
                            <w:pPr>
                              <w:pStyle w:val="a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center"/>
                              <w:rPr>
                                <w:sz w:val="28"/>
                                <w:szCs w:val="28"/>
                              </w:rPr>
                            </w:pPr>
                            <w:r>
                              <w:rPr>
                                <w:rFonts w:ascii="Times New Roman" w:eastAsia="Times New Roman" w:hAnsi="Times New Roman" w:cs="Times New Roman"/>
                                <w:b/>
                                <w:bCs/>
                                <w:color w:val="FFFFFF"/>
                                <w:spacing w:val="0"/>
                                <w:w w:val="100"/>
                                <w:position w:val="0"/>
                                <w:sz w:val="28"/>
                                <w:szCs w:val="28"/>
                              </w:rPr>
                              <w:t>■ Ej</w:t>
                            </w:r>
                          </w:p>
                        </w:txbxContent>
                      </wps:txbx>
                      <wps:bodyPr wrap="none" lIns="0" tIns="0" rIns="0" bIns="0"/>
                    </wps:wsp>
                  </a:graphicData>
                </a:graphic>
              </wp:anchor>
            </w:drawing>
          </mc:Choice>
          <mc:Fallback>
            <w:pict>
              <v:shape id="Shape 3" o:spid="_x0000_s1026" type="#_x0000_t202" style="width:22.8pt;height:17.05pt;margin-top:16.3pt;margin-left:503.2pt;mso-position-horizontal-relative:page;mso-wrap-distance-bottom:29.65pt;mso-wrap-distance-left:0;mso-wrap-distance-right:0;mso-wrap-distance-top:16.3pt;mso-wrap-style:none;position:absolute;v-text-anchor:top;z-index:251660288" filled="f" fillcolor="this">
                <v:textbox inset="0,0,0,0">
                  <w:txbxContent>
                    <w:p>
                      <w:pPr>
                        <w:pStyle w:val="a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center"/>
                        <w:rPr>
                          <w:sz w:val="28"/>
                          <w:szCs w:val="28"/>
                        </w:rPr>
                      </w:pPr>
                      <w:r>
                        <w:rPr>
                          <w:rFonts w:ascii="Times New Roman" w:eastAsia="Times New Roman" w:hAnsi="Times New Roman" w:cs="Times New Roman"/>
                          <w:b/>
                          <w:bCs/>
                          <w:color w:val="FFFFFF"/>
                          <w:spacing w:val="0"/>
                          <w:w w:val="100"/>
                          <w:position w:val="0"/>
                          <w:sz w:val="28"/>
                          <w:szCs w:val="28"/>
                        </w:rPr>
                        <w:t>■ Ej</w:t>
                      </w:r>
                    </w:p>
                  </w:txbxContent>
                </v:textbox>
                <w10:wrap type="topAndBottom"/>
              </v:shape>
            </w:pict>
          </mc:Fallback>
        </mc:AlternateContent>
      </w:r>
    </w:p>
    <w:p>
      <w:pPr>
        <w:pStyle w:val="a5"/>
        <w:keepNext w:val="0"/>
        <w:keepLines w:val="0"/>
        <w:widowControl w:val="0"/>
        <w:shd w:val="clear" w:color="auto" w:fill="auto"/>
        <w:bidi w:val="0"/>
        <w:spacing w:before="0" w:line="595" w:lineRule="exact"/>
        <w:ind w:left="0" w:right="0" w:firstLine="720"/>
        <w:jc w:val="both"/>
      </w:pPr>
      <w:r>
        <w:rPr>
          <w:color w:val="000000"/>
          <w:spacing w:val="0"/>
          <w:w w:val="100"/>
          <w:position w:val="0"/>
        </w:rPr>
        <w:t>本导则适用于中国地质调查局《全国地下水资源及其环境问题调查评价》项目所 属工作内容开展同位素水文地质研究的方案设计和样品采集过程规范化。</w:t>
      </w:r>
    </w:p>
    <w:p>
      <w:pPr>
        <w:pStyle w:val="a5"/>
        <w:keepNext w:val="0"/>
        <w:keepLines w:val="0"/>
        <w:widowControl w:val="0"/>
        <w:shd w:val="clear" w:color="auto" w:fill="auto"/>
        <w:bidi w:val="0"/>
        <w:spacing w:before="0" w:line="585" w:lineRule="exact"/>
        <w:ind w:left="0" w:right="0" w:firstLine="720"/>
        <w:jc w:val="both"/>
      </w:pPr>
      <w:r>
        <w:rPr>
          <w:color w:val="000000"/>
          <w:spacing w:val="0"/>
          <w:w w:val="100"/>
          <w:position w:val="0"/>
        </w:rPr>
        <w:t>环境同位素在水文地质中的应用研究在我国已有</w:t>
      </w:r>
      <w:r>
        <w:rPr>
          <w:b/>
          <w:bCs/>
          <w:color w:val="000000"/>
          <w:spacing w:val="0"/>
          <w:w w:val="100"/>
          <w:position w:val="0"/>
        </w:rPr>
        <w:t>20</w:t>
      </w:r>
      <w:r>
        <w:rPr>
          <w:color w:val="000000"/>
          <w:spacing w:val="0"/>
          <w:w w:val="100"/>
          <w:position w:val="0"/>
        </w:rPr>
        <w:t>多年的历史，其成果极大地 丰富了水文地质研究内容，推动了现代水文地质学的发展。但到目前为止，还没有一 个较统一的和基本的应用指导原则</w:t>
      </w:r>
      <w:r>
        <w:rPr>
          <w:b/>
          <w:bCs/>
          <w:color w:val="000000"/>
          <w:spacing w:val="0"/>
          <w:w w:val="100"/>
          <w:position w:val="0"/>
        </w:rPr>
        <w:t>（</w:t>
      </w:r>
      <w:r>
        <w:rPr>
          <w:color w:val="000000"/>
          <w:spacing w:val="0"/>
          <w:w w:val="100"/>
          <w:position w:val="0"/>
        </w:rPr>
        <w:t>或规范</w:t>
      </w:r>
      <w:r>
        <w:rPr>
          <w:b/>
          <w:bCs/>
          <w:color w:val="000000"/>
          <w:spacing w:val="0"/>
          <w:w w:val="100"/>
          <w:position w:val="0"/>
        </w:rPr>
        <w:t>）</w:t>
      </w:r>
      <w:r>
        <w:rPr>
          <w:color w:val="000000"/>
          <w:spacing w:val="0"/>
          <w:w w:val="100"/>
          <w:position w:val="0"/>
        </w:rPr>
        <w:t>，直接影响了研究成果质量及成果评价。 对希望利用环境同位素技术解决专门水文地质问题的人来说，无论是熟悉了这门技 术，还是初次使用，面临的首要问题都是取样方案的合理设计和样品采集问题。针对 全国地下水资源及其环境地质问题调查评价项目的总体思路、目标任务和阶段安排， 在强调有效、经济和可操作的前提下，遵照确保样品的代表性、可靠性、可比性、系 统性和科学性原则，特制定环境同位素水文地质研究“方案设计与样品采集”导则， 随着工作的进一步开展，将经进一步完善后，形成应用指南。</w:t>
      </w:r>
    </w:p>
    <w:p>
      <w:pPr>
        <w:pStyle w:val="a5"/>
        <w:keepNext w:val="0"/>
        <w:keepLines w:val="0"/>
        <w:widowControl w:val="0"/>
        <w:shd w:val="clear" w:color="auto" w:fill="auto"/>
        <w:bidi w:val="0"/>
        <w:spacing w:before="0" w:line="585" w:lineRule="exact"/>
        <w:ind w:left="0" w:right="0" w:firstLine="720"/>
        <w:jc w:val="both"/>
      </w:pPr>
      <w:r>
        <w:rPr>
          <w:color w:val="000000"/>
          <w:spacing w:val="0"/>
          <w:w w:val="100"/>
          <w:position w:val="0"/>
        </w:rPr>
        <w:t>术语说明：</w:t>
      </w:r>
    </w:p>
    <w:p>
      <w:pPr>
        <w:pStyle w:val="a5"/>
        <w:keepNext w:val="0"/>
        <w:keepLines w:val="0"/>
        <w:widowControl w:val="0"/>
        <w:shd w:val="clear" w:color="auto" w:fill="auto"/>
        <w:bidi w:val="0"/>
        <w:spacing w:before="0" w:line="585" w:lineRule="exact"/>
        <w:ind w:left="0" w:right="0" w:firstLine="720"/>
        <w:jc w:val="both"/>
      </w:pPr>
      <w:r>
        <w:rPr>
          <w:b/>
          <w:bCs/>
          <w:color w:val="000000"/>
          <w:spacing w:val="0"/>
          <w:w w:val="100"/>
          <w:position w:val="0"/>
        </w:rPr>
        <w:t>IAEA</w:t>
      </w:r>
      <w:r>
        <w:rPr>
          <w:rFonts w:ascii="Times New Roman" w:eastAsia="Times New Roman" w:hAnsi="Times New Roman" w:cs="Times New Roman"/>
          <w:color w:val="000000"/>
          <w:spacing w:val="0"/>
          <w:w w:val="100"/>
          <w:position w:val="0"/>
        </w:rPr>
        <w:t>—</w:t>
      </w:r>
      <w:r>
        <w:rPr>
          <w:color w:val="000000"/>
          <w:spacing w:val="0"/>
          <w:w w:val="100"/>
          <w:position w:val="0"/>
        </w:rPr>
        <w:t>国际原子能机构。</w:t>
      </w:r>
    </w:p>
    <w:p>
      <w:pPr>
        <w:pStyle w:val="a5"/>
        <w:keepNext w:val="0"/>
        <w:keepLines w:val="0"/>
        <w:widowControl w:val="0"/>
        <w:shd w:val="clear" w:color="auto" w:fill="auto"/>
        <w:bidi w:val="0"/>
        <w:spacing w:before="0" w:after="640" w:line="585" w:lineRule="exact"/>
        <w:ind w:left="0" w:right="0" w:firstLine="720"/>
        <w:jc w:val="both"/>
      </w:pPr>
      <w:r>
        <w:rPr>
          <w:b/>
          <w:bCs/>
          <w:color w:val="000000"/>
          <w:spacing w:val="0"/>
          <w:w w:val="100"/>
          <w:position w:val="0"/>
        </w:rPr>
        <w:t>CFC</w:t>
      </w:r>
      <w:r>
        <w:rPr>
          <w:rFonts w:ascii="Times New Roman" w:eastAsia="Times New Roman" w:hAnsi="Times New Roman" w:cs="Times New Roman"/>
          <w:color w:val="000000"/>
          <w:spacing w:val="0"/>
          <w:w w:val="100"/>
          <w:position w:val="0"/>
        </w:rPr>
        <w:t>—</w:t>
      </w:r>
      <w:r>
        <w:rPr>
          <w:color w:val="000000"/>
          <w:spacing w:val="0"/>
          <w:w w:val="100"/>
          <w:position w:val="0"/>
        </w:rPr>
        <w:t>氟利昂。</w:t>
      </w:r>
    </w:p>
    <w:p>
      <w:pPr>
        <w:pStyle w:val="10"/>
        <w:keepNext/>
        <w:keepLines/>
        <w:widowControl w:val="0"/>
        <w:shd w:val="clear" w:color="auto" w:fill="auto"/>
        <w:bidi w:val="0"/>
        <w:spacing w:before="0" w:after="560" w:line="240" w:lineRule="auto"/>
        <w:ind w:left="0" w:right="0" w:firstLine="0"/>
        <w:jc w:val="center"/>
      </w:pPr>
      <w:bookmarkStart w:id="8" w:name="bookmark10"/>
      <w:bookmarkStart w:id="9" w:name="bookmark8"/>
      <w:bookmarkStart w:id="10" w:name="bookmark9"/>
      <w:r>
        <w:rPr>
          <w:rFonts w:ascii="Times New Roman" w:eastAsia="Times New Roman" w:hAnsi="Times New Roman" w:cs="Times New Roman"/>
          <w:color w:val="000000"/>
          <w:spacing w:val="0"/>
          <w:w w:val="100"/>
          <w:position w:val="0"/>
          <w:sz w:val="70"/>
          <w:szCs w:val="70"/>
        </w:rPr>
        <w:t>2</w:t>
      </w:r>
      <w:r>
        <w:rPr>
          <w:color w:val="000000"/>
          <w:spacing w:val="0"/>
          <w:w w:val="100"/>
          <w:position w:val="0"/>
        </w:rPr>
        <w:t>取样方案的设计</w:t>
      </w:r>
      <w:bookmarkEnd w:id="8"/>
      <w:bookmarkEnd w:id="9"/>
      <w:bookmarkEnd w:id="10"/>
    </w:p>
    <w:p>
      <w:pPr>
        <w:pStyle w:val="a5"/>
        <w:keepNext w:val="0"/>
        <w:keepLines w:val="0"/>
        <w:widowControl w:val="0"/>
        <w:shd w:val="clear" w:color="auto" w:fill="auto"/>
        <w:bidi w:val="0"/>
        <w:spacing w:before="0" w:after="560" w:line="581" w:lineRule="exact"/>
        <w:ind w:left="0" w:right="0" w:firstLine="720"/>
        <w:jc w:val="both"/>
      </w:pPr>
      <w:r>
        <w:rPr>
          <w:color w:val="000000"/>
          <w:spacing w:val="0"/>
          <w:w w:val="100"/>
          <w:position w:val="0"/>
        </w:rPr>
        <w:t>取样方案的设计是指就某一具体的水文地质问题而制定的环境同位素样品采集 计划，主要内容包括：对拟研究问题的分析及理论准备，环境同位素方法选择，采样 点、线的布置及采样时间安排。</w:t>
      </w:r>
    </w:p>
    <w:p>
      <w:pPr>
        <w:pStyle w:val="21"/>
        <w:keepNext/>
        <w:keepLines/>
        <w:widowControl w:val="0"/>
        <w:shd w:val="clear" w:color="auto" w:fill="auto"/>
        <w:bidi w:val="0"/>
        <w:spacing w:before="0" w:after="360" w:line="240" w:lineRule="auto"/>
        <w:ind w:left="0" w:right="0"/>
        <w:jc w:val="both"/>
      </w:pPr>
      <w:bookmarkStart w:id="11" w:name="bookmark11"/>
      <w:bookmarkStart w:id="12" w:name="bookmark12"/>
      <w:bookmarkStart w:id="13" w:name="bookmark13"/>
      <w:r>
        <w:rPr>
          <w:rFonts w:ascii="Times New Roman" w:eastAsia="Times New Roman" w:hAnsi="Times New Roman" w:cs="Times New Roman"/>
          <w:color w:val="000000"/>
          <w:spacing w:val="0"/>
          <w:w w:val="100"/>
          <w:position w:val="0"/>
          <w:sz w:val="46"/>
          <w:szCs w:val="46"/>
        </w:rPr>
        <w:t>2.1</w:t>
      </w:r>
      <w:r>
        <w:rPr>
          <w:color w:val="000000"/>
          <w:spacing w:val="0"/>
          <w:w w:val="100"/>
          <w:position w:val="0"/>
        </w:rPr>
        <w:t>对拟研究问题的分析及理论准备</w:t>
      </w:r>
      <w:bookmarkEnd w:id="11"/>
      <w:bookmarkEnd w:id="12"/>
      <w:bookmarkEnd w:id="13"/>
    </w:p>
    <w:p>
      <w:pPr>
        <w:pStyle w:val="a5"/>
        <w:keepNext w:val="0"/>
        <w:keepLines w:val="0"/>
        <w:widowControl w:val="0"/>
        <w:shd w:val="clear" w:color="auto" w:fill="auto"/>
        <w:bidi w:val="0"/>
        <w:spacing w:before="0" w:after="300" w:line="582" w:lineRule="exact"/>
        <w:ind w:left="0" w:right="0" w:firstLine="720"/>
        <w:jc w:val="both"/>
      </w:pPr>
      <w:r>
        <w:rPr>
          <w:color w:val="000000"/>
          <w:spacing w:val="0"/>
          <w:w w:val="100"/>
          <w:position w:val="0"/>
        </w:rPr>
        <w:t>环境同位素技术是通过对物质在原子核层次记录的信息的提取分析来追索物质 运动过程的。具体地说，就是利用放射性同位素的计时性和稳定同位素的分馏性开展 研究工作。在过去的</w:t>
      </w:r>
      <w:r>
        <w:rPr>
          <w:b/>
          <w:bCs/>
          <w:color w:val="000000"/>
          <w:spacing w:val="0"/>
          <w:w w:val="100"/>
          <w:position w:val="0"/>
        </w:rPr>
        <w:t>30</w:t>
      </w:r>
      <w:r>
        <w:rPr>
          <w:color w:val="000000"/>
          <w:spacing w:val="0"/>
          <w:w w:val="100"/>
          <w:position w:val="0"/>
        </w:rPr>
        <w:t>年里，环境同位素在测定地下水年龄，测定地下水温度，示 踪地下水运动及示踪地下水化学成分的形成过程等方面都显示出了比常规技术更有 效、针对性更强和极少受环境干扰的特点。</w:t>
      </w:r>
    </w:p>
    <w:p>
      <w:pPr>
        <w:pStyle w:val="a5"/>
        <w:keepNext w:val="0"/>
        <w:keepLines w:val="0"/>
        <w:widowControl w:val="0"/>
        <w:shd w:val="clear" w:color="auto" w:fill="auto"/>
        <w:bidi w:val="0"/>
        <w:spacing w:before="0" w:line="584" w:lineRule="exact"/>
        <w:ind w:left="0" w:right="0" w:firstLine="720"/>
        <w:jc w:val="both"/>
        <w:sectPr>
          <w:type w:val="continuous"/>
          <w:pgSz w:w="17861" w:h="25258"/>
          <w:pgMar w:top="1674" w:right="1867" w:bottom="2321" w:left="2040" w:header="0" w:footer="3" w:gutter="0"/>
          <w:pgNumType w:start="4"/>
          <w:cols w:space="720"/>
          <w:noEndnote/>
          <w:rtlGutter w:val="0"/>
          <w:docGrid w:linePitch="360"/>
        </w:sectPr>
      </w:pPr>
      <w:r>
        <w:rPr>
          <w:color w:val="000000"/>
          <w:spacing w:val="0"/>
          <w:w w:val="100"/>
          <w:position w:val="0"/>
        </w:rPr>
        <w:t>要设计好环境同位素技术应用方案，就需要学习环境同位素基本知识及其相关理</w:t>
      </w:r>
    </w:p>
    <w:p>
      <w:pPr>
        <w:pStyle w:val="a5"/>
        <w:keepNext w:val="0"/>
        <w:keepLines w:val="0"/>
        <w:widowControl w:val="0"/>
        <w:shd w:val="clear" w:color="auto" w:fill="auto"/>
        <w:bidi w:val="0"/>
        <w:spacing w:before="0" w:line="584" w:lineRule="exact"/>
        <w:ind w:left="0" w:right="0" w:firstLine="720"/>
        <w:jc w:val="both"/>
      </w:pPr>
      <w:r>
        <w:rPr>
          <w:color w:val="000000"/>
          <w:spacing w:val="0"/>
          <w:w w:val="100"/>
          <w:position w:val="0"/>
        </w:rPr>
        <w:t xml:space="preserve"> 论，重点是掌握其要点和应用的限制条件。例如，为了资料处理学习和掌握溶质运移</w:t>
      </w:r>
      <w:r>
        <w:rPr>
          <w:color w:val="000000"/>
          <w:spacing w:val="0"/>
          <w:w w:val="100"/>
          <w:position w:val="0"/>
        </w:rPr>
        <w:t xml:space="preserve"> 理论是有益的，收集和分析国内外典型的已有环境同位素研究成果可帮助设计构思，</w:t>
      </w:r>
      <w:r>
        <w:rPr>
          <w:color w:val="000000"/>
          <w:spacing w:val="0"/>
          <w:w w:val="100"/>
          <w:position w:val="0"/>
        </w:rPr>
        <w:t xml:space="preserve"> 对拟解决问题区的各种水的及地层相关环境同位素资料进行收集、分析是提高应用效</w:t>
      </w:r>
      <w:r>
        <w:rPr>
          <w:color w:val="000000"/>
          <w:spacing w:val="0"/>
          <w:w w:val="100"/>
          <w:position w:val="0"/>
        </w:rPr>
        <w:t xml:space="preserve"> 率和工作质量的重要步骤，且有助于对具体方法的选择。</w:t>
      </w:r>
    </w:p>
    <w:p>
      <w:pPr>
        <w:pStyle w:val="a5"/>
        <w:keepNext w:val="0"/>
        <w:keepLines w:val="0"/>
        <w:widowControl w:val="0"/>
        <w:shd w:val="clear" w:color="auto" w:fill="auto"/>
        <w:bidi w:val="0"/>
        <w:spacing w:before="0" w:line="585" w:lineRule="exact"/>
        <w:ind w:left="0" w:right="0" w:firstLine="720"/>
        <w:jc w:val="both"/>
      </w:pPr>
      <w:r>
        <w:rPr>
          <w:color w:val="000000"/>
          <w:spacing w:val="0"/>
          <w:w w:val="100"/>
          <w:position w:val="0"/>
        </w:rPr>
        <w:t>方案设计需针对具体问题来做。一般来说，研究问题越明确应用效果就越好。对 拟解决问题进行分析，应努力寻找常规方法难以解决问题的根本原因或给出待解决问 题的几种可能结论，进而提出几种基本推测，概化出几种模式，并反复比较这些模式 的差异所在（矛盾焦点）。例如，确定地下水补给面积，可根据地形、地貌条件、地 质、水文地质条件提出几种基本看法或推测模式，为设计提供设想。根据这些基本看 法或推测模式来部署设计方案，要重视基础地质条件的分析，应时刻牢记我们要解决 的是水文地质问题。</w:t>
      </w:r>
    </w:p>
    <w:p>
      <w:pPr>
        <w:pStyle w:val="a5"/>
        <w:keepNext w:val="0"/>
        <w:keepLines w:val="0"/>
        <w:widowControl w:val="0"/>
        <w:shd w:val="clear" w:color="auto" w:fill="auto"/>
        <w:bidi w:val="0"/>
        <w:spacing w:before="0" w:after="540" w:line="587" w:lineRule="exact"/>
        <w:ind w:left="0" w:right="0" w:firstLine="720"/>
        <w:jc w:val="both"/>
      </w:pPr>
      <w:r>
        <w:rPr>
          <w:color w:val="000000"/>
          <w:spacing w:val="0"/>
          <w:w w:val="100"/>
          <w:position w:val="0"/>
        </w:rPr>
        <w:t>针对全国地下水资源及其环境地质问题调查评价项目，环境同位素应着重于对地 下水循环更新变化过程的分析，重点应放在地下水年龄测定及相关元素同位素组成变 化研究，特别是应加强地下水、地表水相互关系研究。首先在八大区片分别建立不同 水同位素调查研究剖面，以此为基础，展开深入研究工作。</w:t>
      </w:r>
    </w:p>
    <w:p>
      <w:pPr>
        <w:pStyle w:val="21"/>
        <w:keepNext/>
        <w:keepLines/>
        <w:widowControl w:val="0"/>
        <w:shd w:val="clear" w:color="auto" w:fill="auto"/>
        <w:bidi w:val="0"/>
        <w:spacing w:before="0" w:after="380" w:line="240" w:lineRule="auto"/>
        <w:ind w:left="0" w:right="0"/>
        <w:jc w:val="both"/>
      </w:pPr>
      <w:bookmarkStart w:id="14" w:name="bookmark14"/>
      <w:bookmarkStart w:id="15" w:name="bookmark15"/>
      <w:bookmarkStart w:id="16" w:name="bookmark16"/>
      <w:r>
        <w:rPr>
          <w:rFonts w:ascii="Times New Roman" w:eastAsia="Times New Roman" w:hAnsi="Times New Roman" w:cs="Times New Roman"/>
          <w:color w:val="000000"/>
          <w:spacing w:val="0"/>
          <w:w w:val="100"/>
          <w:position w:val="0"/>
          <w:sz w:val="46"/>
          <w:szCs w:val="46"/>
        </w:rPr>
        <w:t>2.2</w:t>
      </w:r>
      <w:r>
        <w:rPr>
          <w:color w:val="000000"/>
          <w:spacing w:val="0"/>
          <w:w w:val="100"/>
          <w:position w:val="0"/>
        </w:rPr>
        <w:t>环境同位素方法选择</w:t>
      </w:r>
      <w:bookmarkEnd w:id="14"/>
      <w:bookmarkEnd w:id="15"/>
      <w:bookmarkEnd w:id="16"/>
    </w:p>
    <w:p>
      <w:pPr>
        <w:pStyle w:val="a5"/>
        <w:keepNext w:val="0"/>
        <w:keepLines w:val="0"/>
        <w:widowControl w:val="0"/>
        <w:shd w:val="clear" w:color="auto" w:fill="auto"/>
        <w:bidi w:val="0"/>
        <w:spacing w:before="0" w:line="571" w:lineRule="exact"/>
        <w:ind w:left="0" w:right="0" w:firstLine="720"/>
        <w:jc w:val="both"/>
      </w:pPr>
      <w:r>
        <w:rPr>
          <w:color w:val="000000"/>
          <w:spacing w:val="0"/>
          <w:w w:val="100"/>
          <w:position w:val="0"/>
        </w:rPr>
        <w:t>视所要解决的问题，根据同位素特点和局限性选择有关的环境同位素。例如，要 测定地下水的形成年龄可参照表</w:t>
      </w:r>
      <w:r>
        <w:rPr>
          <w:b/>
          <w:bCs/>
          <w:color w:val="000000"/>
          <w:spacing w:val="0"/>
          <w:w w:val="100"/>
          <w:position w:val="0"/>
        </w:rPr>
        <w:t>2-1</w:t>
      </w:r>
      <w:r>
        <w:rPr>
          <w:color w:val="000000"/>
          <w:spacing w:val="0"/>
          <w:w w:val="100"/>
          <w:position w:val="0"/>
        </w:rPr>
        <w:t>选择。</w:t>
      </w:r>
    </w:p>
    <w:p>
      <w:pPr>
        <w:pStyle w:val="a5"/>
        <w:keepNext w:val="0"/>
        <w:keepLines w:val="0"/>
        <w:widowControl w:val="0"/>
        <w:shd w:val="clear" w:color="auto" w:fill="auto"/>
        <w:bidi w:val="0"/>
        <w:spacing w:before="0" w:line="582" w:lineRule="exact"/>
        <w:ind w:left="0" w:right="0" w:firstLine="720"/>
        <w:jc w:val="both"/>
      </w:pPr>
      <w:r>
        <w:rPr>
          <w:color w:val="000000"/>
          <w:spacing w:val="0"/>
          <w:w w:val="100"/>
          <w:position w:val="0"/>
        </w:rPr>
        <w:t>目前，我国地下水测年使用最多的环境同位素有</w:t>
      </w:r>
      <w:r>
        <w:rPr>
          <w:rFonts w:ascii="Times New Roman" w:eastAsia="Times New Roman" w:hAnsi="Times New Roman" w:cs="Times New Roman"/>
          <w:color w:val="000000"/>
          <w:spacing w:val="0"/>
          <w:w w:val="100"/>
          <w:position w:val="0"/>
          <w:sz w:val="22"/>
          <w:szCs w:val="22"/>
        </w:rPr>
        <w:t>3</w:t>
      </w:r>
      <w:r>
        <w:rPr>
          <w:b/>
          <w:bCs/>
          <w:color w:val="000000"/>
          <w:spacing w:val="0"/>
          <w:w w:val="100"/>
          <w:position w:val="0"/>
        </w:rPr>
        <w:t>H</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14</w:t>
      </w:r>
      <w:r>
        <w:rPr>
          <w:b/>
          <w:bCs/>
          <w:color w:val="000000"/>
          <w:spacing w:val="0"/>
          <w:w w:val="100"/>
          <w:position w:val="0"/>
        </w:rPr>
        <w:t>C</w:t>
      </w:r>
      <w:r>
        <w:rPr>
          <w:color w:val="000000"/>
          <w:spacing w:val="0"/>
          <w:w w:val="100"/>
          <w:position w:val="0"/>
        </w:rPr>
        <w:t>两种放射性同位素。 一般说来，用</w:t>
      </w:r>
      <w:r>
        <w:rPr>
          <w:rFonts w:ascii="Times New Roman" w:eastAsia="Times New Roman" w:hAnsi="Times New Roman" w:cs="Times New Roman"/>
          <w:color w:val="000000"/>
          <w:spacing w:val="0"/>
          <w:w w:val="100"/>
          <w:position w:val="0"/>
          <w:sz w:val="22"/>
          <w:szCs w:val="22"/>
        </w:rPr>
        <w:t>3</w:t>
      </w:r>
      <w:r>
        <w:rPr>
          <w:b/>
          <w:bCs/>
          <w:color w:val="000000"/>
          <w:spacing w:val="0"/>
          <w:w w:val="100"/>
          <w:position w:val="0"/>
        </w:rPr>
        <w:t>H</w:t>
      </w:r>
      <w:r>
        <w:rPr>
          <w:color w:val="000000"/>
          <w:spacing w:val="0"/>
          <w:w w:val="100"/>
          <w:position w:val="0"/>
        </w:rPr>
        <w:t>可测定</w:t>
      </w:r>
      <w:r>
        <w:rPr>
          <w:b/>
          <w:bCs/>
          <w:color w:val="000000"/>
          <w:spacing w:val="0"/>
          <w:w w:val="100"/>
          <w:position w:val="0"/>
        </w:rPr>
        <w:t>1952</w:t>
      </w:r>
      <w:r>
        <w:rPr>
          <w:color w:val="000000"/>
          <w:spacing w:val="0"/>
          <w:w w:val="100"/>
          <w:position w:val="0"/>
        </w:rPr>
        <w:t>年以来补给水的年龄。而用</w:t>
      </w:r>
      <w:r>
        <w:rPr>
          <w:rFonts w:ascii="Times New Roman" w:eastAsia="Times New Roman" w:hAnsi="Times New Roman" w:cs="Times New Roman"/>
          <w:color w:val="000000"/>
          <w:spacing w:val="0"/>
          <w:w w:val="100"/>
          <w:position w:val="0"/>
          <w:sz w:val="22"/>
          <w:szCs w:val="22"/>
        </w:rPr>
        <w:t>14</w:t>
      </w:r>
      <w:r>
        <w:rPr>
          <w:b/>
          <w:bCs/>
          <w:color w:val="000000"/>
          <w:spacing w:val="0"/>
          <w:w w:val="100"/>
          <w:position w:val="0"/>
        </w:rPr>
        <w:t>C</w:t>
      </w:r>
      <w:r>
        <w:rPr>
          <w:color w:val="000000"/>
          <w:spacing w:val="0"/>
          <w:w w:val="100"/>
          <w:position w:val="0"/>
        </w:rPr>
        <w:t>可测定</w:t>
      </w:r>
      <w:r>
        <w:rPr>
          <w:b/>
          <w:bCs/>
          <w:color w:val="000000"/>
          <w:spacing w:val="0"/>
          <w:w w:val="100"/>
          <w:position w:val="0"/>
        </w:rPr>
        <w:t>3</w:t>
      </w:r>
      <w:r>
        <w:rPr>
          <w:color w:val="000000"/>
          <w:spacing w:val="0"/>
          <w:w w:val="100"/>
          <w:position w:val="0"/>
        </w:rPr>
        <w:t>万年以来形成 的地下水年龄。有些模型年龄或平均滞留时间所确定的范围这里不推荐。在大平原深 层水的研究可选择</w:t>
      </w:r>
      <w:r>
        <w:rPr>
          <w:rFonts w:ascii="Times New Roman" w:eastAsia="Times New Roman" w:hAnsi="Times New Roman" w:cs="Times New Roman"/>
          <w:color w:val="000000"/>
          <w:spacing w:val="0"/>
          <w:w w:val="100"/>
          <w:position w:val="0"/>
          <w:sz w:val="22"/>
          <w:szCs w:val="22"/>
        </w:rPr>
        <w:t>14</w:t>
      </w:r>
      <w:r>
        <w:rPr>
          <w:b/>
          <w:bCs/>
          <w:color w:val="000000"/>
          <w:spacing w:val="0"/>
          <w:w w:val="100"/>
          <w:position w:val="0"/>
        </w:rPr>
        <w:t>C</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36</w:t>
      </w:r>
      <w:r>
        <w:rPr>
          <w:b/>
          <w:bCs/>
          <w:color w:val="000000"/>
          <w:spacing w:val="0"/>
          <w:w w:val="100"/>
          <w:position w:val="0"/>
        </w:rPr>
        <w:t>C1</w:t>
      </w:r>
      <w:r>
        <w:rPr>
          <w:color w:val="000000"/>
          <w:spacing w:val="0"/>
          <w:w w:val="100"/>
          <w:position w:val="0"/>
        </w:rPr>
        <w:t>相结合方法。</w:t>
      </w:r>
    </w:p>
    <w:p>
      <w:pPr>
        <w:pStyle w:val="a5"/>
        <w:keepNext w:val="0"/>
        <w:keepLines w:val="0"/>
        <w:widowControl w:val="0"/>
        <w:shd w:val="clear" w:color="auto" w:fill="auto"/>
        <w:bidi w:val="0"/>
        <w:spacing w:before="0" w:line="584" w:lineRule="exact"/>
        <w:ind w:left="0" w:right="0" w:firstLine="720"/>
        <w:jc w:val="both"/>
      </w:pPr>
      <w:r>
        <w:rPr>
          <w:color w:val="000000"/>
          <w:spacing w:val="0"/>
          <w:w w:val="100"/>
          <w:position w:val="0"/>
        </w:rPr>
        <w:t>对测定地下水温度来说，研究者可根据温度可能的变化范围和特点，选择适当的 同位素温度计，鉴于测温不是项目研究的主要内容，这里不推荐具体方法，研究者请 参考有关文献。研究地下水运动，可选择水的氢氧同位素，而研究地下水化学成份的 形成（包括地下水污染调查），需要选择水的氢氧同位素和相关溶解盐元素的同位素。 例如，对水中硫酸盐的形成进行研究，即可匹配硫酸盐的硫同位素等。研究地表水地 下水相互作用可选择氢氧稳定同位素及其相关元素的同位素，需要具体问题具体分 析，根据具体情况进行选择。</w:t>
      </w:r>
    </w:p>
    <w:p>
      <w:pPr>
        <w:pStyle w:val="a5"/>
        <w:keepNext w:val="0"/>
        <w:keepLines w:val="0"/>
        <w:widowControl w:val="0"/>
        <w:shd w:val="clear" w:color="auto" w:fill="auto"/>
        <w:bidi w:val="0"/>
        <w:spacing w:before="0" w:after="420" w:line="590" w:lineRule="exact"/>
        <w:ind w:left="0" w:right="0" w:firstLine="720"/>
        <w:jc w:val="both"/>
        <w:sectPr>
          <w:type w:val="nextPage"/>
          <w:pgSz w:w="17861" w:h="25258"/>
          <w:pgMar w:top="1674" w:right="1867" w:bottom="2321" w:left="2040" w:header="0" w:footer="3" w:gutter="0"/>
          <w:pgNumType w:start="5"/>
          <w:cols w:space="720"/>
          <w:noEndnote/>
          <w:titlePg w:val="0"/>
          <w:rtlGutter w:val="0"/>
          <w:docGrid w:linePitch="360"/>
        </w:sectPr>
      </w:pPr>
      <w:r>
        <w:rPr>
          <w:color w:val="000000"/>
          <w:spacing w:val="0"/>
          <w:w w:val="100"/>
          <w:position w:val="0"/>
        </w:rPr>
        <w:t>国内外的研究经验表明，处于同一水体系中的共生同位素往往可提供水体系演化 的统一具有内在联系的规律性信息，可明显提高应用研究效果。因此，对于复杂问题，</w:t>
      </w:r>
    </w:p>
    <w:p>
      <w:pPr>
        <w:pStyle w:val="a5"/>
        <w:keepNext w:val="0"/>
        <w:keepLines w:val="0"/>
        <w:widowControl w:val="0"/>
        <w:shd w:val="clear" w:color="auto" w:fill="auto"/>
        <w:bidi w:val="0"/>
        <w:spacing w:before="0" w:after="420" w:line="590" w:lineRule="exact"/>
        <w:ind w:left="0" w:right="0" w:firstLine="720"/>
        <w:jc w:val="both"/>
      </w:pPr>
      <w:r>
        <w:rPr>
          <w:color w:val="000000"/>
          <w:spacing w:val="0"/>
          <w:w w:val="100"/>
          <w:position w:val="0"/>
        </w:rPr>
        <w:t>在方法选择时，经常联合运用。常用的同位素组合有：</w:t>
      </w:r>
      <w:r>
        <w:rPr>
          <w:b/>
          <w:bCs/>
          <w:color w:val="000000"/>
          <w:spacing w:val="0"/>
          <w:w w:val="100"/>
          <w:position w:val="0"/>
        </w:rPr>
        <w:t>D</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18</w:t>
      </w:r>
      <w:r>
        <w:rPr>
          <w:b/>
          <w:bCs/>
          <w:color w:val="000000"/>
          <w:spacing w:val="0"/>
          <w:w w:val="100"/>
          <w:position w:val="0"/>
        </w:rPr>
        <w:t>O</w:t>
      </w:r>
      <w:r>
        <w:rPr>
          <w:color w:val="000000"/>
          <w:spacing w:val="0"/>
          <w:w w:val="100"/>
          <w:position w:val="0"/>
        </w:rPr>
        <w:t>组合、</w:t>
      </w:r>
      <w:r>
        <w:rPr>
          <w:rFonts w:ascii="Times New Roman" w:eastAsia="Times New Roman" w:hAnsi="Times New Roman" w:cs="Times New Roman"/>
          <w:color w:val="000000"/>
          <w:spacing w:val="0"/>
          <w:w w:val="100"/>
          <w:position w:val="0"/>
          <w:sz w:val="22"/>
          <w:szCs w:val="22"/>
        </w:rPr>
        <w:t>13</w:t>
      </w:r>
      <w:r>
        <w:rPr>
          <w:b/>
          <w:bCs/>
          <w:color w:val="000000"/>
          <w:spacing w:val="0"/>
          <w:w w:val="100"/>
          <w:position w:val="0"/>
        </w:rPr>
        <w:t>C</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14</w:t>
      </w:r>
      <w:r>
        <w:rPr>
          <w:b/>
          <w:bCs/>
          <w:color w:val="000000"/>
          <w:spacing w:val="0"/>
          <w:w w:val="100"/>
          <w:position w:val="0"/>
        </w:rPr>
        <w:t>C</w:t>
      </w:r>
      <w:r>
        <w:rPr>
          <w:color w:val="000000"/>
          <w:spacing w:val="0"/>
          <w:w w:val="100"/>
          <w:position w:val="0"/>
        </w:rPr>
        <w:t xml:space="preserve">组合、 </w:t>
      </w:r>
      <w:r>
        <w:rPr>
          <w:rFonts w:ascii="Times New Roman" w:eastAsia="Times New Roman" w:hAnsi="Times New Roman" w:cs="Times New Roman"/>
          <w:color w:val="000000"/>
          <w:spacing w:val="0"/>
          <w:w w:val="100"/>
          <w:position w:val="0"/>
          <w:sz w:val="22"/>
          <w:szCs w:val="22"/>
        </w:rPr>
        <w:t>3</w:t>
      </w:r>
      <w:r>
        <w:rPr>
          <w:b/>
          <w:bCs/>
          <w:color w:val="000000"/>
          <w:spacing w:val="0"/>
          <w:w w:val="100"/>
          <w:position w:val="0"/>
        </w:rPr>
        <w:t>H</w:t>
      </w:r>
      <w:r>
        <w:rPr>
          <w:color w:val="000000"/>
          <w:spacing w:val="0"/>
          <w:w w:val="100"/>
          <w:position w:val="0"/>
        </w:rPr>
        <w:t>和</w:t>
      </w:r>
      <w:r>
        <w:rPr>
          <w:rFonts w:ascii="Times New Roman" w:eastAsia="Times New Roman" w:hAnsi="Times New Roman" w:cs="Times New Roman"/>
          <w:color w:val="000000"/>
          <w:spacing w:val="0"/>
          <w:w w:val="100"/>
          <w:position w:val="0"/>
          <w:sz w:val="22"/>
          <w:szCs w:val="22"/>
        </w:rPr>
        <w:t>14</w:t>
      </w:r>
      <w:r>
        <w:rPr>
          <w:b/>
          <w:bCs/>
          <w:color w:val="000000"/>
          <w:spacing w:val="0"/>
          <w:w w:val="100"/>
          <w:position w:val="0"/>
        </w:rPr>
        <w:t>C</w:t>
      </w:r>
      <w:r>
        <w:rPr>
          <w:color w:val="000000"/>
          <w:spacing w:val="0"/>
          <w:w w:val="100"/>
          <w:position w:val="0"/>
        </w:rPr>
        <w:t>组合等。已有的研究工作表明，同位素与水化学配套平行取样，往往可以提 供互补信息。</w:t>
      </w:r>
    </w:p>
    <w:p>
      <w:pPr>
        <w:pStyle w:val="a7"/>
        <w:keepNext w:val="0"/>
        <w:keepLines w:val="0"/>
        <w:widowControl w:val="0"/>
        <w:shd w:val="clear" w:color="auto" w:fill="auto"/>
        <w:bidi w:val="0"/>
        <w:spacing w:before="0" w:after="0" w:line="240" w:lineRule="auto"/>
        <w:ind w:left="0" w:right="0" w:firstLine="0"/>
        <w:jc w:val="center"/>
        <w:rPr>
          <w:sz w:val="32"/>
          <w:szCs w:val="32"/>
        </w:rPr>
      </w:pPr>
      <w:r>
        <w:rPr>
          <w:rFonts w:ascii="SimHei" w:eastAsia="SimHei" w:hAnsi="SimHei" w:cs="SimHei"/>
          <w:color w:val="000000"/>
          <w:spacing w:val="0"/>
          <w:w w:val="100"/>
          <w:position w:val="0"/>
          <w:sz w:val="30"/>
          <w:szCs w:val="30"/>
        </w:rPr>
        <w:t>表</w:t>
      </w:r>
      <w:r>
        <w:rPr>
          <w:rFonts w:ascii="Arial" w:eastAsia="Arial" w:hAnsi="Arial" w:cs="Arial"/>
          <w:color w:val="000000"/>
          <w:spacing w:val="0"/>
          <w:w w:val="100"/>
          <w:position w:val="0"/>
          <w:sz w:val="30"/>
          <w:szCs w:val="30"/>
        </w:rPr>
        <w:t>2-1</w:t>
      </w:r>
      <w:r>
        <w:rPr>
          <w:rFonts w:ascii="SimHei" w:eastAsia="SimHei" w:hAnsi="SimHei" w:cs="SimHei"/>
          <w:b/>
          <w:bCs/>
          <w:color w:val="000000"/>
          <w:spacing w:val="0"/>
          <w:w w:val="100"/>
          <w:position w:val="0"/>
          <w:sz w:val="32"/>
          <w:szCs w:val="32"/>
        </w:rPr>
        <w:t>可用于地下水测定年龄的环境同位素</w:t>
      </w:r>
    </w:p>
    <w:tbl>
      <w:tblPr>
        <w:tblStyle w:val="TableNormal"/>
        <w:tblOverlap w:val="never"/>
        <w:jc w:val="center"/>
        <w:tblLayout w:type="fixed"/>
        <w:tblCellMar>
          <w:left w:w="10" w:type="dxa"/>
          <w:right w:w="10" w:type="dxa"/>
        </w:tblCellMar>
      </w:tblPr>
      <w:tblGrid>
        <w:gridCol w:w="1450"/>
        <w:gridCol w:w="1738"/>
        <w:gridCol w:w="1920"/>
        <w:gridCol w:w="1742"/>
        <w:gridCol w:w="2078"/>
        <w:gridCol w:w="3710"/>
      </w:tblGrid>
      <w:tr>
        <w:tblPrEx>
          <w:jc w:val="center"/>
          <w:tblLayout w:type="fixed"/>
          <w:tblCellMar>
            <w:left w:w="10" w:type="dxa"/>
            <w:right w:w="10" w:type="dxa"/>
          </w:tblCellMar>
        </w:tblPrEx>
        <w:trPr>
          <w:trHeight w:hRule="exact" w:val="74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同位素</w:t>
            </w:r>
          </w:p>
        </w:tc>
        <w:tc>
          <w:tcPr>
            <w:tcW w:w="173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74" w:lineRule="exact"/>
              <w:ind w:left="0" w:right="0" w:firstLine="0"/>
              <w:jc w:val="center"/>
              <w:rPr>
                <w:sz w:val="32"/>
                <w:szCs w:val="32"/>
              </w:rPr>
            </w:pPr>
            <w:r>
              <w:rPr>
                <w:color w:val="000000"/>
                <w:spacing w:val="0"/>
                <w:w w:val="100"/>
                <w:position w:val="0"/>
                <w:sz w:val="32"/>
                <w:szCs w:val="32"/>
              </w:rPr>
              <w:t>半衰期⑴ 或过程</w:t>
            </w:r>
          </w:p>
        </w:tc>
        <w:tc>
          <w:tcPr>
            <w:tcW w:w="19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起源</w:t>
            </w:r>
          </w:p>
        </w:tc>
        <w:tc>
          <w:tcPr>
            <w:tcW w:w="174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40"/>
              <w:jc w:val="left"/>
              <w:rPr>
                <w:sz w:val="32"/>
                <w:szCs w:val="32"/>
              </w:rPr>
            </w:pPr>
            <w:r>
              <w:rPr>
                <w:color w:val="000000"/>
                <w:spacing w:val="0"/>
                <w:w w:val="100"/>
                <w:position w:val="0"/>
                <w:sz w:val="32"/>
                <w:szCs w:val="32"/>
              </w:rPr>
              <w:t>测年域</w:t>
            </w:r>
          </w:p>
          <w:p>
            <w:pPr>
              <w:pStyle w:val="a6"/>
              <w:keepNext w:val="0"/>
              <w:keepLines w:val="0"/>
              <w:widowControl w:val="0"/>
              <w:shd w:val="clear" w:color="auto" w:fill="auto"/>
              <w:bidi w:val="0"/>
              <w:spacing w:before="0" w:after="0" w:line="240" w:lineRule="auto"/>
              <w:ind w:left="0" w:right="0" w:firstLine="680"/>
              <w:jc w:val="left"/>
              <w:rPr>
                <w:sz w:val="30"/>
                <w:szCs w:val="30"/>
              </w:rPr>
            </w:pPr>
            <w:r>
              <w:rPr>
                <w:rFonts w:ascii="Times New Roman" w:eastAsia="Times New Roman" w:hAnsi="Times New Roman" w:cs="Times New Roman"/>
                <w:color w:val="000000"/>
                <w:spacing w:val="0"/>
                <w:w w:val="100"/>
                <w:position w:val="0"/>
                <w:sz w:val="30"/>
                <w:szCs w:val="30"/>
              </w:rPr>
              <w:t>(a)</w:t>
            </w:r>
          </w:p>
        </w:tc>
        <w:tc>
          <w:tcPr>
            <w:tcW w:w="207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质 量</w:t>
            </w:r>
          </w:p>
        </w:tc>
        <w:tc>
          <w:tcPr>
            <w:tcW w:w="37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tabs>
                <w:tab w:val="left" w:pos="1085"/>
              </w:tabs>
              <w:bidi w:val="0"/>
              <w:spacing w:before="0" w:after="0" w:line="240" w:lineRule="auto"/>
              <w:ind w:left="0" w:right="0" w:firstLine="0"/>
              <w:jc w:val="center"/>
              <w:rPr>
                <w:sz w:val="32"/>
                <w:szCs w:val="32"/>
              </w:rPr>
            </w:pPr>
            <w:r>
              <w:rPr>
                <w:color w:val="000000"/>
                <w:spacing w:val="0"/>
                <w:w w:val="100"/>
                <w:position w:val="0"/>
                <w:sz w:val="32"/>
                <w:szCs w:val="32"/>
              </w:rPr>
              <w:t>限</w:t>
              <w:tab/>
              <w:t>制</w:t>
            </w:r>
          </w:p>
        </w:tc>
      </w:tr>
      <w:tr>
        <w:tblPrEx>
          <w:jc w:val="center"/>
          <w:tblLayout w:type="fixed"/>
          <w:tblCellMar>
            <w:left w:w="10" w:type="dxa"/>
            <w:right w:w="10" w:type="dxa"/>
          </w:tblCellMar>
        </w:tblPrEx>
        <w:trPr>
          <w:trHeight w:hRule="exact" w:val="1104"/>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12.31</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58" w:lineRule="exact"/>
              <w:ind w:left="0" w:right="0" w:firstLine="0"/>
              <w:jc w:val="both"/>
              <w:rPr>
                <w:sz w:val="32"/>
                <w:szCs w:val="32"/>
              </w:rPr>
            </w:pPr>
            <w:r>
              <w:rPr>
                <w:color w:val="000000"/>
                <w:spacing w:val="0"/>
                <w:w w:val="100"/>
                <w:position w:val="0"/>
                <w:sz w:val="32"/>
                <w:szCs w:val="32"/>
              </w:rPr>
              <w:t>宇宙射线 热核试验 反应堆</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1952</w:t>
            </w:r>
            <w:r>
              <w:rPr>
                <w:color w:val="000000"/>
                <w:spacing w:val="0"/>
                <w:w w:val="100"/>
                <w:position w:val="0"/>
                <w:sz w:val="32"/>
                <w:szCs w:val="32"/>
              </w:rPr>
              <w:t>年以来</w:t>
            </w:r>
          </w:p>
        </w:tc>
        <w:tc>
          <w:tcPr>
            <w:tcW w:w="207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性能理想</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通常适用</w:t>
            </w:r>
          </w:p>
        </w:tc>
        <w:tc>
          <w:tcPr>
            <w:tcW w:w="371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360" w:lineRule="exact"/>
              <w:ind w:left="0" w:right="0" w:firstLine="0"/>
              <w:jc w:val="left"/>
              <w:rPr>
                <w:sz w:val="32"/>
                <w:szCs w:val="32"/>
              </w:rPr>
            </w:pPr>
            <w:r>
              <w:rPr>
                <w:color w:val="000000"/>
                <w:spacing w:val="0"/>
                <w:w w:val="100"/>
                <w:position w:val="0"/>
                <w:sz w:val="32"/>
                <w:szCs w:val="32"/>
              </w:rPr>
              <w:t>不同来源、模型选择、时 间域短、</w:t>
            </w:r>
          </w:p>
          <w:p>
            <w:pPr>
              <w:pStyle w:val="a6"/>
              <w:keepNext w:val="0"/>
              <w:keepLines w:val="0"/>
              <w:widowControl w:val="0"/>
              <w:shd w:val="clear" w:color="auto" w:fill="auto"/>
              <w:bidi w:val="0"/>
              <w:spacing w:before="0" w:after="0" w:line="360" w:lineRule="exact"/>
              <w:ind w:left="0" w:right="0" w:firstLine="0"/>
              <w:jc w:val="left"/>
              <w:rPr>
                <w:sz w:val="32"/>
                <w:szCs w:val="32"/>
              </w:rPr>
            </w:pPr>
            <w:r>
              <w:rPr>
                <w:color w:val="000000"/>
                <w:spacing w:val="0"/>
                <w:w w:val="100"/>
                <w:position w:val="0"/>
                <w:sz w:val="32"/>
                <w:szCs w:val="32"/>
              </w:rPr>
              <w:t>资料系列</w:t>
            </w:r>
          </w:p>
        </w:tc>
      </w:tr>
      <w:tr>
        <w:tblPrEx>
          <w:jc w:val="center"/>
          <w:tblLayout w:type="fixed"/>
          <w:tblCellMar>
            <w:left w:w="10" w:type="dxa"/>
            <w:right w:w="10" w:type="dxa"/>
          </w:tblCellMar>
        </w:tblPrEx>
        <w:trPr>
          <w:trHeight w:hRule="exact" w:val="109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He</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12.31</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58" w:lineRule="exact"/>
              <w:ind w:left="0" w:right="0" w:firstLine="0"/>
              <w:jc w:val="both"/>
              <w:rPr>
                <w:sz w:val="32"/>
                <w:szCs w:val="32"/>
              </w:rPr>
            </w:pPr>
            <w:r>
              <w:rPr>
                <w:color w:val="000000"/>
                <w:spacing w:val="0"/>
                <w:w w:val="100"/>
                <w:position w:val="0"/>
                <w:sz w:val="32"/>
                <w:szCs w:val="32"/>
              </w:rPr>
              <w:t>宇宙射线 热核试验 反应堆</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1952</w:t>
            </w:r>
            <w:r>
              <w:rPr>
                <w:color w:val="000000"/>
                <w:spacing w:val="0"/>
                <w:w w:val="100"/>
                <w:position w:val="0"/>
                <w:sz w:val="32"/>
                <w:szCs w:val="32"/>
              </w:rPr>
              <w:t>年以来</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直接测定</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转换周期</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方法理想</w:t>
            </w:r>
          </w:p>
        </w:tc>
        <w:tc>
          <w:tcPr>
            <w:tcW w:w="37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370" w:lineRule="exact"/>
              <w:ind w:left="0" w:right="0" w:firstLine="0"/>
              <w:jc w:val="left"/>
              <w:rPr>
                <w:sz w:val="32"/>
                <w:szCs w:val="32"/>
              </w:rPr>
            </w:pPr>
            <w:r>
              <w:rPr>
                <w:color w:val="000000"/>
                <w:spacing w:val="0"/>
                <w:w w:val="100"/>
                <w:position w:val="0"/>
                <w:sz w:val="32"/>
                <w:szCs w:val="32"/>
              </w:rPr>
              <w:t>高灵敏质谱计</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He</w:t>
            </w:r>
            <w:r>
              <w:rPr>
                <w:color w:val="000000"/>
                <w:spacing w:val="0"/>
                <w:w w:val="100"/>
                <w:position w:val="0"/>
                <w:sz w:val="32"/>
                <w:szCs w:val="32"/>
              </w:rPr>
              <w:t>的地壳 成因</w:t>
            </w:r>
          </w:p>
        </w:tc>
      </w:tr>
      <w:tr>
        <w:tblPrEx>
          <w:jc w:val="center"/>
          <w:tblLayout w:type="fixed"/>
          <w:tblCellMar>
            <w:left w:w="10" w:type="dxa"/>
            <w:right w:w="10" w:type="dxa"/>
          </w:tblCellMar>
        </w:tblPrEx>
        <w:trPr>
          <w:trHeight w:hRule="exact" w:val="109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14</w:t>
            </w:r>
            <w:r>
              <w:rPr>
                <w:rFonts w:ascii="Times New Roman" w:eastAsia="Times New Roman" w:hAnsi="Times New Roman" w:cs="Times New Roman"/>
                <w:color w:val="000000"/>
                <w:spacing w:val="0"/>
                <w:w w:val="100"/>
                <w:position w:val="0"/>
                <w:sz w:val="30"/>
                <w:szCs w:val="30"/>
              </w:rPr>
              <w:t>C</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5730</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53" w:lineRule="exact"/>
              <w:ind w:left="0" w:right="0" w:firstLine="0"/>
              <w:jc w:val="both"/>
              <w:rPr>
                <w:sz w:val="32"/>
                <w:szCs w:val="32"/>
              </w:rPr>
            </w:pPr>
            <w:r>
              <w:rPr>
                <w:color w:val="000000"/>
                <w:spacing w:val="0"/>
                <w:w w:val="100"/>
                <w:position w:val="0"/>
                <w:sz w:val="32"/>
                <w:szCs w:val="32"/>
              </w:rPr>
              <w:t>宇宙射线 热核试验 地壳</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4</w:t>
            </w:r>
          </w:p>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7</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4</w:t>
            </w:r>
          </w:p>
        </w:tc>
        <w:tc>
          <w:tcPr>
            <w:tcW w:w="207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普遍适用</w:t>
            </w:r>
          </w:p>
        </w:tc>
        <w:tc>
          <w:tcPr>
            <w:tcW w:w="37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360" w:lineRule="exact"/>
              <w:ind w:left="0" w:right="0" w:firstLine="0"/>
              <w:jc w:val="left"/>
              <w:rPr>
                <w:sz w:val="32"/>
                <w:szCs w:val="32"/>
              </w:rPr>
            </w:pPr>
            <w:r>
              <w:rPr>
                <w:color w:val="000000"/>
                <w:spacing w:val="0"/>
                <w:w w:val="100"/>
                <w:position w:val="0"/>
                <w:sz w:val="32"/>
                <w:szCs w:val="32"/>
              </w:rPr>
              <w:t>复杂的化学和同位素系统</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sz w:val="32"/>
                <w:szCs w:val="32"/>
              </w:rPr>
              <w:t>水动力混合</w:t>
            </w:r>
          </w:p>
        </w:tc>
      </w:tr>
      <w:tr>
        <w:tblPrEx>
          <w:jc w:val="center"/>
          <w:tblLayout w:type="fixed"/>
          <w:tblCellMar>
            <w:left w:w="10" w:type="dxa"/>
            <w:right w:w="10" w:type="dxa"/>
          </w:tblCellMar>
        </w:tblPrEx>
        <w:trPr>
          <w:trHeight w:hRule="exact" w:val="146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36</w:t>
            </w:r>
            <w:r>
              <w:rPr>
                <w:rFonts w:ascii="Times New Roman" w:eastAsia="Times New Roman" w:hAnsi="Times New Roman" w:cs="Times New Roman"/>
                <w:color w:val="000000"/>
                <w:spacing w:val="0"/>
                <w:w w:val="100"/>
                <w:position w:val="0"/>
                <w:sz w:val="30"/>
                <w:szCs w:val="30"/>
              </w:rPr>
              <w:t>C1</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3.06</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19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353" w:lineRule="exact"/>
              <w:ind w:left="0" w:right="0" w:firstLine="0"/>
              <w:jc w:val="both"/>
              <w:rPr>
                <w:sz w:val="32"/>
                <w:szCs w:val="32"/>
              </w:rPr>
            </w:pPr>
            <w:r>
              <w:rPr>
                <w:color w:val="000000"/>
                <w:spacing w:val="0"/>
                <w:w w:val="100"/>
                <w:position w:val="0"/>
                <w:sz w:val="32"/>
                <w:szCs w:val="32"/>
              </w:rPr>
              <w:t>宇宙射线 热核试验 地壳</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6</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62" w:lineRule="exact"/>
              <w:ind w:left="0" w:right="0" w:firstLine="0"/>
              <w:jc w:val="left"/>
              <w:rPr>
                <w:sz w:val="30"/>
                <w:szCs w:val="30"/>
              </w:rPr>
            </w:pPr>
            <w:r>
              <w:rPr>
                <w:color w:val="000000"/>
                <w:spacing w:val="0"/>
                <w:w w:val="100"/>
                <w:position w:val="0"/>
                <w:sz w:val="32"/>
                <w:szCs w:val="32"/>
              </w:rPr>
              <w:t>亲水的</w:t>
            </w:r>
            <w:r>
              <w:rPr>
                <w:color w:val="000000"/>
                <w:spacing w:val="0"/>
                <w:w w:val="100"/>
                <w:position w:val="0"/>
                <w:sz w:val="30"/>
                <w:szCs w:val="30"/>
              </w:rPr>
              <w:t>，</w:t>
            </w:r>
            <w:r>
              <w:rPr>
                <w:color w:val="000000"/>
                <w:spacing w:val="0"/>
                <w:w w:val="100"/>
                <w:position w:val="0"/>
                <w:sz w:val="32"/>
                <w:szCs w:val="32"/>
              </w:rPr>
              <w:t>适用于 古老地下水</w:t>
            </w:r>
            <w:r>
              <w:rPr>
                <w:color w:val="000000"/>
                <w:spacing w:val="0"/>
                <w:w w:val="100"/>
                <w:position w:val="0"/>
                <w:sz w:val="30"/>
                <w:szCs w:val="30"/>
              </w:rPr>
              <w:t>，</w:t>
            </w:r>
            <w:r>
              <w:rPr>
                <w:color w:val="000000"/>
                <w:spacing w:val="0"/>
                <w:w w:val="100"/>
                <w:position w:val="0"/>
                <w:sz w:val="32"/>
                <w:szCs w:val="32"/>
              </w:rPr>
              <w:t>受 化学作用影响 小</w:t>
            </w:r>
            <w:r>
              <w:rPr>
                <w:color w:val="000000"/>
                <w:spacing w:val="0"/>
                <w:w w:val="100"/>
                <w:position w:val="0"/>
                <w:sz w:val="30"/>
                <w:szCs w:val="30"/>
              </w:rPr>
              <w:t>，</w:t>
            </w:r>
            <w:r>
              <w:rPr>
                <w:color w:val="000000"/>
                <w:spacing w:val="0"/>
                <w:w w:val="100"/>
                <w:position w:val="0"/>
                <w:sz w:val="32"/>
                <w:szCs w:val="32"/>
              </w:rPr>
              <w:t>适用</w:t>
            </w:r>
            <w:r>
              <w:rPr>
                <w:rFonts w:ascii="Times New Roman" w:eastAsia="Times New Roman" w:hAnsi="Times New Roman" w:cs="Times New Roman"/>
                <w:color w:val="000000"/>
                <w:spacing w:val="0"/>
                <w:w w:val="100"/>
                <w:position w:val="0"/>
                <w:sz w:val="30"/>
                <w:szCs w:val="30"/>
              </w:rPr>
              <w:t>.</w:t>
            </w:r>
          </w:p>
        </w:tc>
        <w:tc>
          <w:tcPr>
            <w:tcW w:w="37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i/>
                <w:iCs/>
                <w:color w:val="000000"/>
                <w:spacing w:val="0"/>
                <w:w w:val="100"/>
                <w:position w:val="0"/>
                <w:sz w:val="32"/>
                <w:szCs w:val="32"/>
              </w:rPr>
              <w:t>A</w:t>
            </w:r>
            <w:r>
              <w:rPr>
                <w:color w:val="000000"/>
                <w:spacing w:val="0"/>
                <w:w w:val="100"/>
                <w:position w:val="0"/>
                <w:sz w:val="32"/>
                <w:szCs w:val="32"/>
              </w:rPr>
              <w:t>的确定</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不同来源</w:t>
            </w:r>
          </w:p>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加速质谱计</w:t>
            </w:r>
          </w:p>
        </w:tc>
      </w:tr>
      <w:tr>
        <w:tblPrEx>
          <w:jc w:val="center"/>
          <w:tblLayout w:type="fixed"/>
          <w:tblCellMar>
            <w:left w:w="10" w:type="dxa"/>
            <w:right w:w="10" w:type="dxa"/>
          </w:tblCellMar>
        </w:tblPrEx>
        <w:trPr>
          <w:trHeight w:hRule="exact" w:val="74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234/238</w:t>
            </w:r>
            <w:r>
              <w:rPr>
                <w:rFonts w:ascii="Times New Roman" w:eastAsia="Times New Roman" w:hAnsi="Times New Roman" w:cs="Times New Roman"/>
                <w:color w:val="000000"/>
                <w:spacing w:val="0"/>
                <w:w w:val="100"/>
                <w:position w:val="0"/>
                <w:sz w:val="30"/>
                <w:szCs w:val="30"/>
              </w:rPr>
              <w:t>U</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2.5</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65" w:lineRule="exact"/>
              <w:ind w:left="0" w:right="0" w:firstLine="0"/>
              <w:jc w:val="both"/>
              <w:rPr>
                <w:sz w:val="32"/>
                <w:szCs w:val="32"/>
              </w:rPr>
            </w:pPr>
            <w:r>
              <w:rPr>
                <w:color w:val="000000"/>
                <w:spacing w:val="0"/>
                <w:w w:val="100"/>
                <w:position w:val="0"/>
                <w:sz w:val="32"/>
                <w:szCs w:val="32"/>
              </w:rPr>
              <w:t>铀系元素链 衰变</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41" w:lineRule="exact"/>
              <w:ind w:left="0" w:right="0" w:firstLine="0"/>
              <w:jc w:val="left"/>
              <w:rPr>
                <w:sz w:val="32"/>
                <w:szCs w:val="32"/>
              </w:rPr>
            </w:pPr>
            <w:r>
              <w:rPr>
                <w:color w:val="000000"/>
                <w:spacing w:val="0"/>
                <w:w w:val="100"/>
                <w:position w:val="0"/>
                <w:sz w:val="32"/>
                <w:szCs w:val="32"/>
              </w:rPr>
              <w:t>适用非常古老 地下水</w:t>
            </w:r>
          </w:p>
        </w:tc>
        <w:tc>
          <w:tcPr>
            <w:tcW w:w="371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379"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rFonts w:ascii="Times New Roman" w:eastAsia="Times New Roman" w:hAnsi="Times New Roman" w:cs="Times New Roman"/>
                <w:color w:val="000000"/>
                <w:spacing w:val="0"/>
                <w:w w:val="100"/>
                <w:position w:val="0"/>
                <w:sz w:val="20"/>
                <w:szCs w:val="20"/>
              </w:rPr>
              <w:t>0</w:t>
            </w:r>
            <w:r>
              <w:rPr>
                <w:color w:val="000000"/>
                <w:spacing w:val="0"/>
                <w:w w:val="100"/>
                <w:position w:val="0"/>
                <w:sz w:val="32"/>
                <w:szCs w:val="32"/>
              </w:rPr>
              <w:t>的确定 化学作用解释</w:t>
            </w:r>
          </w:p>
        </w:tc>
      </w:tr>
      <w:tr>
        <w:tblPrEx>
          <w:jc w:val="center"/>
          <w:tblLayout w:type="fixed"/>
          <w:tblCellMar>
            <w:left w:w="10" w:type="dxa"/>
            <w:right w:w="10" w:type="dxa"/>
          </w:tblCellMar>
        </w:tblPrEx>
        <w:trPr>
          <w:trHeight w:hRule="exact" w:val="384"/>
          <w:jc w:val="center"/>
        </w:trPr>
        <w:tc>
          <w:tcPr>
            <w:tcW w:w="145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18</w:t>
            </w:r>
            <w:r>
              <w:rPr>
                <w:rFonts w:ascii="Times New Roman" w:eastAsia="Times New Roman" w:hAnsi="Times New Roman" w:cs="Times New Roman"/>
                <w:color w:val="000000"/>
                <w:spacing w:val="0"/>
                <w:w w:val="100"/>
                <w:position w:val="0"/>
                <w:sz w:val="30"/>
                <w:szCs w:val="30"/>
              </w:rPr>
              <w:t>O</w:t>
            </w:r>
          </w:p>
        </w:tc>
        <w:tc>
          <w:tcPr>
            <w:tcW w:w="173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稳定的</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自然</w:t>
            </w:r>
          </w:p>
        </w:tc>
        <w:tc>
          <w:tcPr>
            <w:tcW w:w="174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40"/>
              <w:jc w:val="left"/>
              <w:rPr>
                <w:sz w:val="20"/>
                <w:szCs w:val="20"/>
              </w:rPr>
            </w:pP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一般适用</w:t>
            </w:r>
          </w:p>
        </w:tc>
        <w:tc>
          <w:tcPr>
            <w:tcW w:w="371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非平衡分馏</w:t>
            </w:r>
          </w:p>
        </w:tc>
      </w:tr>
      <w:tr>
        <w:tblPrEx>
          <w:jc w:val="center"/>
          <w:tblLayout w:type="fixed"/>
          <w:tblCellMar>
            <w:left w:w="10" w:type="dxa"/>
            <w:right w:w="10" w:type="dxa"/>
          </w:tblCellMar>
        </w:tblPrEx>
        <w:trPr>
          <w:trHeight w:hRule="exact" w:val="109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32</w:t>
            </w:r>
            <w:r>
              <w:rPr>
                <w:rFonts w:ascii="Times New Roman" w:eastAsia="Times New Roman" w:hAnsi="Times New Roman" w:cs="Times New Roman"/>
                <w:color w:val="000000"/>
                <w:spacing w:val="0"/>
                <w:w w:val="100"/>
                <w:position w:val="0"/>
                <w:sz w:val="30"/>
                <w:szCs w:val="30"/>
              </w:rPr>
              <w:t>Si</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105</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53" w:lineRule="exact"/>
              <w:ind w:left="0" w:right="0" w:firstLine="0"/>
              <w:jc w:val="both"/>
              <w:rPr>
                <w:sz w:val="32"/>
                <w:szCs w:val="32"/>
              </w:rPr>
            </w:pPr>
            <w:r>
              <w:rPr>
                <w:color w:val="000000"/>
                <w:spacing w:val="0"/>
                <w:w w:val="100"/>
                <w:position w:val="0"/>
                <w:sz w:val="32"/>
                <w:szCs w:val="32"/>
              </w:rPr>
              <w:t>宇宙射线 热核试验 地壳</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F000</w:t>
            </w:r>
          </w:p>
        </w:tc>
        <w:tc>
          <w:tcPr>
            <w:tcW w:w="207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365" w:lineRule="exact"/>
              <w:ind w:left="0" w:right="0" w:firstLine="0"/>
              <w:jc w:val="left"/>
              <w:rPr>
                <w:sz w:val="30"/>
                <w:szCs w:val="30"/>
              </w:rPr>
            </w:pPr>
            <w:r>
              <w:rPr>
                <w:color w:val="000000"/>
                <w:spacing w:val="0"/>
                <w:w w:val="100"/>
                <w:position w:val="0"/>
                <w:sz w:val="32"/>
                <w:szCs w:val="32"/>
              </w:rPr>
              <w:t>衔接</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0"/>
                <w:szCs w:val="30"/>
              </w:rPr>
              <w:t>H,</w:t>
            </w:r>
            <w:r>
              <w:rPr>
                <w:rFonts w:ascii="Times New Roman" w:eastAsia="Times New Roman" w:hAnsi="Times New Roman" w:cs="Times New Roman"/>
                <w:color w:val="000000"/>
                <w:spacing w:val="0"/>
                <w:w w:val="100"/>
                <w:position w:val="0"/>
                <w:sz w:val="20"/>
                <w:szCs w:val="20"/>
              </w:rPr>
              <w:t>39</w:t>
            </w:r>
            <w:r>
              <w:rPr>
                <w:rFonts w:ascii="Times New Roman" w:eastAsia="Times New Roman" w:hAnsi="Times New Roman" w:cs="Times New Roman"/>
                <w:color w:val="000000"/>
                <w:spacing w:val="0"/>
                <w:w w:val="100"/>
                <w:position w:val="0"/>
                <w:sz w:val="30"/>
                <w:szCs w:val="30"/>
              </w:rPr>
              <w:t>Ar</w:t>
            </w:r>
            <w:r>
              <w:rPr>
                <w:color w:val="000000"/>
                <w:spacing w:val="0"/>
                <w:w w:val="100"/>
                <w:position w:val="0"/>
                <w:sz w:val="32"/>
                <w:szCs w:val="32"/>
              </w:rPr>
              <w:t xml:space="preserve">和 </w:t>
            </w:r>
            <w:r>
              <w:rPr>
                <w:rFonts w:ascii="Times New Roman" w:eastAsia="Times New Roman" w:hAnsi="Times New Roman" w:cs="Times New Roman"/>
                <w:color w:val="000000"/>
                <w:spacing w:val="0"/>
                <w:w w:val="100"/>
                <w:position w:val="0"/>
                <w:sz w:val="20"/>
                <w:szCs w:val="20"/>
              </w:rPr>
              <w:t>14</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存有问题</w:t>
            </w:r>
            <w:r>
              <w:rPr>
                <w:rFonts w:ascii="Times New Roman" w:eastAsia="Times New Roman" w:hAnsi="Times New Roman" w:cs="Times New Roman"/>
                <w:color w:val="000000"/>
                <w:spacing w:val="0"/>
                <w:w w:val="100"/>
                <w:position w:val="0"/>
                <w:sz w:val="30"/>
                <w:szCs w:val="30"/>
              </w:rPr>
              <w:t>.</w:t>
            </w:r>
          </w:p>
        </w:tc>
        <w:tc>
          <w:tcPr>
            <w:tcW w:w="371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372" w:lineRule="exact"/>
              <w:ind w:left="0" w:right="0" w:firstLine="0"/>
              <w:jc w:val="left"/>
              <w:rPr>
                <w:sz w:val="32"/>
                <w:szCs w:val="32"/>
              </w:rPr>
            </w:pPr>
            <w:r>
              <w:rPr>
                <w:rFonts w:ascii="Times New Roman" w:eastAsia="Times New Roman" w:hAnsi="Times New Roman" w:cs="Times New Roman"/>
                <w:color w:val="000000"/>
                <w:spacing w:val="0"/>
                <w:w w:val="100"/>
                <w:position w:val="0"/>
                <w:sz w:val="30"/>
                <w:szCs w:val="30"/>
              </w:rPr>
              <w:t>A</w:t>
            </w:r>
            <w:r>
              <w:rPr>
                <w:rFonts w:ascii="Times New Roman" w:eastAsia="Times New Roman" w:hAnsi="Times New Roman" w:cs="Times New Roman"/>
                <w:color w:val="000000"/>
                <w:spacing w:val="0"/>
                <w:w w:val="100"/>
                <w:position w:val="0"/>
                <w:sz w:val="20"/>
                <w:szCs w:val="20"/>
              </w:rPr>
              <w:t>0</w:t>
            </w:r>
            <w:r>
              <w:rPr>
                <w:color w:val="000000"/>
                <w:spacing w:val="0"/>
                <w:w w:val="100"/>
                <w:position w:val="0"/>
                <w:sz w:val="32"/>
                <w:szCs w:val="32"/>
              </w:rPr>
              <w:t>值确定 样量达</w:t>
            </w:r>
            <w:r>
              <w:rPr>
                <w:rFonts w:ascii="Times New Roman" w:eastAsia="Times New Roman" w:hAnsi="Times New Roman" w:cs="Times New Roman"/>
                <w:color w:val="000000"/>
                <w:spacing w:val="0"/>
                <w:w w:val="100"/>
                <w:position w:val="0"/>
                <w:sz w:val="30"/>
                <w:szCs w:val="30"/>
              </w:rPr>
              <w:t>10m</w:t>
            </w:r>
            <w:r>
              <w:rPr>
                <w:rFonts w:ascii="Times New Roman" w:eastAsia="Times New Roman" w:hAnsi="Times New Roman" w:cs="Times New Roman"/>
                <w:color w:val="000000"/>
                <w:spacing w:val="0"/>
                <w:w w:val="100"/>
                <w:position w:val="0"/>
                <w:sz w:val="20"/>
                <w:szCs w:val="20"/>
              </w:rPr>
              <w:t xml:space="preserve">3 </w:t>
            </w:r>
            <w:r>
              <w:rPr>
                <w:color w:val="000000"/>
                <w:spacing w:val="0"/>
                <w:w w:val="100"/>
                <w:position w:val="0"/>
                <w:sz w:val="32"/>
                <w:szCs w:val="32"/>
              </w:rPr>
              <w:t>计数时间长</w:t>
            </w:r>
          </w:p>
        </w:tc>
      </w:tr>
      <w:tr>
        <w:tblPrEx>
          <w:jc w:val="center"/>
          <w:tblLayout w:type="fixed"/>
          <w:tblCellMar>
            <w:left w:w="10" w:type="dxa"/>
            <w:right w:w="10" w:type="dxa"/>
          </w:tblCellMar>
        </w:tblPrEx>
        <w:trPr>
          <w:trHeight w:hRule="exact" w:val="1099"/>
          <w:jc w:val="center"/>
        </w:trPr>
        <w:tc>
          <w:tcPr>
            <w:tcW w:w="145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39</w:t>
            </w:r>
            <w:r>
              <w:rPr>
                <w:rFonts w:ascii="Times New Roman" w:eastAsia="Times New Roman" w:hAnsi="Times New Roman" w:cs="Times New Roman"/>
                <w:color w:val="000000"/>
                <w:spacing w:val="0"/>
                <w:w w:val="100"/>
                <w:position w:val="0"/>
                <w:sz w:val="30"/>
                <w:szCs w:val="30"/>
              </w:rPr>
              <w:t>Ar</w:t>
            </w:r>
          </w:p>
        </w:tc>
        <w:tc>
          <w:tcPr>
            <w:tcW w:w="17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269</w:t>
            </w:r>
          </w:p>
        </w:tc>
        <w:tc>
          <w:tcPr>
            <w:tcW w:w="19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346" w:lineRule="exact"/>
              <w:ind w:left="0" w:right="0" w:firstLine="0"/>
              <w:jc w:val="both"/>
              <w:rPr>
                <w:sz w:val="32"/>
                <w:szCs w:val="32"/>
              </w:rPr>
            </w:pPr>
            <w:r>
              <w:rPr>
                <w:color w:val="000000"/>
                <w:spacing w:val="0"/>
                <w:w w:val="100"/>
                <w:position w:val="0"/>
                <w:sz w:val="32"/>
                <w:szCs w:val="32"/>
              </w:rPr>
              <w:t>宇宙射线 地壳</w:t>
            </w:r>
          </w:p>
        </w:tc>
        <w:tc>
          <w:tcPr>
            <w:tcW w:w="174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0"/>
                <w:szCs w:val="30"/>
              </w:rPr>
            </w:pPr>
            <w:r>
              <w:rPr>
                <w:color w:val="000000"/>
                <w:spacing w:val="0"/>
                <w:w w:val="100"/>
                <w:position w:val="0"/>
                <w:sz w:val="32"/>
                <w:szCs w:val="32"/>
              </w:rPr>
              <w:t xml:space="preserve">Q </w:t>
            </w:r>
            <w:r>
              <w:rPr>
                <w:rFonts w:ascii="Times New Roman" w:eastAsia="Times New Roman" w:hAnsi="Times New Roman" w:cs="Times New Roman"/>
                <w:color w:val="000000"/>
                <w:spacing w:val="0"/>
                <w:w w:val="100"/>
                <w:position w:val="0"/>
                <w:sz w:val="30"/>
                <w:szCs w:val="30"/>
              </w:rPr>
              <w:t>2000</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355" w:lineRule="exact"/>
              <w:ind w:left="0" w:right="0" w:firstLine="0"/>
              <w:jc w:val="left"/>
              <w:rPr>
                <w:sz w:val="32"/>
                <w:szCs w:val="32"/>
              </w:rPr>
            </w:pPr>
            <w:r>
              <w:rPr>
                <w:color w:val="000000"/>
                <w:spacing w:val="0"/>
                <w:w w:val="100"/>
                <w:position w:val="0"/>
                <w:sz w:val="32"/>
                <w:szCs w:val="32"/>
              </w:rPr>
              <w:t>不受化学作用 影响可与</w:t>
            </w:r>
            <w:r>
              <w:rPr>
                <w:rFonts w:ascii="Times New Roman" w:eastAsia="Times New Roman" w:hAnsi="Times New Roman" w:cs="Times New Roman"/>
                <w:color w:val="000000"/>
                <w:spacing w:val="0"/>
                <w:w w:val="100"/>
                <w:position w:val="0"/>
                <w:sz w:val="20"/>
                <w:szCs w:val="20"/>
              </w:rPr>
              <w:t>14</w:t>
            </w:r>
            <w:r>
              <w:rPr>
                <w:rFonts w:ascii="Times New Roman" w:eastAsia="Times New Roman" w:hAnsi="Times New Roman" w:cs="Times New Roman"/>
                <w:color w:val="000000"/>
                <w:spacing w:val="0"/>
                <w:w w:val="100"/>
                <w:position w:val="0"/>
                <w:sz w:val="30"/>
                <w:szCs w:val="30"/>
              </w:rPr>
              <w:t xml:space="preserve">C </w:t>
            </w:r>
            <w:r>
              <w:rPr>
                <w:color w:val="000000"/>
                <w:spacing w:val="0"/>
                <w:w w:val="100"/>
                <w:position w:val="0"/>
                <w:sz w:val="32"/>
                <w:szCs w:val="32"/>
              </w:rPr>
              <w:t>作对比</w:t>
            </w:r>
            <w:r>
              <w:rPr>
                <w:color w:val="000000"/>
                <w:spacing w:val="0"/>
                <w:w w:val="100"/>
                <w:position w:val="0"/>
                <w:sz w:val="30"/>
                <w:szCs w:val="30"/>
              </w:rPr>
              <w:t>，</w:t>
            </w:r>
            <w:r>
              <w:rPr>
                <w:color w:val="000000"/>
                <w:spacing w:val="0"/>
                <w:w w:val="100"/>
                <w:position w:val="0"/>
                <w:sz w:val="32"/>
                <w:szCs w:val="32"/>
              </w:rPr>
              <w:t>适用</w:t>
            </w:r>
          </w:p>
        </w:tc>
        <w:tc>
          <w:tcPr>
            <w:tcW w:w="37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379" w:lineRule="exact"/>
              <w:ind w:left="0" w:right="0" w:firstLine="0"/>
              <w:jc w:val="left"/>
              <w:rPr>
                <w:sz w:val="32"/>
                <w:szCs w:val="32"/>
              </w:rPr>
            </w:pPr>
            <w:r>
              <w:rPr>
                <w:color w:val="000000"/>
                <w:spacing w:val="0"/>
                <w:w w:val="100"/>
                <w:position w:val="0"/>
                <w:sz w:val="32"/>
                <w:szCs w:val="32"/>
              </w:rPr>
              <w:t>分离过程复杂样品达</w:t>
            </w:r>
            <w:r>
              <w:rPr>
                <w:rFonts w:ascii="Times New Roman" w:eastAsia="Times New Roman" w:hAnsi="Times New Roman" w:cs="Times New Roman"/>
                <w:color w:val="000000"/>
                <w:spacing w:val="0"/>
                <w:w w:val="100"/>
                <w:position w:val="0"/>
                <w:sz w:val="30"/>
                <w:szCs w:val="30"/>
              </w:rPr>
              <w:t>10m</w:t>
            </w:r>
            <w:r>
              <w:rPr>
                <w:rFonts w:ascii="Times New Roman" w:eastAsia="Times New Roman" w:hAnsi="Times New Roman" w:cs="Times New Roman"/>
                <w:color w:val="000000"/>
                <w:spacing w:val="0"/>
                <w:w w:val="100"/>
                <w:position w:val="0"/>
                <w:sz w:val="20"/>
                <w:szCs w:val="20"/>
              </w:rPr>
              <w:t xml:space="preserve">3 </w:t>
            </w:r>
            <w:r>
              <w:rPr>
                <w:color w:val="000000"/>
                <w:spacing w:val="0"/>
                <w:w w:val="100"/>
                <w:position w:val="0"/>
                <w:sz w:val="32"/>
                <w:szCs w:val="32"/>
              </w:rPr>
              <w:t>计数时间长</w:t>
            </w:r>
          </w:p>
        </w:tc>
      </w:tr>
      <w:tr>
        <w:tblPrEx>
          <w:jc w:val="center"/>
          <w:tblLayout w:type="fixed"/>
          <w:tblCellMar>
            <w:left w:w="10" w:type="dxa"/>
            <w:right w:w="10" w:type="dxa"/>
          </w:tblCellMar>
        </w:tblPrEx>
        <w:trPr>
          <w:trHeight w:hRule="exact" w:val="379"/>
          <w:jc w:val="center"/>
        </w:trPr>
        <w:tc>
          <w:tcPr>
            <w:tcW w:w="145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81</w:t>
            </w:r>
            <w:r>
              <w:rPr>
                <w:rFonts w:ascii="Times New Roman" w:eastAsia="Times New Roman" w:hAnsi="Times New Roman" w:cs="Times New Roman"/>
                <w:color w:val="000000"/>
                <w:spacing w:val="0"/>
                <w:w w:val="100"/>
                <w:position w:val="0"/>
                <w:sz w:val="30"/>
                <w:szCs w:val="30"/>
              </w:rPr>
              <w:t>Kr</w:t>
            </w:r>
          </w:p>
        </w:tc>
        <w:tc>
          <w:tcPr>
            <w:tcW w:w="173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2.1</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19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宇宙射线</w:t>
            </w:r>
          </w:p>
        </w:tc>
        <w:tc>
          <w:tcPr>
            <w:tcW w:w="174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5</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20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适用古老水</w:t>
            </w:r>
          </w:p>
        </w:tc>
        <w:tc>
          <w:tcPr>
            <w:tcW w:w="371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待研究</w:t>
            </w:r>
          </w:p>
        </w:tc>
      </w:tr>
      <w:tr>
        <w:tblPrEx>
          <w:jc w:val="center"/>
          <w:tblLayout w:type="fixed"/>
          <w:tblCellMar>
            <w:left w:w="10" w:type="dxa"/>
            <w:right w:w="10" w:type="dxa"/>
          </w:tblCellMar>
        </w:tblPrEx>
        <w:trPr>
          <w:trHeight w:hRule="exact" w:val="490"/>
          <w:jc w:val="center"/>
        </w:trPr>
        <w:tc>
          <w:tcPr>
            <w:tcW w:w="1450"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20"/>
                <w:szCs w:val="20"/>
              </w:rPr>
              <w:t>4</w:t>
            </w:r>
            <w:r>
              <w:rPr>
                <w:rFonts w:ascii="Times New Roman" w:eastAsia="Times New Roman" w:hAnsi="Times New Roman" w:cs="Times New Roman"/>
                <w:color w:val="000000"/>
                <w:spacing w:val="0"/>
                <w:w w:val="100"/>
                <w:position w:val="0"/>
                <w:sz w:val="30"/>
                <w:szCs w:val="30"/>
              </w:rPr>
              <w:t>He</w:t>
            </w:r>
          </w:p>
        </w:tc>
        <w:tc>
          <w:tcPr>
            <w:tcW w:w="1738"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聚积速度</w:t>
            </w:r>
          </w:p>
        </w:tc>
        <w:tc>
          <w:tcPr>
            <w:tcW w:w="1920"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both"/>
              <w:rPr>
                <w:sz w:val="32"/>
                <w:szCs w:val="32"/>
              </w:rPr>
            </w:pPr>
            <w:r>
              <w:rPr>
                <w:color w:val="000000"/>
                <w:spacing w:val="0"/>
                <w:w w:val="100"/>
                <w:position w:val="0"/>
                <w:sz w:val="32"/>
                <w:szCs w:val="32"/>
              </w:rPr>
              <w:t>稳定的</w:t>
            </w:r>
          </w:p>
        </w:tc>
        <w:tc>
          <w:tcPr>
            <w:tcW w:w="1742"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10</w:t>
            </w:r>
            <w:r>
              <w:rPr>
                <w:rFonts w:ascii="Times New Roman" w:eastAsia="Times New Roman" w:hAnsi="Times New Roman" w:cs="Times New Roman"/>
                <w:color w:val="000000"/>
                <w:spacing w:val="0"/>
                <w:w w:val="100"/>
                <w:position w:val="0"/>
                <w:sz w:val="20"/>
                <w:szCs w:val="20"/>
              </w:rPr>
              <w:t>5</w:t>
            </w:r>
          </w:p>
        </w:tc>
        <w:tc>
          <w:tcPr>
            <w:tcW w:w="2078"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待完善</w:t>
            </w:r>
          </w:p>
        </w:tc>
        <w:tc>
          <w:tcPr>
            <w:tcW w:w="371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2"/>
                <w:szCs w:val="32"/>
              </w:rPr>
            </w:pPr>
            <w:r>
              <w:rPr>
                <w:color w:val="000000"/>
                <w:spacing w:val="0"/>
                <w:w w:val="100"/>
                <w:position w:val="0"/>
                <w:sz w:val="32"/>
                <w:szCs w:val="32"/>
              </w:rPr>
              <w:t>非持恒</w:t>
            </w:r>
          </w:p>
        </w:tc>
      </w:tr>
    </w:tbl>
    <w:p>
      <w:pPr>
        <w:widowControl w:val="0"/>
        <w:spacing w:after="359" w:line="1" w:lineRule="exact"/>
      </w:pPr>
    </w:p>
    <w:p>
      <w:pPr>
        <w:pStyle w:val="21"/>
        <w:keepNext/>
        <w:keepLines/>
        <w:widowControl w:val="0"/>
        <w:shd w:val="clear" w:color="auto" w:fill="auto"/>
        <w:bidi w:val="0"/>
        <w:spacing w:before="0" w:after="360" w:line="240" w:lineRule="auto"/>
        <w:ind w:left="0" w:right="0" w:firstLine="980"/>
        <w:jc w:val="both"/>
      </w:pPr>
      <w:bookmarkStart w:id="17" w:name="bookmark17"/>
      <w:bookmarkStart w:id="18" w:name="bookmark18"/>
      <w:bookmarkStart w:id="19" w:name="bookmark19"/>
      <w:r>
        <w:rPr>
          <w:rFonts w:ascii="Times New Roman" w:eastAsia="Times New Roman" w:hAnsi="Times New Roman" w:cs="Times New Roman"/>
          <w:color w:val="000000"/>
          <w:spacing w:val="0"/>
          <w:w w:val="100"/>
          <w:position w:val="0"/>
          <w:sz w:val="46"/>
          <w:szCs w:val="46"/>
        </w:rPr>
        <w:t>2.3</w:t>
      </w:r>
      <w:r>
        <w:rPr>
          <w:color w:val="000000"/>
          <w:spacing w:val="0"/>
          <w:w w:val="100"/>
          <w:position w:val="0"/>
        </w:rPr>
        <w:t>采样点线的布置与时间安排</w:t>
      </w:r>
      <w:bookmarkEnd w:id="17"/>
      <w:bookmarkEnd w:id="18"/>
      <w:bookmarkEnd w:id="19"/>
    </w:p>
    <w:p>
      <w:pPr>
        <w:pStyle w:val="a5"/>
        <w:keepNext w:val="0"/>
        <w:keepLines w:val="0"/>
        <w:widowControl w:val="0"/>
        <w:shd w:val="clear" w:color="auto" w:fill="auto"/>
        <w:bidi w:val="0"/>
        <w:spacing w:before="0" w:line="600" w:lineRule="exact"/>
        <w:ind w:left="0" w:right="0" w:firstLine="720"/>
        <w:jc w:val="both"/>
      </w:pPr>
      <w:r>
        <w:rPr>
          <w:color w:val="000000"/>
          <w:spacing w:val="0"/>
          <w:w w:val="100"/>
          <w:position w:val="0"/>
        </w:rPr>
        <w:t>在理论分析可能的前提下，根据具体问题要求，设计经济上可行且可操作的取样 方"^案。</w:t>
      </w:r>
    </w:p>
    <w:p>
      <w:pPr>
        <w:pStyle w:val="a5"/>
        <w:keepNext w:val="0"/>
        <w:keepLines w:val="0"/>
        <w:widowControl w:val="0"/>
        <w:numPr>
          <w:ilvl w:val="0"/>
          <w:numId w:val="2"/>
        </w:numPr>
        <w:shd w:val="clear" w:color="auto" w:fill="auto"/>
        <w:bidi w:val="0"/>
        <w:spacing w:before="0" w:after="360" w:line="583" w:lineRule="exact"/>
        <w:ind w:left="0" w:right="0" w:firstLine="720"/>
        <w:jc w:val="both"/>
      </w:pPr>
      <w:bookmarkStart w:id="20" w:name="bookmark20"/>
      <w:bookmarkEnd w:id="20"/>
      <w:r>
        <w:rPr>
          <w:color w:val="000000"/>
          <w:spacing w:val="0"/>
          <w:w w:val="100"/>
          <w:position w:val="0"/>
        </w:rPr>
        <w:t>取样点的代表性直接影响成果质量。例如，雨水样的分析结果往往随机变化 和季节变化特点较明显，其数值有时相差</w:t>
      </w:r>
      <w:r>
        <w:rPr>
          <w:b/>
          <w:bCs/>
          <w:color w:val="000000"/>
          <w:spacing w:val="0"/>
          <w:w w:val="100"/>
          <w:position w:val="0"/>
        </w:rPr>
        <w:t>1</w:t>
      </w:r>
      <w:r>
        <w:rPr>
          <w:rFonts w:ascii="Arial Unicode MS" w:eastAsia="Arial Unicode MS" w:hAnsi="Arial Unicode MS" w:cs="Arial Unicode MS"/>
          <w:color w:val="000000"/>
          <w:spacing w:val="0"/>
          <w:w w:val="100"/>
          <w:position w:val="0"/>
          <w:sz w:val="26"/>
          <w:szCs w:val="26"/>
        </w:rPr>
        <w:t>〜</w:t>
      </w:r>
      <w:r>
        <w:rPr>
          <w:b/>
          <w:bCs/>
          <w:color w:val="000000"/>
          <w:spacing w:val="0"/>
          <w:w w:val="100"/>
          <w:position w:val="0"/>
        </w:rPr>
        <w:t>2</w:t>
      </w:r>
      <w:r>
        <w:rPr>
          <w:color w:val="000000"/>
          <w:spacing w:val="0"/>
          <w:w w:val="100"/>
          <w:position w:val="0"/>
        </w:rPr>
        <w:t>个数量级。为了分析地下水的补给问题， 仅收集一次降水或少量几次降水，代表性就较差。一般应收集全月降水，月末取混合 样，也就是降雨量的加权值对地下水研究更有用。为对地区性“雨水线”进行统计研 究，取样点要尽可能考虑对关键高程点的控制。在初期或资料较少的情况下，可用浅 层地下水化验结果统计分析，亦可采用一些小泉水样的分析结果进行统计。地下水样 品的代表性问题更重要。一般来说：沿地下水流向的水样、同一点不同深度的水样及 同一点不同时间所采的水样都具有较好的可对比性。结合地下水的动态变化设计水样 有利于解决地下水样的代表性问题。</w:t>
      </w:r>
    </w:p>
    <w:p>
      <w:pPr>
        <w:pStyle w:val="a5"/>
        <w:keepNext w:val="0"/>
        <w:keepLines w:val="0"/>
        <w:widowControl w:val="0"/>
        <w:shd w:val="clear" w:color="auto" w:fill="auto"/>
        <w:bidi w:val="0"/>
        <w:spacing w:before="0" w:after="200" w:line="598" w:lineRule="exact"/>
        <w:ind w:left="0" w:right="0" w:firstLine="720"/>
        <w:jc w:val="both"/>
        <w:sectPr>
          <w:type w:val="nextPage"/>
          <w:pgSz w:w="17861" w:h="25258"/>
          <w:pgMar w:top="1674" w:right="1867" w:bottom="2321" w:left="2040" w:header="0" w:footer="3" w:gutter="0"/>
          <w:pgNumType w:start="6"/>
          <w:cols w:space="720"/>
          <w:noEndnote/>
          <w:titlePg w:val="0"/>
          <w:rtlGutter w:val="0"/>
          <w:docGrid w:linePitch="360"/>
        </w:sectPr>
      </w:pPr>
      <w:bookmarkStart w:id="21" w:name="bookmark21"/>
      <w:r>
        <w:rPr>
          <w:b/>
          <w:bCs/>
          <w:color w:val="000000"/>
          <w:spacing w:val="0"/>
          <w:w w:val="100"/>
          <w:position w:val="0"/>
        </w:rPr>
        <w:t>2</w:t>
      </w:r>
      <w:bookmarkEnd w:id="21"/>
      <w:r>
        <w:rPr>
          <w:color w:val="000000"/>
          <w:spacing w:val="0"/>
          <w:w w:val="100"/>
          <w:position w:val="0"/>
        </w:rPr>
        <w:t>）取样点的密度，它不仅决定于区域同位素地球化学条件，而且决定于研究问</w:t>
      </w:r>
    </w:p>
    <w:p>
      <w:pPr>
        <w:pStyle w:val="a5"/>
        <w:keepNext w:val="0"/>
        <w:keepLines w:val="0"/>
        <w:widowControl w:val="0"/>
        <w:shd w:val="clear" w:color="auto" w:fill="auto"/>
        <w:bidi w:val="0"/>
        <w:spacing w:before="0" w:after="200" w:line="598" w:lineRule="exact"/>
        <w:ind w:left="0" w:right="0" w:firstLine="720"/>
        <w:jc w:val="both"/>
      </w:pPr>
      <w:r>
        <w:rPr>
          <w:color w:val="000000"/>
          <w:spacing w:val="0"/>
          <w:w w:val="100"/>
          <w:position w:val="0"/>
        </w:rPr>
        <w:t xml:space="preserve"> 题的尺度、程度和阶段，同时还受到同位素分析方法，以及同位素分布统计规律及经</w:t>
      </w:r>
      <w:r>
        <w:rPr>
          <w:color w:val="000000"/>
          <w:spacing w:val="0"/>
          <w:w w:val="100"/>
          <w:position w:val="0"/>
        </w:rPr>
        <w:t xml:space="preserve"> 济条件的制约。对于区域水文地质调查来说，世界降水同位素资料和全国大气降水同</w:t>
      </w:r>
      <w:r>
        <w:rPr>
          <w:color w:val="000000"/>
          <w:spacing w:val="0"/>
          <w:w w:val="100"/>
          <w:position w:val="0"/>
        </w:rPr>
        <w:t xml:space="preserve"> </w:t>
      </w:r>
      <w:r>
        <w:rPr>
          <w:color w:val="000000"/>
          <w:spacing w:val="0"/>
          <w:w w:val="100"/>
          <w:position w:val="0"/>
        </w:rPr>
        <w:t>位素分析资料都是确定取样点密度可参考的依据。而根据分析结果总结出的高程效 应、纬度效应、大陆效应、温度效应和雨量效应等可作为设计取样点空间分布密度和 时间间隔的依据。将具体同位素分析方法及其同位素分布的统计规律有机结合，可使 取样密度接近最佳。对大、中比例尺的调查或研究点上的工作，应尽可能采用定深取 样技术。例如，在矿区地下水的调查中，可在不同开采水平、不同出水点取样，实践 证明，可收到良好效果。</w:t>
      </w:r>
    </w:p>
    <w:p>
      <w:pPr>
        <w:pStyle w:val="a5"/>
        <w:keepNext w:val="0"/>
        <w:keepLines w:val="0"/>
        <w:widowControl w:val="0"/>
        <w:shd w:val="clear" w:color="auto" w:fill="auto"/>
        <w:tabs>
          <w:tab w:val="left" w:pos="1270"/>
        </w:tabs>
        <w:bidi w:val="0"/>
        <w:spacing w:before="0" w:after="200" w:line="592" w:lineRule="exact"/>
        <w:ind w:left="0" w:right="0" w:firstLine="720"/>
        <w:jc w:val="both"/>
      </w:pPr>
      <w:bookmarkStart w:id="22" w:name="bookmark22"/>
      <w:r>
        <w:rPr>
          <w:b/>
          <w:bCs/>
          <w:color w:val="000000"/>
          <w:spacing w:val="0"/>
          <w:w w:val="100"/>
          <w:position w:val="0"/>
        </w:rPr>
        <w:t>3</w:t>
      </w:r>
      <w:bookmarkEnd w:id="22"/>
      <w:r>
        <w:rPr>
          <w:color w:val="000000"/>
          <w:spacing w:val="0"/>
          <w:w w:val="100"/>
          <w:position w:val="0"/>
        </w:rPr>
        <w:t>）</w:t>
        <w:tab/>
        <w:t>点、线的布置形式。采样点往往呈线状（剖面线）布置，一般平行于地下水 流向或垂直于地表水体走向布置。通常沿地下水流线或同一含水层的样品或同一剖面 线相同深度的样品利于比较。解决小比例尺区域水文地质问题，往往采用网状布控取 样点。</w:t>
      </w:r>
    </w:p>
    <w:p>
      <w:pPr>
        <w:pStyle w:val="a5"/>
        <w:keepNext w:val="0"/>
        <w:keepLines w:val="0"/>
        <w:widowControl w:val="0"/>
        <w:shd w:val="clear" w:color="auto" w:fill="auto"/>
        <w:tabs>
          <w:tab w:val="left" w:pos="1270"/>
        </w:tabs>
        <w:bidi w:val="0"/>
        <w:spacing w:before="0" w:after="200" w:line="588" w:lineRule="exact"/>
        <w:ind w:left="0" w:right="0" w:firstLine="720"/>
        <w:jc w:val="both"/>
      </w:pPr>
      <w:bookmarkStart w:id="23" w:name="bookmark23"/>
      <w:r>
        <w:rPr>
          <w:b/>
          <w:bCs/>
          <w:color w:val="000000"/>
          <w:spacing w:val="0"/>
          <w:w w:val="100"/>
          <w:position w:val="0"/>
        </w:rPr>
        <w:t>4</w:t>
      </w:r>
      <w:bookmarkEnd w:id="23"/>
      <w:r>
        <w:rPr>
          <w:color w:val="000000"/>
          <w:spacing w:val="0"/>
          <w:w w:val="100"/>
          <w:position w:val="0"/>
        </w:rPr>
        <w:t>）</w:t>
        <w:tab/>
        <w:t>取样的时间间隔取决于待解决问题的要求。一般说来，松散孔隙地下水和坚 硬岩石裂隙水（不包括岩溶水）一年取一次样即可。系列样有利于排除抽水干扰及其 误差。对具有明显季节性变化的取样点，可有选择地取丰、枯对比样。对季节变化较 大的岩溶水取样点，建议每月采一次样或每个季度采一次样，且一直坚持</w:t>
      </w:r>
      <w:r>
        <w:rPr>
          <w:b/>
          <w:bCs/>
          <w:color w:val="000000"/>
          <w:spacing w:val="0"/>
          <w:w w:val="100"/>
          <w:position w:val="0"/>
        </w:rPr>
        <w:t>1-3</w:t>
      </w:r>
      <w:r>
        <w:rPr>
          <w:color w:val="000000"/>
          <w:spacing w:val="0"/>
          <w:w w:val="100"/>
          <w:position w:val="0"/>
        </w:rPr>
        <w:t>年。对 大型岩溶水盆地，通常需要</w:t>
      </w:r>
      <w:r>
        <w:rPr>
          <w:b/>
          <w:bCs/>
          <w:color w:val="000000"/>
          <w:spacing w:val="0"/>
          <w:w w:val="100"/>
          <w:position w:val="0"/>
        </w:rPr>
        <w:t>3</w:t>
      </w:r>
      <w:r>
        <w:rPr>
          <w:rFonts w:ascii="Arial Unicode MS" w:eastAsia="Arial Unicode MS" w:hAnsi="Arial Unicode MS" w:cs="Arial Unicode MS"/>
          <w:color w:val="000000"/>
          <w:spacing w:val="0"/>
          <w:w w:val="100"/>
          <w:position w:val="0"/>
          <w:sz w:val="26"/>
          <w:szCs w:val="26"/>
        </w:rPr>
        <w:t>〜</w:t>
      </w:r>
      <w:r>
        <w:rPr>
          <w:b/>
          <w:bCs/>
          <w:color w:val="000000"/>
          <w:spacing w:val="0"/>
          <w:w w:val="100"/>
          <w:position w:val="0"/>
        </w:rPr>
        <w:t>5</w:t>
      </w:r>
      <w:r>
        <w:rPr>
          <w:color w:val="000000"/>
          <w:spacing w:val="0"/>
          <w:w w:val="100"/>
          <w:position w:val="0"/>
        </w:rPr>
        <w:t>年的采样分析，才能得出较可靠的结论。根据我国条 件，对有明显动态变化的岩溶水，至少应取丰、枯季对比样。值得注意的是我国北方 岩溶水具有明显的动态滞后特点，相应地应按涨落情况安排采样时间。某些小河流、 小水库、小湖泊、小泉点以及浅层地下水等，采样要考虑季节变化特点。</w:t>
      </w:r>
    </w:p>
    <w:p>
      <w:pPr>
        <w:pStyle w:val="a5"/>
        <w:keepNext w:val="0"/>
        <w:keepLines w:val="0"/>
        <w:widowControl w:val="0"/>
        <w:shd w:val="clear" w:color="auto" w:fill="auto"/>
        <w:tabs>
          <w:tab w:val="left" w:pos="1270"/>
        </w:tabs>
        <w:bidi w:val="0"/>
        <w:spacing w:before="0" w:after="640" w:line="598" w:lineRule="exact"/>
        <w:ind w:left="0" w:right="0" w:firstLine="720"/>
        <w:jc w:val="both"/>
      </w:pPr>
      <w:bookmarkStart w:id="24" w:name="bookmark24"/>
      <w:r>
        <w:rPr>
          <w:b/>
          <w:bCs/>
          <w:color w:val="000000"/>
          <w:spacing w:val="0"/>
          <w:w w:val="100"/>
          <w:position w:val="0"/>
        </w:rPr>
        <w:t>5</w:t>
      </w:r>
      <w:bookmarkEnd w:id="24"/>
      <w:r>
        <w:rPr>
          <w:color w:val="000000"/>
          <w:spacing w:val="0"/>
          <w:w w:val="100"/>
          <w:position w:val="0"/>
        </w:rPr>
        <w:t>）</w:t>
        <w:tab/>
        <w:t>样点的布置应注重系统性，包括不同水的样品的对应，不同同位素的匹配， 同位素与水化学以及与现场易变物理化学指标测定平行进行。同时还应注重与将来资 料的解释方法相配套。和项目总体要求相适应。</w:t>
      </w:r>
    </w:p>
    <w:p>
      <w:pPr>
        <w:pStyle w:val="10"/>
        <w:keepNext/>
        <w:keepLines/>
        <w:widowControl w:val="0"/>
        <w:shd w:val="clear" w:color="auto" w:fill="auto"/>
        <w:bidi w:val="0"/>
        <w:spacing w:before="0" w:after="640" w:line="240" w:lineRule="auto"/>
        <w:ind w:left="0" w:right="0" w:firstLine="0"/>
        <w:jc w:val="center"/>
      </w:pPr>
      <w:bookmarkStart w:id="25" w:name="bookmark25"/>
      <w:bookmarkStart w:id="26" w:name="bookmark26"/>
      <w:bookmarkStart w:id="27" w:name="bookmark27"/>
      <w:r>
        <w:rPr>
          <w:rFonts w:ascii="Times New Roman" w:eastAsia="Times New Roman" w:hAnsi="Times New Roman" w:cs="Times New Roman"/>
          <w:color w:val="000000"/>
          <w:spacing w:val="0"/>
          <w:w w:val="100"/>
          <w:position w:val="0"/>
          <w:sz w:val="70"/>
          <w:szCs w:val="70"/>
        </w:rPr>
        <w:t>3</w:t>
      </w:r>
      <w:r>
        <w:rPr>
          <w:color w:val="000000"/>
          <w:spacing w:val="0"/>
          <w:w w:val="100"/>
          <w:position w:val="0"/>
        </w:rPr>
        <w:t>常用环境同位素分析水样采集</w:t>
      </w:r>
      <w:bookmarkEnd w:id="25"/>
      <w:bookmarkEnd w:id="26"/>
      <w:bookmarkEnd w:id="27"/>
    </w:p>
    <w:p>
      <w:pPr>
        <w:pStyle w:val="21"/>
        <w:keepNext/>
        <w:keepLines/>
        <w:widowControl w:val="0"/>
        <w:shd w:val="clear" w:color="auto" w:fill="auto"/>
        <w:bidi w:val="0"/>
        <w:spacing w:before="0" w:after="360" w:line="240" w:lineRule="auto"/>
        <w:ind w:left="0" w:right="0"/>
        <w:jc w:val="both"/>
      </w:pPr>
      <w:bookmarkStart w:id="28" w:name="bookmark28"/>
      <w:bookmarkStart w:id="29" w:name="bookmark29"/>
      <w:bookmarkStart w:id="30" w:name="bookmark30"/>
      <w:r>
        <w:rPr>
          <w:rFonts w:ascii="Times New Roman" w:eastAsia="Times New Roman" w:hAnsi="Times New Roman" w:cs="Times New Roman"/>
          <w:color w:val="000000"/>
          <w:spacing w:val="0"/>
          <w:w w:val="100"/>
          <w:position w:val="0"/>
          <w:sz w:val="46"/>
          <w:szCs w:val="46"/>
        </w:rPr>
        <w:t>3.1</w:t>
      </w:r>
      <w:r>
        <w:rPr>
          <w:color w:val="000000"/>
          <w:spacing w:val="0"/>
          <w:w w:val="100"/>
          <w:position w:val="0"/>
        </w:rPr>
        <w:t>野外取样准备</w:t>
      </w:r>
      <w:bookmarkEnd w:id="28"/>
      <w:bookmarkEnd w:id="29"/>
      <w:bookmarkEnd w:id="30"/>
    </w:p>
    <w:p>
      <w:pPr>
        <w:pStyle w:val="a5"/>
        <w:keepNext w:val="0"/>
        <w:keepLines w:val="0"/>
        <w:widowControl w:val="0"/>
        <w:shd w:val="clear" w:color="auto" w:fill="auto"/>
        <w:bidi w:val="0"/>
        <w:spacing w:before="0" w:after="280" w:line="583" w:lineRule="exact"/>
        <w:ind w:left="0" w:right="0" w:firstLine="720"/>
        <w:jc w:val="both"/>
      </w:pPr>
      <w:r>
        <w:rPr>
          <w:color w:val="000000"/>
          <w:spacing w:val="0"/>
          <w:w w:val="100"/>
          <w:position w:val="0"/>
        </w:rPr>
        <w:t>根据设计及技术要求采集同位素分析样品。为了确保样品质量，在野外样品采集 时应确保代表性水样同位素成分不产生分馏。大多数同位素分馏是在水样采集、运输、 保存过程中，经由蒸发或扩散引起的。可通过科学的采样方法和质量可靠的水样瓶来 减小这种影响。通常情况下，野外采样应建立在相应的室内研究基础之上。包括对降 水样品，应研究气象及变化图、气团运移方向等气象数据；对于地表水样品，应研究</w:t>
      </w:r>
    </w:p>
    <w:p>
      <w:pPr>
        <w:pStyle w:val="a5"/>
        <w:keepNext w:val="0"/>
        <w:keepLines w:val="0"/>
        <w:widowControl w:val="0"/>
        <w:pBdr>
          <w:top w:val="single" w:sz="4" w:space="0" w:color="auto"/>
        </w:pBdr>
        <w:shd w:val="clear" w:color="auto" w:fill="auto"/>
        <w:bidi w:val="0"/>
        <w:spacing w:before="0" w:after="320" w:line="240" w:lineRule="auto"/>
        <w:ind w:left="0" w:right="0" w:firstLine="0"/>
        <w:jc w:val="left"/>
        <w:sectPr>
          <w:type w:val="nextPage"/>
          <w:pgSz w:w="17861" w:h="25258"/>
          <w:pgMar w:top="1674" w:right="1867" w:bottom="2321" w:left="2040" w:header="0" w:footer="3" w:gutter="0"/>
          <w:pgNumType w:start="7"/>
          <w:cols w:space="720"/>
          <w:noEndnote/>
          <w:titlePg w:val="0"/>
          <w:rtlGutter w:val="0"/>
          <w:docGrid w:linePitch="360"/>
        </w:sectPr>
      </w:pPr>
      <w:r>
        <w:rPr>
          <w:color w:val="000000"/>
          <w:spacing w:val="0"/>
          <w:w w:val="100"/>
          <w:position w:val="0"/>
        </w:rPr>
        <w:t>更新速率及其变化；对于各类地下水品样，应研究其地质条件及钻孔资料等。</w:t>
      </w:r>
    </w:p>
    <w:p>
      <w:pPr>
        <w:pStyle w:val="31"/>
        <w:keepNext/>
        <w:keepLines/>
        <w:widowControl w:val="0"/>
        <w:shd w:val="clear" w:color="auto" w:fill="auto"/>
        <w:bidi w:val="0"/>
        <w:spacing w:before="0" w:line="240" w:lineRule="auto"/>
        <w:ind w:left="0" w:right="0"/>
        <w:jc w:val="left"/>
      </w:pPr>
      <w:bookmarkStart w:id="31" w:name="bookmark31"/>
      <w:bookmarkStart w:id="32" w:name="bookmark32"/>
      <w:bookmarkStart w:id="33" w:name="bookmark33"/>
      <w:r>
        <w:rPr>
          <w:rFonts w:ascii="Times New Roman" w:eastAsia="Times New Roman" w:hAnsi="Times New Roman" w:cs="Times New Roman"/>
          <w:color w:val="000000"/>
          <w:spacing w:val="0"/>
          <w:w w:val="100"/>
          <w:position w:val="0"/>
        </w:rPr>
        <w:t>3.1.1</w:t>
      </w:r>
      <w:r>
        <w:rPr>
          <w:color w:val="000000"/>
          <w:spacing w:val="0"/>
          <w:w w:val="100"/>
          <w:position w:val="0"/>
        </w:rPr>
        <w:t>野外作业准备</w:t>
      </w:r>
      <w:bookmarkEnd w:id="31"/>
      <w:bookmarkEnd w:id="32"/>
      <w:bookmarkEnd w:id="33"/>
    </w:p>
    <w:p>
      <w:pPr>
        <w:pStyle w:val="a5"/>
        <w:keepNext w:val="0"/>
        <w:keepLines w:val="0"/>
        <w:widowControl w:val="0"/>
        <w:shd w:val="clear" w:color="auto" w:fill="auto"/>
        <w:tabs>
          <w:tab w:val="left" w:pos="1606"/>
        </w:tabs>
        <w:bidi w:val="0"/>
        <w:spacing w:before="0" w:after="200" w:line="586" w:lineRule="exact"/>
        <w:ind w:left="0" w:right="0" w:firstLine="720"/>
        <w:jc w:val="both"/>
      </w:pPr>
      <w:bookmarkStart w:id="34" w:name="bookmark34"/>
      <w:r>
        <w:rPr>
          <w:color w:val="000000"/>
          <w:spacing w:val="0"/>
          <w:w w:val="100"/>
          <w:position w:val="0"/>
        </w:rPr>
        <w:t>（</w:t>
      </w:r>
      <w:bookmarkEnd w:id="34"/>
      <w:r>
        <w:rPr>
          <w:b/>
          <w:bCs/>
          <w:color w:val="000000"/>
          <w:spacing w:val="0"/>
          <w:w w:val="100"/>
          <w:position w:val="0"/>
        </w:rPr>
        <w:t>1</w:t>
      </w:r>
      <w:r>
        <w:rPr>
          <w:color w:val="000000"/>
          <w:spacing w:val="0"/>
          <w:w w:val="100"/>
          <w:position w:val="0"/>
        </w:rPr>
        <w:t>）</w:t>
        <w:tab/>
        <w:t>野外记录本记录数据要完整，还可通过采样前尽可能全的填写采样单作为 补充或准备（详细记录见取样表和相关野外调查卡片要求）。</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35" w:name="bookmark35"/>
      <w:r>
        <w:rPr>
          <w:color w:val="000000"/>
          <w:spacing w:val="0"/>
          <w:w w:val="100"/>
          <w:position w:val="0"/>
        </w:rPr>
        <w:t>（</w:t>
      </w:r>
      <w:bookmarkEnd w:id="35"/>
      <w:r>
        <w:rPr>
          <w:b/>
          <w:bCs/>
          <w:color w:val="000000"/>
          <w:spacing w:val="0"/>
          <w:w w:val="100"/>
          <w:position w:val="0"/>
        </w:rPr>
        <w:t>2</w:t>
      </w:r>
      <w:r>
        <w:rPr>
          <w:color w:val="000000"/>
          <w:spacing w:val="0"/>
          <w:w w:val="100"/>
          <w:position w:val="0"/>
        </w:rPr>
        <w:t>）</w:t>
        <w:tab/>
        <w:t>利用</w:t>
      </w:r>
      <w:r>
        <w:rPr>
          <w:b/>
          <w:bCs/>
          <w:color w:val="000000"/>
          <w:spacing w:val="0"/>
          <w:w w:val="100"/>
          <w:position w:val="0"/>
        </w:rPr>
        <w:t>GPS</w:t>
      </w:r>
      <w:r>
        <w:rPr>
          <w:color w:val="000000"/>
          <w:spacing w:val="0"/>
          <w:w w:val="100"/>
          <w:position w:val="0"/>
        </w:rPr>
        <w:t>系统、地图、航片等确定取样点的地理坐标。</w:t>
      </w:r>
    </w:p>
    <w:p>
      <w:pPr>
        <w:pStyle w:val="a5"/>
        <w:keepNext w:val="0"/>
        <w:keepLines w:val="0"/>
        <w:widowControl w:val="0"/>
        <w:shd w:val="clear" w:color="auto" w:fill="auto"/>
        <w:tabs>
          <w:tab w:val="left" w:pos="1602"/>
        </w:tabs>
        <w:bidi w:val="0"/>
        <w:spacing w:before="0" w:after="200" w:line="595" w:lineRule="exact"/>
        <w:ind w:left="0" w:right="0" w:firstLine="720"/>
        <w:jc w:val="both"/>
      </w:pPr>
      <w:bookmarkStart w:id="36" w:name="bookmark36"/>
      <w:r>
        <w:rPr>
          <w:color w:val="000000"/>
          <w:spacing w:val="0"/>
          <w:w w:val="100"/>
          <w:position w:val="0"/>
        </w:rPr>
        <w:t>（</w:t>
      </w:r>
      <w:bookmarkEnd w:id="36"/>
      <w:r>
        <w:rPr>
          <w:b/>
          <w:bCs/>
          <w:color w:val="000000"/>
          <w:spacing w:val="0"/>
          <w:w w:val="100"/>
          <w:position w:val="0"/>
        </w:rPr>
        <w:t>3</w:t>
      </w:r>
      <w:r>
        <w:rPr>
          <w:color w:val="000000"/>
          <w:spacing w:val="0"/>
          <w:w w:val="100"/>
          <w:position w:val="0"/>
        </w:rPr>
        <w:t>）</w:t>
        <w:tab/>
        <w:t>测定潜水位</w:t>
      </w:r>
      <w:r>
        <w:rPr>
          <w:b/>
          <w:bCs/>
          <w:color w:val="000000"/>
          <w:spacing w:val="0"/>
          <w:w w:val="100"/>
          <w:position w:val="0"/>
        </w:rPr>
        <w:t>（</w:t>
      </w:r>
      <w:r>
        <w:rPr>
          <w:color w:val="000000"/>
          <w:spacing w:val="0"/>
          <w:w w:val="100"/>
          <w:position w:val="0"/>
        </w:rPr>
        <w:t>地下水</w:t>
      </w:r>
      <w:r>
        <w:rPr>
          <w:b/>
          <w:bCs/>
          <w:color w:val="000000"/>
          <w:spacing w:val="0"/>
          <w:w w:val="100"/>
          <w:position w:val="0"/>
        </w:rPr>
        <w:t>）</w:t>
      </w:r>
      <w:r>
        <w:rPr>
          <w:color w:val="000000"/>
          <w:spacing w:val="0"/>
          <w:w w:val="100"/>
          <w:position w:val="0"/>
        </w:rPr>
        <w:t>埋深、采样深度</w:t>
      </w:r>
      <w:r>
        <w:rPr>
          <w:b/>
          <w:bCs/>
          <w:color w:val="000000"/>
          <w:spacing w:val="0"/>
          <w:w w:val="100"/>
          <w:position w:val="0"/>
        </w:rPr>
        <w:t>（</w:t>
      </w:r>
      <w:r>
        <w:rPr>
          <w:color w:val="000000"/>
          <w:spacing w:val="0"/>
          <w:w w:val="100"/>
          <w:position w:val="0"/>
        </w:rPr>
        <w:t>地下水或地表水的水下深度</w:t>
      </w:r>
      <w:r>
        <w:rPr>
          <w:b/>
          <w:bCs/>
          <w:color w:val="000000"/>
          <w:spacing w:val="0"/>
          <w:w w:val="100"/>
          <w:position w:val="0"/>
        </w:rPr>
        <w:t>）</w:t>
      </w:r>
      <w:r>
        <w:rPr>
          <w:color w:val="000000"/>
          <w:spacing w:val="0"/>
          <w:w w:val="100"/>
          <w:position w:val="0"/>
        </w:rPr>
        <w:t>、采样井 泉条件、雨量计条件、地表水排泄水位条件、气象条件等。</w:t>
      </w:r>
    </w:p>
    <w:p>
      <w:pPr>
        <w:pStyle w:val="a5"/>
        <w:keepNext w:val="0"/>
        <w:keepLines w:val="0"/>
        <w:widowControl w:val="0"/>
        <w:shd w:val="clear" w:color="auto" w:fill="auto"/>
        <w:tabs>
          <w:tab w:val="left" w:pos="1606"/>
        </w:tabs>
        <w:bidi w:val="0"/>
        <w:spacing w:before="0" w:after="200" w:line="614" w:lineRule="exact"/>
        <w:ind w:left="0" w:right="0" w:firstLine="720"/>
        <w:jc w:val="both"/>
      </w:pPr>
      <w:bookmarkStart w:id="37" w:name="bookmark37"/>
      <w:r>
        <w:rPr>
          <w:color w:val="000000"/>
          <w:spacing w:val="0"/>
          <w:w w:val="100"/>
          <w:position w:val="0"/>
        </w:rPr>
        <w:t>（</w:t>
      </w:r>
      <w:bookmarkEnd w:id="37"/>
      <w:r>
        <w:rPr>
          <w:b/>
          <w:bCs/>
          <w:color w:val="000000"/>
          <w:spacing w:val="0"/>
          <w:w w:val="100"/>
          <w:position w:val="0"/>
        </w:rPr>
        <w:t>4</w:t>
      </w:r>
      <w:r>
        <w:rPr>
          <w:color w:val="000000"/>
          <w:spacing w:val="0"/>
          <w:w w:val="100"/>
          <w:position w:val="0"/>
        </w:rPr>
        <w:t>）</w:t>
        <w:tab/>
        <w:t>记录相关物理化学指标</w:t>
      </w:r>
      <w:r>
        <w:rPr>
          <w:b/>
          <w:bCs/>
          <w:color w:val="000000"/>
          <w:spacing w:val="0"/>
          <w:w w:val="100"/>
          <w:position w:val="0"/>
        </w:rPr>
        <w:t>（</w:t>
      </w:r>
      <w:r>
        <w:rPr>
          <w:color w:val="000000"/>
          <w:spacing w:val="0"/>
          <w:w w:val="100"/>
          <w:position w:val="0"/>
        </w:rPr>
        <w:t>水温、</w:t>
      </w:r>
      <w:r>
        <w:rPr>
          <w:b/>
          <w:bCs/>
          <w:color w:val="000000"/>
          <w:spacing w:val="0"/>
          <w:w w:val="100"/>
          <w:position w:val="0"/>
        </w:rPr>
        <w:t>pH</w:t>
      </w:r>
      <w:r>
        <w:rPr>
          <w:color w:val="000000"/>
          <w:spacing w:val="0"/>
          <w:w w:val="100"/>
          <w:position w:val="0"/>
        </w:rPr>
        <w:t>值、导水系数、</w:t>
      </w:r>
      <w:r>
        <w:rPr>
          <w:b/>
          <w:bCs/>
          <w:color w:val="000000"/>
          <w:spacing w:val="0"/>
          <w:w w:val="100"/>
          <w:position w:val="0"/>
        </w:rPr>
        <w:t>Eh</w:t>
      </w:r>
      <w:r>
        <w:rPr>
          <w:color w:val="000000"/>
          <w:spacing w:val="0"/>
          <w:w w:val="100"/>
          <w:position w:val="0"/>
        </w:rPr>
        <w:t>值、碱度、现场化学 特征等</w:t>
      </w:r>
      <w:r>
        <w:rPr>
          <w:b/>
          <w:bCs/>
          <w:color w:val="000000"/>
          <w:spacing w:val="0"/>
          <w:w w:val="100"/>
          <w:position w:val="0"/>
        </w:rPr>
        <w:t>）</w:t>
      </w:r>
      <w:r>
        <w:rPr>
          <w:color w:val="000000"/>
          <w:spacing w:val="0"/>
          <w:w w:val="100"/>
          <w:position w:val="0"/>
        </w:rPr>
        <w:t>有助于同位素分析资料的解译。</w:t>
      </w:r>
    </w:p>
    <w:p>
      <w:pPr>
        <w:pStyle w:val="a5"/>
        <w:keepNext w:val="0"/>
        <w:keepLines w:val="0"/>
        <w:widowControl w:val="0"/>
        <w:shd w:val="clear" w:color="auto" w:fill="auto"/>
        <w:tabs>
          <w:tab w:val="left" w:pos="1606"/>
        </w:tabs>
        <w:bidi w:val="0"/>
        <w:spacing w:before="0" w:after="200" w:line="590" w:lineRule="exact"/>
        <w:ind w:left="0" w:right="0" w:firstLine="720"/>
        <w:jc w:val="both"/>
      </w:pPr>
      <w:bookmarkStart w:id="38" w:name="bookmark38"/>
      <w:r>
        <w:rPr>
          <w:color w:val="000000"/>
          <w:spacing w:val="0"/>
          <w:w w:val="100"/>
          <w:position w:val="0"/>
        </w:rPr>
        <w:t>（</w:t>
      </w:r>
      <w:bookmarkEnd w:id="38"/>
      <w:r>
        <w:rPr>
          <w:b/>
          <w:bCs/>
          <w:color w:val="000000"/>
          <w:spacing w:val="0"/>
          <w:w w:val="100"/>
          <w:position w:val="0"/>
        </w:rPr>
        <w:t>5</w:t>
      </w:r>
      <w:r>
        <w:rPr>
          <w:color w:val="000000"/>
          <w:spacing w:val="0"/>
          <w:w w:val="100"/>
          <w:position w:val="0"/>
        </w:rPr>
        <w:t>）</w:t>
        <w:tab/>
        <w:t>对于需长距离运输的样品，为了防止空运时水样结冰造成样瓶破裂，水样 装瓶至</w:t>
      </w:r>
      <w:r>
        <w:rPr>
          <w:b/>
          <w:bCs/>
          <w:color w:val="000000"/>
          <w:spacing w:val="0"/>
          <w:w w:val="100"/>
          <w:position w:val="0"/>
        </w:rPr>
        <w:t>2</w:t>
      </w:r>
      <w:r>
        <w:rPr>
          <w:color w:val="000000"/>
          <w:spacing w:val="0"/>
          <w:w w:val="100"/>
          <w:position w:val="0"/>
        </w:rPr>
        <w:t>/</w:t>
      </w:r>
      <w:r>
        <w:rPr>
          <w:b/>
          <w:bCs/>
          <w:color w:val="000000"/>
          <w:spacing w:val="0"/>
          <w:w w:val="100"/>
          <w:position w:val="0"/>
        </w:rPr>
        <w:t>3</w:t>
      </w:r>
      <w:r>
        <w:rPr>
          <w:color w:val="000000"/>
          <w:spacing w:val="0"/>
          <w:w w:val="100"/>
          <w:position w:val="0"/>
        </w:rPr>
        <w:t>为宜。不需要长途运输的样品一般要装满瓶。</w:t>
      </w:r>
    </w:p>
    <w:p>
      <w:pPr>
        <w:pStyle w:val="a5"/>
        <w:keepNext w:val="0"/>
        <w:keepLines w:val="0"/>
        <w:widowControl w:val="0"/>
        <w:shd w:val="clear" w:color="auto" w:fill="auto"/>
        <w:tabs>
          <w:tab w:val="left" w:pos="1539"/>
        </w:tabs>
        <w:bidi w:val="0"/>
        <w:spacing w:before="0" w:after="200" w:line="600" w:lineRule="exact"/>
        <w:ind w:left="0" w:right="0" w:firstLine="720"/>
        <w:jc w:val="both"/>
      </w:pPr>
      <w:bookmarkStart w:id="39" w:name="bookmark39"/>
      <w:r>
        <w:rPr>
          <w:color w:val="000000"/>
          <w:spacing w:val="0"/>
          <w:w w:val="100"/>
          <w:position w:val="0"/>
        </w:rPr>
        <w:t>（</w:t>
      </w:r>
      <w:bookmarkEnd w:id="39"/>
      <w:r>
        <w:rPr>
          <w:b/>
          <w:bCs/>
          <w:color w:val="000000"/>
          <w:spacing w:val="0"/>
          <w:w w:val="100"/>
          <w:position w:val="0"/>
        </w:rPr>
        <w:t>6</w:t>
      </w:r>
      <w:r>
        <w:rPr>
          <w:color w:val="000000"/>
          <w:spacing w:val="0"/>
          <w:w w:val="100"/>
          <w:position w:val="0"/>
        </w:rPr>
        <w:t>）</w:t>
        <w:tab/>
        <w:t>所有的水样必须贴上防水标签</w:t>
      </w:r>
      <w:r>
        <w:rPr>
          <w:b/>
          <w:bCs/>
          <w:color w:val="000000"/>
          <w:spacing w:val="0"/>
          <w:w w:val="100"/>
          <w:position w:val="0"/>
        </w:rPr>
        <w:t>（</w:t>
      </w:r>
      <w:r>
        <w:rPr>
          <w:color w:val="000000"/>
          <w:spacing w:val="0"/>
          <w:w w:val="100"/>
          <w:position w:val="0"/>
        </w:rPr>
        <w:t>项目代号</w:t>
      </w:r>
      <w:r>
        <w:rPr>
          <w:b/>
          <w:bCs/>
          <w:color w:val="000000"/>
          <w:spacing w:val="0"/>
          <w:w w:val="100"/>
          <w:position w:val="0"/>
        </w:rPr>
        <w:t>/</w:t>
      </w:r>
      <w:r>
        <w:rPr>
          <w:color w:val="000000"/>
          <w:spacing w:val="0"/>
          <w:w w:val="100"/>
          <w:position w:val="0"/>
        </w:rPr>
        <w:t>样品编号</w:t>
      </w:r>
      <w:r>
        <w:rPr>
          <w:b/>
          <w:bCs/>
          <w:color w:val="000000"/>
          <w:spacing w:val="0"/>
          <w:w w:val="100"/>
          <w:position w:val="0"/>
        </w:rPr>
        <w:t>/</w:t>
      </w:r>
      <w:r>
        <w:rPr>
          <w:color w:val="000000"/>
          <w:spacing w:val="0"/>
          <w:w w:val="100"/>
          <w:position w:val="0"/>
        </w:rPr>
        <w:t>日期</w:t>
      </w:r>
      <w:r>
        <w:rPr>
          <w:b/>
          <w:bCs/>
          <w:color w:val="000000"/>
          <w:spacing w:val="0"/>
          <w:w w:val="100"/>
          <w:position w:val="0"/>
        </w:rPr>
        <w:t>/</w:t>
      </w:r>
      <w:r>
        <w:rPr>
          <w:color w:val="000000"/>
          <w:spacing w:val="0"/>
          <w:w w:val="100"/>
          <w:position w:val="0"/>
        </w:rPr>
        <w:t>样号</w:t>
      </w:r>
      <w:r>
        <w:rPr>
          <w:b/>
          <w:bCs/>
          <w:color w:val="000000"/>
          <w:spacing w:val="0"/>
          <w:w w:val="100"/>
          <w:position w:val="0"/>
        </w:rPr>
        <w:t>/</w:t>
      </w:r>
      <w:r>
        <w:rPr>
          <w:color w:val="000000"/>
          <w:spacing w:val="0"/>
          <w:w w:val="100"/>
          <w:position w:val="0"/>
        </w:rPr>
        <w:t>取样人</w:t>
      </w:r>
      <w:r>
        <w:rPr>
          <w:b/>
          <w:bCs/>
          <w:color w:val="000000"/>
          <w:spacing w:val="0"/>
          <w:w w:val="100"/>
          <w:position w:val="0"/>
        </w:rPr>
        <w:t>/</w:t>
      </w:r>
      <w:r>
        <w:rPr>
          <w:color w:val="000000"/>
          <w:spacing w:val="0"/>
          <w:w w:val="100"/>
          <w:position w:val="0"/>
        </w:rPr>
        <w:t>分析项 目等</w:t>
      </w:r>
      <w:r>
        <w:rPr>
          <w:b/>
          <w:bCs/>
          <w:color w:val="000000"/>
          <w:spacing w:val="0"/>
          <w:w w:val="100"/>
          <w:position w:val="0"/>
        </w:rPr>
        <w:t>）</w:t>
      </w:r>
      <w:r>
        <w:rPr>
          <w:color w:val="000000"/>
          <w:spacing w:val="0"/>
          <w:w w:val="100"/>
          <w:position w:val="0"/>
        </w:rPr>
        <w:t>。并要求与野外记录相一致。</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40" w:name="bookmark40"/>
      <w:r>
        <w:rPr>
          <w:color w:val="000000"/>
          <w:spacing w:val="0"/>
          <w:w w:val="100"/>
          <w:position w:val="0"/>
        </w:rPr>
        <w:t>（</w:t>
      </w:r>
      <w:bookmarkEnd w:id="40"/>
      <w:r>
        <w:rPr>
          <w:b/>
          <w:bCs/>
          <w:color w:val="000000"/>
          <w:spacing w:val="0"/>
          <w:w w:val="100"/>
          <w:position w:val="0"/>
        </w:rPr>
        <w:t>7</w:t>
      </w:r>
      <w:r>
        <w:rPr>
          <w:color w:val="000000"/>
          <w:spacing w:val="0"/>
          <w:w w:val="100"/>
          <w:position w:val="0"/>
        </w:rPr>
        <w:t>）</w:t>
        <w:tab/>
        <w:t>取样瓶（桶），根据取样量和取样种类准备；</w:t>
      </w:r>
    </w:p>
    <w:p>
      <w:pPr>
        <w:pStyle w:val="a5"/>
        <w:keepNext w:val="0"/>
        <w:keepLines w:val="0"/>
        <w:widowControl w:val="0"/>
        <w:shd w:val="clear" w:color="auto" w:fill="auto"/>
        <w:tabs>
          <w:tab w:val="left" w:pos="1592"/>
        </w:tabs>
        <w:bidi w:val="0"/>
        <w:spacing w:before="0" w:after="200" w:line="590" w:lineRule="exact"/>
        <w:ind w:left="0" w:right="0" w:firstLine="720"/>
        <w:jc w:val="both"/>
      </w:pPr>
      <w:bookmarkStart w:id="41" w:name="bookmark41"/>
      <w:r>
        <w:rPr>
          <w:color w:val="000000"/>
          <w:spacing w:val="0"/>
          <w:w w:val="100"/>
          <w:position w:val="0"/>
        </w:rPr>
        <w:t>（</w:t>
      </w:r>
      <w:bookmarkEnd w:id="41"/>
      <w:r>
        <w:rPr>
          <w:b/>
          <w:bCs/>
          <w:color w:val="000000"/>
          <w:spacing w:val="0"/>
          <w:w w:val="100"/>
          <w:position w:val="0"/>
        </w:rPr>
        <w:t>8</w:t>
      </w:r>
      <w:r>
        <w:rPr>
          <w:color w:val="000000"/>
          <w:spacing w:val="0"/>
          <w:w w:val="100"/>
          <w:position w:val="0"/>
        </w:rPr>
        <w:t>）</w:t>
        <w:tab/>
        <w:t>相关药品（要按具体要求采购质量可靠的药品），在国内建议用上海、天津 等大型国企制药厂的产品，且应注意供货渠道要可靠性。</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42" w:name="bookmark42"/>
      <w:r>
        <w:rPr>
          <w:color w:val="000000"/>
          <w:spacing w:val="0"/>
          <w:w w:val="100"/>
          <w:position w:val="0"/>
        </w:rPr>
        <w:t>（</w:t>
      </w:r>
      <w:bookmarkEnd w:id="42"/>
      <w:r>
        <w:rPr>
          <w:b/>
          <w:bCs/>
          <w:color w:val="000000"/>
          <w:spacing w:val="0"/>
          <w:w w:val="100"/>
          <w:position w:val="0"/>
        </w:rPr>
        <w:t>9</w:t>
      </w:r>
      <w:r>
        <w:rPr>
          <w:color w:val="000000"/>
          <w:spacing w:val="0"/>
          <w:w w:val="100"/>
          <w:position w:val="0"/>
        </w:rPr>
        <w:t>）</w:t>
        <w:tab/>
        <w:t>现场分析用小型玻璃器皿等；</w:t>
      </w:r>
    </w:p>
    <w:p>
      <w:pPr>
        <w:pStyle w:val="a5"/>
        <w:keepNext w:val="0"/>
        <w:keepLines w:val="0"/>
        <w:widowControl w:val="0"/>
        <w:shd w:val="clear" w:color="auto" w:fill="auto"/>
        <w:tabs>
          <w:tab w:val="left" w:pos="1587"/>
        </w:tabs>
        <w:bidi w:val="0"/>
        <w:spacing w:before="0" w:after="320" w:line="590" w:lineRule="exact"/>
        <w:ind w:left="0" w:right="0" w:firstLine="720"/>
        <w:jc w:val="both"/>
      </w:pPr>
      <w:bookmarkStart w:id="43" w:name="bookmark43"/>
      <w:r>
        <w:rPr>
          <w:color w:val="000000"/>
          <w:spacing w:val="0"/>
          <w:w w:val="100"/>
          <w:position w:val="0"/>
        </w:rPr>
        <w:t>（</w:t>
      </w:r>
      <w:bookmarkEnd w:id="43"/>
      <w:r>
        <w:rPr>
          <w:b/>
          <w:bCs/>
          <w:color w:val="000000"/>
          <w:spacing w:val="0"/>
          <w:w w:val="100"/>
          <w:position w:val="0"/>
        </w:rPr>
        <w:t>10</w:t>
      </w:r>
      <w:r>
        <w:rPr>
          <w:color w:val="000000"/>
          <w:spacing w:val="0"/>
          <w:w w:val="100"/>
          <w:position w:val="0"/>
        </w:rPr>
        <w:t>）</w:t>
        <w:tab/>
        <w:t>照相机（记录取样点和取样过程）；</w:t>
      </w:r>
    </w:p>
    <w:p>
      <w:pPr>
        <w:pStyle w:val="31"/>
        <w:keepNext/>
        <w:keepLines/>
        <w:widowControl w:val="0"/>
        <w:shd w:val="clear" w:color="auto" w:fill="auto"/>
        <w:bidi w:val="0"/>
        <w:spacing w:before="0" w:line="240" w:lineRule="auto"/>
        <w:ind w:left="0" w:right="0"/>
        <w:jc w:val="left"/>
      </w:pPr>
      <w:bookmarkStart w:id="44" w:name="bookmark44"/>
      <w:bookmarkStart w:id="45" w:name="bookmark45"/>
      <w:bookmarkStart w:id="46" w:name="bookmark46"/>
      <w:r>
        <w:rPr>
          <w:rFonts w:ascii="Times New Roman" w:eastAsia="Times New Roman" w:hAnsi="Times New Roman" w:cs="Times New Roman"/>
          <w:color w:val="000000"/>
          <w:spacing w:val="0"/>
          <w:w w:val="100"/>
          <w:position w:val="0"/>
        </w:rPr>
        <w:t>3.1.2</w:t>
      </w:r>
      <w:r>
        <w:rPr>
          <w:color w:val="000000"/>
          <w:spacing w:val="0"/>
          <w:w w:val="100"/>
          <w:position w:val="0"/>
        </w:rPr>
        <w:t>取样瓶要求</w:t>
      </w:r>
      <w:bookmarkEnd w:id="44"/>
      <w:bookmarkEnd w:id="45"/>
      <w:bookmarkEnd w:id="46"/>
    </w:p>
    <w:p>
      <w:pPr>
        <w:pStyle w:val="a5"/>
        <w:keepNext w:val="0"/>
        <w:keepLines w:val="0"/>
        <w:widowControl w:val="0"/>
        <w:shd w:val="clear" w:color="auto" w:fill="auto"/>
        <w:bidi w:val="0"/>
        <w:spacing w:before="0" w:after="200" w:line="583" w:lineRule="exact"/>
        <w:ind w:left="0" w:right="0" w:firstLine="720"/>
        <w:jc w:val="both"/>
      </w:pPr>
      <w:r>
        <w:rPr>
          <w:color w:val="000000"/>
          <w:spacing w:val="0"/>
          <w:w w:val="100"/>
          <w:position w:val="0"/>
        </w:rPr>
        <w:t>水样品的采集、运输、保存过程中使用适当的水样瓶</w:t>
      </w:r>
      <w:r>
        <w:rPr>
          <w:b/>
          <w:bCs/>
          <w:color w:val="000000"/>
          <w:spacing w:val="0"/>
          <w:w w:val="100"/>
          <w:position w:val="0"/>
        </w:rPr>
        <w:t>（</w:t>
      </w:r>
      <w:r>
        <w:rPr>
          <w:color w:val="000000"/>
          <w:spacing w:val="0"/>
          <w:w w:val="100"/>
          <w:position w:val="0"/>
        </w:rPr>
        <w:t>桶</w:t>
      </w:r>
      <w:r>
        <w:rPr>
          <w:b/>
          <w:bCs/>
          <w:color w:val="000000"/>
          <w:spacing w:val="0"/>
          <w:w w:val="100"/>
          <w:position w:val="0"/>
        </w:rPr>
        <w:t>）</w:t>
      </w:r>
      <w:r>
        <w:rPr>
          <w:color w:val="000000"/>
          <w:spacing w:val="0"/>
          <w:w w:val="100"/>
          <w:position w:val="0"/>
        </w:rPr>
        <w:t>很关键。水样瓶和它的 封口必须选用适当的材料并设计成能阻止水分蒸发和扩散的样式，以避免蒸发和扩散 损失。</w:t>
      </w:r>
    </w:p>
    <w:p>
      <w:pPr>
        <w:pStyle w:val="a5"/>
        <w:keepNext w:val="0"/>
        <w:keepLines w:val="0"/>
        <w:widowControl w:val="0"/>
        <w:shd w:val="clear" w:color="auto" w:fill="auto"/>
        <w:tabs>
          <w:tab w:val="left" w:pos="1582"/>
        </w:tabs>
        <w:bidi w:val="0"/>
        <w:spacing w:before="0" w:after="200" w:line="566" w:lineRule="exact"/>
        <w:ind w:left="0" w:right="0" w:firstLine="720"/>
        <w:jc w:val="both"/>
      </w:pPr>
      <w:bookmarkStart w:id="47" w:name="bookmark47"/>
      <w:r>
        <w:rPr>
          <w:color w:val="000000"/>
          <w:spacing w:val="0"/>
          <w:w w:val="100"/>
          <w:position w:val="0"/>
        </w:rPr>
        <w:t>（</w:t>
      </w:r>
      <w:bookmarkEnd w:id="47"/>
      <w:r>
        <w:rPr>
          <w:b/>
          <w:bCs/>
          <w:color w:val="000000"/>
          <w:spacing w:val="0"/>
          <w:w w:val="100"/>
          <w:position w:val="0"/>
        </w:rPr>
        <w:t>1</w:t>
      </w:r>
      <w:r>
        <w:rPr>
          <w:color w:val="000000"/>
          <w:spacing w:val="0"/>
          <w:w w:val="100"/>
          <w:position w:val="0"/>
        </w:rPr>
        <w:t>）</w:t>
        <w:tab/>
        <w:t xml:space="preserve">玻璃瓶是最好的保存器皿，只要它的瓶塞不影响其安全性能，至少可保存 </w:t>
      </w:r>
      <w:r>
        <w:rPr>
          <w:b/>
          <w:bCs/>
          <w:color w:val="000000"/>
          <w:spacing w:val="0"/>
          <w:w w:val="100"/>
          <w:position w:val="0"/>
        </w:rPr>
        <w:t>10</w:t>
      </w:r>
      <w:r>
        <w:rPr>
          <w:color w:val="000000"/>
          <w:spacing w:val="0"/>
          <w:w w:val="100"/>
          <w:position w:val="0"/>
        </w:rPr>
        <w:t>年。</w:t>
      </w:r>
    </w:p>
    <w:p>
      <w:pPr>
        <w:pStyle w:val="a5"/>
        <w:keepNext w:val="0"/>
        <w:keepLines w:val="0"/>
        <w:widowControl w:val="0"/>
        <w:shd w:val="clear" w:color="auto" w:fill="auto"/>
        <w:tabs>
          <w:tab w:val="left" w:pos="1421"/>
        </w:tabs>
        <w:bidi w:val="0"/>
        <w:spacing w:before="0" w:after="200" w:line="590" w:lineRule="exact"/>
        <w:ind w:left="0" w:right="0" w:firstLine="720"/>
        <w:jc w:val="left"/>
      </w:pPr>
      <w:bookmarkStart w:id="48" w:name="bookmark48"/>
      <w:r>
        <w:rPr>
          <w:color w:val="000000"/>
          <w:spacing w:val="0"/>
          <w:w w:val="100"/>
          <w:position w:val="0"/>
        </w:rPr>
        <w:t>（</w:t>
      </w:r>
      <w:bookmarkEnd w:id="48"/>
      <w:r>
        <w:rPr>
          <w:b/>
          <w:bCs/>
          <w:color w:val="000000"/>
          <w:spacing w:val="0"/>
          <w:w w:val="100"/>
          <w:position w:val="0"/>
        </w:rPr>
        <w:t>2</w:t>
      </w:r>
      <w:r>
        <w:rPr>
          <w:color w:val="000000"/>
          <w:spacing w:val="0"/>
          <w:w w:val="100"/>
          <w:position w:val="0"/>
        </w:rPr>
        <w:t>）</w:t>
        <w:tab/>
        <w:t xml:space="preserve">用高密度聚乙烯瓶采集6 </w:t>
      </w:r>
      <w:r>
        <w:rPr>
          <w:rFonts w:ascii="Times New Roman" w:eastAsia="Times New Roman" w:hAnsi="Times New Roman" w:cs="Times New Roman"/>
          <w:color w:val="000000"/>
          <w:spacing w:val="0"/>
          <w:w w:val="100"/>
          <w:position w:val="0"/>
          <w:sz w:val="22"/>
          <w:szCs w:val="22"/>
        </w:rPr>
        <w:t>2</w:t>
      </w:r>
      <w:r>
        <w:rPr>
          <w:b/>
          <w:bCs/>
          <w:color w:val="000000"/>
          <w:spacing w:val="0"/>
          <w:w w:val="100"/>
          <w:position w:val="0"/>
        </w:rPr>
        <w:t>H</w:t>
      </w:r>
      <w:r>
        <w:rPr>
          <w:color w:val="000000"/>
          <w:spacing w:val="0"/>
          <w:w w:val="100"/>
          <w:position w:val="0"/>
        </w:rPr>
        <w:t>和</w:t>
      </w:r>
      <w:r>
        <w:rPr>
          <w:color w:val="000000"/>
          <w:spacing w:val="0"/>
          <w:w w:val="100"/>
          <w:position w:val="0"/>
          <w:sz w:val="32"/>
          <w:szCs w:val="32"/>
        </w:rPr>
        <w:t>（</w:t>
      </w:r>
      <w:r>
        <w:rPr>
          <w:color w:val="000000"/>
          <w:spacing w:val="0"/>
          <w:w w:val="100"/>
          <w:position w:val="0"/>
        </w:rPr>
        <w:t xml:space="preserve">6 </w:t>
      </w:r>
      <w:r>
        <w:rPr>
          <w:rFonts w:ascii="Times New Roman" w:eastAsia="Times New Roman" w:hAnsi="Times New Roman" w:cs="Times New Roman"/>
          <w:color w:val="000000"/>
          <w:spacing w:val="0"/>
          <w:w w:val="100"/>
          <w:position w:val="0"/>
          <w:sz w:val="22"/>
          <w:szCs w:val="22"/>
        </w:rPr>
        <w:t>18</w:t>
      </w:r>
      <w:r>
        <w:rPr>
          <w:color w:val="000000"/>
          <w:spacing w:val="0"/>
          <w:w w:val="100"/>
          <w:position w:val="0"/>
          <w:sz w:val="32"/>
          <w:szCs w:val="32"/>
        </w:rPr>
        <w:t>。）</w:t>
      </w:r>
      <w:r>
        <w:rPr>
          <w:color w:val="000000"/>
          <w:spacing w:val="0"/>
          <w:w w:val="100"/>
          <w:position w:val="0"/>
        </w:rPr>
        <w:t>测定水样，可保存数月时间。</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49" w:name="bookmark49"/>
      <w:r>
        <w:rPr>
          <w:color w:val="000000"/>
          <w:spacing w:val="0"/>
          <w:w w:val="100"/>
          <w:position w:val="0"/>
        </w:rPr>
        <w:t>（</w:t>
      </w:r>
      <w:bookmarkEnd w:id="49"/>
      <w:r>
        <w:rPr>
          <w:b/>
          <w:bCs/>
          <w:color w:val="000000"/>
          <w:spacing w:val="0"/>
          <w:w w:val="100"/>
          <w:position w:val="0"/>
        </w:rPr>
        <w:t>3</w:t>
      </w:r>
      <w:r>
        <w:rPr>
          <w:color w:val="000000"/>
          <w:spacing w:val="0"/>
          <w:w w:val="100"/>
          <w:position w:val="0"/>
        </w:rPr>
        <w:t>）</w:t>
        <w:tab/>
        <w:t>小口瓶最为理想。</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50" w:name="bookmark50"/>
      <w:r>
        <w:rPr>
          <w:color w:val="000000"/>
          <w:spacing w:val="0"/>
          <w:w w:val="100"/>
          <w:position w:val="0"/>
        </w:rPr>
        <w:t>（</w:t>
      </w:r>
      <w:bookmarkEnd w:id="50"/>
      <w:r>
        <w:rPr>
          <w:b/>
          <w:bCs/>
          <w:color w:val="000000"/>
          <w:spacing w:val="0"/>
          <w:w w:val="100"/>
          <w:position w:val="0"/>
        </w:rPr>
        <w:t>4</w:t>
      </w:r>
      <w:r>
        <w:rPr>
          <w:color w:val="000000"/>
          <w:spacing w:val="0"/>
          <w:w w:val="100"/>
          <w:position w:val="0"/>
        </w:rPr>
        <w:t>）</w:t>
        <w:tab/>
        <w:t>要求利用带密封装置</w:t>
      </w:r>
      <w:r>
        <w:rPr>
          <w:b/>
          <w:bCs/>
          <w:color w:val="000000"/>
          <w:spacing w:val="0"/>
          <w:w w:val="100"/>
          <w:position w:val="0"/>
        </w:rPr>
        <w:t>（</w:t>
      </w:r>
      <w:r>
        <w:rPr>
          <w:color w:val="000000"/>
          <w:spacing w:val="0"/>
          <w:w w:val="100"/>
          <w:position w:val="0"/>
        </w:rPr>
        <w:t>塑料瓶塞，橡胶塞等</w:t>
      </w:r>
      <w:r>
        <w:rPr>
          <w:b/>
          <w:bCs/>
          <w:color w:val="000000"/>
          <w:spacing w:val="0"/>
          <w:w w:val="100"/>
          <w:position w:val="0"/>
        </w:rPr>
        <w:t>）</w:t>
      </w:r>
      <w:r>
        <w:rPr>
          <w:color w:val="000000"/>
          <w:spacing w:val="0"/>
          <w:w w:val="100"/>
          <w:position w:val="0"/>
        </w:rPr>
        <w:t>的取样瓶。</w:t>
      </w:r>
    </w:p>
    <w:p>
      <w:pPr>
        <w:pStyle w:val="a5"/>
        <w:keepNext w:val="0"/>
        <w:keepLines w:val="0"/>
        <w:widowControl w:val="0"/>
        <w:shd w:val="clear" w:color="auto" w:fill="auto"/>
        <w:tabs>
          <w:tab w:val="left" w:pos="1421"/>
        </w:tabs>
        <w:bidi w:val="0"/>
        <w:spacing w:before="0" w:after="200" w:line="590" w:lineRule="exact"/>
        <w:ind w:left="0" w:right="0" w:firstLine="720"/>
        <w:jc w:val="both"/>
      </w:pPr>
      <w:bookmarkStart w:id="51" w:name="bookmark51"/>
      <w:r>
        <w:rPr>
          <w:color w:val="000000"/>
          <w:spacing w:val="0"/>
          <w:w w:val="100"/>
          <w:position w:val="0"/>
        </w:rPr>
        <w:t>（</w:t>
      </w:r>
      <w:bookmarkEnd w:id="51"/>
      <w:r>
        <w:rPr>
          <w:b/>
          <w:bCs/>
          <w:color w:val="000000"/>
          <w:spacing w:val="0"/>
          <w:w w:val="100"/>
          <w:position w:val="0"/>
        </w:rPr>
        <w:t>5</w:t>
      </w:r>
      <w:r>
        <w:rPr>
          <w:color w:val="000000"/>
          <w:spacing w:val="0"/>
          <w:w w:val="100"/>
          <w:position w:val="0"/>
        </w:rPr>
        <w:t>）</w:t>
        <w:tab/>
        <w:t>新样瓶需要通过注水和称量的方法进行长达数月的水量损失测试，质量可</w:t>
      </w:r>
    </w:p>
    <w:p>
      <w:pPr>
        <w:pStyle w:val="a5"/>
        <w:keepNext w:val="0"/>
        <w:keepLines w:val="0"/>
        <w:widowControl w:val="0"/>
        <w:pBdr>
          <w:top w:val="single" w:sz="4" w:space="0" w:color="auto"/>
        </w:pBdr>
        <w:shd w:val="clear" w:color="auto" w:fill="auto"/>
        <w:bidi w:val="0"/>
        <w:spacing w:before="0" w:line="240" w:lineRule="auto"/>
        <w:ind w:left="0" w:right="0" w:firstLine="0"/>
        <w:jc w:val="left"/>
      </w:pPr>
      <w:r>
        <w:rPr>
          <w:color w:val="000000"/>
          <w:spacing w:val="0"/>
          <w:w w:val="100"/>
          <w:position w:val="0"/>
        </w:rPr>
        <w:t>靠，才可利用。</w:t>
      </w:r>
    </w:p>
    <w:p>
      <w:pPr>
        <w:pStyle w:val="a5"/>
        <w:keepNext w:val="0"/>
        <w:keepLines w:val="0"/>
        <w:widowControl w:val="0"/>
        <w:shd w:val="clear" w:color="auto" w:fill="auto"/>
        <w:bidi w:val="0"/>
        <w:spacing w:before="0" w:after="740" w:line="585" w:lineRule="exact"/>
        <w:ind w:left="0" w:right="0" w:firstLine="720"/>
        <w:jc w:val="left"/>
        <w:sectPr>
          <w:type w:val="nextPage"/>
          <w:pgSz w:w="17861" w:h="25258"/>
          <w:pgMar w:top="1674" w:right="1867" w:bottom="2321" w:left="2040" w:header="0" w:footer="3" w:gutter="0"/>
          <w:pgNumType w:start="8"/>
          <w:cols w:space="720"/>
          <w:noEndnote/>
          <w:titlePg w:val="0"/>
          <w:rtlGutter w:val="0"/>
          <w:docGrid w:linePitch="360"/>
        </w:sectPr>
      </w:pPr>
      <w:bookmarkStart w:id="52" w:name="bookmark52"/>
      <w:r>
        <w:rPr>
          <w:color w:val="000000"/>
          <w:spacing w:val="0"/>
          <w:w w:val="100"/>
          <w:position w:val="0"/>
        </w:rPr>
        <w:t>（</w:t>
      </w:r>
      <w:bookmarkEnd w:id="52"/>
      <w:r>
        <w:rPr>
          <w:b/>
          <w:bCs/>
          <w:color w:val="000000"/>
          <w:spacing w:val="0"/>
          <w:w w:val="100"/>
          <w:position w:val="0"/>
        </w:rPr>
        <w:t>6</w:t>
      </w:r>
      <w:r>
        <w:rPr>
          <w:color w:val="000000"/>
          <w:spacing w:val="0"/>
          <w:w w:val="100"/>
          <w:position w:val="0"/>
        </w:rPr>
        <w:t>）需要长时间保存的水样（超过数月），应采取相应密封保护措施。</w:t>
      </w:r>
    </w:p>
    <w:p>
      <w:pPr>
        <w:pStyle w:val="22"/>
        <w:keepNext w:val="0"/>
        <w:keepLines w:val="0"/>
        <w:widowControl w:val="0"/>
        <w:shd w:val="clear" w:color="auto" w:fill="auto"/>
        <w:bidi w:val="0"/>
        <w:spacing w:before="0" w:after="0" w:line="240" w:lineRule="auto"/>
        <w:ind w:left="0" w:right="0" w:firstLine="900"/>
        <w:jc w:val="left"/>
      </w:pPr>
      <w:r>
        <w:rPr>
          <w:b/>
          <w:bCs/>
          <w:color w:val="000000"/>
          <w:spacing w:val="0"/>
          <w:w w:val="100"/>
          <w:position w:val="0"/>
        </w:rPr>
        <w:t>..</w:t>
      </w:r>
      <w:r>
        <w:rPr>
          <w:b/>
          <w:bCs/>
          <w:color w:val="000000"/>
          <w:spacing w:val="0"/>
          <w:w w:val="100"/>
          <w:position w:val="0"/>
        </w:rPr>
        <w:t>不同水样采集技术要求</w:t>
      </w:r>
    </w:p>
    <w:p>
      <w:pPr>
        <w:pStyle w:val="a6"/>
        <w:keepNext w:val="0"/>
        <w:keepLines w:val="0"/>
        <w:widowControl w:val="0"/>
        <w:shd w:val="clear" w:color="auto" w:fill="auto"/>
        <w:bidi w:val="0"/>
        <w:spacing w:before="0" w:after="400" w:line="180" w:lineRule="auto"/>
        <w:ind w:left="0" w:right="0" w:firstLine="900"/>
        <w:jc w:val="left"/>
        <w:rPr>
          <w:sz w:val="20"/>
          <w:szCs w:val="20"/>
        </w:rPr>
      </w:pPr>
      <w:r>
        <w:rPr>
          <w:rFonts w:ascii="Times New Roman" w:eastAsia="Times New Roman" w:hAnsi="Times New Roman" w:cs="Times New Roman"/>
          <w:b/>
          <w:bCs/>
          <w:i/>
          <w:iCs/>
          <w:color w:val="000000"/>
          <w:spacing w:val="0"/>
          <w:w w:val="100"/>
          <w:position w:val="0"/>
          <w:sz w:val="20"/>
          <w:szCs w:val="20"/>
        </w:rPr>
        <w:t>3.2</w:t>
      </w:r>
    </w:p>
    <w:p>
      <w:pPr>
        <w:pStyle w:val="31"/>
        <w:keepNext/>
        <w:keepLines/>
        <w:widowControl w:val="0"/>
        <w:shd w:val="clear" w:color="auto" w:fill="auto"/>
        <w:bidi w:val="0"/>
        <w:spacing w:before="0" w:after="220" w:line="240" w:lineRule="auto"/>
        <w:ind w:left="0" w:right="0"/>
        <w:jc w:val="left"/>
      </w:pPr>
      <w:bookmarkStart w:id="53" w:name="bookmark53"/>
      <w:bookmarkStart w:id="54" w:name="bookmark54"/>
      <w:bookmarkStart w:id="55" w:name="bookmark55"/>
      <w:r>
        <w:rPr>
          <w:rFonts w:ascii="Times New Roman" w:eastAsia="Times New Roman" w:hAnsi="Times New Roman" w:cs="Times New Roman"/>
          <w:color w:val="000000"/>
          <w:spacing w:val="0"/>
          <w:w w:val="100"/>
          <w:position w:val="0"/>
        </w:rPr>
        <w:t>3.2.1</w:t>
      </w:r>
      <w:r>
        <w:rPr>
          <w:color w:val="000000"/>
          <w:spacing w:val="0"/>
          <w:w w:val="100"/>
          <w:position w:val="0"/>
        </w:rPr>
        <w:t>降水</w:t>
      </w:r>
      <w:r>
        <w:rPr>
          <w:rFonts w:ascii="Times New Roman" w:eastAsia="Times New Roman" w:hAnsi="Times New Roman" w:cs="Times New Roman"/>
          <w:color w:val="000000"/>
          <w:spacing w:val="0"/>
          <w:w w:val="100"/>
          <w:position w:val="0"/>
        </w:rPr>
        <w:t>（</w:t>
      </w:r>
      <w:r>
        <w:rPr>
          <w:color w:val="000000"/>
          <w:spacing w:val="0"/>
          <w:w w:val="100"/>
          <w:position w:val="0"/>
        </w:rPr>
        <w:t>雨和雪</w:t>
      </w:r>
      <w:r>
        <w:rPr>
          <w:rFonts w:ascii="Times New Roman" w:eastAsia="Times New Roman" w:hAnsi="Times New Roman" w:cs="Times New Roman"/>
          <w:color w:val="000000"/>
          <w:spacing w:val="0"/>
          <w:w w:val="100"/>
          <w:position w:val="0"/>
        </w:rPr>
        <w:t>）</w:t>
      </w:r>
      <w:r>
        <w:rPr>
          <w:color w:val="000000"/>
          <w:spacing w:val="0"/>
          <w:w w:val="100"/>
          <w:position w:val="0"/>
        </w:rPr>
        <w:t>样品的采集</w:t>
      </w:r>
      <w:bookmarkEnd w:id="53"/>
      <w:bookmarkEnd w:id="54"/>
      <w:bookmarkEnd w:id="55"/>
    </w:p>
    <w:p>
      <w:pPr>
        <w:pStyle w:val="a5"/>
        <w:keepNext w:val="0"/>
        <w:keepLines w:val="0"/>
        <w:widowControl w:val="0"/>
        <w:shd w:val="clear" w:color="auto" w:fill="auto"/>
        <w:bidi w:val="0"/>
        <w:spacing w:before="0" w:line="614" w:lineRule="exact"/>
        <w:ind w:left="0" w:right="0" w:firstLine="720"/>
        <w:jc w:val="both"/>
      </w:pPr>
      <w:r>
        <w:rPr>
          <w:color w:val="000000"/>
          <w:spacing w:val="0"/>
          <w:w w:val="100"/>
          <w:position w:val="0"/>
        </w:rPr>
        <w:t>降雨和降雪的取样方法通常遵照科学的取样程序来进行。例如，取样时间间隔可 能按天、星期、月来进行。在所有情况下，都需要记录下降水量以便于计算同位素成 分的月、年加权平均值。</w:t>
      </w:r>
    </w:p>
    <w:p>
      <w:pPr>
        <w:pStyle w:val="a5"/>
        <w:keepNext w:val="0"/>
        <w:keepLines w:val="0"/>
        <w:widowControl w:val="0"/>
        <w:shd w:val="clear" w:color="auto" w:fill="auto"/>
        <w:bidi w:val="0"/>
        <w:spacing w:before="0" w:line="586" w:lineRule="exact"/>
        <w:ind w:left="0" w:right="0" w:firstLine="720"/>
        <w:jc w:val="both"/>
      </w:pPr>
      <w:r>
        <w:rPr>
          <w:color w:val="000000"/>
          <w:spacing w:val="0"/>
          <w:w w:val="100"/>
          <w:position w:val="0"/>
        </w:rPr>
        <w:t>日常的降雨采样是能否获得最多信息和最少蒸发的关键。各样品可保存在不同的 样瓶中。当仅仅需要每月的平均成分时，每天的样品可以集中装在一个</w:t>
      </w:r>
      <w:r>
        <w:rPr>
          <w:b/>
          <w:bCs/>
          <w:color w:val="000000"/>
          <w:spacing w:val="0"/>
          <w:w w:val="100"/>
          <w:position w:val="0"/>
        </w:rPr>
        <w:t>5</w:t>
      </w:r>
      <w:r>
        <w:rPr>
          <w:color w:val="000000"/>
          <w:spacing w:val="0"/>
          <w:w w:val="100"/>
          <w:position w:val="0"/>
        </w:rPr>
        <w:t>升或更大的 存贮瓶（或桶）中。</w:t>
      </w:r>
    </w:p>
    <w:p>
      <w:pPr>
        <w:pStyle w:val="a5"/>
        <w:keepNext w:val="0"/>
        <w:keepLines w:val="0"/>
        <w:widowControl w:val="0"/>
        <w:shd w:val="clear" w:color="auto" w:fill="auto"/>
        <w:bidi w:val="0"/>
        <w:spacing w:before="0" w:line="582" w:lineRule="exact"/>
        <w:ind w:left="0" w:right="0" w:firstLine="720"/>
        <w:jc w:val="both"/>
      </w:pPr>
      <w:r>
        <w:rPr>
          <w:color w:val="000000"/>
          <w:spacing w:val="0"/>
          <w:w w:val="100"/>
          <w:position w:val="0"/>
        </w:rPr>
        <w:t>按周或月采集的水样，所取的标准体积的水有蒸发的可能；因此，同位素成分将 被改变。可用一定的预防措施来减小这种影响。包括雨量计的物理修正和在采样瓶底 部加少许矿物油</w:t>
      </w:r>
      <w:r>
        <w:rPr>
          <w:b/>
          <w:bCs/>
          <w:color w:val="000000"/>
          <w:spacing w:val="0"/>
          <w:w w:val="100"/>
          <w:position w:val="0"/>
        </w:rPr>
        <w:t>（</w:t>
      </w:r>
      <w:r>
        <w:rPr>
          <w:color w:val="000000"/>
          <w:spacing w:val="0"/>
          <w:w w:val="100"/>
          <w:position w:val="0"/>
        </w:rPr>
        <w:t>最少</w:t>
      </w:r>
      <w:r>
        <w:rPr>
          <w:b/>
          <w:bCs/>
          <w:color w:val="000000"/>
          <w:spacing w:val="0"/>
          <w:w w:val="100"/>
          <w:position w:val="0"/>
        </w:rPr>
        <w:t>2mm）</w:t>
      </w:r>
      <w:r>
        <w:rPr>
          <w:color w:val="000000"/>
          <w:spacing w:val="0"/>
          <w:w w:val="100"/>
          <w:position w:val="0"/>
        </w:rPr>
        <w:t>加以保护，这些油将浮在所采降水样的上部以减小蒸发。 并要求对所使用的方法进行定期检验。</w:t>
      </w:r>
    </w:p>
    <w:p>
      <w:pPr>
        <w:pStyle w:val="a5"/>
        <w:keepNext w:val="0"/>
        <w:keepLines w:val="0"/>
        <w:widowControl w:val="0"/>
        <w:shd w:val="clear" w:color="auto" w:fill="auto"/>
        <w:bidi w:val="0"/>
        <w:spacing w:before="0" w:after="340" w:line="585" w:lineRule="exact"/>
        <w:ind w:left="0" w:right="0" w:firstLine="720"/>
        <w:jc w:val="both"/>
      </w:pPr>
      <w:r>
        <w:rPr>
          <w:color w:val="000000"/>
          <w:spacing w:val="0"/>
          <w:w w:val="100"/>
          <w:position w:val="0"/>
        </w:rPr>
        <w:t>用雨量计采取雪样应特别注意。雪样应在降雪后最短时间内采集，升华、重结晶、 部分融化、降雨落在降雪上以及由风吹使降雪扰动都会改变降雪最初的同位素含量。 通常雪样是通过水浴加热采样器或加入一定数量的热水来融化的。这会导致水样的蒸 发或加热时水蒸气凝结到雪水中，从而改变同位素成分。在这种情况下该样品不能用 于同位素比值测试。可用的方法是把密封的采样器放在环境温度下让雪样慢慢融化。 将融化样装瓶密封用于分析。</w:t>
      </w:r>
    </w:p>
    <w:p>
      <w:pPr>
        <w:pStyle w:val="31"/>
        <w:keepNext/>
        <w:keepLines/>
        <w:widowControl w:val="0"/>
        <w:shd w:val="clear" w:color="auto" w:fill="auto"/>
        <w:bidi w:val="0"/>
        <w:spacing w:before="0" w:after="340" w:line="240" w:lineRule="auto"/>
        <w:ind w:left="0" w:right="0"/>
        <w:jc w:val="left"/>
      </w:pPr>
      <w:bookmarkStart w:id="56" w:name="bookmark56"/>
      <w:bookmarkStart w:id="57" w:name="bookmark57"/>
      <w:bookmarkStart w:id="58" w:name="bookmark58"/>
      <w:r>
        <w:rPr>
          <w:rFonts w:ascii="Times New Roman" w:eastAsia="Times New Roman" w:hAnsi="Times New Roman" w:cs="Times New Roman"/>
          <w:color w:val="000000"/>
          <w:spacing w:val="0"/>
          <w:w w:val="100"/>
          <w:position w:val="0"/>
        </w:rPr>
        <w:t>3.2.2</w:t>
      </w:r>
      <w:r>
        <w:rPr>
          <w:color w:val="000000"/>
          <w:spacing w:val="0"/>
          <w:w w:val="100"/>
          <w:position w:val="0"/>
        </w:rPr>
        <w:t>地表水样品的米集</w:t>
      </w:r>
      <w:bookmarkEnd w:id="56"/>
      <w:bookmarkEnd w:id="57"/>
      <w:bookmarkEnd w:id="58"/>
    </w:p>
    <w:p>
      <w:pPr>
        <w:pStyle w:val="a5"/>
        <w:keepNext w:val="0"/>
        <w:keepLines w:val="0"/>
        <w:widowControl w:val="0"/>
        <w:shd w:val="clear" w:color="auto" w:fill="auto"/>
        <w:bidi w:val="0"/>
        <w:spacing w:before="0" w:line="586" w:lineRule="exact"/>
        <w:ind w:left="0" w:right="0" w:firstLine="720"/>
        <w:jc w:val="both"/>
      </w:pPr>
      <w:r>
        <w:rPr>
          <w:color w:val="000000"/>
          <w:spacing w:val="0"/>
          <w:w w:val="100"/>
          <w:position w:val="0"/>
        </w:rPr>
        <w:t>一般来说，采集地表水样分析稳定同位素时，除去要注意蒸发和污染外， 若 取样设备和经费允许，湖水样应在近水面位置和深部同时采取，根据水体垂向上的结 构结合其它的物理和化学资料，便可解释其测试结果。</w:t>
      </w:r>
    </w:p>
    <w:p>
      <w:pPr>
        <w:pStyle w:val="a5"/>
        <w:keepNext w:val="0"/>
        <w:keepLines w:val="0"/>
        <w:widowControl w:val="0"/>
        <w:shd w:val="clear" w:color="auto" w:fill="auto"/>
        <w:bidi w:val="0"/>
        <w:spacing w:before="0" w:line="578" w:lineRule="exact"/>
        <w:ind w:left="0" w:right="0" w:firstLine="720"/>
        <w:jc w:val="both"/>
      </w:pPr>
      <w:r>
        <w:rPr>
          <w:color w:val="000000"/>
          <w:spacing w:val="0"/>
          <w:w w:val="100"/>
          <w:position w:val="0"/>
        </w:rPr>
        <w:t>河、溪水样应在河流中间或其流动部分中采集。没有与流动河水充分混合的水样 就可能受蒸发、污染等，而影响样品的代表性。因此应避免靠近岸边采滞留水样。水 库水样要尽可能在水库中心取样，有条件时要采集剖面样，分析随深度变化的同位素 组成。</w:t>
      </w:r>
    </w:p>
    <w:p>
      <w:pPr>
        <w:pStyle w:val="a5"/>
        <w:keepNext w:val="0"/>
        <w:keepLines w:val="0"/>
        <w:widowControl w:val="0"/>
        <w:shd w:val="clear" w:color="auto" w:fill="auto"/>
        <w:bidi w:val="0"/>
        <w:spacing w:before="0" w:line="581" w:lineRule="exact"/>
        <w:ind w:left="0" w:right="0" w:firstLine="720"/>
        <w:jc w:val="both"/>
      </w:pPr>
      <w:r>
        <w:rPr>
          <w:color w:val="000000"/>
          <w:spacing w:val="0"/>
          <w:w w:val="100"/>
          <w:position w:val="0"/>
        </w:rPr>
        <w:t>在河流交汇处取样应特别注意：两条河流的不完全混合将导致在交汇处下游一定 距离内河水样品的同位素比值是一个变值。可用经验关系式计算河、溪交汇处下游的</w:t>
      </w:r>
    </w:p>
    <w:p>
      <w:pPr>
        <w:pStyle w:val="a5"/>
        <w:keepNext w:val="0"/>
        <w:keepLines w:val="0"/>
        <w:widowControl w:val="0"/>
        <w:pBdr>
          <w:top w:val="single" w:sz="4" w:space="0" w:color="auto"/>
        </w:pBdr>
        <w:shd w:val="clear" w:color="auto" w:fill="auto"/>
        <w:bidi w:val="0"/>
        <w:spacing w:before="0" w:after="300" w:line="240" w:lineRule="auto"/>
        <w:ind w:left="0" w:right="0" w:firstLine="160"/>
        <w:jc w:val="left"/>
      </w:pPr>
      <w:r>
        <w:rPr>
          <w:color w:val="000000"/>
          <w:spacing w:val="0"/>
          <w:w w:val="100"/>
          <w:position w:val="0"/>
        </w:rPr>
        <w:t>水混合长度，以确定取样位置，对于大型河流其混合长度可达数十公里。</w:t>
      </w:r>
    </w:p>
    <w:p>
      <w:pPr>
        <w:pStyle w:val="31"/>
        <w:keepNext/>
        <w:keepLines/>
        <w:widowControl w:val="0"/>
        <w:shd w:val="clear" w:color="auto" w:fill="auto"/>
        <w:bidi w:val="0"/>
        <w:spacing w:before="0" w:after="300" w:line="240" w:lineRule="auto"/>
        <w:ind w:left="1060" w:right="0" w:firstLine="0"/>
        <w:jc w:val="left"/>
      </w:pPr>
      <w:bookmarkStart w:id="59" w:name="bookmark59"/>
      <w:bookmarkStart w:id="60" w:name="bookmark60"/>
      <w:bookmarkStart w:id="61" w:name="bookmark61"/>
      <w:r>
        <w:rPr>
          <w:rFonts w:ascii="Times New Roman" w:eastAsia="Times New Roman" w:hAnsi="Times New Roman" w:cs="Times New Roman"/>
          <w:color w:val="000000"/>
          <w:spacing w:val="0"/>
          <w:w w:val="100"/>
          <w:position w:val="0"/>
        </w:rPr>
        <w:t>3.2.3</w:t>
      </w:r>
      <w:r>
        <w:rPr>
          <w:color w:val="000000"/>
          <w:spacing w:val="0"/>
          <w:w w:val="100"/>
          <w:position w:val="0"/>
        </w:rPr>
        <w:t>非饱和带水样品的采集</w:t>
      </w:r>
      <w:bookmarkEnd w:id="59"/>
      <w:bookmarkEnd w:id="60"/>
      <w:bookmarkEnd w:id="61"/>
    </w:p>
    <w:p>
      <w:pPr>
        <w:pStyle w:val="a5"/>
        <w:keepNext w:val="0"/>
        <w:keepLines w:val="0"/>
        <w:widowControl w:val="0"/>
        <w:shd w:val="clear" w:color="auto" w:fill="auto"/>
        <w:bidi w:val="0"/>
        <w:spacing w:before="0" w:after="300" w:line="588" w:lineRule="exact"/>
        <w:ind w:left="160" w:right="0" w:firstLine="720"/>
        <w:jc w:val="both"/>
        <w:sectPr>
          <w:type w:val="nextPage"/>
          <w:pgSz w:w="17861" w:h="25258"/>
          <w:pgMar w:top="1674" w:right="1867" w:bottom="2321" w:left="2040" w:header="0" w:footer="3" w:gutter="0"/>
          <w:pgNumType w:start="9"/>
          <w:cols w:space="720"/>
          <w:noEndnote/>
          <w:titlePg w:val="0"/>
          <w:rtlGutter w:val="0"/>
          <w:docGrid w:linePitch="360"/>
        </w:sectPr>
      </w:pPr>
      <w:r>
        <w:rPr>
          <w:color w:val="000000"/>
          <w:spacing w:val="0"/>
          <w:w w:val="100"/>
          <w:position w:val="0"/>
        </w:rPr>
        <w:t xml:space="preserve">土壤水分的6 </w:t>
      </w:r>
      <w:r>
        <w:rPr>
          <w:rFonts w:ascii="Times New Roman" w:eastAsia="Times New Roman" w:hAnsi="Times New Roman" w:cs="Times New Roman"/>
          <w:color w:val="000000"/>
          <w:spacing w:val="0"/>
          <w:w w:val="100"/>
          <w:position w:val="0"/>
          <w:sz w:val="22"/>
          <w:szCs w:val="22"/>
        </w:rPr>
        <w:t>2</w:t>
      </w:r>
      <w:r>
        <w:rPr>
          <w:b/>
          <w:bCs/>
          <w:color w:val="000000"/>
          <w:spacing w:val="0"/>
          <w:w w:val="100"/>
          <w:position w:val="0"/>
        </w:rPr>
        <w:t>H</w:t>
      </w:r>
      <w:r>
        <w:rPr>
          <w:color w:val="000000"/>
          <w:spacing w:val="0"/>
          <w:w w:val="100"/>
          <w:position w:val="0"/>
        </w:rPr>
        <w:t xml:space="preserve">和6 </w:t>
      </w:r>
      <w:r>
        <w:rPr>
          <w:rFonts w:ascii="Times New Roman" w:eastAsia="Times New Roman" w:hAnsi="Times New Roman" w:cs="Times New Roman"/>
          <w:color w:val="000000"/>
          <w:spacing w:val="0"/>
          <w:w w:val="100"/>
          <w:position w:val="0"/>
          <w:sz w:val="22"/>
          <w:szCs w:val="22"/>
        </w:rPr>
        <w:t>18</w:t>
      </w:r>
      <w:r>
        <w:rPr>
          <w:b/>
          <w:bCs/>
          <w:color w:val="000000"/>
          <w:spacing w:val="0"/>
          <w:w w:val="100"/>
          <w:position w:val="0"/>
        </w:rPr>
        <w:t>O</w:t>
      </w:r>
      <w:r>
        <w:rPr>
          <w:color w:val="000000"/>
          <w:spacing w:val="0"/>
          <w:w w:val="100"/>
          <w:position w:val="0"/>
        </w:rPr>
        <w:t>剖面分布资料记录了地下水的补给信息。土壤样品不能</w:t>
      </w:r>
      <w:r>
        <w:rPr>
          <w:color w:val="000000"/>
          <w:spacing w:val="0"/>
          <w:w w:val="100"/>
          <w:position w:val="0"/>
        </w:rPr>
        <w:t xml:space="preserve"> 用取样盒和岩心管来保存和运输，必须用高密度的塑料瓶(袋)密封以避免蒸发。水</w:t>
      </w:r>
    </w:p>
    <w:p>
      <w:pPr>
        <w:pStyle w:val="a5"/>
        <w:keepNext w:val="0"/>
        <w:keepLines w:val="0"/>
        <w:widowControl w:val="0"/>
        <w:shd w:val="clear" w:color="auto" w:fill="auto"/>
        <w:bidi w:val="0"/>
        <w:spacing w:before="0" w:after="300" w:line="588" w:lineRule="exact"/>
        <w:ind w:left="160" w:right="0" w:firstLine="720"/>
        <w:jc w:val="both"/>
      </w:pPr>
      <w:r>
        <w:rPr>
          <w:color w:val="000000"/>
          <w:spacing w:val="0"/>
          <w:w w:val="100"/>
          <w:position w:val="0"/>
        </w:rPr>
        <w:t xml:space="preserve"> 样可通过下述方法来提取：真空蒸馏、微蒸馏、沸腾蒸馏、压榨法和离心法采集。也</w:t>
      </w:r>
      <w:r>
        <w:rPr>
          <w:color w:val="000000"/>
          <w:spacing w:val="0"/>
          <w:w w:val="100"/>
          <w:position w:val="0"/>
        </w:rPr>
        <w:t xml:space="preserve"> 可利用测渗计和土壤水取样器采样。方法的选择取决于含水量和颗粒大小，注意通过</w:t>
      </w:r>
      <w:r>
        <w:rPr>
          <w:color w:val="000000"/>
          <w:spacing w:val="0"/>
          <w:w w:val="100"/>
          <w:position w:val="0"/>
        </w:rPr>
        <w:t xml:space="preserve"> 离心、压榨、测渗计和土壤水取样器方法提取的水样可以用于化学和同位素分析，而</w:t>
      </w:r>
      <w:r>
        <w:rPr>
          <w:color w:val="000000"/>
          <w:spacing w:val="0"/>
          <w:w w:val="100"/>
          <w:position w:val="0"/>
        </w:rPr>
        <w:t xml:space="preserve"> 真空蒸馏提取的是纯水，只能用于同位素分析。</w:t>
      </w:r>
    </w:p>
    <w:p>
      <w:pPr>
        <w:pStyle w:val="31"/>
        <w:keepNext/>
        <w:keepLines/>
        <w:widowControl w:val="0"/>
        <w:shd w:val="clear" w:color="auto" w:fill="auto"/>
        <w:bidi w:val="0"/>
        <w:spacing w:before="0" w:after="360" w:line="240" w:lineRule="auto"/>
        <w:ind w:left="1060" w:right="0" w:firstLine="0"/>
        <w:jc w:val="left"/>
      </w:pPr>
      <w:bookmarkStart w:id="62" w:name="bookmark62"/>
      <w:bookmarkStart w:id="63" w:name="bookmark63"/>
      <w:bookmarkStart w:id="64" w:name="bookmark64"/>
      <w:r>
        <w:rPr>
          <w:rFonts w:ascii="Times New Roman" w:eastAsia="Times New Roman" w:hAnsi="Times New Roman" w:cs="Times New Roman"/>
          <w:color w:val="000000"/>
          <w:spacing w:val="0"/>
          <w:w w:val="100"/>
          <w:position w:val="0"/>
        </w:rPr>
        <w:t>3.2.4</w:t>
      </w:r>
      <w:r>
        <w:rPr>
          <w:color w:val="000000"/>
          <w:spacing w:val="0"/>
          <w:w w:val="100"/>
          <w:position w:val="0"/>
        </w:rPr>
        <w:t>地下水样品的采集</w:t>
      </w:r>
      <w:bookmarkEnd w:id="62"/>
      <w:bookmarkEnd w:id="63"/>
      <w:bookmarkEnd w:id="64"/>
    </w:p>
    <w:p>
      <w:pPr>
        <w:pStyle w:val="a5"/>
        <w:keepNext w:val="0"/>
        <w:keepLines w:val="0"/>
        <w:widowControl w:val="0"/>
        <w:shd w:val="clear" w:color="auto" w:fill="auto"/>
        <w:bidi w:val="0"/>
        <w:spacing w:before="0" w:line="562" w:lineRule="exact"/>
        <w:ind w:left="160" w:right="0" w:firstLine="720"/>
        <w:jc w:val="both"/>
      </w:pPr>
      <w:r>
        <w:rPr>
          <w:color w:val="000000"/>
          <w:spacing w:val="0"/>
          <w:w w:val="100"/>
          <w:position w:val="0"/>
        </w:rPr>
        <w:t>对所有的地下水采样来说，应尽可能地描述钻孔水文地质条件，充分利用地球物 理、地球化学研究成果及钻井记录资料。这些信息可用来确定含水层的主要补给特征。</w:t>
      </w:r>
    </w:p>
    <w:p>
      <w:pPr>
        <w:pStyle w:val="a5"/>
        <w:keepNext w:val="0"/>
        <w:keepLines w:val="0"/>
        <w:widowControl w:val="0"/>
        <w:shd w:val="clear" w:color="auto" w:fill="auto"/>
        <w:bidi w:val="0"/>
        <w:spacing w:before="0" w:line="576" w:lineRule="exact"/>
        <w:ind w:left="160" w:right="0" w:firstLine="720"/>
        <w:jc w:val="both"/>
      </w:pPr>
      <w:r>
        <w:rPr>
          <w:color w:val="000000"/>
          <w:spacing w:val="0"/>
          <w:w w:val="100"/>
          <w:position w:val="0"/>
        </w:rPr>
        <w:t>天然泉由于常年流动，是采集地下水样品的理想场所，采样应注意靠近排泄点以 保证减小大气污染和气体逸出。</w:t>
      </w:r>
    </w:p>
    <w:p>
      <w:pPr>
        <w:pStyle w:val="a5"/>
        <w:keepNext w:val="0"/>
        <w:keepLines w:val="0"/>
        <w:widowControl w:val="0"/>
        <w:shd w:val="clear" w:color="auto" w:fill="auto"/>
        <w:bidi w:val="0"/>
        <w:spacing w:before="0" w:line="586" w:lineRule="exact"/>
        <w:ind w:left="160" w:right="0" w:firstLine="720"/>
        <w:jc w:val="both"/>
      </w:pPr>
      <w:r>
        <w:rPr>
          <w:color w:val="000000"/>
          <w:spacing w:val="0"/>
          <w:w w:val="100"/>
          <w:position w:val="0"/>
        </w:rPr>
        <w:t>对于抽水井和生产井较容易在地表采样，观测井和侧压管取样则存在一些特殊的 问题。钻孔中的静水会产生蒸发引起同位素组成的变化。取样前应对钻孔抽水清洗直 至抽出的水量近似等于井筒内水体积的两倍，或者其</w:t>
      </w:r>
      <w:r>
        <w:rPr>
          <w:b/>
          <w:bCs/>
          <w:color w:val="000000"/>
          <w:spacing w:val="0"/>
          <w:w w:val="100"/>
          <w:position w:val="0"/>
        </w:rPr>
        <w:t>Eh</w:t>
      </w:r>
      <w:r>
        <w:rPr>
          <w:color w:val="000000"/>
          <w:spacing w:val="0"/>
          <w:w w:val="100"/>
          <w:position w:val="0"/>
        </w:rPr>
        <w:t>、</w:t>
      </w:r>
      <w:r>
        <w:rPr>
          <w:color w:val="000000"/>
          <w:spacing w:val="0"/>
          <w:w w:val="100"/>
          <w:position w:val="0"/>
        </w:rPr>
        <w:t>溶解氧、</w:t>
      </w:r>
      <w:r>
        <w:rPr>
          <w:b/>
          <w:bCs/>
          <w:color w:val="000000"/>
          <w:spacing w:val="0"/>
          <w:w w:val="100"/>
          <w:position w:val="0"/>
        </w:rPr>
        <w:t>pH</w:t>
      </w:r>
      <w:r>
        <w:rPr>
          <w:color w:val="000000"/>
          <w:spacing w:val="0"/>
          <w:w w:val="100"/>
          <w:position w:val="0"/>
        </w:rPr>
        <w:t>等达到稳定状 态。然而这种常规方法，在一定情况下，由于抽水形成的降落漏斗会接受其它水源的 补给，使取得的同位素资料复杂化。</w:t>
      </w:r>
    </w:p>
    <w:p>
      <w:pPr>
        <w:pStyle w:val="a5"/>
        <w:keepNext w:val="0"/>
        <w:keepLines w:val="0"/>
        <w:widowControl w:val="0"/>
        <w:shd w:val="clear" w:color="auto" w:fill="auto"/>
        <w:bidi w:val="0"/>
        <w:spacing w:before="0" w:line="587" w:lineRule="exact"/>
        <w:ind w:left="0" w:right="0" w:firstLine="880"/>
        <w:jc w:val="left"/>
      </w:pPr>
      <w:r>
        <w:rPr>
          <w:color w:val="000000"/>
          <w:spacing w:val="0"/>
          <w:w w:val="100"/>
          <w:position w:val="0"/>
        </w:rPr>
        <w:t>总之，从井中采集样品应该考虑：</w:t>
      </w:r>
    </w:p>
    <w:p>
      <w:pPr>
        <w:pStyle w:val="a5"/>
        <w:keepNext w:val="0"/>
        <w:keepLines w:val="0"/>
        <w:widowControl w:val="0"/>
        <w:numPr>
          <w:ilvl w:val="0"/>
          <w:numId w:val="3"/>
        </w:numPr>
        <w:shd w:val="clear" w:color="auto" w:fill="auto"/>
        <w:tabs>
          <w:tab w:val="left" w:pos="1691"/>
        </w:tabs>
        <w:bidi w:val="0"/>
        <w:spacing w:before="0" w:line="587" w:lineRule="exact"/>
        <w:ind w:left="0" w:right="0" w:firstLine="880"/>
        <w:jc w:val="left"/>
      </w:pPr>
      <w:bookmarkStart w:id="65" w:name="bookmark65"/>
      <w:bookmarkEnd w:id="65"/>
      <w:r>
        <w:rPr>
          <w:color w:val="000000"/>
          <w:spacing w:val="0"/>
          <w:w w:val="100"/>
          <w:position w:val="0"/>
        </w:rPr>
        <w:t>收集成井资料(测井、试井和成井)，确认井泵类型和放置深度。</w:t>
      </w:r>
    </w:p>
    <w:p>
      <w:pPr>
        <w:pStyle w:val="a5"/>
        <w:keepNext w:val="0"/>
        <w:keepLines w:val="0"/>
        <w:widowControl w:val="0"/>
        <w:numPr>
          <w:ilvl w:val="0"/>
          <w:numId w:val="3"/>
        </w:numPr>
        <w:shd w:val="clear" w:color="auto" w:fill="auto"/>
        <w:tabs>
          <w:tab w:val="left" w:pos="1691"/>
        </w:tabs>
        <w:bidi w:val="0"/>
        <w:spacing w:before="0" w:line="587" w:lineRule="exact"/>
        <w:ind w:left="0" w:right="0" w:firstLine="880"/>
        <w:jc w:val="left"/>
      </w:pPr>
      <w:bookmarkStart w:id="66" w:name="bookmark66"/>
      <w:bookmarkEnd w:id="66"/>
      <w:r>
        <w:rPr>
          <w:color w:val="000000"/>
          <w:spacing w:val="0"/>
          <w:w w:val="100"/>
          <w:position w:val="0"/>
        </w:rPr>
        <w:t>确定进水带、尽可能排除其它层水的混入。</w:t>
      </w:r>
    </w:p>
    <w:p>
      <w:pPr>
        <w:pStyle w:val="a5"/>
        <w:keepNext w:val="0"/>
        <w:keepLines w:val="0"/>
        <w:widowControl w:val="0"/>
        <w:numPr>
          <w:ilvl w:val="0"/>
          <w:numId w:val="3"/>
        </w:numPr>
        <w:shd w:val="clear" w:color="auto" w:fill="auto"/>
        <w:tabs>
          <w:tab w:val="left" w:pos="1766"/>
        </w:tabs>
        <w:bidi w:val="0"/>
        <w:spacing w:before="0" w:line="600" w:lineRule="exact"/>
        <w:ind w:left="160" w:right="0" w:firstLine="720"/>
        <w:jc w:val="both"/>
      </w:pPr>
      <w:bookmarkStart w:id="67" w:name="bookmark67"/>
      <w:bookmarkEnd w:id="67"/>
      <w:r>
        <w:rPr>
          <w:color w:val="000000"/>
          <w:spacing w:val="0"/>
          <w:w w:val="100"/>
          <w:position w:val="0"/>
        </w:rPr>
        <w:t>静态井(观测井)在取样前应清洗，在取样过程中，泵或水斗应该尽可能 接近花管带。</w:t>
      </w:r>
    </w:p>
    <w:p>
      <w:pPr>
        <w:pStyle w:val="a5"/>
        <w:keepNext w:val="0"/>
        <w:keepLines w:val="0"/>
        <w:widowControl w:val="0"/>
        <w:numPr>
          <w:ilvl w:val="0"/>
          <w:numId w:val="3"/>
        </w:numPr>
        <w:shd w:val="clear" w:color="auto" w:fill="auto"/>
        <w:tabs>
          <w:tab w:val="left" w:pos="1762"/>
        </w:tabs>
        <w:bidi w:val="0"/>
        <w:spacing w:before="0" w:after="300" w:line="590" w:lineRule="exact"/>
        <w:ind w:left="160" w:right="0" w:firstLine="720"/>
        <w:jc w:val="both"/>
      </w:pPr>
      <w:bookmarkStart w:id="68" w:name="bookmark68"/>
      <w:bookmarkEnd w:id="68"/>
      <w:r>
        <w:rPr>
          <w:color w:val="000000"/>
          <w:spacing w:val="0"/>
          <w:w w:val="100"/>
          <w:position w:val="0"/>
        </w:rPr>
        <w:t>正在使用的供水井不需要清洗，可在井口采集，如果在供水系统的某处水 龙头采样，必须查明水处理类型以及储水装置。</w:t>
      </w:r>
    </w:p>
    <w:p>
      <w:pPr>
        <w:pStyle w:val="31"/>
        <w:keepNext/>
        <w:keepLines/>
        <w:widowControl w:val="0"/>
        <w:shd w:val="clear" w:color="auto" w:fill="auto"/>
        <w:bidi w:val="0"/>
        <w:spacing w:before="0" w:after="300" w:line="240" w:lineRule="auto"/>
        <w:ind w:left="1060" w:right="0" w:firstLine="0"/>
        <w:jc w:val="left"/>
      </w:pPr>
      <w:bookmarkStart w:id="69" w:name="bookmark69"/>
      <w:bookmarkStart w:id="70" w:name="bookmark70"/>
      <w:bookmarkStart w:id="71" w:name="bookmark71"/>
      <w:r>
        <w:rPr>
          <w:rFonts w:ascii="Times New Roman" w:eastAsia="Times New Roman" w:hAnsi="Times New Roman" w:cs="Times New Roman"/>
          <w:b/>
          <w:bCs/>
          <w:color w:val="000000"/>
          <w:spacing w:val="0"/>
          <w:w w:val="100"/>
          <w:position w:val="0"/>
        </w:rPr>
        <w:t>3.2.5</w:t>
      </w:r>
      <w:r>
        <w:rPr>
          <w:color w:val="000000"/>
          <w:spacing w:val="0"/>
          <w:w w:val="100"/>
          <w:position w:val="0"/>
        </w:rPr>
        <w:t>地热样品的采集</w:t>
      </w:r>
      <w:bookmarkEnd w:id="69"/>
      <w:bookmarkEnd w:id="70"/>
      <w:bookmarkEnd w:id="71"/>
    </w:p>
    <w:p>
      <w:pPr>
        <w:pStyle w:val="a5"/>
        <w:keepNext w:val="0"/>
        <w:keepLines w:val="0"/>
        <w:widowControl w:val="0"/>
        <w:shd w:val="clear" w:color="auto" w:fill="auto"/>
        <w:bidi w:val="0"/>
        <w:spacing w:before="0" w:after="300" w:line="587" w:lineRule="exact"/>
        <w:ind w:left="160" w:right="0" w:firstLine="720"/>
        <w:jc w:val="both"/>
      </w:pPr>
      <w:r>
        <w:rPr>
          <w:color w:val="000000"/>
          <w:spacing w:val="0"/>
          <w:w w:val="100"/>
          <w:position w:val="0"/>
        </w:rPr>
        <w:t>应从地热田中同时采取蒸汽和液相样品，以便于计算蒸汽</w:t>
      </w:r>
      <w:r>
        <w:rPr>
          <w:b/>
          <w:bCs/>
          <w:color w:val="000000"/>
          <w:spacing w:val="0"/>
          <w:w w:val="100"/>
          <w:position w:val="0"/>
        </w:rPr>
        <w:t>/</w:t>
      </w:r>
      <w:r>
        <w:rPr>
          <w:color w:val="000000"/>
          <w:spacing w:val="0"/>
          <w:w w:val="100"/>
          <w:position w:val="0"/>
        </w:rPr>
        <w:t>水比值。这在已开发的 地热田中相对容易，因为已采用了旋风分离器分离气相和液相，但是在未开发的地热 田则较困难。对于热汽田的热汽需经凝结取样，必须确认所有的汽体都已凝结。此外， 对热水特别要注意识别泉源，尽可能在泉附近取样。</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https://d.book118.com/588032100111006030</w:t>
        </w:r>
      </w:hyperlink>
    </w:p>
    <w:p>
      <w:pPr>
        <w:pStyle w:val="a5"/>
        <w:keepNext w:val="0"/>
        <w:keepLines w:val="0"/>
        <w:widowControl w:val="0"/>
        <w:shd w:val="clear" w:color="auto" w:fill="auto"/>
        <w:bidi w:val="0"/>
        <w:spacing w:before="0" w:after="300" w:line="587" w:lineRule="exact"/>
        <w:ind w:left="160" w:right="0" w:firstLine="720"/>
        <w:jc w:val="both"/>
      </w:pPr>
    </w:p>
    <w:sectPr>
      <w:type w:val="nextPage"/>
      <w:pgSz w:w="17861" w:h="25258"/>
      <w:pgMar w:top="1674" w:right="1867" w:bottom="2321" w:left="2040"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1C33ED7"/>
    <w:multiLevelType w:val="multilevel"/>
    <w:tmpl w:val="00000000"/>
    <w:lvl w:ilvl="0">
      <w:start w:val="1"/>
      <w:numFmt w:val="decimal"/>
      <w:lvlText w:val="3.2.%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C5620C9"/>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5A1F5BD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62E8291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目录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66"/>
      <w:szCs w:val="66"/>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48"/>
      <w:szCs w:val="48"/>
      <w:u w:val="none"/>
      <w:shd w:val="clear" w:color="auto" w:fill="auto"/>
    </w:rPr>
  </w:style>
  <w:style w:type="character" w:customStyle="1" w:styleId="a2">
    <w:name w:val="表格标题_"/>
    <w:basedOn w:val="DefaultParagraphFont"/>
    <w:link w:val="a7"/>
    <w:rPr>
      <w:rFonts w:ascii="SimSun" w:eastAsia="SimSun" w:hAnsi="SimSun" w:cs="SimSun"/>
      <w:b w:val="0"/>
      <w:bCs w:val="0"/>
      <w:i w:val="0"/>
      <w:iCs w:val="0"/>
      <w:smallCaps w:val="0"/>
      <w:strike w:val="0"/>
      <w:sz w:val="26"/>
      <w:szCs w:val="26"/>
      <w:u w:val="none"/>
      <w:shd w:val="clear" w:color="auto" w:fill="auto"/>
    </w:rPr>
  </w:style>
  <w:style w:type="character" w:customStyle="1" w:styleId="3">
    <w:name w:val="标题 #3_"/>
    <w:basedOn w:val="DefaultParagraphFont"/>
    <w:link w:val="31"/>
    <w:rPr>
      <w:rFonts w:ascii="SimSun" w:eastAsia="SimSun" w:hAnsi="SimSun" w:cs="SimSun"/>
      <w:b w:val="0"/>
      <w:bCs w:val="0"/>
      <w:i w:val="0"/>
      <w:iCs w:val="0"/>
      <w:smallCaps w:val="0"/>
      <w:strike w:val="0"/>
      <w:sz w:val="44"/>
      <w:szCs w:val="44"/>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28"/>
      <w:szCs w:val="28"/>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32"/>
      <w:szCs w:val="32"/>
      <w:u w:val="none"/>
      <w:shd w:val="clear" w:color="auto" w:fill="auto"/>
    </w:rPr>
  </w:style>
  <w:style w:type="character" w:customStyle="1" w:styleId="4">
    <w:name w:val="标题 #4_"/>
    <w:basedOn w:val="DefaultParagraphFont"/>
    <w:link w:val="40"/>
    <w:rPr>
      <w:rFonts w:ascii="SimSun" w:eastAsia="SimSun" w:hAnsi="SimSun" w:cs="SimSun"/>
      <w:b/>
      <w:bCs/>
      <w:i w:val="0"/>
      <w:iCs w:val="0"/>
      <w:smallCaps w:val="0"/>
      <w:strike w:val="0"/>
      <w:sz w:val="36"/>
      <w:szCs w:val="36"/>
      <w:u w:val="none"/>
      <w:shd w:val="clear" w:color="auto" w:fill="auto"/>
    </w:rPr>
  </w:style>
  <w:style w:type="character" w:customStyle="1" w:styleId="a3">
    <w:name w:val="图片标题_"/>
    <w:basedOn w:val="DefaultParagraphFont"/>
    <w:link w:val="a8"/>
    <w:rPr>
      <w:rFonts w:ascii="SimHei" w:eastAsia="SimHei" w:hAnsi="SimHei" w:cs="SimHei"/>
      <w:b/>
      <w:bCs/>
      <w:i w:val="0"/>
      <w:iCs w:val="0"/>
      <w:smallCaps w:val="0"/>
      <w:strike w:val="0"/>
      <w:sz w:val="30"/>
      <w:szCs w:val="30"/>
      <w:u w:val="none"/>
      <w:shd w:val="clear" w:color="auto" w:fill="auto"/>
    </w:rPr>
  </w:style>
  <w:style w:type="paragraph" w:customStyle="1" w:styleId="a4">
    <w:name w:val="目录"/>
    <w:basedOn w:val="Normal"/>
    <w:link w:val="a"/>
    <w:pPr>
      <w:widowControl w:val="0"/>
      <w:shd w:val="clear" w:color="auto" w:fill="auto"/>
      <w:spacing w:after="500"/>
      <w:ind w:firstLine="2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正文文本"/>
    <w:basedOn w:val="Normal"/>
    <w:link w:val="a0"/>
    <w:pPr>
      <w:widowControl w:val="0"/>
      <w:shd w:val="clear" w:color="auto" w:fill="auto"/>
      <w:spacing w:after="220" w:line="34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590"/>
      <w:jc w:val="center"/>
      <w:outlineLvl w:val="0"/>
    </w:pPr>
    <w:rPr>
      <w:rFonts w:ascii="SimSun" w:eastAsia="SimSun" w:hAnsi="SimSun" w:cs="SimSun"/>
      <w:b/>
      <w:bCs/>
      <w:i w:val="0"/>
      <w:iCs w:val="0"/>
      <w:smallCaps w:val="0"/>
      <w:strike w:val="0"/>
      <w:sz w:val="66"/>
      <w:szCs w:val="66"/>
      <w:u w:val="none"/>
      <w:shd w:val="clear" w:color="auto" w:fill="auto"/>
    </w:rPr>
  </w:style>
  <w:style w:type="paragraph" w:customStyle="1" w:styleId="a6">
    <w:name w:val="其他"/>
    <w:basedOn w:val="Normal"/>
    <w:link w:val="a1"/>
    <w:pPr>
      <w:widowControl w:val="0"/>
      <w:shd w:val="clear" w:color="auto" w:fill="auto"/>
      <w:spacing w:after="220" w:line="343"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1">
    <w:name w:val="标题 #2"/>
    <w:basedOn w:val="Normal"/>
    <w:link w:val="2"/>
    <w:pPr>
      <w:widowControl w:val="0"/>
      <w:shd w:val="clear" w:color="auto" w:fill="auto"/>
      <w:spacing w:after="370"/>
      <w:ind w:firstLine="960"/>
      <w:outlineLvl w:val="1"/>
    </w:pPr>
    <w:rPr>
      <w:rFonts w:ascii="SimSun" w:eastAsia="SimSun" w:hAnsi="SimSun" w:cs="SimSun"/>
      <w:b/>
      <w:bCs/>
      <w:i w:val="0"/>
      <w:iCs w:val="0"/>
      <w:smallCaps w:val="0"/>
      <w:strike w:val="0"/>
      <w:sz w:val="48"/>
      <w:szCs w:val="48"/>
      <w:u w:val="none"/>
      <w:shd w:val="clear" w:color="auto" w:fill="auto"/>
    </w:rPr>
  </w:style>
  <w:style w:type="paragraph" w:customStyle="1" w:styleId="a7">
    <w:name w:val="表格标题"/>
    <w:basedOn w:val="Normal"/>
    <w:link w:val="a2"/>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 w:type="paragraph" w:customStyle="1" w:styleId="31">
    <w:name w:val="标题 #3"/>
    <w:basedOn w:val="Normal"/>
    <w:link w:val="3"/>
    <w:pPr>
      <w:widowControl w:val="0"/>
      <w:shd w:val="clear" w:color="auto" w:fill="auto"/>
      <w:spacing w:after="320"/>
      <w:ind w:left="530" w:firstLine="900"/>
      <w:outlineLvl w:val="2"/>
    </w:pPr>
    <w:rPr>
      <w:rFonts w:ascii="SimSun" w:eastAsia="SimSun" w:hAnsi="SimSun" w:cs="SimSun"/>
      <w:b w:val="0"/>
      <w:bCs w:val="0"/>
      <w:i w:val="0"/>
      <w:iCs w:val="0"/>
      <w:smallCaps w:val="0"/>
      <w:strike w:val="0"/>
      <w:sz w:val="44"/>
      <w:szCs w:val="44"/>
      <w:u w:val="none"/>
      <w:shd w:val="clear" w:color="auto" w:fill="auto"/>
    </w:rPr>
  </w:style>
  <w:style w:type="paragraph" w:customStyle="1" w:styleId="22">
    <w:name w:val="正文文本 (2)"/>
    <w:basedOn w:val="Normal"/>
    <w:link w:val="20"/>
    <w:pPr>
      <w:widowControl w:val="0"/>
      <w:shd w:val="clear" w:color="auto" w:fill="auto"/>
      <w:spacing w:line="432" w:lineRule="exact"/>
      <w:ind w:firstLine="720"/>
    </w:pPr>
    <w:rPr>
      <w:rFonts w:ascii="SimSun" w:eastAsia="SimSun" w:hAnsi="SimSun" w:cs="SimSun"/>
      <w:b w:val="0"/>
      <w:bCs w:val="0"/>
      <w:i w:val="0"/>
      <w:iCs w:val="0"/>
      <w:smallCaps w:val="0"/>
      <w:strike w:val="0"/>
      <w:sz w:val="28"/>
      <w:szCs w:val="28"/>
      <w:u w:val="none"/>
      <w:shd w:val="clear" w:color="auto" w:fill="auto"/>
    </w:rPr>
  </w:style>
  <w:style w:type="paragraph" w:customStyle="1" w:styleId="32">
    <w:name w:val="正文文本 (3)"/>
    <w:basedOn w:val="Normal"/>
    <w:link w:val="30"/>
    <w:pPr>
      <w:widowControl w:val="0"/>
      <w:shd w:val="clear" w:color="auto" w:fill="auto"/>
      <w:spacing w:line="514" w:lineRule="exact"/>
      <w:ind w:firstLine="640"/>
    </w:pPr>
    <w:rPr>
      <w:rFonts w:ascii="SimSun" w:eastAsia="SimSun" w:hAnsi="SimSun" w:cs="SimSun"/>
      <w:b w:val="0"/>
      <w:bCs w:val="0"/>
      <w:i w:val="0"/>
      <w:iCs w:val="0"/>
      <w:smallCaps w:val="0"/>
      <w:strike w:val="0"/>
      <w:sz w:val="32"/>
      <w:szCs w:val="32"/>
      <w:u w:val="none"/>
      <w:shd w:val="clear" w:color="auto" w:fill="auto"/>
    </w:rPr>
  </w:style>
  <w:style w:type="paragraph" w:customStyle="1" w:styleId="40">
    <w:name w:val="标题 #4"/>
    <w:basedOn w:val="Normal"/>
    <w:link w:val="4"/>
    <w:pPr>
      <w:widowControl w:val="0"/>
      <w:shd w:val="clear" w:color="auto" w:fill="auto"/>
      <w:spacing w:after="220" w:line="290" w:lineRule="auto"/>
      <w:ind w:firstLine="720"/>
      <w:outlineLvl w:val="3"/>
    </w:pPr>
    <w:rPr>
      <w:rFonts w:ascii="SimSun" w:eastAsia="SimSun" w:hAnsi="SimSun" w:cs="SimSun"/>
      <w:b/>
      <w:bCs/>
      <w:i w:val="0"/>
      <w:iCs w:val="0"/>
      <w:smallCaps w:val="0"/>
      <w:strike w:val="0"/>
      <w:sz w:val="36"/>
      <w:szCs w:val="36"/>
      <w:u w:val="none"/>
      <w:shd w:val="clear" w:color="auto" w:fill="auto"/>
    </w:rPr>
  </w:style>
  <w:style w:type="paragraph" w:customStyle="1" w:styleId="a8">
    <w:name w:val="图片标题"/>
    <w:basedOn w:val="Normal"/>
    <w:link w:val="a3"/>
    <w:pPr>
      <w:widowControl w:val="0"/>
      <w:shd w:val="clear" w:color="auto" w:fill="auto"/>
    </w:pPr>
    <w:rPr>
      <w:rFonts w:ascii="SimHei" w:eastAsia="SimHei" w:hAnsi="SimHei" w:cs="SimHei"/>
      <w:b/>
      <w:bCs/>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803210011100603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