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Normal"/>
        <w:tblW w:w="0" w:type="auto"/>
        <w:jc w:val="left"/>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0"/>
        <w:gridCol w:w="9603"/>
      </w:tblGrid>
      <w:tr>
        <w:tblPrEx>
          <w:tblW w:w="0" w:type="auto"/>
          <w:jc w:val="left"/>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42"/>
          <w:jc w:val="left"/>
        </w:trPr>
        <w:tc>
          <w:tcPr>
            <w:tcW w:w="590" w:type="dxa"/>
          </w:tcPr>
          <w:p>
            <w:pPr>
              <w:pStyle w:val="TableParagraph"/>
              <w:spacing w:line="222" w:lineRule="exact"/>
              <w:ind w:right="71"/>
              <w:jc w:val="right"/>
              <w:rPr>
                <w:rFonts w:ascii="黑体"/>
                <w:sz w:val="21"/>
              </w:rPr>
            </w:pPr>
            <w:r>
              <w:rPr>
                <w:rFonts w:ascii="黑体"/>
                <w:sz w:val="21"/>
              </w:rPr>
              <w:t>ICS</w:t>
            </w:r>
          </w:p>
        </w:tc>
        <w:tc>
          <w:tcPr>
            <w:tcW w:w="9603" w:type="dxa"/>
          </w:tcPr>
          <w:p>
            <w:pPr>
              <w:pStyle w:val="TableParagraph"/>
              <w:spacing w:line="222" w:lineRule="exact"/>
              <w:ind w:left="73"/>
              <w:rPr>
                <w:rFonts w:ascii="黑体"/>
                <w:sz w:val="21"/>
              </w:rPr>
            </w:pPr>
            <w:r>
              <w:rPr>
                <w:rFonts w:ascii="黑体"/>
                <w:sz w:val="21"/>
              </w:rPr>
              <w:t>03.140</w:t>
            </w:r>
          </w:p>
        </w:tc>
      </w:tr>
      <w:tr>
        <w:tblPrEx>
          <w:tblW w:w="0" w:type="auto"/>
          <w:jc w:val="left"/>
          <w:tblInd w:w="300" w:type="dxa"/>
          <w:tblLayout w:type="fixed"/>
          <w:tblCellMar>
            <w:top w:w="0" w:type="dxa"/>
            <w:left w:w="0" w:type="dxa"/>
            <w:bottom w:w="0" w:type="dxa"/>
            <w:right w:w="0" w:type="dxa"/>
          </w:tblCellMar>
          <w:tblLook w:val="01E0"/>
        </w:tblPrEx>
        <w:trPr>
          <w:trHeight w:val="1215"/>
          <w:jc w:val="left"/>
        </w:trPr>
        <w:tc>
          <w:tcPr>
            <w:tcW w:w="590" w:type="dxa"/>
          </w:tcPr>
          <w:p>
            <w:pPr>
              <w:pStyle w:val="TableParagraph"/>
              <w:spacing w:line="267" w:lineRule="exact"/>
              <w:ind w:right="71"/>
              <w:jc w:val="right"/>
              <w:rPr>
                <w:rFonts w:ascii="黑体"/>
                <w:sz w:val="21"/>
              </w:rPr>
            </w:pPr>
            <w:r>
              <w:rPr>
                <w:rFonts w:ascii="黑体"/>
                <w:sz w:val="21"/>
              </w:rPr>
              <w:t>CCS</w:t>
            </w:r>
          </w:p>
        </w:tc>
        <w:tc>
          <w:tcPr>
            <w:tcW w:w="9603" w:type="dxa"/>
          </w:tcPr>
          <w:p>
            <w:pPr>
              <w:pStyle w:val="TableParagraph"/>
              <w:spacing w:line="187" w:lineRule="exact"/>
              <w:ind w:left="73"/>
              <w:rPr>
                <w:rFonts w:ascii="黑体"/>
                <w:sz w:val="21"/>
              </w:rPr>
            </w:pPr>
            <w:r>
              <w:rPr>
                <w:rFonts w:ascii="黑体"/>
                <w:sz w:val="21"/>
              </w:rPr>
              <w:t>A 00</w:t>
            </w:r>
          </w:p>
          <w:p>
            <w:pPr>
              <w:pStyle w:val="TableParagraph"/>
              <w:spacing w:line="1008" w:lineRule="exact"/>
              <w:ind w:right="198"/>
              <w:jc w:val="right"/>
              <w:rPr>
                <w:rFonts w:ascii="Times New Roman"/>
                <w:b/>
                <w:sz w:val="96"/>
              </w:rPr>
            </w:pPr>
            <w:r>
              <w:rPr>
                <w:rFonts w:ascii="Times New Roman"/>
                <w:b/>
                <w:w w:val="125"/>
                <w:sz w:val="96"/>
              </w:rPr>
              <w:t>14</w:t>
            </w:r>
          </w:p>
        </w:tc>
      </w:tr>
    </w:tbl>
    <w:p>
      <w:pPr>
        <w:pStyle w:val="BodyText"/>
        <w:spacing w:before="7"/>
        <w:rPr>
          <w:rFonts w:ascii="Times New Roman"/>
          <w:sz w:val="15"/>
        </w:rPr>
      </w:pPr>
    </w:p>
    <w:p>
      <w:pPr>
        <w:tabs>
          <w:tab w:val="left" w:pos="1950"/>
          <w:tab w:val="left" w:pos="3477"/>
          <w:tab w:val="left" w:pos="5003"/>
          <w:tab w:val="left" w:pos="6530"/>
          <w:tab w:val="left" w:pos="8056"/>
          <w:tab w:val="left" w:pos="9583"/>
        </w:tabs>
        <w:spacing w:before="33"/>
        <w:ind w:left="423" w:right="0" w:firstLine="0"/>
        <w:jc w:val="left"/>
        <w:rPr>
          <w:rFonts w:ascii="黑体" w:eastAsia="黑体" w:hint="eastAsia"/>
          <w:sz w:val="48"/>
        </w:rPr>
      </w:pPr>
      <w:r>
        <w:drawing>
          <wp:anchor distT="0" distB="0" distL="0" distR="0" simplePos="0" relativeHeight="251658240" behindDoc="1" locked="0" layoutInCell="1" allowOverlap="1">
            <wp:simplePos x="0" y="0"/>
            <wp:positionH relativeFrom="page">
              <wp:posOffset>5408803</wp:posOffset>
            </wp:positionH>
            <wp:positionV relativeFrom="paragraph">
              <wp:posOffset>-652906</wp:posOffset>
            </wp:positionV>
            <wp:extent cx="804032" cy="402335"/>
            <wp:effectExtent l="0" t="0" r="0" b="0"/>
            <wp:wrapNone/>
            <wp:docPr id="1" name="image1.jpeg" descr="地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804032" cy="402335"/>
                    </a:xfrm>
                    <a:prstGeom prst="rect">
                      <a:avLst/>
                    </a:prstGeom>
                  </pic:spPr>
                </pic:pic>
              </a:graphicData>
            </a:graphic>
          </wp:anchor>
        </w:drawing>
      </w:r>
      <w:r>
        <w:rPr>
          <w:rFonts w:ascii="黑体" w:eastAsia="黑体" w:hint="eastAsia"/>
          <w:sz w:val="48"/>
        </w:rPr>
        <w:t>山</w:t>
        <w:tab/>
        <w:t>西</w:t>
        <w:tab/>
        <w:t>省</w:t>
        <w:tab/>
        <w:t>地</w:t>
        <w:tab/>
        <w:t>方</w:t>
        <w:tab/>
        <w:t>标</w:t>
        <w:tab/>
        <w:t>准</w:t>
      </w:r>
    </w:p>
    <w:p>
      <w:pPr>
        <w:spacing w:before="341"/>
        <w:ind w:left="0" w:right="692" w:firstLine="0"/>
        <w:jc w:val="right"/>
        <w:rPr>
          <w:rFonts w:ascii="黑体" w:hAnsi="黑体"/>
          <w:sz w:val="28"/>
        </w:rPr>
      </w:pPr>
      <w:r>
        <w:rPr>
          <w:rFonts w:ascii="黑体" w:hAnsi="黑体"/>
          <w:sz w:val="28"/>
        </w:rPr>
        <w:t>DB14/T</w:t>
      </w:r>
      <w:r>
        <w:rPr>
          <w:rFonts w:ascii="黑体" w:hAnsi="黑体"/>
          <w:spacing w:val="-8"/>
          <w:sz w:val="28"/>
        </w:rPr>
        <w:t xml:space="preserve"> </w:t>
      </w:r>
      <w:r>
        <w:rPr>
          <w:rFonts w:ascii="黑体" w:hAnsi="黑体"/>
          <w:sz w:val="28"/>
        </w:rPr>
        <w:t>2983—2024</w:t>
      </w:r>
    </w:p>
    <w:p>
      <w:pPr>
        <w:pStyle w:val="BodyText"/>
        <w:rPr>
          <w:rFonts w:ascii="黑体"/>
          <w:sz w:val="20"/>
        </w:rPr>
      </w:pPr>
    </w:p>
    <w:p>
      <w:pPr>
        <w:pStyle w:val="BodyText"/>
        <w:spacing w:before="1"/>
        <w:rPr>
          <w:rFonts w:ascii="黑体"/>
          <w:sz w:val="28"/>
        </w:rPr>
      </w:pPr>
      <w:r>
        <w:pict>
          <v:rect id="_x0000_s1025" style="width:487.15pt;height:0.96pt;margin-top:19.97pt;margin-left:69.5pt;mso-position-horizontal-relative:page;mso-wrap-distance-left:0;mso-wrap-distance-right:0;position:absolute;z-index:-251657216" filled="t" fillcolor="black" stroked="f">
            <v:fill type="solid"/>
            <w10:wrap type="topAndBottom"/>
          </v:rect>
        </w:pic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4"/>
        <w:rPr>
          <w:rFonts w:ascii="黑体"/>
          <w:sz w:val="26"/>
        </w:rPr>
      </w:pPr>
    </w:p>
    <w:p>
      <w:pPr>
        <w:pStyle w:val="Heading1"/>
        <w:ind w:left="934"/>
      </w:pPr>
      <w:r>
        <w:t>知识产权维权援助机构服务与管理规范</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0"/>
        <w:rPr>
          <w:rFonts w:ascii="黑体"/>
          <w:sz w:val="14"/>
        </w:rPr>
      </w:pPr>
    </w:p>
    <w:tbl>
      <w:tblPr>
        <w:tblStyle w:val="TableNormal"/>
        <w:tblW w:w="0" w:type="auto"/>
        <w:jc w:val="left"/>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86"/>
        <w:gridCol w:w="4872"/>
      </w:tblGrid>
      <w:tr>
        <w:tblPrEx>
          <w:tblW w:w="0" w:type="auto"/>
          <w:jc w:val="left"/>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44"/>
          <w:jc w:val="left"/>
        </w:trPr>
        <w:tc>
          <w:tcPr>
            <w:tcW w:w="4886" w:type="dxa"/>
            <w:tcBorders>
              <w:bottom w:val="single" w:sz="8" w:space="0" w:color="000000"/>
            </w:tcBorders>
          </w:tcPr>
          <w:p>
            <w:pPr>
              <w:pStyle w:val="TableParagraph"/>
              <w:spacing w:line="320" w:lineRule="exact"/>
              <w:ind w:left="72"/>
              <w:rPr>
                <w:rFonts w:ascii="黑体" w:eastAsia="黑体" w:hint="eastAsia"/>
                <w:sz w:val="28"/>
              </w:rPr>
            </w:pPr>
            <w:r>
              <w:rPr>
                <w:rFonts w:ascii="黑体" w:eastAsia="黑体" w:hint="eastAsia"/>
                <w:sz w:val="28"/>
              </w:rPr>
              <w:t>2024 - 01 - 17 发布</w:t>
            </w:r>
          </w:p>
        </w:tc>
        <w:tc>
          <w:tcPr>
            <w:tcW w:w="4872" w:type="dxa"/>
            <w:tcBorders>
              <w:bottom w:val="single" w:sz="8" w:space="0" w:color="000000"/>
            </w:tcBorders>
          </w:tcPr>
          <w:p>
            <w:pPr>
              <w:pStyle w:val="TableParagraph"/>
              <w:spacing w:line="320" w:lineRule="exact"/>
              <w:ind w:left="2151"/>
              <w:rPr>
                <w:rFonts w:ascii="黑体" w:eastAsia="黑体" w:hint="eastAsia"/>
                <w:sz w:val="28"/>
              </w:rPr>
            </w:pPr>
            <w:r>
              <w:rPr>
                <w:rFonts w:ascii="黑体" w:eastAsia="黑体" w:hint="eastAsia"/>
                <w:sz w:val="28"/>
              </w:rPr>
              <w:t>2024 - 04 - 15 实施</w:t>
            </w:r>
          </w:p>
        </w:tc>
      </w:tr>
    </w:tbl>
    <w:p>
      <w:pPr>
        <w:pStyle w:val="BodyText"/>
        <w:rPr>
          <w:rFonts w:ascii="黑体"/>
          <w:sz w:val="20"/>
        </w:rPr>
      </w:pPr>
    </w:p>
    <w:p>
      <w:pPr>
        <w:pStyle w:val="BodyText"/>
        <w:rPr>
          <w:rFonts w:ascii="黑体"/>
          <w:sz w:val="20"/>
        </w:rPr>
      </w:pPr>
    </w:p>
    <w:p>
      <w:pPr>
        <w:pStyle w:val="BodyText"/>
        <w:spacing w:before="9"/>
        <w:rPr>
          <w:rFonts w:ascii="黑体"/>
          <w:sz w:val="16"/>
        </w:rPr>
      </w:pPr>
    </w:p>
    <w:p>
      <w:pPr>
        <w:tabs>
          <w:tab w:val="left" w:pos="3362"/>
        </w:tabs>
        <w:spacing w:before="62"/>
        <w:ind w:left="0" w:right="517" w:firstLine="0"/>
        <w:jc w:val="center"/>
        <w:rPr>
          <w:rFonts w:ascii="黑体" w:eastAsia="黑体" w:hint="eastAsia"/>
          <w:sz w:val="28"/>
        </w:rPr>
      </w:pPr>
      <w:r>
        <w:rPr>
          <w:rFonts w:ascii="黑体" w:eastAsia="黑体" w:hint="eastAsia"/>
          <w:sz w:val="28"/>
        </w:rPr>
        <w:t>山西省</w:t>
      </w:r>
      <w:r>
        <w:rPr>
          <w:rFonts w:ascii="黑体" w:eastAsia="黑体" w:hint="eastAsia"/>
          <w:spacing w:val="-3"/>
          <w:sz w:val="28"/>
        </w:rPr>
        <w:t>市</w:t>
      </w:r>
      <w:r>
        <w:rPr>
          <w:rFonts w:ascii="黑体" w:eastAsia="黑体" w:hint="eastAsia"/>
          <w:sz w:val="28"/>
        </w:rPr>
        <w:t>场监</w:t>
      </w:r>
      <w:r>
        <w:rPr>
          <w:rFonts w:ascii="黑体" w:eastAsia="黑体" w:hint="eastAsia"/>
          <w:spacing w:val="-3"/>
          <w:sz w:val="28"/>
        </w:rPr>
        <w:t>督管</w:t>
      </w:r>
      <w:r>
        <w:rPr>
          <w:rFonts w:ascii="黑体" w:eastAsia="黑体" w:hint="eastAsia"/>
          <w:sz w:val="28"/>
        </w:rPr>
        <w:t>理局</w:t>
        <w:tab/>
        <w:t>发</w:t>
      </w:r>
      <w:r>
        <w:rPr>
          <w:rFonts w:ascii="黑体" w:eastAsia="黑体" w:hint="eastAsia"/>
          <w:spacing w:val="28"/>
          <w:sz w:val="28"/>
        </w:rPr>
        <w:t xml:space="preserve"> </w:t>
      </w:r>
      <w:r>
        <w:rPr>
          <w:rFonts w:ascii="黑体" w:eastAsia="黑体" w:hint="eastAsia"/>
          <w:sz w:val="28"/>
        </w:rPr>
        <w:t>布</w:t>
      </w:r>
    </w:p>
    <w:p>
      <w:pPr>
        <w:pStyle w:val="BodyText"/>
        <w:rPr>
          <w:rFonts w:ascii="黑体"/>
          <w:sz w:val="20"/>
        </w:rPr>
      </w:pPr>
    </w:p>
    <w:p>
      <w:pPr>
        <w:pStyle w:val="BodyText"/>
        <w:rPr>
          <w:rFonts w:ascii="黑体"/>
          <w:sz w:val="20"/>
        </w:rPr>
      </w:pPr>
    </w:p>
    <w:p>
      <w:pPr>
        <w:pStyle w:val="BodyText"/>
        <w:spacing w:before="12"/>
        <w:rPr>
          <w:rFonts w:ascii="黑体"/>
          <w:sz w:val="22"/>
        </w:rPr>
        <w:sectPr>
          <w:type w:val="continuous"/>
          <w:pgSz w:w="11920" w:h="16850"/>
          <w:pgMar w:top="600" w:right="440" w:bottom="0" w:left="880" w:header="708" w:footer="708"/>
          <w:cols w:space="708"/>
        </w:sectPr>
      </w:pPr>
    </w:p>
    <w:p>
      <w:pPr>
        <w:spacing w:before="74" w:line="226" w:lineRule="exact"/>
        <w:ind w:left="0" w:right="764" w:firstLine="0"/>
        <w:jc w:val="right"/>
        <w:rPr>
          <w:sz w:val="18"/>
        </w:rPr>
      </w:pPr>
      <w:r>
        <w:rPr>
          <w:sz w:val="18"/>
        </w:rPr>
        <w:t>1</w:t>
      </w:r>
    </w:p>
    <w:p>
      <w:pPr>
        <w:spacing w:after="0" w:line="226" w:lineRule="exact"/>
        <w:jc w:val="right"/>
        <w:rPr>
          <w:sz w:val="18"/>
        </w:rPr>
        <w:sectPr>
          <w:type w:val="nextPage"/>
          <w:pgSz w:w="11920" w:h="16850"/>
          <w:pgMar w:top="600" w:right="440" w:bottom="0" w:left="880" w:header="708" w:footer="708"/>
          <w:pgNumType w:start="2"/>
          <w:cols w:space="708"/>
          <w:titlePg w:val="0"/>
        </w:sectPr>
      </w:pPr>
    </w:p>
    <w:p>
      <w:pPr>
        <w:pStyle w:val="BodyText"/>
        <w:spacing w:before="60"/>
        <w:ind w:right="998"/>
        <w:jc w:val="right"/>
        <w:rPr>
          <w:rFonts w:ascii="黑体" w:hAnsi="黑体"/>
        </w:rPr>
      </w:pPr>
      <w:r>
        <w:rPr>
          <w:rFonts w:ascii="黑体" w:hAnsi="黑体"/>
        </w:rPr>
        <w:t>DB14/T 2983—2024</w:t>
      </w:r>
    </w:p>
    <w:p>
      <w:pPr>
        <w:pStyle w:val="BodyText"/>
        <w:rPr>
          <w:rFonts w:ascii="黑体"/>
          <w:sz w:val="20"/>
        </w:rPr>
      </w:pPr>
    </w:p>
    <w:p>
      <w:pPr>
        <w:tabs>
          <w:tab w:val="left" w:pos="955"/>
        </w:tabs>
        <w:spacing w:before="212"/>
        <w:ind w:left="0" w:right="517" w:firstLine="0"/>
        <w:jc w:val="center"/>
        <w:rPr>
          <w:rFonts w:ascii="黑体" w:eastAsia="黑体" w:hint="eastAsia"/>
          <w:sz w:val="32"/>
        </w:rPr>
      </w:pPr>
      <w:r>
        <w:rPr>
          <w:rFonts w:ascii="黑体" w:eastAsia="黑体" w:hint="eastAsia"/>
          <w:sz w:val="32"/>
        </w:rPr>
        <w:t>目</w:t>
        <w:tab/>
        <w:t>次</w:t>
      </w:r>
    </w:p>
    <w:p>
      <w:pPr>
        <w:pStyle w:val="BodyText"/>
        <w:tabs>
          <w:tab w:val="right" w:leader="dot" w:pos="9835"/>
        </w:tabs>
        <w:spacing w:before="476"/>
        <w:ind w:left="240"/>
      </w:pPr>
      <w:hyperlink w:anchor="_bookmark0" w:history="1">
        <w:r>
          <w:t>前言</w:t>
          <w:tab/>
          <w:t>III</w:t>
        </w:r>
      </w:hyperlink>
    </w:p>
    <w:p>
      <w:pPr>
        <w:pStyle w:val="ListParagraph"/>
        <w:numPr>
          <w:ilvl w:val="0"/>
          <w:numId w:val="9"/>
        </w:numPr>
        <w:tabs>
          <w:tab w:val="left" w:pos="557"/>
          <w:tab w:val="left" w:pos="559"/>
          <w:tab w:val="right" w:leader="dot" w:pos="9833"/>
        </w:tabs>
        <w:spacing w:before="131" w:after="0" w:line="240" w:lineRule="auto"/>
        <w:ind w:left="558" w:right="0" w:hanging="319"/>
        <w:jc w:val="left"/>
        <w:rPr>
          <w:sz w:val="21"/>
        </w:rPr>
      </w:pPr>
      <w:hyperlink w:anchor="_bookmark1" w:history="1">
        <w:r>
          <w:rPr>
            <w:spacing w:val="-3"/>
            <w:sz w:val="21"/>
          </w:rPr>
          <w:t>范围</w:t>
          <w:tab/>
        </w:r>
        <w:r>
          <w:rPr>
            <w:sz w:val="21"/>
          </w:rPr>
          <w:t>1</w:t>
        </w:r>
      </w:hyperlink>
    </w:p>
    <w:p>
      <w:pPr>
        <w:pStyle w:val="ListParagraph"/>
        <w:numPr>
          <w:ilvl w:val="0"/>
          <w:numId w:val="9"/>
        </w:numPr>
        <w:tabs>
          <w:tab w:val="left" w:pos="557"/>
          <w:tab w:val="left" w:pos="559"/>
          <w:tab w:val="right" w:leader="dot" w:pos="9833"/>
        </w:tabs>
        <w:spacing w:before="132" w:after="0" w:line="240" w:lineRule="auto"/>
        <w:ind w:left="558" w:right="0" w:hanging="319"/>
        <w:jc w:val="left"/>
        <w:rPr>
          <w:sz w:val="21"/>
        </w:rPr>
      </w:pPr>
      <w:hyperlink w:anchor="_bookmark2" w:history="1">
        <w:r>
          <w:rPr>
            <w:spacing w:val="-3"/>
            <w:sz w:val="21"/>
          </w:rPr>
          <w:t>规</w:t>
        </w:r>
        <w:r>
          <w:rPr>
            <w:sz w:val="21"/>
          </w:rPr>
          <w:t>范</w:t>
        </w:r>
        <w:r>
          <w:rPr>
            <w:spacing w:val="-3"/>
            <w:sz w:val="21"/>
          </w:rPr>
          <w:t>性</w:t>
        </w:r>
        <w:r>
          <w:rPr>
            <w:sz w:val="21"/>
          </w:rPr>
          <w:t>引</w:t>
        </w:r>
        <w:r>
          <w:rPr>
            <w:spacing w:val="-3"/>
            <w:sz w:val="21"/>
          </w:rPr>
          <w:t>用</w:t>
        </w:r>
        <w:r>
          <w:rPr>
            <w:sz w:val="21"/>
          </w:rPr>
          <w:t>文件</w:t>
          <w:tab/>
          <w:t>1</w:t>
        </w:r>
      </w:hyperlink>
    </w:p>
    <w:p>
      <w:pPr>
        <w:pStyle w:val="ListParagraph"/>
        <w:numPr>
          <w:ilvl w:val="0"/>
          <w:numId w:val="9"/>
        </w:numPr>
        <w:tabs>
          <w:tab w:val="left" w:pos="557"/>
          <w:tab w:val="left" w:pos="559"/>
          <w:tab w:val="right" w:leader="dot" w:pos="9833"/>
        </w:tabs>
        <w:spacing w:before="129" w:after="0" w:line="240" w:lineRule="auto"/>
        <w:ind w:left="558" w:right="0" w:hanging="319"/>
        <w:jc w:val="left"/>
        <w:rPr>
          <w:sz w:val="21"/>
        </w:rPr>
      </w:pPr>
      <w:hyperlink w:anchor="_bookmark3" w:history="1">
        <w:r>
          <w:rPr>
            <w:spacing w:val="-3"/>
            <w:sz w:val="21"/>
          </w:rPr>
          <w:t>术</w:t>
        </w:r>
        <w:r>
          <w:rPr>
            <w:sz w:val="21"/>
          </w:rPr>
          <w:t>语</w:t>
        </w:r>
        <w:r>
          <w:rPr>
            <w:spacing w:val="-3"/>
            <w:sz w:val="21"/>
          </w:rPr>
          <w:t>和</w:t>
        </w:r>
        <w:r>
          <w:rPr>
            <w:sz w:val="21"/>
          </w:rPr>
          <w:t>定义</w:t>
          <w:tab/>
          <w:t>1</w:t>
        </w:r>
      </w:hyperlink>
    </w:p>
    <w:p>
      <w:pPr>
        <w:pStyle w:val="ListParagraph"/>
        <w:numPr>
          <w:ilvl w:val="0"/>
          <w:numId w:val="9"/>
        </w:numPr>
        <w:tabs>
          <w:tab w:val="left" w:pos="557"/>
          <w:tab w:val="left" w:pos="559"/>
          <w:tab w:val="right" w:leader="dot" w:pos="9833"/>
        </w:tabs>
        <w:spacing w:before="132" w:after="0" w:line="240" w:lineRule="auto"/>
        <w:ind w:left="558" w:right="0" w:hanging="319"/>
        <w:jc w:val="left"/>
        <w:rPr>
          <w:sz w:val="21"/>
        </w:rPr>
      </w:pPr>
      <w:hyperlink w:anchor="_bookmark4" w:history="1">
        <w:r>
          <w:rPr>
            <w:spacing w:val="-3"/>
            <w:sz w:val="21"/>
          </w:rPr>
          <w:t>基</w:t>
        </w:r>
        <w:r>
          <w:rPr>
            <w:sz w:val="21"/>
          </w:rPr>
          <w:t>本</w:t>
        </w:r>
        <w:r>
          <w:rPr>
            <w:spacing w:val="-3"/>
            <w:sz w:val="21"/>
          </w:rPr>
          <w:t>要</w:t>
        </w:r>
        <w:r>
          <w:rPr>
            <w:sz w:val="21"/>
          </w:rPr>
          <w:t>求</w:t>
          <w:tab/>
          <w:t>1</w:t>
        </w:r>
      </w:hyperlink>
    </w:p>
    <w:p>
      <w:pPr>
        <w:pStyle w:val="ListParagraph"/>
        <w:numPr>
          <w:ilvl w:val="0"/>
          <w:numId w:val="9"/>
        </w:numPr>
        <w:tabs>
          <w:tab w:val="left" w:pos="557"/>
          <w:tab w:val="left" w:pos="559"/>
          <w:tab w:val="right" w:leader="dot" w:pos="9833"/>
        </w:tabs>
        <w:spacing w:before="132" w:after="0" w:line="240" w:lineRule="auto"/>
        <w:ind w:left="558" w:right="0" w:hanging="319"/>
        <w:jc w:val="left"/>
        <w:rPr>
          <w:sz w:val="21"/>
        </w:rPr>
      </w:pPr>
      <w:hyperlink w:anchor="_bookmark5" w:history="1">
        <w:r>
          <w:rPr>
            <w:spacing w:val="-3"/>
            <w:sz w:val="21"/>
          </w:rPr>
          <w:t>服务</w:t>
          <w:tab/>
        </w:r>
        <w:r>
          <w:rPr>
            <w:sz w:val="21"/>
          </w:rPr>
          <w:t>2</w:t>
        </w:r>
      </w:hyperlink>
    </w:p>
    <w:p>
      <w:pPr>
        <w:pStyle w:val="ListParagraph"/>
        <w:numPr>
          <w:ilvl w:val="0"/>
          <w:numId w:val="9"/>
        </w:numPr>
        <w:tabs>
          <w:tab w:val="left" w:pos="557"/>
          <w:tab w:val="left" w:pos="559"/>
          <w:tab w:val="right" w:leader="dot" w:pos="9833"/>
        </w:tabs>
        <w:spacing w:before="130" w:after="0" w:line="240" w:lineRule="auto"/>
        <w:ind w:left="558" w:right="0" w:hanging="319"/>
        <w:jc w:val="left"/>
        <w:rPr>
          <w:sz w:val="21"/>
        </w:rPr>
      </w:pPr>
      <w:hyperlink w:anchor="_bookmark6" w:history="1">
        <w:r>
          <w:rPr>
            <w:spacing w:val="-3"/>
            <w:sz w:val="21"/>
          </w:rPr>
          <w:t>管理</w:t>
          <w:tab/>
        </w:r>
        <w:r>
          <w:rPr>
            <w:sz w:val="21"/>
          </w:rPr>
          <w:t>6</w:t>
        </w:r>
      </w:hyperlink>
    </w:p>
    <w:p>
      <w:pPr>
        <w:pStyle w:val="ListParagraph"/>
        <w:numPr>
          <w:ilvl w:val="0"/>
          <w:numId w:val="9"/>
        </w:numPr>
        <w:tabs>
          <w:tab w:val="left" w:pos="557"/>
          <w:tab w:val="left" w:pos="559"/>
          <w:tab w:val="right" w:leader="dot" w:pos="9833"/>
        </w:tabs>
        <w:spacing w:before="132" w:after="0" w:line="240" w:lineRule="auto"/>
        <w:ind w:left="558" w:right="0" w:hanging="319"/>
        <w:jc w:val="left"/>
        <w:rPr>
          <w:sz w:val="21"/>
        </w:rPr>
      </w:pPr>
      <w:hyperlink w:anchor="_bookmark7" w:history="1">
        <w:r>
          <w:rPr>
            <w:spacing w:val="-3"/>
            <w:sz w:val="21"/>
          </w:rPr>
          <w:t>评</w:t>
        </w:r>
        <w:r>
          <w:rPr>
            <w:sz w:val="21"/>
          </w:rPr>
          <w:t>价</w:t>
        </w:r>
        <w:r>
          <w:rPr>
            <w:spacing w:val="-3"/>
            <w:sz w:val="21"/>
          </w:rPr>
          <w:t>与</w:t>
        </w:r>
        <w:r>
          <w:rPr>
            <w:sz w:val="21"/>
          </w:rPr>
          <w:t>改进</w:t>
          <w:tab/>
          <w:t>9</w:t>
        </w:r>
      </w:hyperlink>
    </w:p>
    <w:p>
      <w:pPr>
        <w:pStyle w:val="BodyText"/>
        <w:tabs>
          <w:tab w:val="left" w:pos="2079"/>
          <w:tab w:val="right" w:leader="dot" w:pos="9833"/>
        </w:tabs>
        <w:spacing w:before="131"/>
        <w:ind w:left="240"/>
      </w:pPr>
      <w:hyperlink w:anchor="_bookmark8" w:history="1">
        <w:r>
          <w:t>附录</w:t>
        </w:r>
        <w:r>
          <w:rPr>
            <w:spacing w:val="-51"/>
          </w:rPr>
          <w:t xml:space="preserve"> </w:t>
        </w:r>
        <w:r>
          <w:t>A（</w:t>
        </w:r>
        <w:r>
          <w:rPr>
            <w:spacing w:val="-3"/>
          </w:rPr>
          <w:t>规</w:t>
        </w:r>
        <w:r>
          <w:t>范</w:t>
        </w:r>
        <w:r>
          <w:rPr>
            <w:spacing w:val="-3"/>
          </w:rPr>
          <w:t>性</w:t>
        </w:r>
        <w:r>
          <w:t>）</w:t>
          <w:tab/>
          <w:t>知</w:t>
        </w:r>
        <w:r>
          <w:rPr>
            <w:spacing w:val="-3"/>
          </w:rPr>
          <w:t>识</w:t>
        </w:r>
        <w:r>
          <w:t>产权</w:t>
        </w:r>
        <w:r>
          <w:rPr>
            <w:spacing w:val="-3"/>
          </w:rPr>
          <w:t>维</w:t>
        </w:r>
        <w:r>
          <w:t>权</w:t>
        </w:r>
        <w:r>
          <w:rPr>
            <w:spacing w:val="-3"/>
          </w:rPr>
          <w:t>援</w:t>
        </w:r>
        <w:r>
          <w:t>助</w:t>
        </w:r>
        <w:r>
          <w:rPr>
            <w:spacing w:val="-3"/>
          </w:rPr>
          <w:t>普</w:t>
        </w:r>
        <w:r>
          <w:t>通</w:t>
        </w:r>
        <w:r>
          <w:rPr>
            <w:spacing w:val="-3"/>
          </w:rPr>
          <w:t>咨</w:t>
        </w:r>
        <w:r>
          <w:t>询</w:t>
        </w:r>
        <w:r>
          <w:rPr>
            <w:spacing w:val="-3"/>
          </w:rPr>
          <w:t>记</w:t>
        </w:r>
        <w:r>
          <w:t>录表</w:t>
          <w:tab/>
          <w:t>10</w:t>
        </w:r>
      </w:hyperlink>
    </w:p>
    <w:p>
      <w:pPr>
        <w:pStyle w:val="BodyText"/>
        <w:tabs>
          <w:tab w:val="left" w:pos="2079"/>
          <w:tab w:val="right" w:leader="dot" w:pos="9833"/>
        </w:tabs>
        <w:spacing w:before="130"/>
        <w:ind w:left="240"/>
      </w:pPr>
      <w:hyperlink w:anchor="_bookmark9" w:history="1">
        <w:r>
          <w:t>附录</w:t>
        </w:r>
        <w:r>
          <w:rPr>
            <w:spacing w:val="-51"/>
          </w:rPr>
          <w:t xml:space="preserve"> </w:t>
        </w:r>
        <w:r>
          <w:t>B（</w:t>
        </w:r>
        <w:r>
          <w:rPr>
            <w:spacing w:val="-3"/>
          </w:rPr>
          <w:t>规</w:t>
        </w:r>
        <w:r>
          <w:t>范</w:t>
        </w:r>
        <w:r>
          <w:rPr>
            <w:spacing w:val="-3"/>
          </w:rPr>
          <w:t>性</w:t>
        </w:r>
        <w:r>
          <w:t>）</w:t>
          <w:tab/>
          <w:t>知</w:t>
        </w:r>
        <w:r>
          <w:rPr>
            <w:spacing w:val="-3"/>
          </w:rPr>
          <w:t>识</w:t>
        </w:r>
        <w:r>
          <w:t>产权</w:t>
        </w:r>
        <w:r>
          <w:rPr>
            <w:spacing w:val="-3"/>
          </w:rPr>
          <w:t>维</w:t>
        </w:r>
        <w:r>
          <w:t>权援助</w:t>
        </w:r>
        <w:r>
          <w:rPr>
            <w:spacing w:val="-3"/>
          </w:rPr>
          <w:t>申</w:t>
        </w:r>
        <w:r>
          <w:t>请表</w:t>
          <w:tab/>
          <w:t>11</w:t>
        </w:r>
      </w:hyperlink>
    </w:p>
    <w:p>
      <w:pPr>
        <w:pStyle w:val="BodyText"/>
        <w:tabs>
          <w:tab w:val="left" w:pos="2079"/>
          <w:tab w:val="right" w:leader="dot" w:pos="9833"/>
        </w:tabs>
        <w:spacing w:before="131"/>
        <w:ind w:left="240"/>
      </w:pPr>
      <w:hyperlink w:anchor="_bookmark10" w:history="1">
        <w:r>
          <w:t>附录</w:t>
        </w:r>
        <w:r>
          <w:rPr>
            <w:spacing w:val="-51"/>
          </w:rPr>
          <w:t xml:space="preserve"> </w:t>
        </w:r>
        <w:r>
          <w:t>C（</w:t>
        </w:r>
        <w:r>
          <w:rPr>
            <w:spacing w:val="-3"/>
          </w:rPr>
          <w:t>资</w:t>
        </w:r>
        <w:r>
          <w:t>料</w:t>
        </w:r>
        <w:r>
          <w:rPr>
            <w:spacing w:val="-3"/>
          </w:rPr>
          <w:t>性</w:t>
        </w:r>
        <w:r>
          <w:t>）</w:t>
          <w:tab/>
          <w:t>委</w:t>
        </w:r>
        <w:r>
          <w:rPr>
            <w:spacing w:val="-3"/>
          </w:rPr>
          <w:t>托</w:t>
        </w:r>
        <w:r>
          <w:t>函</w:t>
          <w:tab/>
          <w:t>13</w:t>
        </w:r>
      </w:hyperlink>
    </w:p>
    <w:p>
      <w:pPr>
        <w:pStyle w:val="BodyText"/>
        <w:tabs>
          <w:tab w:val="left" w:pos="2079"/>
          <w:tab w:val="right" w:leader="dot" w:pos="9833"/>
        </w:tabs>
        <w:spacing w:before="132"/>
        <w:ind w:left="240"/>
      </w:pPr>
      <w:hyperlink w:anchor="_bookmark11" w:history="1">
        <w:r>
          <w:t>附录</w:t>
        </w:r>
        <w:r>
          <w:rPr>
            <w:spacing w:val="-51"/>
          </w:rPr>
          <w:t xml:space="preserve"> </w:t>
        </w:r>
        <w:r>
          <w:t>D（</w:t>
        </w:r>
        <w:r>
          <w:rPr>
            <w:spacing w:val="-3"/>
          </w:rPr>
          <w:t>规</w:t>
        </w:r>
        <w:r>
          <w:t>范</w:t>
        </w:r>
        <w:r>
          <w:rPr>
            <w:spacing w:val="-3"/>
          </w:rPr>
          <w:t>性</w:t>
        </w:r>
        <w:r>
          <w:t>）</w:t>
          <w:tab/>
          <w:t>侵</w:t>
        </w:r>
        <w:r>
          <w:rPr>
            <w:spacing w:val="-3"/>
          </w:rPr>
          <w:t>权</w:t>
        </w:r>
        <w:r>
          <w:t>判定</w:t>
        </w:r>
        <w:r>
          <w:rPr>
            <w:spacing w:val="-3"/>
          </w:rPr>
          <w:t>咨</w:t>
        </w:r>
        <w:r>
          <w:t>询表</w:t>
          <w:tab/>
          <w:t>14</w:t>
        </w:r>
      </w:hyperlink>
    </w:p>
    <w:p>
      <w:pPr>
        <w:pStyle w:val="BodyText"/>
        <w:tabs>
          <w:tab w:val="left" w:pos="2079"/>
          <w:tab w:val="right" w:leader="dot" w:pos="9833"/>
        </w:tabs>
        <w:spacing w:before="129"/>
        <w:ind w:left="240"/>
      </w:pPr>
      <w:hyperlink w:anchor="_bookmark12" w:history="1">
        <w:r>
          <w:t>附录</w:t>
        </w:r>
        <w:r>
          <w:rPr>
            <w:spacing w:val="-51"/>
          </w:rPr>
          <w:t xml:space="preserve"> </w:t>
        </w:r>
        <w:r>
          <w:t>E（</w:t>
        </w:r>
        <w:r>
          <w:rPr>
            <w:spacing w:val="-3"/>
          </w:rPr>
          <w:t>规</w:t>
        </w:r>
        <w:r>
          <w:t>范</w:t>
        </w:r>
        <w:r>
          <w:rPr>
            <w:spacing w:val="-3"/>
          </w:rPr>
          <w:t>性</w:t>
        </w:r>
        <w:r>
          <w:t>）</w:t>
          <w:tab/>
          <w:t>纠</w:t>
        </w:r>
        <w:r>
          <w:rPr>
            <w:spacing w:val="-3"/>
          </w:rPr>
          <w:t>纷</w:t>
        </w:r>
        <w:r>
          <w:t>调解</w:t>
        </w:r>
        <w:r>
          <w:rPr>
            <w:spacing w:val="-3"/>
          </w:rPr>
          <w:t>申</w:t>
        </w:r>
        <w:r>
          <w:t>请书</w:t>
          <w:tab/>
          <w:t>16</w:t>
        </w:r>
      </w:hyperlink>
    </w:p>
    <w:p>
      <w:pPr>
        <w:pStyle w:val="BodyText"/>
        <w:tabs>
          <w:tab w:val="left" w:pos="2079"/>
          <w:tab w:val="right" w:leader="dot" w:pos="9833"/>
        </w:tabs>
        <w:spacing w:before="132"/>
        <w:ind w:left="240"/>
      </w:pPr>
      <w:hyperlink w:anchor="_bookmark13" w:history="1">
        <w:r>
          <w:t>附录</w:t>
        </w:r>
        <w:r>
          <w:rPr>
            <w:spacing w:val="-51"/>
          </w:rPr>
          <w:t xml:space="preserve"> </w:t>
        </w:r>
        <w:r>
          <w:t>F（</w:t>
        </w:r>
        <w:r>
          <w:rPr>
            <w:spacing w:val="-3"/>
          </w:rPr>
          <w:t>规</w:t>
        </w:r>
        <w:r>
          <w:t>范</w:t>
        </w:r>
        <w:r>
          <w:rPr>
            <w:spacing w:val="-3"/>
          </w:rPr>
          <w:t>性</w:t>
        </w:r>
        <w:r>
          <w:t>）</w:t>
          <w:tab/>
          <w:t>调</w:t>
        </w:r>
        <w:r>
          <w:rPr>
            <w:spacing w:val="-3"/>
          </w:rPr>
          <w:t>解</w:t>
        </w:r>
        <w:r>
          <w:t>协议书</w:t>
          <w:tab/>
          <w:t>18</w:t>
        </w:r>
      </w:hyperlink>
    </w:p>
    <w:p>
      <w:pPr>
        <w:pStyle w:val="BodyText"/>
        <w:tabs>
          <w:tab w:val="left" w:pos="2079"/>
          <w:tab w:val="right" w:leader="dot" w:pos="9833"/>
        </w:tabs>
        <w:spacing w:before="132"/>
        <w:ind w:left="240"/>
      </w:pPr>
      <w:hyperlink w:anchor="_bookmark14" w:history="1">
        <w:r>
          <w:t>附录</w:t>
        </w:r>
        <w:r>
          <w:rPr>
            <w:spacing w:val="-51"/>
          </w:rPr>
          <w:t xml:space="preserve"> </w:t>
        </w:r>
        <w:r>
          <w:t>G（</w:t>
        </w:r>
        <w:r>
          <w:rPr>
            <w:spacing w:val="-3"/>
          </w:rPr>
          <w:t>规</w:t>
        </w:r>
        <w:r>
          <w:t>范</w:t>
        </w:r>
        <w:r>
          <w:rPr>
            <w:spacing w:val="-3"/>
          </w:rPr>
          <w:t>性</w:t>
        </w:r>
        <w:r>
          <w:t>）</w:t>
          <w:tab/>
          <w:t>海</w:t>
        </w:r>
        <w:r>
          <w:rPr>
            <w:spacing w:val="-3"/>
          </w:rPr>
          <w:t>外</w:t>
        </w:r>
        <w:r>
          <w:t>维权</w:t>
        </w:r>
        <w:r>
          <w:rPr>
            <w:spacing w:val="-3"/>
          </w:rPr>
          <w:t>指</w:t>
        </w:r>
        <w:r>
          <w:t>导</w:t>
        </w:r>
        <w:r>
          <w:rPr>
            <w:spacing w:val="-3"/>
          </w:rPr>
          <w:t>意</w:t>
        </w:r>
        <w:r>
          <w:t>见书</w:t>
          <w:tab/>
          <w:t>19</w:t>
        </w:r>
      </w:hyperlink>
    </w:p>
    <w:p>
      <w:pPr>
        <w:pStyle w:val="BodyText"/>
        <w:tabs>
          <w:tab w:val="left" w:pos="2079"/>
          <w:tab w:val="right" w:leader="dot" w:pos="9833"/>
        </w:tabs>
        <w:spacing w:before="130"/>
        <w:ind w:left="240"/>
      </w:pPr>
      <w:hyperlink w:anchor="_bookmark15" w:history="1">
        <w:r>
          <w:t>附录</w:t>
        </w:r>
        <w:r>
          <w:rPr>
            <w:spacing w:val="-51"/>
          </w:rPr>
          <w:t xml:space="preserve"> </w:t>
        </w:r>
        <w:r>
          <w:t>H（</w:t>
        </w:r>
        <w:r>
          <w:rPr>
            <w:spacing w:val="-3"/>
          </w:rPr>
          <w:t>规</w:t>
        </w:r>
        <w:r>
          <w:t>范</w:t>
        </w:r>
        <w:r>
          <w:rPr>
            <w:spacing w:val="-3"/>
          </w:rPr>
          <w:t>性</w:t>
        </w:r>
        <w:r>
          <w:t>）</w:t>
          <w:tab/>
          <w:t>知</w:t>
        </w:r>
        <w:r>
          <w:rPr>
            <w:spacing w:val="-3"/>
          </w:rPr>
          <w:t>识</w:t>
        </w:r>
        <w:r>
          <w:t>产权</w:t>
        </w:r>
        <w:r>
          <w:rPr>
            <w:spacing w:val="-3"/>
          </w:rPr>
          <w:t>维</w:t>
        </w:r>
        <w:r>
          <w:t>权</w:t>
        </w:r>
        <w:r>
          <w:rPr>
            <w:spacing w:val="-3"/>
          </w:rPr>
          <w:t>援</w:t>
        </w:r>
        <w:r>
          <w:t>助</w:t>
        </w:r>
        <w:r>
          <w:rPr>
            <w:spacing w:val="-3"/>
          </w:rPr>
          <w:t>专</w:t>
        </w:r>
        <w:r>
          <w:t>家</w:t>
        </w:r>
        <w:r>
          <w:rPr>
            <w:spacing w:val="-3"/>
          </w:rPr>
          <w:t>申</w:t>
        </w:r>
        <w:r>
          <w:t>请表</w:t>
          <w:tab/>
          <w:t>21</w:t>
        </w:r>
      </w:hyperlink>
    </w:p>
    <w:p>
      <w:pPr>
        <w:pStyle w:val="BodyText"/>
        <w:tabs>
          <w:tab w:val="left" w:pos="2079"/>
          <w:tab w:val="right" w:leader="dot" w:pos="9833"/>
        </w:tabs>
        <w:spacing w:before="131"/>
        <w:ind w:left="240"/>
      </w:pPr>
      <w:hyperlink w:anchor="_bookmark16" w:history="1">
        <w:r>
          <w:t>附录</w:t>
        </w:r>
        <w:r>
          <w:rPr>
            <w:spacing w:val="-51"/>
          </w:rPr>
          <w:t xml:space="preserve"> </w:t>
        </w:r>
        <w:r>
          <w:t>I（</w:t>
        </w:r>
        <w:r>
          <w:rPr>
            <w:spacing w:val="-3"/>
          </w:rPr>
          <w:t>规</w:t>
        </w:r>
        <w:r>
          <w:t>范</w:t>
        </w:r>
        <w:r>
          <w:rPr>
            <w:spacing w:val="-3"/>
          </w:rPr>
          <w:t>性</w:t>
        </w:r>
        <w:r>
          <w:t>）</w:t>
          <w:tab/>
          <w:t>知</w:t>
        </w:r>
        <w:r>
          <w:rPr>
            <w:spacing w:val="-3"/>
          </w:rPr>
          <w:t>识</w:t>
        </w:r>
        <w:r>
          <w:t>产权</w:t>
        </w:r>
        <w:r>
          <w:rPr>
            <w:spacing w:val="-3"/>
          </w:rPr>
          <w:t>维</w:t>
        </w:r>
        <w:r>
          <w:t>权</w:t>
        </w:r>
        <w:r>
          <w:rPr>
            <w:spacing w:val="-3"/>
          </w:rPr>
          <w:t>援</w:t>
        </w:r>
        <w:r>
          <w:t>助</w:t>
        </w:r>
        <w:r>
          <w:rPr>
            <w:spacing w:val="-3"/>
          </w:rPr>
          <w:t>志</w:t>
        </w:r>
        <w:r>
          <w:t>愿</w:t>
        </w:r>
        <w:r>
          <w:rPr>
            <w:spacing w:val="-3"/>
          </w:rPr>
          <w:t>者</w:t>
        </w:r>
        <w:r>
          <w:t>登</w:t>
        </w:r>
        <w:r>
          <w:rPr>
            <w:spacing w:val="-3"/>
          </w:rPr>
          <w:t>记</w:t>
        </w:r>
        <w:r>
          <w:t>表</w:t>
          <w:tab/>
          <w:t>25</w:t>
        </w:r>
      </w:hyperlink>
    </w:p>
    <w:p>
      <w:pPr>
        <w:pStyle w:val="BodyText"/>
        <w:tabs>
          <w:tab w:val="left" w:pos="2079"/>
          <w:tab w:val="right" w:leader="dot" w:pos="9833"/>
        </w:tabs>
        <w:spacing w:before="132"/>
        <w:ind w:left="240"/>
      </w:pPr>
      <w:hyperlink w:anchor="_bookmark17" w:history="1">
        <w:r>
          <w:t>附录</w:t>
        </w:r>
        <w:r>
          <w:rPr>
            <w:spacing w:val="-51"/>
          </w:rPr>
          <w:t xml:space="preserve"> </w:t>
        </w:r>
        <w:r>
          <w:t>J（</w:t>
        </w:r>
        <w:r>
          <w:rPr>
            <w:spacing w:val="-3"/>
          </w:rPr>
          <w:t>规</w:t>
        </w:r>
        <w:r>
          <w:t>范</w:t>
        </w:r>
        <w:r>
          <w:rPr>
            <w:spacing w:val="-3"/>
          </w:rPr>
          <w:t>性</w:t>
        </w:r>
        <w:r>
          <w:t>）</w:t>
          <w:tab/>
          <w:t>知</w:t>
        </w:r>
        <w:r>
          <w:rPr>
            <w:spacing w:val="-3"/>
          </w:rPr>
          <w:t>识</w:t>
        </w:r>
        <w:r>
          <w:t>产权</w:t>
        </w:r>
        <w:r>
          <w:rPr>
            <w:spacing w:val="-3"/>
          </w:rPr>
          <w:t>维</w:t>
        </w:r>
        <w:r>
          <w:t>权</w:t>
        </w:r>
        <w:r>
          <w:rPr>
            <w:spacing w:val="-3"/>
          </w:rPr>
          <w:t>援</w:t>
        </w:r>
        <w:r>
          <w:t>助</w:t>
        </w:r>
        <w:r>
          <w:rPr>
            <w:spacing w:val="-3"/>
          </w:rPr>
          <w:t>案</w:t>
        </w:r>
        <w:r>
          <w:t>件</w:t>
        </w:r>
        <w:r>
          <w:rPr>
            <w:spacing w:val="-3"/>
          </w:rPr>
          <w:t>卷</w:t>
        </w:r>
        <w:r>
          <w:t>宗</w:t>
          <w:tab/>
          <w:t>28</w:t>
        </w:r>
      </w:hyperlink>
    </w:p>
    <w:p>
      <w:pPr>
        <w:pStyle w:val="BodyText"/>
        <w:tabs>
          <w:tab w:val="left" w:pos="2079"/>
          <w:tab w:val="right" w:leader="dot" w:pos="9833"/>
        </w:tabs>
        <w:spacing w:before="129"/>
        <w:ind w:left="240"/>
      </w:pPr>
      <w:hyperlink w:anchor="_bookmark18" w:history="1">
        <w:r>
          <w:t>附录</w:t>
        </w:r>
        <w:r>
          <w:rPr>
            <w:spacing w:val="-51"/>
          </w:rPr>
          <w:t xml:space="preserve"> </w:t>
        </w:r>
        <w:r>
          <w:t>K（</w:t>
        </w:r>
        <w:r>
          <w:rPr>
            <w:spacing w:val="-3"/>
          </w:rPr>
          <w:t>规</w:t>
        </w:r>
        <w:r>
          <w:t>范</w:t>
        </w:r>
        <w:r>
          <w:rPr>
            <w:spacing w:val="-3"/>
          </w:rPr>
          <w:t>性</w:t>
        </w:r>
        <w:r>
          <w:t>）</w:t>
          <w:tab/>
          <w:t>知</w:t>
        </w:r>
        <w:r>
          <w:rPr>
            <w:spacing w:val="-3"/>
          </w:rPr>
          <w:t>识</w:t>
        </w:r>
        <w:r>
          <w:t>产权</w:t>
        </w:r>
        <w:r>
          <w:rPr>
            <w:spacing w:val="-3"/>
          </w:rPr>
          <w:t>维</w:t>
        </w:r>
        <w:r>
          <w:t>权</w:t>
        </w:r>
        <w:r>
          <w:rPr>
            <w:spacing w:val="-3"/>
          </w:rPr>
          <w:t>援</w:t>
        </w:r>
        <w:r>
          <w:t>助</w:t>
        </w:r>
        <w:r>
          <w:rPr>
            <w:spacing w:val="-3"/>
          </w:rPr>
          <w:t>办</w:t>
        </w:r>
        <w:r>
          <w:t>理表</w:t>
          <w:tab/>
          <w:t>30</w:t>
        </w:r>
      </w:hyperlink>
    </w:p>
    <w:p>
      <w:pPr>
        <w:pStyle w:val="BodyText"/>
        <w:tabs>
          <w:tab w:val="left" w:pos="2079"/>
          <w:tab w:val="right" w:leader="dot" w:pos="9833"/>
        </w:tabs>
        <w:spacing w:before="132"/>
        <w:ind w:left="240"/>
      </w:pPr>
      <w:hyperlink w:anchor="_bookmark19" w:history="1">
        <w:r>
          <w:t>附录</w:t>
        </w:r>
        <w:r>
          <w:rPr>
            <w:spacing w:val="-51"/>
          </w:rPr>
          <w:t xml:space="preserve"> </w:t>
        </w:r>
        <w:r>
          <w:t>L（</w:t>
        </w:r>
        <w:r>
          <w:rPr>
            <w:spacing w:val="-3"/>
          </w:rPr>
          <w:t>规</w:t>
        </w:r>
        <w:r>
          <w:t>范</w:t>
        </w:r>
        <w:r>
          <w:rPr>
            <w:spacing w:val="-3"/>
          </w:rPr>
          <w:t>性</w:t>
        </w:r>
        <w:r>
          <w:t>）</w:t>
          <w:tab/>
          <w:t>档</w:t>
        </w:r>
        <w:r>
          <w:rPr>
            <w:spacing w:val="-3"/>
          </w:rPr>
          <w:t>案</w:t>
        </w:r>
        <w:r>
          <w:t>号编</w:t>
        </w:r>
        <w:r>
          <w:rPr>
            <w:spacing w:val="-3"/>
          </w:rPr>
          <w:t>号</w:t>
        </w:r>
        <w:r>
          <w:t>规</w:t>
        </w:r>
        <w:r>
          <w:rPr>
            <w:spacing w:val="-3"/>
          </w:rPr>
          <w:t>则</w:t>
        </w:r>
        <w:r>
          <w:t>表</w:t>
          <w:tab/>
          <w:t>32</w:t>
        </w:r>
      </w:hyperlink>
    </w:p>
    <w:p>
      <w:pPr>
        <w:pStyle w:val="BodyText"/>
        <w:tabs>
          <w:tab w:val="left" w:pos="2079"/>
          <w:tab w:val="right" w:leader="dot" w:pos="9833"/>
        </w:tabs>
        <w:spacing w:before="132"/>
        <w:ind w:left="240"/>
      </w:pPr>
      <w:hyperlink w:anchor="_bookmark20" w:history="1">
        <w:r>
          <w:t>附录</w:t>
        </w:r>
        <w:r>
          <w:rPr>
            <w:spacing w:val="-51"/>
          </w:rPr>
          <w:t xml:space="preserve"> </w:t>
        </w:r>
        <w:r>
          <w:t>M（</w:t>
        </w:r>
        <w:r>
          <w:rPr>
            <w:spacing w:val="-3"/>
          </w:rPr>
          <w:t>规</w:t>
        </w:r>
        <w:r>
          <w:t>范</w:t>
        </w:r>
        <w:r>
          <w:rPr>
            <w:spacing w:val="-3"/>
          </w:rPr>
          <w:t>性</w:t>
        </w:r>
        <w:r>
          <w:t>）</w:t>
          <w:tab/>
          <w:t>知</w:t>
        </w:r>
        <w:r>
          <w:rPr>
            <w:spacing w:val="-3"/>
          </w:rPr>
          <w:t>识</w:t>
        </w:r>
        <w:r>
          <w:t>产权</w:t>
        </w:r>
        <w:r>
          <w:rPr>
            <w:spacing w:val="-3"/>
          </w:rPr>
          <w:t>维</w:t>
        </w:r>
        <w:r>
          <w:t>权</w:t>
        </w:r>
        <w:r>
          <w:rPr>
            <w:spacing w:val="-3"/>
          </w:rPr>
          <w:t>援</w:t>
        </w:r>
        <w:r>
          <w:t>助</w:t>
        </w:r>
        <w:r>
          <w:rPr>
            <w:spacing w:val="-3"/>
          </w:rPr>
          <w:t>机</w:t>
        </w:r>
        <w:r>
          <w:t>构</w:t>
        </w:r>
        <w:r>
          <w:rPr>
            <w:spacing w:val="-3"/>
          </w:rPr>
          <w:t>共</w:t>
        </w:r>
        <w:r>
          <w:t>享</w:t>
        </w:r>
        <w:r>
          <w:rPr>
            <w:spacing w:val="-3"/>
          </w:rPr>
          <w:t>资</w:t>
        </w:r>
        <w:r>
          <w:t>源申</w:t>
        </w:r>
        <w:r>
          <w:rPr>
            <w:spacing w:val="-3"/>
          </w:rPr>
          <w:t>请</w:t>
        </w:r>
        <w:r>
          <w:t>表</w:t>
          <w:tab/>
          <w:t>37</w:t>
        </w:r>
      </w:hyperlink>
    </w:p>
    <w:p>
      <w:pPr>
        <w:pStyle w:val="BodyText"/>
        <w:tabs>
          <w:tab w:val="left" w:pos="2079"/>
          <w:tab w:val="right" w:leader="dot" w:pos="9833"/>
        </w:tabs>
        <w:spacing w:before="129"/>
        <w:ind w:left="240"/>
      </w:pPr>
      <w:hyperlink w:anchor="_bookmark21" w:history="1">
        <w:r>
          <w:t>附录</w:t>
        </w:r>
        <w:r>
          <w:rPr>
            <w:spacing w:val="-51"/>
          </w:rPr>
          <w:t xml:space="preserve"> </w:t>
        </w:r>
        <w:r>
          <w:t>N（</w:t>
        </w:r>
        <w:r>
          <w:rPr>
            <w:spacing w:val="-3"/>
          </w:rPr>
          <w:t>规</w:t>
        </w:r>
        <w:r>
          <w:t>范</w:t>
        </w:r>
        <w:r>
          <w:rPr>
            <w:spacing w:val="-3"/>
          </w:rPr>
          <w:t>性</w:t>
        </w:r>
        <w:r>
          <w:t>）</w:t>
          <w:tab/>
          <w:t>知</w:t>
        </w:r>
        <w:r>
          <w:rPr>
            <w:spacing w:val="-3"/>
          </w:rPr>
          <w:t>识</w:t>
        </w:r>
        <w:r>
          <w:t>产权</w:t>
        </w:r>
        <w:r>
          <w:rPr>
            <w:spacing w:val="-3"/>
          </w:rPr>
          <w:t>维</w:t>
        </w:r>
        <w:r>
          <w:t>权</w:t>
        </w:r>
        <w:r>
          <w:rPr>
            <w:spacing w:val="-3"/>
          </w:rPr>
          <w:t>援</w:t>
        </w:r>
        <w:r>
          <w:t>助</w:t>
        </w:r>
        <w:r>
          <w:rPr>
            <w:spacing w:val="-3"/>
          </w:rPr>
          <w:t>分</w:t>
        </w:r>
        <w:r>
          <w:t>中</w:t>
        </w:r>
        <w:r>
          <w:rPr>
            <w:spacing w:val="-3"/>
          </w:rPr>
          <w:t>心</w:t>
        </w:r>
        <w:r>
          <w:t>、</w:t>
        </w:r>
        <w:r>
          <w:rPr>
            <w:spacing w:val="-3"/>
          </w:rPr>
          <w:t>工</w:t>
        </w:r>
        <w:r>
          <w:t>作站</w:t>
        </w:r>
        <w:r>
          <w:rPr>
            <w:spacing w:val="-3"/>
          </w:rPr>
          <w:t>评</w:t>
        </w:r>
        <w:r>
          <w:t>价</w:t>
        </w:r>
        <w:r>
          <w:rPr>
            <w:spacing w:val="-3"/>
          </w:rPr>
          <w:t>指</w:t>
        </w:r>
        <w:r>
          <w:t>标</w:t>
        </w:r>
        <w:r>
          <w:rPr>
            <w:spacing w:val="-3"/>
          </w:rPr>
          <w:t>评</w:t>
        </w:r>
        <w:r>
          <w:t>分表</w:t>
          <w:tab/>
          <w:t>38</w:t>
        </w:r>
      </w:hyperlink>
    </w:p>
    <w:p>
      <w:pPr>
        <w:pStyle w:val="BodyText"/>
        <w:tabs>
          <w:tab w:val="right" w:leader="dot" w:pos="9833"/>
        </w:tabs>
        <w:spacing w:before="132"/>
        <w:ind w:left="240"/>
      </w:pPr>
      <w:hyperlink w:anchor="_bookmark22" w:history="1">
        <w:r>
          <w:t>参考</w:t>
        </w:r>
        <w:r>
          <w:rPr>
            <w:spacing w:val="-3"/>
          </w:rPr>
          <w:t>文</w:t>
        </w:r>
        <w:r>
          <w:t>献</w:t>
          <w:tab/>
          <w:t>40</w:t>
        </w:r>
      </w:hyperlink>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3"/>
        <w:rPr>
          <w:sz w:val="15"/>
        </w:rPr>
      </w:pPr>
    </w:p>
    <w:p>
      <w:pPr>
        <w:spacing w:before="0"/>
        <w:ind w:left="245" w:right="0" w:firstLine="0"/>
        <w:jc w:val="left"/>
        <w:rPr>
          <w:sz w:val="18"/>
        </w:rPr>
      </w:pPr>
      <w:r>
        <w:rPr>
          <w:sz w:val="18"/>
        </w:rPr>
        <w:t>II</w:t>
      </w:r>
    </w:p>
    <w:p>
      <w:pPr>
        <w:spacing w:after="0"/>
        <w:jc w:val="left"/>
        <w:rPr>
          <w:sz w:val="18"/>
        </w:rPr>
        <w:sectPr>
          <w:pgSz w:w="11920" w:h="16850"/>
          <w:pgMar w:top="720" w:right="440" w:bottom="280" w:left="880" w:header="708" w:footer="708"/>
          <w:pgNumType w:start="3"/>
          <w:cols w:space="708"/>
        </w:sectPr>
      </w:pPr>
    </w:p>
    <w:p>
      <w:pPr>
        <w:pStyle w:val="BodyText"/>
        <w:spacing w:before="50"/>
        <w:ind w:left="240"/>
        <w:rPr>
          <w:rFonts w:ascii="黑体" w:hAnsi="黑体"/>
        </w:rPr>
      </w:pPr>
      <w:r>
        <w:rPr>
          <w:rFonts w:ascii="黑体" w:hAnsi="黑体"/>
        </w:rPr>
        <w:t>DB14/T 2983—2024</w:t>
      </w:r>
    </w:p>
    <w:p>
      <w:pPr>
        <w:pStyle w:val="Heading3"/>
        <w:tabs>
          <w:tab w:val="left" w:pos="955"/>
        </w:tabs>
        <w:spacing w:before="159"/>
        <w:ind w:right="517"/>
        <w:jc w:val="center"/>
        <w:rPr>
          <w:rFonts w:ascii="黑体" w:eastAsia="黑体" w:hint="eastAsia"/>
        </w:rPr>
      </w:pPr>
      <w:bookmarkStart w:id="0" w:name="_bookmark0"/>
      <w:bookmarkEnd w:id="0"/>
      <w:r>
        <w:rPr>
          <w:rFonts w:ascii="黑体" w:eastAsia="黑体" w:hint="eastAsia"/>
        </w:rPr>
        <w:t>前</w:t>
        <w:tab/>
        <w:t>言</w:t>
      </w:r>
    </w:p>
    <w:p>
      <w:pPr>
        <w:pStyle w:val="BodyText"/>
        <w:rPr>
          <w:rFonts w:ascii="黑体"/>
          <w:sz w:val="23"/>
        </w:rPr>
      </w:pPr>
    </w:p>
    <w:p>
      <w:pPr>
        <w:pStyle w:val="BodyText"/>
        <w:tabs>
          <w:tab w:val="left" w:pos="5156"/>
        </w:tabs>
        <w:spacing w:before="72" w:line="244" w:lineRule="auto"/>
        <w:ind w:left="240" w:right="751" w:firstLine="420"/>
      </w:pPr>
      <w:r>
        <w:t>本文</w:t>
      </w:r>
      <w:r>
        <w:rPr>
          <w:spacing w:val="-3"/>
        </w:rPr>
        <w:t>件</w:t>
      </w:r>
      <w:r>
        <w:t>按照</w:t>
      </w:r>
      <w:r>
        <w:rPr>
          <w:spacing w:val="-23"/>
        </w:rPr>
        <w:t xml:space="preserve"> </w:t>
      </w:r>
      <w:r>
        <w:t>GB/T</w:t>
      </w:r>
      <w:r>
        <w:rPr>
          <w:spacing w:val="3"/>
        </w:rPr>
        <w:t xml:space="preserve"> </w:t>
      </w:r>
      <w:r>
        <w:t>1.1—2020《</w:t>
      </w:r>
      <w:r>
        <w:rPr>
          <w:spacing w:val="-3"/>
        </w:rPr>
        <w:t>标</w:t>
      </w:r>
      <w:r>
        <w:t>准</w:t>
      </w:r>
      <w:r>
        <w:rPr>
          <w:spacing w:val="-3"/>
        </w:rPr>
        <w:t>化</w:t>
      </w:r>
      <w:r>
        <w:t>工</w:t>
      </w:r>
      <w:r>
        <w:rPr>
          <w:spacing w:val="-3"/>
        </w:rPr>
        <w:t>作</w:t>
      </w:r>
      <w:r>
        <w:t>导则</w:t>
        <w:tab/>
        <w:t>第</w:t>
      </w:r>
      <w:r>
        <w:rPr>
          <w:spacing w:val="-14"/>
        </w:rPr>
        <w:t xml:space="preserve"> </w:t>
      </w:r>
      <w:r>
        <w:t>1</w:t>
      </w:r>
      <w:r>
        <w:rPr>
          <w:spacing w:val="-13"/>
        </w:rPr>
        <w:t xml:space="preserve"> </w:t>
      </w:r>
      <w:r>
        <w:t>部</w:t>
      </w:r>
      <w:r>
        <w:rPr>
          <w:spacing w:val="-3"/>
        </w:rPr>
        <w:t>分</w:t>
      </w:r>
      <w:r>
        <w:t>：</w:t>
      </w:r>
      <w:r>
        <w:rPr>
          <w:spacing w:val="-3"/>
        </w:rPr>
        <w:t>标</w:t>
      </w:r>
      <w:r>
        <w:t>准</w:t>
      </w:r>
      <w:r>
        <w:rPr>
          <w:spacing w:val="-3"/>
        </w:rPr>
        <w:t>化</w:t>
      </w:r>
      <w:r>
        <w:t>文</w:t>
      </w:r>
      <w:r>
        <w:rPr>
          <w:spacing w:val="-3"/>
        </w:rPr>
        <w:t>件</w:t>
      </w:r>
      <w:r>
        <w:t>的</w:t>
      </w:r>
      <w:r>
        <w:rPr>
          <w:spacing w:val="-3"/>
        </w:rPr>
        <w:t>结</w:t>
      </w:r>
      <w:r>
        <w:t>构和</w:t>
      </w:r>
      <w:r>
        <w:rPr>
          <w:spacing w:val="-3"/>
        </w:rPr>
        <w:t>起</w:t>
      </w:r>
      <w:r>
        <w:t>草</w:t>
      </w:r>
      <w:r>
        <w:rPr>
          <w:spacing w:val="-3"/>
        </w:rPr>
        <w:t>规</w:t>
      </w:r>
      <w:r>
        <w:t>则</w:t>
      </w:r>
      <w:r>
        <w:rPr>
          <w:spacing w:val="-3"/>
        </w:rPr>
        <w:t>》</w:t>
      </w:r>
      <w:r>
        <w:t>的</w:t>
      </w:r>
      <w:r>
        <w:rPr>
          <w:spacing w:val="-3"/>
        </w:rPr>
        <w:t>规</w:t>
      </w:r>
      <w:r>
        <w:t>定起草。</w:t>
      </w:r>
    </w:p>
    <w:p>
      <w:pPr>
        <w:pStyle w:val="BodyText"/>
        <w:spacing w:line="244" w:lineRule="auto"/>
        <w:ind w:left="661" w:right="2150"/>
      </w:pPr>
      <w:r>
        <w:t>请注意本文件的某些内容可能涉及专利。本文件的发布机构不承担识别专利的责任。本文件由山西省知识产权局提出、组织实施和监督检查。</w:t>
      </w:r>
    </w:p>
    <w:p>
      <w:pPr>
        <w:pStyle w:val="BodyText"/>
        <w:spacing w:line="244" w:lineRule="auto"/>
        <w:ind w:left="661" w:right="4251"/>
      </w:pPr>
      <w:r>
        <w:t>山西省市场监督管理局对标准的组织实施情况进行监督检查。本文件由山西省市知识产权标准化技术委员会归口。</w:t>
      </w:r>
    </w:p>
    <w:p>
      <w:pPr>
        <w:pStyle w:val="BodyText"/>
        <w:spacing w:line="265" w:lineRule="exact"/>
        <w:ind w:left="661"/>
      </w:pPr>
      <w:r>
        <w:t>本文件起草单位：山西省知识产权保护中心。</w:t>
      </w:r>
    </w:p>
    <w:p>
      <w:pPr>
        <w:pStyle w:val="BodyText"/>
        <w:spacing w:before="58" w:line="187" w:lineRule="auto"/>
        <w:ind w:left="228" w:right="700" w:firstLine="420"/>
      </w:pPr>
      <w:r>
        <w:t>本文件起草人：王冰瑶、马浩波、袁倩、王大江、李心迪、啜敏、刘志刚、徐宇琦、崔鹤、杨楠、童媛媛。</w:t>
      </w:r>
    </w:p>
    <w:p>
      <w:pPr>
        <w:spacing w:after="0" w:line="187" w:lineRule="auto"/>
        <w:sectPr>
          <w:footerReference w:type="default" r:id="rId5"/>
          <w:pgSz w:w="11920" w:h="16850"/>
          <w:pgMar w:top="1040" w:right="440" w:bottom="1440" w:left="880" w:header="0" w:footer="1255"/>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3"/>
        </w:rPr>
      </w:pPr>
    </w:p>
    <w:p>
      <w:pPr>
        <w:pStyle w:val="BodyText"/>
        <w:ind w:left="1502"/>
        <w:rPr>
          <w:sz w:val="20"/>
        </w:rPr>
      </w:pPr>
      <w:r>
        <w:rPr>
          <w:sz w:val="20"/>
        </w:rPr>
        <w:drawing>
          <wp:inline distT="0" distB="0" distL="0" distR="0">
            <wp:extent cx="4364831" cy="4364831"/>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4364831" cy="4364831"/>
                    </a:xfrm>
                    <a:prstGeom prst="rect">
                      <a:avLst/>
                    </a:prstGeom>
                  </pic:spPr>
                </pic:pic>
              </a:graphicData>
            </a:graphic>
          </wp:inline>
        </w:drawing>
      </w:r>
    </w:p>
    <w:p>
      <w:pPr>
        <w:spacing w:after="0"/>
        <w:rPr>
          <w:sz w:val="20"/>
        </w:rPr>
        <w:sectPr>
          <w:footerReference w:type="even" r:id="rId7"/>
          <w:footerReference w:type="default" r:id="rId8"/>
          <w:pgSz w:w="11920" w:h="16850"/>
          <w:pgMar w:top="1600" w:right="440" w:bottom="280" w:left="880" w:header="0" w:footer="0"/>
          <w:pgNumType w:start="5"/>
          <w:cols w:space="708"/>
        </w:sectPr>
      </w:pPr>
    </w:p>
    <w:p>
      <w:pPr>
        <w:pStyle w:val="Heading3"/>
        <w:spacing w:before="75"/>
        <w:ind w:right="517"/>
        <w:jc w:val="center"/>
        <w:rPr>
          <w:rFonts w:ascii="黑体" w:eastAsia="黑体" w:hint="eastAsia"/>
        </w:rPr>
      </w:pPr>
      <w:r>
        <w:rPr>
          <w:rFonts w:ascii="黑体" w:eastAsia="黑体" w:hint="eastAsia"/>
        </w:rPr>
        <w:t>知识产权维权援助机构服务与管理规范</w:t>
      </w:r>
    </w:p>
    <w:p>
      <w:pPr>
        <w:pStyle w:val="BodyText"/>
        <w:rPr>
          <w:rFonts w:ascii="黑体"/>
          <w:sz w:val="20"/>
        </w:rPr>
      </w:pPr>
    </w:p>
    <w:p>
      <w:pPr>
        <w:pStyle w:val="BodyText"/>
        <w:spacing w:before="11"/>
        <w:rPr>
          <w:rFonts w:ascii="黑体"/>
          <w:sz w:val="23"/>
        </w:rPr>
      </w:pPr>
    </w:p>
    <w:p>
      <w:pPr>
        <w:pStyle w:val="ListParagraph"/>
        <w:numPr>
          <w:ilvl w:val="0"/>
          <w:numId w:val="10"/>
        </w:numPr>
        <w:tabs>
          <w:tab w:val="left" w:pos="541"/>
          <w:tab w:val="left" w:pos="542"/>
        </w:tabs>
        <w:spacing w:before="72" w:after="0" w:line="240" w:lineRule="auto"/>
        <w:ind w:left="541" w:right="0" w:hanging="302"/>
        <w:jc w:val="left"/>
        <w:rPr>
          <w:rFonts w:ascii="黑体" w:eastAsia="黑体" w:hint="eastAsia"/>
          <w:sz w:val="21"/>
        </w:rPr>
      </w:pPr>
      <w:bookmarkStart w:id="1" w:name="_bookmark1"/>
      <w:bookmarkEnd w:id="1"/>
      <w:r>
        <w:rPr>
          <w:rFonts w:ascii="黑体" w:eastAsia="黑体" w:hint="eastAsia"/>
          <w:sz w:val="21"/>
        </w:rPr>
        <w:t>范围</w:t>
      </w:r>
    </w:p>
    <w:p>
      <w:pPr>
        <w:pStyle w:val="BodyText"/>
        <w:spacing w:before="11"/>
        <w:rPr>
          <w:rFonts w:ascii="黑体"/>
          <w:sz w:val="18"/>
        </w:rPr>
      </w:pPr>
    </w:p>
    <w:p>
      <w:pPr>
        <w:pStyle w:val="BodyText"/>
        <w:spacing w:line="244" w:lineRule="auto"/>
        <w:ind w:left="240" w:right="751" w:firstLine="420"/>
      </w:pPr>
      <w:r>
        <w:rPr>
          <w:spacing w:val="-6"/>
        </w:rPr>
        <w:t>本文件规定了知识产权维权援助机构服务与管理相关的术语和定义、基本要求、服务、管理以及评价</w:t>
      </w:r>
      <w:r>
        <w:rPr>
          <w:spacing w:val="-4"/>
        </w:rPr>
        <w:t>与改进方面的内容。</w:t>
      </w:r>
    </w:p>
    <w:p>
      <w:pPr>
        <w:pStyle w:val="BodyText"/>
        <w:spacing w:line="244" w:lineRule="auto"/>
        <w:ind w:left="240" w:right="651" w:firstLine="420"/>
      </w:pPr>
      <w:r>
        <w:rPr>
          <w:spacing w:val="-4"/>
        </w:rPr>
        <w:t>本文件适用于各级知识产权维权援助机构开展知识产权维权援助服务及管理。各类知识产权服务站、</w:t>
      </w:r>
      <w:r>
        <w:rPr>
          <w:spacing w:val="-3"/>
        </w:rPr>
        <w:t>知识产权工作站及其他承担知识产权维权援助工作的机构可参照执行。</w:t>
      </w:r>
    </w:p>
    <w:p>
      <w:pPr>
        <w:pStyle w:val="BodyText"/>
        <w:spacing w:before="1"/>
        <w:rPr>
          <w:sz w:val="18"/>
        </w:rPr>
      </w:pPr>
    </w:p>
    <w:p>
      <w:pPr>
        <w:pStyle w:val="ListParagraph"/>
        <w:numPr>
          <w:ilvl w:val="0"/>
          <w:numId w:val="10"/>
        </w:numPr>
        <w:tabs>
          <w:tab w:val="left" w:pos="541"/>
          <w:tab w:val="left" w:pos="542"/>
        </w:tabs>
        <w:spacing w:before="1" w:after="0" w:line="240" w:lineRule="auto"/>
        <w:ind w:left="541" w:right="0" w:hanging="302"/>
        <w:jc w:val="left"/>
        <w:rPr>
          <w:rFonts w:ascii="黑体" w:eastAsia="黑体" w:hint="eastAsia"/>
          <w:sz w:val="21"/>
        </w:rPr>
      </w:pPr>
      <w:bookmarkStart w:id="2" w:name="_bookmark2"/>
      <w:bookmarkEnd w:id="2"/>
      <w:r>
        <w:rPr>
          <w:rFonts w:ascii="黑体" w:eastAsia="黑体" w:hint="eastAsia"/>
          <w:spacing w:val="-2"/>
          <w:sz w:val="21"/>
        </w:rPr>
        <w:t>规范性引用文件</w:t>
      </w:r>
    </w:p>
    <w:p>
      <w:pPr>
        <w:pStyle w:val="BodyText"/>
        <w:spacing w:before="1"/>
        <w:rPr>
          <w:rFonts w:ascii="黑体"/>
          <w:sz w:val="19"/>
        </w:rPr>
      </w:pPr>
    </w:p>
    <w:p>
      <w:pPr>
        <w:pStyle w:val="BodyText"/>
        <w:spacing w:line="242" w:lineRule="auto"/>
        <w:ind w:left="240" w:right="651" w:firstLine="420"/>
      </w:pPr>
      <w:r>
        <w:drawing>
          <wp:anchor distT="0" distB="0" distL="0" distR="0" simplePos="0" relativeHeight="251660288" behindDoc="0" locked="0" layoutInCell="1" allowOverlap="1">
            <wp:simplePos x="0" y="0"/>
            <wp:positionH relativeFrom="page">
              <wp:posOffset>1512722</wp:posOffset>
            </wp:positionH>
            <wp:positionV relativeFrom="paragraph">
              <wp:posOffset>-44694</wp:posOffset>
            </wp:positionV>
            <wp:extent cx="4538182" cy="4538182"/>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6" cstate="print"/>
                    <a:stretch>
                      <a:fillRect/>
                    </a:stretch>
                  </pic:blipFill>
                  <pic:spPr>
                    <a:xfrm>
                      <a:off x="0" y="0"/>
                      <a:ext cx="4538182" cy="4538182"/>
                    </a:xfrm>
                    <a:prstGeom prst="rect">
                      <a:avLst/>
                    </a:prstGeom>
                  </pic:spPr>
                </pic:pic>
              </a:graphicData>
            </a:graphic>
          </wp:anchor>
        </w:drawing>
      </w:r>
      <w:r>
        <w:rPr>
          <w:spacing w:val="-4"/>
        </w:rPr>
        <w:t xml:space="preserve">下列文件中的内容通过文中的规范性引用而构成本文件必不可少的条款。其中，注日期的引用文件， </w:t>
      </w:r>
      <w:r>
        <w:rPr>
          <w:spacing w:val="-6"/>
        </w:rPr>
        <w:t>仅该日期对应的版本适用于本文件；不注日期的引用文件，其最新版本</w:t>
      </w:r>
      <w:r>
        <w:t>（</w:t>
      </w:r>
      <w:r>
        <w:rPr>
          <w:spacing w:val="-3"/>
        </w:rPr>
        <w:t>包括所有的修改单</w:t>
      </w:r>
      <w:r>
        <w:rPr>
          <w:spacing w:val="-20"/>
        </w:rPr>
        <w:t>）</w:t>
      </w:r>
      <w:r>
        <w:rPr>
          <w:spacing w:val="-3"/>
        </w:rPr>
        <w:t>适用于本文件。</w:t>
      </w:r>
    </w:p>
    <w:p>
      <w:pPr>
        <w:pStyle w:val="BodyText"/>
        <w:tabs>
          <w:tab w:val="left" w:pos="2132"/>
        </w:tabs>
        <w:spacing w:before="1"/>
        <w:ind w:left="661"/>
      </w:pPr>
      <w:r>
        <w:t>GB/T 10001.1</w:t>
        <w:tab/>
      </w:r>
      <w:r>
        <w:rPr>
          <w:spacing w:val="-7"/>
        </w:rPr>
        <w:t xml:space="preserve">标志用公共信息图形符号 第 </w:t>
      </w:r>
      <w:r>
        <w:t>1</w:t>
      </w:r>
      <w:r>
        <w:rPr>
          <w:spacing w:val="-9"/>
        </w:rPr>
        <w:t xml:space="preserve"> 部分：通用符号</w:t>
      </w:r>
    </w:p>
    <w:p>
      <w:pPr>
        <w:pStyle w:val="BodyText"/>
        <w:tabs>
          <w:tab w:val="left" w:pos="1712"/>
        </w:tabs>
        <w:spacing w:before="2"/>
        <w:ind w:left="661"/>
      </w:pPr>
      <w:r>
        <w:t>GB 15630</w:t>
        <w:tab/>
      </w:r>
      <w:r>
        <w:rPr>
          <w:spacing w:val="-3"/>
        </w:rPr>
        <w:t>消防安全标志设置要求</w:t>
      </w:r>
    </w:p>
    <w:p>
      <w:pPr>
        <w:pStyle w:val="BodyText"/>
        <w:spacing w:before="1"/>
        <w:rPr>
          <w:sz w:val="19"/>
        </w:rPr>
      </w:pPr>
    </w:p>
    <w:p>
      <w:pPr>
        <w:pStyle w:val="ListParagraph"/>
        <w:numPr>
          <w:ilvl w:val="0"/>
          <w:numId w:val="10"/>
        </w:numPr>
        <w:tabs>
          <w:tab w:val="left" w:pos="541"/>
          <w:tab w:val="left" w:pos="542"/>
        </w:tabs>
        <w:spacing w:before="0" w:after="0" w:line="240" w:lineRule="auto"/>
        <w:ind w:left="541" w:right="0" w:hanging="302"/>
        <w:jc w:val="left"/>
        <w:rPr>
          <w:rFonts w:ascii="黑体" w:eastAsia="黑体" w:hint="eastAsia"/>
          <w:sz w:val="21"/>
        </w:rPr>
      </w:pPr>
      <w:bookmarkStart w:id="3" w:name="_bookmark3"/>
      <w:bookmarkEnd w:id="3"/>
      <w:r>
        <w:rPr>
          <w:rFonts w:ascii="黑体" w:eastAsia="黑体" w:hint="eastAsia"/>
          <w:spacing w:val="-1"/>
          <w:sz w:val="21"/>
        </w:rPr>
        <w:t>术语和定义</w:t>
      </w:r>
    </w:p>
    <w:p>
      <w:pPr>
        <w:pStyle w:val="BodyText"/>
        <w:spacing w:before="4"/>
        <w:rPr>
          <w:rFonts w:ascii="黑体"/>
          <w:sz w:val="13"/>
        </w:rPr>
      </w:pPr>
    </w:p>
    <w:p>
      <w:pPr>
        <w:pStyle w:val="BodyText"/>
        <w:spacing w:before="72"/>
        <w:ind w:left="661"/>
      </w:pPr>
      <w:r>
        <w:t>下列术语和定义适用于本文件。</w:t>
      </w:r>
    </w:p>
    <w:p>
      <w:pPr>
        <w:pStyle w:val="ListParagraph"/>
        <w:numPr>
          <w:ilvl w:val="1"/>
          <w:numId w:val="10"/>
        </w:numPr>
        <w:tabs>
          <w:tab w:val="left" w:pos="543"/>
        </w:tabs>
        <w:spacing w:before="134" w:after="0" w:line="240" w:lineRule="auto"/>
        <w:ind w:left="543" w:right="0" w:hanging="303"/>
        <w:jc w:val="left"/>
        <w:rPr>
          <w:rFonts w:ascii="黑体"/>
          <w:sz w:val="20"/>
        </w:rPr>
      </w:pPr>
    </w:p>
    <w:p>
      <w:pPr>
        <w:pStyle w:val="BodyText"/>
        <w:spacing w:before="125"/>
        <w:ind w:left="661"/>
        <w:rPr>
          <w:rFonts w:ascii="黑体" w:eastAsia="黑体" w:hint="eastAsia"/>
        </w:rPr>
      </w:pPr>
      <w:r>
        <w:rPr>
          <w:rFonts w:ascii="黑体" w:eastAsia="黑体" w:hint="eastAsia"/>
        </w:rPr>
        <w:t>知识产权维权援助</w:t>
      </w:r>
    </w:p>
    <w:p>
      <w:pPr>
        <w:pStyle w:val="BodyText"/>
        <w:spacing w:before="5"/>
        <w:ind w:left="661"/>
      </w:pPr>
      <w:r>
        <w:t>为存在作品、专利、商标、地理标志、商业秘密、集成电路布图设计、植物新品种等知识产权维权需</w:t>
      </w:r>
    </w:p>
    <w:p>
      <w:pPr>
        <w:pStyle w:val="BodyText"/>
        <w:spacing w:before="2"/>
        <w:ind w:left="240"/>
      </w:pPr>
      <w:r>
        <w:t>求的自然人、法人或其他组织的援助申请提供的公益援助。</w:t>
      </w:r>
    </w:p>
    <w:p>
      <w:pPr>
        <w:pStyle w:val="ListParagraph"/>
        <w:numPr>
          <w:ilvl w:val="1"/>
          <w:numId w:val="10"/>
        </w:numPr>
        <w:tabs>
          <w:tab w:val="left" w:pos="543"/>
        </w:tabs>
        <w:spacing w:before="135" w:after="0" w:line="240" w:lineRule="auto"/>
        <w:ind w:left="543" w:right="0" w:hanging="303"/>
        <w:jc w:val="left"/>
        <w:rPr>
          <w:rFonts w:ascii="黑体"/>
          <w:sz w:val="20"/>
        </w:rPr>
      </w:pPr>
    </w:p>
    <w:p>
      <w:pPr>
        <w:pStyle w:val="BodyText"/>
        <w:spacing w:before="125"/>
        <w:ind w:left="661"/>
        <w:rPr>
          <w:rFonts w:ascii="黑体" w:eastAsia="黑体" w:hint="eastAsia"/>
        </w:rPr>
      </w:pPr>
      <w:r>
        <w:rPr>
          <w:rFonts w:ascii="黑体" w:eastAsia="黑体" w:hint="eastAsia"/>
        </w:rPr>
        <w:t>知识产权维权援助机构</w:t>
      </w:r>
    </w:p>
    <w:p>
      <w:pPr>
        <w:pStyle w:val="BodyText"/>
        <w:spacing w:before="4" w:line="242" w:lineRule="auto"/>
        <w:ind w:left="240" w:right="751" w:firstLine="420"/>
        <w:jc w:val="both"/>
      </w:pPr>
      <w:r>
        <w:rPr>
          <w:spacing w:val="-6"/>
        </w:rPr>
        <w:t>国家知识产权局和地方共同建设的知识产权保护中心、知识产权快速维权中心、知识产权维权援助中</w:t>
      </w:r>
      <w:r>
        <w:rPr>
          <w:spacing w:val="-9"/>
        </w:rPr>
        <w:t>心，以及地方知识产权管理部门推动设立的知识产权维权援助分中心、知识产权维权援助工作站等能够开</w:t>
      </w:r>
      <w:r>
        <w:rPr>
          <w:spacing w:val="-5"/>
        </w:rPr>
        <w:t>展维权援助工作的机构</w:t>
      </w:r>
      <w:r>
        <w:rPr>
          <w:spacing w:val="-3"/>
        </w:rPr>
        <w:t>（以下简称“援助机构”</w:t>
      </w:r>
      <w:r>
        <w:t>）。</w:t>
      </w:r>
    </w:p>
    <w:p>
      <w:pPr>
        <w:pStyle w:val="ListParagraph"/>
        <w:numPr>
          <w:ilvl w:val="1"/>
          <w:numId w:val="10"/>
        </w:numPr>
        <w:tabs>
          <w:tab w:val="left" w:pos="543"/>
        </w:tabs>
        <w:spacing w:before="131" w:after="0" w:line="240" w:lineRule="auto"/>
        <w:ind w:left="543" w:right="0" w:hanging="303"/>
        <w:jc w:val="left"/>
        <w:rPr>
          <w:rFonts w:ascii="黑体"/>
          <w:sz w:val="20"/>
        </w:rPr>
      </w:pPr>
    </w:p>
    <w:p>
      <w:pPr>
        <w:pStyle w:val="BodyText"/>
        <w:spacing w:before="128"/>
        <w:ind w:left="661"/>
        <w:rPr>
          <w:rFonts w:ascii="黑体" w:eastAsia="黑体" w:hint="eastAsia"/>
        </w:rPr>
      </w:pPr>
      <w:r>
        <w:rPr>
          <w:rFonts w:ascii="黑体" w:eastAsia="黑体" w:hint="eastAsia"/>
        </w:rPr>
        <w:t>知识产权维权援助分中心</w:t>
      </w:r>
    </w:p>
    <w:p>
      <w:pPr>
        <w:pStyle w:val="BodyText"/>
        <w:spacing w:before="2" w:line="244" w:lineRule="auto"/>
        <w:ind w:left="240" w:right="751" w:firstLine="420"/>
      </w:pPr>
      <w:r>
        <w:rPr>
          <w:spacing w:val="-8"/>
        </w:rPr>
        <w:t>由各地市知识产权管理部门申请，经省知识产权管理部门批复后设立，负责本市级行政区域范围内的</w:t>
      </w:r>
      <w:r>
        <w:rPr>
          <w:spacing w:val="-5"/>
        </w:rPr>
        <w:t>知识产权维权援助服务的援助机构</w:t>
      </w:r>
      <w:r>
        <w:rPr>
          <w:spacing w:val="-3"/>
        </w:rPr>
        <w:t>（以下简称“分中心”</w:t>
      </w:r>
      <w:r>
        <w:t>）。</w:t>
      </w:r>
    </w:p>
    <w:p>
      <w:pPr>
        <w:pStyle w:val="ListParagraph"/>
        <w:numPr>
          <w:ilvl w:val="1"/>
          <w:numId w:val="10"/>
        </w:numPr>
        <w:tabs>
          <w:tab w:val="left" w:pos="543"/>
        </w:tabs>
        <w:spacing w:before="126" w:after="0" w:line="240" w:lineRule="auto"/>
        <w:ind w:left="543" w:right="0" w:hanging="303"/>
        <w:jc w:val="left"/>
        <w:rPr>
          <w:rFonts w:ascii="黑体"/>
          <w:sz w:val="20"/>
        </w:rPr>
      </w:pPr>
    </w:p>
    <w:p>
      <w:pPr>
        <w:pStyle w:val="BodyText"/>
        <w:spacing w:before="128"/>
        <w:ind w:left="661"/>
        <w:rPr>
          <w:rFonts w:ascii="黑体" w:eastAsia="黑体" w:hint="eastAsia"/>
        </w:rPr>
      </w:pPr>
      <w:r>
        <w:rPr>
          <w:rFonts w:ascii="黑体" w:eastAsia="黑体" w:hint="eastAsia"/>
        </w:rPr>
        <w:t>知识产权维权援助工作站</w:t>
      </w:r>
    </w:p>
    <w:p>
      <w:pPr>
        <w:pStyle w:val="BodyText"/>
        <w:spacing w:before="2" w:line="242" w:lineRule="auto"/>
        <w:ind w:left="240" w:right="751" w:firstLine="420"/>
        <w:jc w:val="both"/>
      </w:pPr>
      <w:r>
        <w:rPr>
          <w:spacing w:val="-5"/>
        </w:rPr>
        <w:t>由各县</w:t>
      </w:r>
      <w:r>
        <w:t>（</w:t>
      </w:r>
      <w:r>
        <w:rPr>
          <w:spacing w:val="-3"/>
        </w:rPr>
        <w:t>区</w:t>
      </w:r>
      <w:r>
        <w:rPr>
          <w:spacing w:val="-13"/>
        </w:rPr>
        <w:t>）</w:t>
      </w:r>
      <w:r>
        <w:rPr>
          <w:spacing w:val="-8"/>
        </w:rPr>
        <w:t>行政区域的相关园区、行业协会、高校、社会组织或其他主体申请，经所属市级知识产权管理部门或市级维权援助机构批复，并在省级知识产权维权援助机构备案后设立，负责所在区域范围内</w:t>
      </w:r>
      <w:r>
        <w:rPr>
          <w:spacing w:val="-5"/>
        </w:rPr>
        <w:t>的知识产权维权援助服务援助机构</w:t>
      </w:r>
      <w:r>
        <w:rPr>
          <w:spacing w:val="-3"/>
        </w:rPr>
        <w:t>（以下简称“工作站”</w:t>
      </w:r>
      <w:r>
        <w:t>）。</w:t>
      </w:r>
    </w:p>
    <w:p>
      <w:pPr>
        <w:pStyle w:val="BodyText"/>
        <w:spacing w:before="10"/>
        <w:rPr>
          <w:sz w:val="18"/>
        </w:rPr>
      </w:pPr>
    </w:p>
    <w:p>
      <w:pPr>
        <w:pStyle w:val="ListParagraph"/>
        <w:numPr>
          <w:ilvl w:val="0"/>
          <w:numId w:val="10"/>
        </w:numPr>
        <w:tabs>
          <w:tab w:val="left" w:pos="541"/>
          <w:tab w:val="left" w:pos="542"/>
        </w:tabs>
        <w:spacing w:before="0" w:after="0" w:line="240" w:lineRule="auto"/>
        <w:ind w:left="541" w:right="0" w:hanging="302"/>
        <w:jc w:val="left"/>
        <w:rPr>
          <w:rFonts w:ascii="黑体" w:eastAsia="黑体" w:hint="eastAsia"/>
          <w:sz w:val="21"/>
        </w:rPr>
      </w:pPr>
      <w:bookmarkStart w:id="4" w:name="_bookmark4"/>
      <w:bookmarkEnd w:id="4"/>
      <w:r>
        <w:rPr>
          <w:rFonts w:ascii="黑体" w:eastAsia="黑体" w:hint="eastAsia"/>
          <w:spacing w:val="-1"/>
          <w:sz w:val="21"/>
        </w:rPr>
        <w:t>基本要求</w:t>
      </w:r>
    </w:p>
    <w:p>
      <w:pPr>
        <w:pStyle w:val="BodyText"/>
        <w:spacing w:before="1"/>
        <w:rPr>
          <w:rFonts w:ascii="黑体"/>
          <w:sz w:val="19"/>
        </w:rPr>
      </w:pPr>
    </w:p>
    <w:p>
      <w:pPr>
        <w:pStyle w:val="ListParagraph"/>
        <w:numPr>
          <w:ilvl w:val="1"/>
          <w:numId w:val="10"/>
        </w:numPr>
        <w:tabs>
          <w:tab w:val="left" w:pos="741"/>
        </w:tabs>
        <w:spacing w:before="0" w:after="0" w:line="240" w:lineRule="auto"/>
        <w:ind w:left="740" w:right="0" w:hanging="501"/>
        <w:jc w:val="left"/>
        <w:rPr>
          <w:rFonts w:ascii="黑体" w:eastAsia="黑体" w:hint="eastAsia"/>
          <w:sz w:val="21"/>
        </w:rPr>
      </w:pPr>
      <w:r>
        <w:rPr>
          <w:rFonts w:ascii="黑体" w:eastAsia="黑体" w:hint="eastAsia"/>
          <w:spacing w:val="-1"/>
          <w:sz w:val="21"/>
        </w:rPr>
        <w:t>公平公正</w:t>
      </w:r>
    </w:p>
    <w:p>
      <w:pPr>
        <w:pStyle w:val="BodyText"/>
        <w:spacing w:before="122" w:line="244" w:lineRule="auto"/>
        <w:ind w:left="240" w:right="753" w:firstLine="420"/>
      </w:pPr>
      <w:r>
        <w:rPr>
          <w:spacing w:val="-7"/>
        </w:rPr>
        <w:t>援助机构应坚持以事实为根据，以法律为准绳，兼顾实体公正和程序公正，不徇私，不偏袒任何一方</w:t>
      </w:r>
      <w:r>
        <w:rPr>
          <w:spacing w:val="-5"/>
        </w:rPr>
        <w:t>当事人，以公允的态度、公正的立场开展服务。</w:t>
      </w:r>
    </w:p>
    <w:p>
      <w:pPr>
        <w:spacing w:after="0" w:line="244" w:lineRule="auto"/>
        <w:sectPr>
          <w:headerReference w:type="even" r:id="rId9"/>
          <w:headerReference w:type="default" r:id="rId10"/>
          <w:footerReference w:type="even" r:id="rId11"/>
          <w:footerReference w:type="default" r:id="rId12"/>
          <w:pgSz w:w="11920" w:h="16850"/>
          <w:pgMar w:top="1440" w:right="440" w:bottom="1440" w:left="880" w:header="1232" w:footer="1255"/>
          <w:pgNumType w:start="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4"/>
        </w:rPr>
      </w:pPr>
    </w:p>
    <w:p>
      <w:pPr>
        <w:pStyle w:val="ListParagraph"/>
        <w:numPr>
          <w:ilvl w:val="1"/>
          <w:numId w:val="8"/>
        </w:numPr>
        <w:tabs>
          <w:tab w:val="left" w:pos="741"/>
        </w:tabs>
        <w:spacing w:before="71" w:after="0" w:line="240" w:lineRule="auto"/>
        <w:ind w:left="740" w:right="0" w:hanging="501"/>
        <w:jc w:val="left"/>
        <w:rPr>
          <w:rFonts w:ascii="黑体" w:eastAsia="黑体" w:hint="eastAsia"/>
          <w:sz w:val="21"/>
        </w:rPr>
      </w:pPr>
      <w:r>
        <w:rPr>
          <w:rFonts w:ascii="黑体" w:eastAsia="黑体" w:hint="eastAsia"/>
          <w:spacing w:val="-1"/>
          <w:sz w:val="21"/>
        </w:rPr>
        <w:t>自愿请求</w:t>
      </w:r>
    </w:p>
    <w:p>
      <w:pPr>
        <w:pStyle w:val="BodyText"/>
        <w:spacing w:before="123"/>
        <w:ind w:left="661"/>
      </w:pPr>
      <w:r>
        <w:t>对于符合申请条件,援助机构应依据申请人请求援助的事项开展服务。</w:t>
      </w:r>
    </w:p>
    <w:p>
      <w:pPr>
        <w:pStyle w:val="ListParagraph"/>
        <w:numPr>
          <w:ilvl w:val="1"/>
          <w:numId w:val="8"/>
        </w:numPr>
        <w:tabs>
          <w:tab w:val="left" w:pos="741"/>
        </w:tabs>
        <w:spacing w:before="124" w:after="0" w:line="240" w:lineRule="auto"/>
        <w:ind w:left="740" w:right="0" w:hanging="501"/>
        <w:jc w:val="left"/>
        <w:rPr>
          <w:rFonts w:ascii="黑体" w:eastAsia="黑体" w:hint="eastAsia"/>
          <w:sz w:val="21"/>
        </w:rPr>
      </w:pPr>
      <w:r>
        <w:rPr>
          <w:rFonts w:ascii="黑体" w:eastAsia="黑体" w:hint="eastAsia"/>
          <w:spacing w:val="-1"/>
          <w:sz w:val="21"/>
        </w:rPr>
        <w:t>保密回避</w:t>
      </w:r>
    </w:p>
    <w:p>
      <w:pPr>
        <w:pStyle w:val="BodyText"/>
        <w:spacing w:before="122" w:line="242" w:lineRule="auto"/>
        <w:ind w:left="240" w:right="751" w:firstLine="420"/>
        <w:jc w:val="both"/>
      </w:pPr>
      <w:r>
        <w:rPr>
          <w:spacing w:val="-8"/>
        </w:rPr>
        <w:t>援助机构及其工作人员、专家和志愿者对申请人的个人信息、技术信息和商业秘密承担保密义务；上</w:t>
      </w:r>
      <w:r>
        <w:rPr>
          <w:spacing w:val="-10"/>
        </w:rPr>
        <w:t>述人员与申请人、待审查的援助申请有利害关系，可能影响申请人获得援助的，应自行申请回避；申请人</w:t>
      </w:r>
      <w:r>
        <w:rPr>
          <w:spacing w:val="-5"/>
        </w:rPr>
        <w:t>亦有权申请其回避。</w:t>
      </w:r>
    </w:p>
    <w:p>
      <w:pPr>
        <w:pStyle w:val="ListParagraph"/>
        <w:numPr>
          <w:ilvl w:val="1"/>
          <w:numId w:val="8"/>
        </w:numPr>
        <w:tabs>
          <w:tab w:val="left" w:pos="741"/>
        </w:tabs>
        <w:spacing w:before="123" w:after="0" w:line="240" w:lineRule="auto"/>
        <w:ind w:left="740" w:right="0" w:hanging="501"/>
        <w:jc w:val="left"/>
        <w:rPr>
          <w:rFonts w:ascii="黑体" w:eastAsia="黑体" w:hint="eastAsia"/>
          <w:sz w:val="21"/>
        </w:rPr>
      </w:pPr>
      <w:r>
        <w:rPr>
          <w:rFonts w:ascii="黑体" w:eastAsia="黑体" w:hint="eastAsia"/>
          <w:spacing w:val="-1"/>
          <w:sz w:val="21"/>
        </w:rPr>
        <w:t>主动服务</w:t>
      </w:r>
    </w:p>
    <w:p>
      <w:pPr>
        <w:pStyle w:val="BodyText"/>
        <w:spacing w:before="123"/>
        <w:ind w:left="661"/>
      </w:pPr>
      <w:r>
        <w:t>援助机构应主动全面提供援助服务，对于各类申请，均应实施相应援助或提出咨询指导意见。</w:t>
      </w:r>
    </w:p>
    <w:p>
      <w:pPr>
        <w:pStyle w:val="BodyText"/>
        <w:spacing w:before="1"/>
        <w:rPr>
          <w:sz w:val="19"/>
        </w:rPr>
      </w:pPr>
    </w:p>
    <w:p>
      <w:pPr>
        <w:pStyle w:val="ListParagraph"/>
        <w:numPr>
          <w:ilvl w:val="0"/>
          <w:numId w:val="8"/>
        </w:numPr>
        <w:tabs>
          <w:tab w:val="left" w:pos="541"/>
          <w:tab w:val="left" w:pos="542"/>
        </w:tabs>
        <w:spacing w:before="0" w:after="0" w:line="240" w:lineRule="auto"/>
        <w:ind w:left="541" w:right="0" w:hanging="302"/>
        <w:jc w:val="left"/>
        <w:rPr>
          <w:rFonts w:ascii="黑体" w:eastAsia="黑体" w:hint="eastAsia"/>
          <w:sz w:val="21"/>
        </w:rPr>
      </w:pPr>
      <w:bookmarkStart w:id="5" w:name="_bookmark5"/>
      <w:bookmarkEnd w:id="5"/>
      <w:r>
        <w:rPr>
          <w:rFonts w:ascii="黑体" w:eastAsia="黑体" w:hint="eastAsia"/>
          <w:sz w:val="21"/>
        </w:rPr>
        <w:t>服务</w:t>
      </w:r>
    </w:p>
    <w:p>
      <w:pPr>
        <w:pStyle w:val="BodyText"/>
        <w:spacing w:before="12"/>
        <w:rPr>
          <w:rFonts w:ascii="黑体"/>
          <w:sz w:val="18"/>
        </w:rPr>
      </w:pPr>
    </w:p>
    <w:p>
      <w:pPr>
        <w:pStyle w:val="ListParagraph"/>
        <w:numPr>
          <w:ilvl w:val="1"/>
          <w:numId w:val="8"/>
        </w:numPr>
        <w:tabs>
          <w:tab w:val="left" w:pos="741"/>
        </w:tabs>
        <w:spacing w:before="0" w:after="0" w:line="240" w:lineRule="auto"/>
        <w:ind w:left="740" w:right="0" w:hanging="501"/>
        <w:jc w:val="left"/>
        <w:rPr>
          <w:rFonts w:ascii="黑体" w:eastAsia="黑体" w:hint="eastAsia"/>
          <w:sz w:val="21"/>
        </w:rPr>
      </w:pPr>
      <w:r>
        <w:rPr>
          <w:rFonts w:ascii="黑体" w:eastAsia="黑体" w:hint="eastAsia"/>
          <w:spacing w:val="-1"/>
          <w:sz w:val="21"/>
        </w:rPr>
        <w:t>普通咨询</w:t>
      </w:r>
    </w:p>
    <w:p>
      <w:pPr>
        <w:pStyle w:val="ListParagraph"/>
        <w:numPr>
          <w:ilvl w:val="2"/>
          <w:numId w:val="8"/>
        </w:numPr>
        <w:tabs>
          <w:tab w:val="left" w:pos="941"/>
          <w:tab w:val="left" w:pos="943"/>
        </w:tabs>
        <w:spacing w:before="124" w:after="0" w:line="240" w:lineRule="auto"/>
        <w:ind w:left="942" w:right="0" w:hanging="703"/>
        <w:jc w:val="left"/>
        <w:rPr>
          <w:rFonts w:ascii="黑体" w:eastAsia="黑体" w:hint="eastAsia"/>
          <w:sz w:val="21"/>
        </w:rPr>
      </w:pPr>
      <w:r>
        <w:rPr>
          <w:rFonts w:ascii="黑体" w:eastAsia="黑体" w:hint="eastAsia"/>
          <w:spacing w:val="-3"/>
          <w:sz w:val="21"/>
        </w:rPr>
        <w:t>普通咨询包含以下内容：</w:t>
      </w:r>
    </w:p>
    <w:p>
      <w:pPr>
        <w:spacing w:before="122"/>
        <w:ind w:left="666" w:right="0" w:firstLine="0"/>
        <w:jc w:val="left"/>
        <w:rPr>
          <w:sz w:val="21"/>
        </w:rPr>
      </w:pPr>
      <w:r>
        <w:rPr>
          <w:rFonts w:ascii="Times New Roman" w:eastAsia="Times New Roman" w:hAnsi="Times New Roman"/>
          <w:spacing w:val="-4"/>
          <w:sz w:val="20"/>
        </w:rPr>
        <w:t xml:space="preserve">—— </w:t>
      </w:r>
      <w:r>
        <w:rPr>
          <w:spacing w:val="-3"/>
          <w:sz w:val="21"/>
        </w:rPr>
        <w:t>知识产权法律法规咨询；</w:t>
      </w:r>
    </w:p>
    <w:p>
      <w:pPr>
        <w:spacing w:before="5"/>
        <w:ind w:left="666" w:right="0" w:firstLine="0"/>
        <w:jc w:val="left"/>
        <w:rPr>
          <w:sz w:val="21"/>
        </w:rPr>
      </w:pPr>
      <w:r>
        <w:rPr>
          <w:rFonts w:ascii="Times New Roman" w:eastAsia="Times New Roman" w:hAnsi="Times New Roman"/>
          <w:spacing w:val="-4"/>
          <w:sz w:val="20"/>
        </w:rPr>
        <w:t xml:space="preserve">—— </w:t>
      </w:r>
      <w:r>
        <w:rPr>
          <w:spacing w:val="-3"/>
          <w:sz w:val="21"/>
        </w:rPr>
        <w:t>知识产权法律状态查询；</w:t>
      </w:r>
    </w:p>
    <w:p>
      <w:pPr>
        <w:pStyle w:val="BodyText"/>
        <w:spacing w:before="2"/>
        <w:ind w:left="666"/>
      </w:pPr>
      <w:r>
        <w:rPr>
          <w:rFonts w:ascii="Times New Roman" w:eastAsia="Times New Roman" w:hAnsi="Times New Roman"/>
          <w:sz w:val="20"/>
        </w:rPr>
        <w:t xml:space="preserve">—— </w:t>
      </w:r>
      <w:r>
        <w:t>知识产权纠纷解决方式建议；</w:t>
      </w:r>
    </w:p>
    <w:p>
      <w:pPr>
        <w:spacing w:before="2"/>
        <w:ind w:left="666" w:right="0" w:firstLine="0"/>
        <w:jc w:val="left"/>
        <w:rPr>
          <w:sz w:val="21"/>
        </w:rPr>
      </w:pPr>
      <w:r>
        <w:rPr>
          <w:rFonts w:ascii="Times New Roman" w:eastAsia="Times New Roman" w:hAnsi="Times New Roman"/>
          <w:sz w:val="20"/>
        </w:rPr>
        <w:t xml:space="preserve">—— </w:t>
      </w:r>
      <w:r>
        <w:rPr>
          <w:sz w:val="21"/>
        </w:rPr>
        <w:t>知识产权服务机构推介；</w:t>
      </w:r>
    </w:p>
    <w:p>
      <w:pPr>
        <w:pStyle w:val="BodyText"/>
        <w:spacing w:before="5"/>
        <w:ind w:left="666"/>
      </w:pPr>
      <w:r>
        <w:rPr>
          <w:rFonts w:ascii="Times New Roman" w:eastAsia="Times New Roman" w:hAnsi="Times New Roman"/>
          <w:sz w:val="20"/>
        </w:rPr>
        <w:t xml:space="preserve">—— </w:t>
      </w:r>
      <w:r>
        <w:t>其他与知识产权有关的普通信息类咨询。</w:t>
      </w:r>
    </w:p>
    <w:p>
      <w:pPr>
        <w:pStyle w:val="ListParagraph"/>
        <w:numPr>
          <w:ilvl w:val="2"/>
          <w:numId w:val="8"/>
        </w:numPr>
        <w:tabs>
          <w:tab w:val="left" w:pos="941"/>
          <w:tab w:val="left" w:pos="943"/>
        </w:tabs>
        <w:spacing w:before="122" w:after="0" w:line="240" w:lineRule="auto"/>
        <w:ind w:left="942" w:right="0" w:hanging="703"/>
        <w:jc w:val="left"/>
        <w:rPr>
          <w:rFonts w:ascii="黑体" w:eastAsia="黑体" w:hint="eastAsia"/>
          <w:sz w:val="21"/>
        </w:rPr>
      </w:pPr>
      <w:r>
        <w:rPr>
          <w:rFonts w:ascii="黑体" w:eastAsia="黑体" w:hint="eastAsia"/>
          <w:spacing w:val="-1"/>
          <w:sz w:val="21"/>
        </w:rPr>
        <w:t>申请受理</w:t>
      </w:r>
    </w:p>
    <w:p>
      <w:pPr>
        <w:pStyle w:val="BodyText"/>
        <w:spacing w:before="125" w:line="242" w:lineRule="auto"/>
        <w:ind w:left="240" w:right="753" w:firstLine="420"/>
        <w:jc w:val="both"/>
      </w:pPr>
      <w:r>
        <w:rPr>
          <w:spacing w:val="-8"/>
        </w:rPr>
        <w:t>申请人可通过电话、来访、网络、信函等方式提出普通咨询申请。工作人员应准确记录申请人信息及</w:t>
      </w:r>
      <w:r>
        <w:rPr>
          <w:spacing w:val="-9"/>
        </w:rPr>
        <w:t xml:space="preserve">咨询内容等，记录格式按附录 </w:t>
      </w:r>
      <w:r>
        <w:t>A</w:t>
      </w:r>
      <w:r>
        <w:rPr>
          <w:spacing w:val="-15"/>
        </w:rPr>
        <w:t xml:space="preserve"> 执行。</w:t>
      </w:r>
    </w:p>
    <w:p>
      <w:pPr>
        <w:pStyle w:val="ListParagraph"/>
        <w:numPr>
          <w:ilvl w:val="2"/>
          <w:numId w:val="8"/>
        </w:numPr>
        <w:tabs>
          <w:tab w:val="left" w:pos="941"/>
          <w:tab w:val="left" w:pos="943"/>
        </w:tabs>
        <w:spacing w:before="121" w:after="0" w:line="240" w:lineRule="auto"/>
        <w:ind w:left="942" w:right="0" w:hanging="703"/>
        <w:jc w:val="left"/>
        <w:rPr>
          <w:rFonts w:ascii="黑体" w:eastAsia="黑体" w:hint="eastAsia"/>
          <w:sz w:val="21"/>
        </w:rPr>
      </w:pPr>
      <w:r>
        <w:rPr>
          <w:rFonts w:ascii="黑体" w:eastAsia="黑体" w:hint="eastAsia"/>
          <w:sz w:val="21"/>
        </w:rPr>
        <w:t>答复</w:t>
      </w:r>
    </w:p>
    <w:p>
      <w:pPr>
        <w:pStyle w:val="BodyText"/>
        <w:spacing w:before="122" w:line="244" w:lineRule="auto"/>
        <w:ind w:left="240" w:right="751" w:firstLine="420"/>
        <w:jc w:val="both"/>
      </w:pPr>
      <w:r>
        <w:rPr>
          <w:spacing w:val="-5"/>
        </w:rPr>
        <w:t>工作人员宜综合运用个人专业知识和所在援助机构的技术手段即时对咨询进行答复；当下难以做出准</w:t>
      </w:r>
      <w:r>
        <w:rPr>
          <w:spacing w:val="-21"/>
        </w:rPr>
        <w:t xml:space="preserve">确回答的，应在 </w:t>
      </w:r>
      <w:r>
        <w:t>2</w:t>
      </w:r>
      <w:r>
        <w:rPr>
          <w:spacing w:val="-15"/>
        </w:rPr>
        <w:t xml:space="preserve"> 个工作日内以口头或电子信函等形式进行答复，并进行登记。对于信息量大的咨询事项，</w:t>
      </w:r>
    </w:p>
    <w:p>
      <w:pPr>
        <w:pStyle w:val="BodyText"/>
        <w:spacing w:line="265" w:lineRule="exact"/>
        <w:ind w:left="240"/>
      </w:pPr>
      <w:r>
        <w:t>经批准可适当延长答复时间，最长不超过 5 个工作日。</w:t>
      </w:r>
    </w:p>
    <w:p>
      <w:pPr>
        <w:pStyle w:val="ListParagraph"/>
        <w:numPr>
          <w:ilvl w:val="1"/>
          <w:numId w:val="8"/>
        </w:numPr>
        <w:tabs>
          <w:tab w:val="left" w:pos="741"/>
        </w:tabs>
        <w:spacing w:before="125" w:after="0" w:line="240" w:lineRule="auto"/>
        <w:ind w:left="740" w:right="0" w:hanging="501"/>
        <w:jc w:val="left"/>
        <w:rPr>
          <w:rFonts w:ascii="黑体" w:eastAsia="黑体" w:hint="eastAsia"/>
          <w:sz w:val="21"/>
        </w:rPr>
      </w:pPr>
      <w:r>
        <w:rPr>
          <w:rFonts w:ascii="黑体" w:eastAsia="黑体" w:hint="eastAsia"/>
          <w:spacing w:val="-1"/>
          <w:sz w:val="21"/>
        </w:rPr>
        <w:t>专项援助</w:t>
      </w:r>
    </w:p>
    <w:p>
      <w:pPr>
        <w:pStyle w:val="ListParagraph"/>
        <w:numPr>
          <w:ilvl w:val="2"/>
          <w:numId w:val="8"/>
        </w:numPr>
        <w:tabs>
          <w:tab w:val="left" w:pos="941"/>
          <w:tab w:val="left" w:pos="943"/>
        </w:tabs>
        <w:spacing w:before="122" w:after="0" w:line="240" w:lineRule="auto"/>
        <w:ind w:left="942" w:right="0" w:hanging="703"/>
        <w:jc w:val="left"/>
        <w:rPr>
          <w:rFonts w:ascii="黑体" w:eastAsia="黑体" w:hint="eastAsia"/>
          <w:sz w:val="21"/>
        </w:rPr>
      </w:pPr>
      <w:r>
        <w:rPr>
          <w:rFonts w:ascii="黑体" w:eastAsia="黑体" w:hint="eastAsia"/>
          <w:spacing w:val="-3"/>
          <w:sz w:val="21"/>
        </w:rPr>
        <w:t>侵权判定咨询</w:t>
      </w:r>
    </w:p>
    <w:p>
      <w:pPr>
        <w:pStyle w:val="ListParagraph"/>
        <w:numPr>
          <w:ilvl w:val="3"/>
          <w:numId w:val="8"/>
        </w:numPr>
        <w:tabs>
          <w:tab w:val="left" w:pos="1142"/>
        </w:tabs>
        <w:spacing w:before="124" w:after="0" w:line="240" w:lineRule="auto"/>
        <w:ind w:left="1141" w:right="0" w:hanging="902"/>
        <w:jc w:val="left"/>
        <w:rPr>
          <w:rFonts w:ascii="黑体" w:eastAsia="黑体" w:hint="eastAsia"/>
          <w:sz w:val="21"/>
        </w:rPr>
      </w:pPr>
      <w:r>
        <w:rPr>
          <w:rFonts w:ascii="黑体" w:eastAsia="黑体" w:hint="eastAsia"/>
          <w:spacing w:val="-1"/>
          <w:sz w:val="21"/>
        </w:rPr>
        <w:t>申请受理</w:t>
      </w:r>
    </w:p>
    <w:p>
      <w:pPr>
        <w:pStyle w:val="ListParagraph"/>
        <w:numPr>
          <w:ilvl w:val="4"/>
          <w:numId w:val="8"/>
        </w:numPr>
        <w:tabs>
          <w:tab w:val="left" w:pos="1341"/>
        </w:tabs>
        <w:spacing w:before="123" w:after="0" w:line="244" w:lineRule="auto"/>
        <w:ind w:left="240" w:right="762" w:firstLine="0"/>
        <w:jc w:val="left"/>
        <w:rPr>
          <w:sz w:val="21"/>
        </w:rPr>
      </w:pPr>
      <w:r>
        <w:rPr>
          <w:spacing w:val="-1"/>
          <w:sz w:val="21"/>
        </w:rPr>
        <w:t>申请人可通过电话、来访、网络、信函等方式提出维权援助申请，并填写《知识产权维权援</w:t>
      </w:r>
      <w:r>
        <w:rPr>
          <w:spacing w:val="-2"/>
          <w:sz w:val="21"/>
        </w:rPr>
        <w:t>助申请表》</w:t>
      </w:r>
      <w:r>
        <w:rPr>
          <w:sz w:val="21"/>
        </w:rPr>
        <w:t>（</w:t>
      </w:r>
      <w:r>
        <w:rPr>
          <w:spacing w:val="-19"/>
          <w:sz w:val="21"/>
        </w:rPr>
        <w:t xml:space="preserve">附录 </w:t>
      </w:r>
      <w:r>
        <w:rPr>
          <w:sz w:val="21"/>
        </w:rPr>
        <w:t>B）：</w:t>
      </w:r>
    </w:p>
    <w:p>
      <w:pPr>
        <w:pStyle w:val="BodyText"/>
        <w:spacing w:line="265" w:lineRule="exact"/>
        <w:ind w:left="666"/>
      </w:pPr>
      <w:r>
        <w:rPr>
          <w:rFonts w:ascii="Times New Roman" w:eastAsia="Times New Roman" w:hAnsi="Times New Roman"/>
          <w:sz w:val="20"/>
        </w:rPr>
        <w:t xml:space="preserve">—— </w:t>
      </w:r>
      <w:r>
        <w:t>自主申请的，应以书面形式提交申请，并提供包括但不限于以下材料：</w:t>
      </w:r>
    </w:p>
    <w:p>
      <w:pPr>
        <w:pStyle w:val="ListParagraph"/>
        <w:numPr>
          <w:ilvl w:val="5"/>
          <w:numId w:val="8"/>
        </w:numPr>
        <w:tabs>
          <w:tab w:val="left" w:pos="1510"/>
          <w:tab w:val="left" w:pos="1511"/>
        </w:tabs>
        <w:spacing w:before="5" w:after="0" w:line="240" w:lineRule="auto"/>
        <w:ind w:left="1510" w:right="0" w:hanging="418"/>
        <w:jc w:val="left"/>
        <w:rPr>
          <w:sz w:val="21"/>
        </w:rPr>
      </w:pPr>
      <w:r>
        <w:rPr>
          <w:spacing w:val="-3"/>
          <w:sz w:val="21"/>
        </w:rPr>
        <w:t>知识产权维权援助申请表；</w:t>
      </w:r>
    </w:p>
    <w:p>
      <w:pPr>
        <w:pStyle w:val="ListParagraph"/>
        <w:numPr>
          <w:ilvl w:val="5"/>
          <w:numId w:val="8"/>
        </w:numPr>
        <w:tabs>
          <w:tab w:val="left" w:pos="1510"/>
          <w:tab w:val="left" w:pos="1511"/>
        </w:tabs>
        <w:spacing w:before="2" w:after="0" w:line="240" w:lineRule="auto"/>
        <w:ind w:left="1510" w:right="0" w:hanging="418"/>
        <w:jc w:val="left"/>
        <w:rPr>
          <w:sz w:val="21"/>
        </w:rPr>
      </w:pPr>
      <w:r>
        <w:rPr>
          <w:spacing w:val="-3"/>
          <w:sz w:val="21"/>
        </w:rPr>
        <w:t>申请人的合法有效证明文件；</w:t>
      </w:r>
    </w:p>
    <w:p>
      <w:pPr>
        <w:pStyle w:val="ListParagraph"/>
        <w:numPr>
          <w:ilvl w:val="5"/>
          <w:numId w:val="8"/>
        </w:numPr>
        <w:tabs>
          <w:tab w:val="left" w:pos="1510"/>
          <w:tab w:val="left" w:pos="1511"/>
        </w:tabs>
        <w:spacing w:before="4" w:after="0" w:line="240" w:lineRule="auto"/>
        <w:ind w:left="1510" w:right="0" w:hanging="418"/>
        <w:jc w:val="left"/>
        <w:rPr>
          <w:sz w:val="21"/>
        </w:rPr>
      </w:pPr>
      <w:r>
        <w:rPr>
          <w:spacing w:val="-3"/>
          <w:sz w:val="21"/>
        </w:rPr>
        <w:t>拥有知识产权的，应当提供权利证明文件；</w:t>
      </w:r>
    </w:p>
    <w:p>
      <w:pPr>
        <w:pStyle w:val="ListParagraph"/>
        <w:numPr>
          <w:ilvl w:val="5"/>
          <w:numId w:val="8"/>
        </w:numPr>
        <w:tabs>
          <w:tab w:val="left" w:pos="1510"/>
          <w:tab w:val="left" w:pos="1511"/>
        </w:tabs>
        <w:spacing w:before="3" w:after="0" w:line="240" w:lineRule="auto"/>
        <w:ind w:left="1510" w:right="0" w:hanging="418"/>
        <w:jc w:val="left"/>
        <w:rPr>
          <w:sz w:val="21"/>
        </w:rPr>
      </w:pPr>
      <w:r>
        <w:rPr>
          <w:spacing w:val="-3"/>
          <w:sz w:val="21"/>
        </w:rPr>
        <w:t>援助事项和事由的证明文件，包括事件发生的时间、地点、经过、进展等相关材料；</w:t>
      </w:r>
    </w:p>
    <w:p>
      <w:pPr>
        <w:pStyle w:val="ListParagraph"/>
        <w:numPr>
          <w:ilvl w:val="5"/>
          <w:numId w:val="8"/>
        </w:numPr>
        <w:tabs>
          <w:tab w:val="left" w:pos="1510"/>
          <w:tab w:val="left" w:pos="1511"/>
        </w:tabs>
        <w:spacing w:before="4" w:after="0" w:line="240" w:lineRule="auto"/>
        <w:ind w:left="1510" w:right="0" w:hanging="418"/>
        <w:jc w:val="left"/>
        <w:rPr>
          <w:sz w:val="21"/>
        </w:rPr>
      </w:pPr>
      <w:r>
        <w:rPr>
          <w:spacing w:val="-3"/>
          <w:sz w:val="21"/>
        </w:rPr>
        <w:t>援助机构认为需要提交的其他材料。</w:t>
      </w:r>
    </w:p>
    <w:p>
      <w:pPr>
        <w:pStyle w:val="BodyText"/>
        <w:spacing w:before="2"/>
        <w:ind w:left="666"/>
      </w:pPr>
      <w:r>
        <w:rPr>
          <w:rFonts w:ascii="Times New Roman" w:eastAsia="Times New Roman" w:hAnsi="Times New Roman"/>
          <w:sz w:val="20"/>
        </w:rPr>
        <w:t xml:space="preserve">—— </w:t>
      </w:r>
      <w:r>
        <w:t>对行政部门委托的咨询，除上述资料外，应提供委托函（参见附录 C）。</w:t>
      </w:r>
    </w:p>
    <w:p>
      <w:pPr>
        <w:pStyle w:val="ListParagraph"/>
        <w:numPr>
          <w:ilvl w:val="4"/>
          <w:numId w:val="8"/>
        </w:numPr>
        <w:tabs>
          <w:tab w:val="left" w:pos="1341"/>
        </w:tabs>
        <w:spacing w:before="2" w:after="0" w:line="242" w:lineRule="auto"/>
        <w:ind w:left="240" w:right="751" w:firstLine="0"/>
        <w:jc w:val="both"/>
        <w:rPr>
          <w:sz w:val="21"/>
        </w:rPr>
      </w:pPr>
      <w:r>
        <w:rPr>
          <w:spacing w:val="-3"/>
          <w:sz w:val="21"/>
        </w:rPr>
        <w:t xml:space="preserve">对申请人提出侵权判定咨询申请的，援助机构工作人员应在 </w:t>
      </w:r>
      <w:r>
        <w:rPr>
          <w:sz w:val="21"/>
        </w:rPr>
        <w:t>3</w:t>
      </w:r>
      <w:r>
        <w:rPr>
          <w:spacing w:val="-3"/>
          <w:sz w:val="21"/>
        </w:rPr>
        <w:t xml:space="preserve"> 个工作日进行审查，符合受理</w:t>
      </w:r>
      <w:r>
        <w:rPr>
          <w:spacing w:val="-4"/>
          <w:sz w:val="21"/>
        </w:rPr>
        <w:t xml:space="preserve">条件的方可受理。对于情况复杂影响重大的，经批准可适当延长，最长不超过 </w:t>
      </w:r>
      <w:r>
        <w:rPr>
          <w:sz w:val="21"/>
        </w:rPr>
        <w:t>15</w:t>
      </w:r>
      <w:r>
        <w:rPr>
          <w:spacing w:val="-5"/>
          <w:sz w:val="21"/>
        </w:rPr>
        <w:t xml:space="preserve"> 个工作日。审查内容包</w:t>
      </w:r>
      <w:r>
        <w:rPr>
          <w:spacing w:val="-4"/>
          <w:sz w:val="21"/>
        </w:rPr>
        <w:t>括但不限于：</w:t>
      </w:r>
    </w:p>
    <w:p>
      <w:pPr>
        <w:pStyle w:val="BodyText"/>
        <w:spacing w:before="4" w:line="242" w:lineRule="auto"/>
        <w:ind w:left="1093" w:right="751" w:hanging="428"/>
        <w:jc w:val="both"/>
      </w:pPr>
      <w:r>
        <w:rPr>
          <w:rFonts w:ascii="Times New Roman" w:eastAsia="Times New Roman" w:hAnsi="Times New Roman"/>
          <w:sz w:val="20"/>
        </w:rPr>
        <w:t xml:space="preserve">—— </w:t>
      </w:r>
      <w:r>
        <w:rPr>
          <w:spacing w:val="-11"/>
        </w:rPr>
        <w:t>被申请人的户籍所在地、经常居住地或营业地是否在援助机构所在辖区的或知识产权侵权行为发</w:t>
      </w:r>
      <w:r>
        <w:rPr>
          <w:spacing w:val="-6"/>
        </w:rPr>
        <w:t>生地是否在援助机构所在辖区的；</w:t>
      </w:r>
    </w:p>
    <w:p>
      <w:pPr>
        <w:spacing w:after="0" w:line="242" w:lineRule="auto"/>
        <w:jc w:val="both"/>
        <w:sectPr>
          <w:headerReference w:type="even" r:id="rId13"/>
          <w:headerReference w:type="default" r:id="rId14"/>
          <w:footerReference w:type="even" r:id="rId15"/>
          <w:footerReference w:type="default" r:id="rId16"/>
          <w:pgSz w:w="11920" w:h="16850"/>
          <w:pgMar w:top="620" w:right="440" w:bottom="1440" w:left="880" w:header="416" w:footer="1255"/>
          <w:pgNumType w:start="2"/>
          <w:cols w:space="708"/>
        </w:sectPr>
      </w:pPr>
    </w:p>
    <w:p>
      <w:pPr>
        <w:pStyle w:val="BodyText"/>
        <w:spacing w:before="77"/>
        <w:ind w:left="666"/>
      </w:pPr>
      <w:r>
        <w:rPr>
          <w:rFonts w:ascii="Times New Roman" w:eastAsia="Times New Roman" w:hAnsi="Times New Roman"/>
          <w:sz w:val="20"/>
        </w:rPr>
        <w:t xml:space="preserve">—— </w:t>
      </w:r>
      <w:r>
        <w:t>申请人是否已经向其他援助机构提出知识产权维权援助申请且已经受理；</w:t>
      </w:r>
    </w:p>
    <w:p>
      <w:pPr>
        <w:pStyle w:val="BodyText"/>
        <w:spacing w:before="5"/>
        <w:ind w:left="666"/>
      </w:pPr>
      <w:r>
        <w:rPr>
          <w:rFonts w:ascii="Times New Roman" w:eastAsia="Times New Roman" w:hAnsi="Times New Roman"/>
          <w:sz w:val="20"/>
        </w:rPr>
        <w:t xml:space="preserve">—— </w:t>
      </w:r>
      <w:r>
        <w:t>是否为知识产权维权援助服务已结束并就同一事由再次申请知识产权维权援助的；</w:t>
      </w:r>
    </w:p>
    <w:p>
      <w:pPr>
        <w:pStyle w:val="BodyText"/>
        <w:spacing w:before="2"/>
        <w:ind w:left="666"/>
      </w:pPr>
      <w:r>
        <w:rPr>
          <w:rFonts w:ascii="Times New Roman" w:eastAsia="Times New Roman" w:hAnsi="Times New Roman"/>
          <w:sz w:val="20"/>
        </w:rPr>
        <w:t xml:space="preserve">—— </w:t>
      </w:r>
      <w:r>
        <w:t>申请资料是否齐全、清晰。</w:t>
      </w:r>
    </w:p>
    <w:p>
      <w:pPr>
        <w:pStyle w:val="ListParagraph"/>
        <w:numPr>
          <w:ilvl w:val="4"/>
          <w:numId w:val="8"/>
        </w:numPr>
        <w:tabs>
          <w:tab w:val="left" w:pos="1341"/>
        </w:tabs>
        <w:spacing w:before="4" w:after="0" w:line="242" w:lineRule="auto"/>
        <w:ind w:left="240" w:right="762" w:firstLine="0"/>
        <w:jc w:val="left"/>
        <w:rPr>
          <w:sz w:val="21"/>
        </w:rPr>
      </w:pPr>
      <w:r>
        <w:rPr>
          <w:spacing w:val="-1"/>
          <w:sz w:val="21"/>
        </w:rPr>
        <w:t>符合受理条件的，工作人员应登记事项信息，并及时将受理情况反馈申请人；不予受理的应</w:t>
      </w:r>
      <w:r>
        <w:rPr>
          <w:spacing w:val="-3"/>
          <w:sz w:val="21"/>
        </w:rPr>
        <w:t>当说明理由，并应告知申请人对于不予受理原因或要求其补充材料。</w:t>
      </w:r>
    </w:p>
    <w:p>
      <w:pPr>
        <w:pStyle w:val="ListParagraph"/>
        <w:numPr>
          <w:ilvl w:val="3"/>
          <w:numId w:val="8"/>
        </w:numPr>
        <w:tabs>
          <w:tab w:val="left" w:pos="1142"/>
        </w:tabs>
        <w:spacing w:before="122" w:after="0" w:line="240" w:lineRule="auto"/>
        <w:ind w:left="1141" w:right="0" w:hanging="902"/>
        <w:jc w:val="left"/>
        <w:rPr>
          <w:rFonts w:ascii="黑体" w:eastAsia="黑体" w:hint="eastAsia"/>
          <w:sz w:val="21"/>
        </w:rPr>
      </w:pPr>
      <w:r>
        <w:rPr>
          <w:rFonts w:ascii="黑体" w:eastAsia="黑体" w:hint="eastAsia"/>
          <w:spacing w:val="-1"/>
          <w:sz w:val="21"/>
        </w:rPr>
        <w:t>选派人员</w:t>
      </w:r>
    </w:p>
    <w:p>
      <w:pPr>
        <w:pStyle w:val="BodyText"/>
        <w:spacing w:before="122" w:line="242" w:lineRule="auto"/>
        <w:ind w:left="240" w:right="751" w:firstLine="420"/>
        <w:jc w:val="both"/>
      </w:pPr>
      <w:r>
        <w:rPr>
          <w:spacing w:val="-5"/>
        </w:rPr>
        <w:t>援助机构应安排具体工作人员对受理事项的相关法律法规及对涉案的知识产权事项进行分析检索，根</w:t>
      </w:r>
      <w:r>
        <w:rPr>
          <w:spacing w:val="-9"/>
        </w:rPr>
        <w:t>据掌握的证据材料，初步理清事实和法律问题，确定具体技术领域，根据案情及工作需要选择符合要求的</w:t>
      </w:r>
      <w:r>
        <w:rPr>
          <w:spacing w:val="-5"/>
        </w:rPr>
        <w:t>专家进行判定。</w:t>
      </w:r>
    </w:p>
    <w:p>
      <w:pPr>
        <w:pStyle w:val="ListParagraph"/>
        <w:numPr>
          <w:ilvl w:val="3"/>
          <w:numId w:val="8"/>
        </w:numPr>
        <w:tabs>
          <w:tab w:val="left" w:pos="1142"/>
        </w:tabs>
        <w:spacing w:before="123" w:after="0" w:line="240" w:lineRule="auto"/>
        <w:ind w:left="1141" w:right="0" w:hanging="902"/>
        <w:jc w:val="left"/>
        <w:rPr>
          <w:rFonts w:ascii="黑体" w:eastAsia="黑体" w:hint="eastAsia"/>
          <w:sz w:val="21"/>
        </w:rPr>
      </w:pPr>
      <w:r>
        <w:rPr>
          <w:rFonts w:ascii="黑体" w:eastAsia="黑体" w:hint="eastAsia"/>
          <w:spacing w:val="-1"/>
          <w:sz w:val="21"/>
        </w:rPr>
        <w:t>判定及实施</w:t>
      </w:r>
    </w:p>
    <w:p>
      <w:pPr>
        <w:pStyle w:val="BodyText"/>
        <w:spacing w:before="123"/>
        <w:ind w:left="661"/>
      </w:pPr>
      <w:r>
        <w:drawing>
          <wp:anchor distT="0" distB="0" distL="0" distR="0" simplePos="0" relativeHeight="251661312" behindDoc="0" locked="0" layoutInCell="1" allowOverlap="1">
            <wp:simplePos x="0" y="0"/>
            <wp:positionH relativeFrom="page">
              <wp:posOffset>1512722</wp:posOffset>
            </wp:positionH>
            <wp:positionV relativeFrom="paragraph">
              <wp:posOffset>155331</wp:posOffset>
            </wp:positionV>
            <wp:extent cx="4538182" cy="4538182"/>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6" cstate="print"/>
                    <a:stretch>
                      <a:fillRect/>
                    </a:stretch>
                  </pic:blipFill>
                  <pic:spPr>
                    <a:xfrm>
                      <a:off x="0" y="0"/>
                      <a:ext cx="4538182" cy="4538182"/>
                    </a:xfrm>
                    <a:prstGeom prst="rect">
                      <a:avLst/>
                    </a:prstGeom>
                  </pic:spPr>
                </pic:pic>
              </a:graphicData>
            </a:graphic>
          </wp:anchor>
        </w:drawing>
      </w:r>
      <w:r>
        <w:t>工作人员及所邀请专家，应根据侵权判定事项通过以下方式对事项内容进行分析判定：</w:t>
      </w:r>
    </w:p>
    <w:p>
      <w:pPr>
        <w:pStyle w:val="BodyText"/>
        <w:spacing w:before="4"/>
        <w:ind w:left="666"/>
      </w:pPr>
      <w:r>
        <w:rPr>
          <w:rFonts w:ascii="Times New Roman" w:eastAsia="Times New Roman" w:hAnsi="Times New Roman"/>
          <w:sz w:val="20"/>
        </w:rPr>
        <w:t xml:space="preserve">—— </w:t>
      </w:r>
      <w:r>
        <w:t>确定分析判定所依据的原则、法律法规条款、司法解释条款；</w:t>
      </w:r>
    </w:p>
    <w:p>
      <w:pPr>
        <w:pStyle w:val="BodyText"/>
        <w:spacing w:before="2"/>
        <w:ind w:left="666"/>
      </w:pPr>
      <w:r>
        <w:rPr>
          <w:rFonts w:ascii="Times New Roman" w:eastAsia="Times New Roman" w:hAnsi="Times New Roman"/>
          <w:sz w:val="20"/>
        </w:rPr>
        <w:t xml:space="preserve">—— </w:t>
      </w:r>
      <w:r>
        <w:t>搜索涉案知识产权相关信息，如行政决定或司法判决等材料，确定涉案知识产权的有效范围；</w:t>
      </w:r>
    </w:p>
    <w:p>
      <w:pPr>
        <w:pStyle w:val="BodyText"/>
        <w:spacing w:before="5"/>
        <w:ind w:left="666"/>
      </w:pPr>
      <w:r>
        <w:rPr>
          <w:rFonts w:ascii="Times New Roman" w:eastAsia="Times New Roman" w:hAnsi="Times New Roman"/>
          <w:sz w:val="20"/>
        </w:rPr>
        <w:t xml:space="preserve">—— </w:t>
      </w:r>
      <w:r>
        <w:t>核对证据材料，了解涉嫌侵权客体的构成要素；</w:t>
      </w:r>
    </w:p>
    <w:p>
      <w:pPr>
        <w:pStyle w:val="BodyText"/>
        <w:spacing w:before="2"/>
        <w:ind w:left="666"/>
      </w:pPr>
      <w:r>
        <w:rPr>
          <w:rFonts w:ascii="Times New Roman" w:eastAsia="Times New Roman" w:hAnsi="Times New Roman"/>
          <w:sz w:val="20"/>
        </w:rPr>
        <w:t xml:space="preserve">—— </w:t>
      </w:r>
      <w:r>
        <w:t>对涉案知识产权及涉嫌侵权客体进行对比分析，提出侵权判定分析意见；</w:t>
      </w:r>
    </w:p>
    <w:p>
      <w:pPr>
        <w:pStyle w:val="BodyText"/>
        <w:spacing w:before="2"/>
        <w:ind w:left="666"/>
      </w:pPr>
      <w:r>
        <w:rPr>
          <w:rFonts w:ascii="Times New Roman" w:eastAsia="Times New Roman" w:hAnsi="Times New Roman"/>
          <w:sz w:val="20"/>
        </w:rPr>
        <w:t xml:space="preserve">—— </w:t>
      </w:r>
      <w:r>
        <w:t>若专家意见不一致，则列出意见分歧点清单；</w:t>
      </w:r>
    </w:p>
    <w:p>
      <w:pPr>
        <w:pStyle w:val="BodyText"/>
        <w:spacing w:before="5" w:line="242" w:lineRule="auto"/>
        <w:ind w:left="1093" w:right="753" w:hanging="428"/>
      </w:pPr>
      <w:r>
        <w:rPr>
          <w:rFonts w:ascii="Times New Roman" w:eastAsia="Times New Roman" w:hAnsi="Times New Roman"/>
          <w:sz w:val="20"/>
        </w:rPr>
        <w:t xml:space="preserve">—— </w:t>
      </w:r>
      <w:r>
        <w:rPr>
          <w:spacing w:val="-9"/>
        </w:rPr>
        <w:t>专家对分歧点进行分析、论证，若需要申请人进一步提供证明材料，应当及时联系申请人，申请</w:t>
      </w:r>
      <w:r>
        <w:rPr>
          <w:spacing w:val="-5"/>
        </w:rPr>
        <w:t>人应配合专家开展分析研判，以便统一侵权判定分析意见。</w:t>
      </w:r>
    </w:p>
    <w:p>
      <w:pPr>
        <w:pStyle w:val="ListParagraph"/>
        <w:numPr>
          <w:ilvl w:val="3"/>
          <w:numId w:val="8"/>
        </w:numPr>
        <w:tabs>
          <w:tab w:val="left" w:pos="1142"/>
        </w:tabs>
        <w:spacing w:before="121" w:after="0" w:line="240" w:lineRule="auto"/>
        <w:ind w:left="1141" w:right="0" w:hanging="902"/>
        <w:jc w:val="left"/>
        <w:rPr>
          <w:rFonts w:ascii="黑体" w:eastAsia="黑体" w:hint="eastAsia"/>
          <w:sz w:val="21"/>
        </w:rPr>
      </w:pPr>
      <w:r>
        <w:rPr>
          <w:rFonts w:ascii="黑体" w:eastAsia="黑体" w:hint="eastAsia"/>
          <w:spacing w:val="-1"/>
          <w:sz w:val="21"/>
        </w:rPr>
        <w:t>出具意见</w:t>
      </w:r>
    </w:p>
    <w:p>
      <w:pPr>
        <w:pStyle w:val="BodyText"/>
        <w:spacing w:before="122" w:line="244" w:lineRule="auto"/>
        <w:ind w:left="240" w:right="696" w:firstLine="420"/>
      </w:pPr>
      <w:r>
        <w:t>工作人员应在整合各位专家分析判定结果后，在 30 个工作日内出具包括以下内容的侵权判定咨询意见表（见附录 D）：</w:t>
      </w:r>
    </w:p>
    <w:p>
      <w:pPr>
        <w:pStyle w:val="BodyText"/>
        <w:spacing w:line="265" w:lineRule="exact"/>
        <w:ind w:left="666"/>
      </w:pPr>
      <w:r>
        <w:rPr>
          <w:rFonts w:ascii="Times New Roman" w:eastAsia="Times New Roman" w:hAnsi="Times New Roman"/>
          <w:sz w:val="20"/>
        </w:rPr>
        <w:t xml:space="preserve">—— </w:t>
      </w:r>
      <w:r>
        <w:t>涉案知识产权及涉嫌侵权客体的基本情况；</w:t>
      </w:r>
    </w:p>
    <w:p>
      <w:pPr>
        <w:spacing w:before="5"/>
        <w:ind w:left="666" w:right="0" w:firstLine="0"/>
        <w:jc w:val="left"/>
        <w:rPr>
          <w:sz w:val="21"/>
        </w:rPr>
      </w:pPr>
      <w:r>
        <w:rPr>
          <w:rFonts w:ascii="Times New Roman" w:eastAsia="Times New Roman" w:hAnsi="Times New Roman"/>
          <w:sz w:val="20"/>
        </w:rPr>
        <w:t xml:space="preserve">—— </w:t>
      </w:r>
      <w:r>
        <w:rPr>
          <w:sz w:val="21"/>
        </w:rPr>
        <w:t>判定依据及判定原则；</w:t>
      </w:r>
    </w:p>
    <w:p>
      <w:pPr>
        <w:spacing w:before="2"/>
        <w:ind w:left="666" w:right="0" w:firstLine="0"/>
        <w:jc w:val="left"/>
        <w:rPr>
          <w:sz w:val="21"/>
        </w:rPr>
      </w:pPr>
      <w:r>
        <w:rPr>
          <w:rFonts w:ascii="Times New Roman" w:eastAsia="Times New Roman" w:hAnsi="Times New Roman"/>
          <w:sz w:val="20"/>
        </w:rPr>
        <w:t xml:space="preserve">—— </w:t>
      </w:r>
      <w:r>
        <w:rPr>
          <w:sz w:val="21"/>
        </w:rPr>
        <w:t>分析对比意见；</w:t>
      </w:r>
    </w:p>
    <w:p>
      <w:pPr>
        <w:pStyle w:val="BodyText"/>
        <w:spacing w:before="4"/>
        <w:ind w:left="666"/>
      </w:pPr>
      <w:r>
        <w:rPr>
          <w:rFonts w:ascii="Times New Roman" w:eastAsia="Times New Roman" w:hAnsi="Times New Roman"/>
          <w:sz w:val="20"/>
        </w:rPr>
        <w:t xml:space="preserve">—— </w:t>
      </w:r>
      <w:r>
        <w:t>侵权判定结论，可包括以下情形：</w:t>
      </w:r>
    </w:p>
    <w:p>
      <w:pPr>
        <w:pStyle w:val="ListParagraph"/>
        <w:numPr>
          <w:ilvl w:val="0"/>
          <w:numId w:val="7"/>
        </w:numPr>
        <w:tabs>
          <w:tab w:val="left" w:pos="1510"/>
          <w:tab w:val="left" w:pos="1511"/>
        </w:tabs>
        <w:spacing w:before="3" w:after="0" w:line="240" w:lineRule="auto"/>
        <w:ind w:left="1510" w:right="0" w:hanging="418"/>
        <w:jc w:val="left"/>
        <w:rPr>
          <w:sz w:val="21"/>
        </w:rPr>
      </w:pPr>
      <w:r>
        <w:rPr>
          <w:spacing w:val="-3"/>
          <w:sz w:val="21"/>
        </w:rPr>
        <w:t>涉嫌侵权客体落入涉案知识产权的保护范围：</w:t>
      </w:r>
    </w:p>
    <w:p>
      <w:pPr>
        <w:pStyle w:val="ListParagraph"/>
        <w:numPr>
          <w:ilvl w:val="0"/>
          <w:numId w:val="7"/>
        </w:numPr>
        <w:tabs>
          <w:tab w:val="left" w:pos="1510"/>
          <w:tab w:val="left" w:pos="1511"/>
        </w:tabs>
        <w:spacing w:before="4" w:after="0" w:line="240" w:lineRule="auto"/>
        <w:ind w:left="1510" w:right="0" w:hanging="418"/>
        <w:jc w:val="left"/>
        <w:rPr>
          <w:sz w:val="21"/>
        </w:rPr>
      </w:pPr>
      <w:r>
        <w:rPr>
          <w:spacing w:val="-3"/>
          <w:sz w:val="21"/>
        </w:rPr>
        <w:t>涉嫌侵权客体未落入涉案知识产权的保护范围；</w:t>
      </w:r>
    </w:p>
    <w:p>
      <w:pPr>
        <w:pStyle w:val="ListParagraph"/>
        <w:numPr>
          <w:ilvl w:val="0"/>
          <w:numId w:val="7"/>
        </w:numPr>
        <w:tabs>
          <w:tab w:val="left" w:pos="1510"/>
          <w:tab w:val="left" w:pos="1511"/>
        </w:tabs>
        <w:spacing w:before="2" w:after="0" w:line="240" w:lineRule="auto"/>
        <w:ind w:left="1510" w:right="0" w:hanging="418"/>
        <w:jc w:val="left"/>
        <w:rPr>
          <w:sz w:val="21"/>
        </w:rPr>
      </w:pPr>
      <w:r>
        <w:rPr>
          <w:spacing w:val="-3"/>
          <w:sz w:val="21"/>
        </w:rPr>
        <w:t>基于目前的证据尚不足以做出侵权判定结论。</w:t>
      </w:r>
    </w:p>
    <w:p>
      <w:pPr>
        <w:pStyle w:val="ListParagraph"/>
        <w:numPr>
          <w:ilvl w:val="2"/>
          <w:numId w:val="8"/>
        </w:numPr>
        <w:tabs>
          <w:tab w:val="left" w:pos="941"/>
          <w:tab w:val="left" w:pos="943"/>
        </w:tabs>
        <w:spacing w:before="125" w:after="0" w:line="240" w:lineRule="auto"/>
        <w:ind w:left="942" w:right="0" w:hanging="703"/>
        <w:jc w:val="left"/>
        <w:rPr>
          <w:rFonts w:ascii="黑体" w:eastAsia="黑体" w:hint="eastAsia"/>
          <w:sz w:val="21"/>
        </w:rPr>
      </w:pPr>
      <w:r>
        <w:rPr>
          <w:rFonts w:ascii="黑体" w:eastAsia="黑体" w:hint="eastAsia"/>
          <w:spacing w:val="-1"/>
          <w:sz w:val="21"/>
        </w:rPr>
        <w:t>纠纷调解</w:t>
      </w:r>
    </w:p>
    <w:p>
      <w:pPr>
        <w:pStyle w:val="ListParagraph"/>
        <w:numPr>
          <w:ilvl w:val="3"/>
          <w:numId w:val="8"/>
        </w:numPr>
        <w:tabs>
          <w:tab w:val="left" w:pos="1142"/>
        </w:tabs>
        <w:spacing w:before="122" w:after="0" w:line="240" w:lineRule="auto"/>
        <w:ind w:left="1141" w:right="0" w:hanging="902"/>
        <w:jc w:val="left"/>
        <w:rPr>
          <w:rFonts w:ascii="黑体" w:eastAsia="黑体" w:hint="eastAsia"/>
          <w:sz w:val="21"/>
        </w:rPr>
      </w:pPr>
      <w:r>
        <w:rPr>
          <w:rFonts w:ascii="黑体" w:eastAsia="黑体" w:hint="eastAsia"/>
          <w:spacing w:val="-1"/>
          <w:sz w:val="21"/>
        </w:rPr>
        <w:t>申请受理</w:t>
      </w:r>
    </w:p>
    <w:p>
      <w:pPr>
        <w:pStyle w:val="ListParagraph"/>
        <w:numPr>
          <w:ilvl w:val="4"/>
          <w:numId w:val="8"/>
        </w:numPr>
        <w:tabs>
          <w:tab w:val="left" w:pos="1341"/>
        </w:tabs>
        <w:spacing w:before="124" w:after="0" w:line="242" w:lineRule="auto"/>
        <w:ind w:left="240" w:right="755" w:firstLine="0"/>
        <w:jc w:val="left"/>
        <w:rPr>
          <w:sz w:val="21"/>
        </w:rPr>
      </w:pPr>
      <w:r>
        <w:rPr>
          <w:spacing w:val="-5"/>
          <w:sz w:val="21"/>
        </w:rPr>
        <w:t>申请人通过电话、来访、网络、信函等方式提出知识产权相关的纠纷调解需求,申请人应如实</w:t>
      </w:r>
      <w:r>
        <w:rPr>
          <w:spacing w:val="-7"/>
          <w:sz w:val="21"/>
        </w:rPr>
        <w:t xml:space="preserve">填写并递交《纠纷调解申请书》(见附录 </w:t>
      </w:r>
      <w:r>
        <w:rPr>
          <w:sz w:val="21"/>
        </w:rPr>
        <w:t>E)</w:t>
      </w:r>
      <w:r>
        <w:rPr>
          <w:spacing w:val="-3"/>
          <w:sz w:val="21"/>
        </w:rPr>
        <w:t>,并提供包括但不限于以下材料：</w:t>
      </w:r>
    </w:p>
    <w:p>
      <w:pPr>
        <w:spacing w:before="2"/>
        <w:ind w:left="666" w:right="0" w:firstLine="0"/>
        <w:jc w:val="left"/>
        <w:rPr>
          <w:sz w:val="21"/>
        </w:rPr>
      </w:pPr>
      <w:r>
        <w:rPr>
          <w:rFonts w:ascii="Times New Roman" w:eastAsia="Times New Roman" w:hAnsi="Times New Roman"/>
          <w:sz w:val="20"/>
        </w:rPr>
        <w:t xml:space="preserve">—— </w:t>
      </w:r>
      <w:r>
        <w:rPr>
          <w:sz w:val="21"/>
        </w:rPr>
        <w:t>纠纷调解申请书；</w:t>
      </w:r>
    </w:p>
    <w:p>
      <w:pPr>
        <w:pStyle w:val="BodyText"/>
        <w:spacing w:before="2"/>
        <w:ind w:left="666"/>
      </w:pPr>
      <w:r>
        <w:rPr>
          <w:rFonts w:ascii="Times New Roman" w:eastAsia="Times New Roman" w:hAnsi="Times New Roman"/>
          <w:sz w:val="20"/>
        </w:rPr>
        <w:t xml:space="preserve">—— </w:t>
      </w:r>
      <w:r>
        <w:t>申请人的合法有效身份证明文件，被申请人的名称、地址、联系方式等信息；</w:t>
      </w:r>
    </w:p>
    <w:p>
      <w:pPr>
        <w:spacing w:before="5"/>
        <w:ind w:left="666" w:right="0" w:firstLine="0"/>
        <w:jc w:val="left"/>
        <w:rPr>
          <w:sz w:val="21"/>
        </w:rPr>
      </w:pPr>
      <w:r>
        <w:rPr>
          <w:rFonts w:ascii="Times New Roman" w:eastAsia="Times New Roman" w:hAnsi="Times New Roman"/>
          <w:sz w:val="20"/>
        </w:rPr>
        <w:t xml:space="preserve">—— </w:t>
      </w:r>
      <w:r>
        <w:rPr>
          <w:sz w:val="21"/>
        </w:rPr>
        <w:t>主体资格证明文件；</w:t>
      </w:r>
    </w:p>
    <w:p>
      <w:pPr>
        <w:pStyle w:val="BodyText"/>
        <w:spacing w:before="2"/>
        <w:ind w:left="666"/>
      </w:pPr>
      <w:r>
        <w:rPr>
          <w:rFonts w:ascii="Times New Roman" w:eastAsia="Times New Roman" w:hAnsi="Times New Roman"/>
          <w:sz w:val="20"/>
        </w:rPr>
        <w:t xml:space="preserve">—— </w:t>
      </w:r>
      <w:r>
        <w:t>有委托代理人的,应提交代理人身份信息；</w:t>
      </w:r>
    </w:p>
    <w:p>
      <w:pPr>
        <w:pStyle w:val="BodyText"/>
        <w:spacing w:before="2"/>
        <w:ind w:left="666"/>
      </w:pPr>
      <w:r>
        <w:rPr>
          <w:rFonts w:ascii="Times New Roman" w:eastAsia="Times New Roman" w:hAnsi="Times New Roman"/>
          <w:sz w:val="20"/>
        </w:rPr>
        <w:t xml:space="preserve">—— </w:t>
      </w:r>
      <w:r>
        <w:t>相关授权委托材料及法律规定的其它相关材料；</w:t>
      </w:r>
    </w:p>
    <w:p>
      <w:pPr>
        <w:pStyle w:val="BodyText"/>
        <w:spacing w:before="5"/>
        <w:ind w:left="666"/>
      </w:pPr>
      <w:r>
        <w:rPr>
          <w:rFonts w:ascii="Times New Roman" w:eastAsia="Times New Roman" w:hAnsi="Times New Roman"/>
          <w:sz w:val="20"/>
        </w:rPr>
        <w:t xml:space="preserve">—— </w:t>
      </w:r>
      <w:r>
        <w:t>申诉请求、争议事实及理由、证据目录；</w:t>
      </w:r>
    </w:p>
    <w:p>
      <w:pPr>
        <w:spacing w:before="2"/>
        <w:ind w:left="666" w:right="0" w:firstLine="0"/>
        <w:jc w:val="left"/>
        <w:rPr>
          <w:sz w:val="21"/>
        </w:rPr>
      </w:pPr>
      <w:r>
        <w:rPr>
          <w:rFonts w:ascii="Times New Roman" w:eastAsia="Times New Roman" w:hAnsi="Times New Roman"/>
          <w:sz w:val="20"/>
        </w:rPr>
        <w:t xml:space="preserve">—— </w:t>
      </w:r>
      <w:r>
        <w:rPr>
          <w:sz w:val="21"/>
        </w:rPr>
        <w:t>其他相关证明材料。</w:t>
      </w:r>
    </w:p>
    <w:p>
      <w:pPr>
        <w:pStyle w:val="ListParagraph"/>
        <w:numPr>
          <w:ilvl w:val="4"/>
          <w:numId w:val="8"/>
        </w:numPr>
        <w:tabs>
          <w:tab w:val="left" w:pos="1341"/>
        </w:tabs>
        <w:spacing w:before="4" w:after="0" w:line="242" w:lineRule="auto"/>
        <w:ind w:left="240" w:right="762" w:firstLine="0"/>
        <w:jc w:val="both"/>
        <w:rPr>
          <w:sz w:val="21"/>
        </w:rPr>
      </w:pPr>
      <w:r>
        <w:rPr>
          <w:spacing w:val="-1"/>
          <w:sz w:val="21"/>
        </w:rPr>
        <w:t>与人民法院建立诉调对接机制并接受委派调解的，按照人民法院调解平台的规定受理。受行</w:t>
      </w:r>
      <w:r>
        <w:rPr>
          <w:spacing w:val="-3"/>
          <w:sz w:val="21"/>
        </w:rPr>
        <w:t>政主管部门或仲裁机构委托调解的，按与行政主管部门或仲裁机构的约定受理。</w:t>
      </w:r>
    </w:p>
    <w:p>
      <w:pPr>
        <w:pStyle w:val="ListParagraph"/>
        <w:numPr>
          <w:ilvl w:val="4"/>
          <w:numId w:val="8"/>
        </w:numPr>
        <w:tabs>
          <w:tab w:val="left" w:pos="1341"/>
        </w:tabs>
        <w:spacing w:before="2" w:after="0" w:line="242" w:lineRule="auto"/>
        <w:ind w:left="240" w:right="751" w:firstLine="0"/>
        <w:jc w:val="both"/>
        <w:rPr>
          <w:sz w:val="21"/>
        </w:rPr>
      </w:pPr>
      <w:r>
        <w:rPr>
          <w:spacing w:val="-3"/>
          <w:sz w:val="21"/>
        </w:rPr>
        <w:t xml:space="preserve">对申请人提出纠纷调解申请的，援助机构工作人员应在 </w:t>
      </w:r>
      <w:r>
        <w:rPr>
          <w:sz w:val="21"/>
        </w:rPr>
        <w:t>3</w:t>
      </w:r>
      <w:r>
        <w:rPr>
          <w:spacing w:val="-3"/>
          <w:sz w:val="21"/>
        </w:rPr>
        <w:t xml:space="preserve"> 个工作日进行审查，符合受理条件</w:t>
      </w:r>
      <w:r>
        <w:rPr>
          <w:spacing w:val="-4"/>
          <w:sz w:val="21"/>
        </w:rPr>
        <w:t xml:space="preserve">的方可受理。对于情况复杂影响重大的，经批准可适当延长，最长不超过 </w:t>
      </w:r>
      <w:r>
        <w:rPr>
          <w:sz w:val="21"/>
        </w:rPr>
        <w:t>15</w:t>
      </w:r>
      <w:r>
        <w:rPr>
          <w:spacing w:val="-5"/>
          <w:sz w:val="21"/>
        </w:rPr>
        <w:t xml:space="preserve"> 个工作日。审查内容包括但</w:t>
      </w:r>
      <w:r>
        <w:rPr>
          <w:spacing w:val="-4"/>
          <w:sz w:val="21"/>
        </w:rPr>
        <w:t>不限于：</w:t>
      </w:r>
    </w:p>
    <w:p>
      <w:pPr>
        <w:pStyle w:val="BodyText"/>
        <w:spacing w:before="1"/>
        <w:ind w:left="666"/>
        <w:jc w:val="both"/>
      </w:pPr>
      <w:r>
        <w:rPr>
          <w:rFonts w:ascii="Times New Roman" w:eastAsia="Times New Roman" w:hAnsi="Times New Roman"/>
          <w:sz w:val="20"/>
        </w:rPr>
        <w:t xml:space="preserve">—— </w:t>
      </w:r>
      <w:r>
        <w:t>当事人已向人民法院提起诉讼并且已被受理的, 人民法院委派、委托调解的除外；</w:t>
      </w:r>
    </w:p>
    <w:p>
      <w:pPr>
        <w:pStyle w:val="BodyText"/>
        <w:spacing w:before="4"/>
        <w:ind w:left="666"/>
        <w:jc w:val="both"/>
      </w:pPr>
      <w:r>
        <w:rPr>
          <w:rFonts w:ascii="Times New Roman" w:eastAsia="Times New Roman" w:hAnsi="Times New Roman"/>
          <w:sz w:val="20"/>
        </w:rPr>
        <w:t xml:space="preserve">—— </w:t>
      </w:r>
      <w:r>
        <w:t>当事人已向行政主管部门申请处理并且已被受理的, 但行政主管部门委托调解的除外；</w:t>
      </w:r>
    </w:p>
    <w:p>
      <w:pPr>
        <w:spacing w:after="0"/>
        <w:jc w:val="both"/>
        <w:sectPr>
          <w:headerReference w:type="even" r:id="rId17"/>
          <w:headerReference w:type="default" r:id="rId18"/>
          <w:footerReference w:type="even" r:id="rId19"/>
          <w:footerReference w:type="default" r:id="rId20"/>
          <w:pgSz w:w="11920" w:h="16850"/>
          <w:pgMar w:top="1440" w:right="440" w:bottom="1440" w:left="880" w:header="1232" w:footer="1255"/>
          <w:pgNumType w:start="3"/>
          <w:cols w:space="708"/>
        </w:sectPr>
      </w:pPr>
    </w:p>
    <w:p>
      <w:pPr>
        <w:pStyle w:val="BodyText"/>
        <w:rPr>
          <w:sz w:val="20"/>
        </w:rPr>
      </w:pPr>
    </w:p>
    <w:p>
      <w:pPr>
        <w:pStyle w:val="BodyText"/>
        <w:rPr>
          <w:sz w:val="20"/>
        </w:rPr>
      </w:pPr>
    </w:p>
    <w:p>
      <w:pPr>
        <w:pStyle w:val="BodyText"/>
        <w:spacing w:before="2"/>
        <w:rPr>
          <w:sz w:val="24"/>
        </w:rPr>
      </w:pPr>
    </w:p>
    <w:p>
      <w:pPr>
        <w:pStyle w:val="BodyText"/>
        <w:spacing w:before="71"/>
        <w:ind w:left="666"/>
      </w:pPr>
      <w:r>
        <w:rPr>
          <w:rFonts w:ascii="Times New Roman" w:eastAsia="Times New Roman" w:hAnsi="Times New Roman"/>
          <w:sz w:val="20"/>
        </w:rPr>
        <w:t xml:space="preserve">—— </w:t>
      </w:r>
      <w:r>
        <w:t>当事人已向仲裁机构提起仲裁的；</w:t>
      </w:r>
    </w:p>
    <w:p>
      <w:pPr>
        <w:pStyle w:val="BodyText"/>
        <w:spacing w:before="5"/>
        <w:ind w:left="666"/>
      </w:pPr>
      <w:r>
        <w:rPr>
          <w:rFonts w:ascii="Times New Roman" w:eastAsia="Times New Roman" w:hAnsi="Times New Roman"/>
          <w:sz w:val="20"/>
        </w:rPr>
        <w:t xml:space="preserve">—— </w:t>
      </w:r>
      <w:r>
        <w:t>人民法院或仲裁机构已经对该纠纷作出裁判的；</w:t>
      </w:r>
    </w:p>
    <w:p>
      <w:pPr>
        <w:pStyle w:val="BodyText"/>
        <w:spacing w:before="2"/>
        <w:ind w:left="666"/>
      </w:pPr>
      <w:r>
        <w:rPr>
          <w:rFonts w:ascii="Times New Roman" w:eastAsia="Times New Roman" w:hAnsi="Times New Roman"/>
          <w:sz w:val="20"/>
        </w:rPr>
        <w:t xml:space="preserve">—— </w:t>
      </w:r>
      <w:r>
        <w:t>申请资料是否齐全、清晰。</w:t>
      </w:r>
    </w:p>
    <w:p>
      <w:pPr>
        <w:pStyle w:val="ListParagraph"/>
        <w:numPr>
          <w:ilvl w:val="4"/>
          <w:numId w:val="8"/>
        </w:numPr>
        <w:tabs>
          <w:tab w:val="left" w:pos="1341"/>
        </w:tabs>
        <w:spacing w:before="4" w:after="0" w:line="242" w:lineRule="auto"/>
        <w:ind w:left="240" w:right="762" w:firstLine="0"/>
        <w:jc w:val="left"/>
        <w:rPr>
          <w:sz w:val="21"/>
        </w:rPr>
      </w:pPr>
      <w:r>
        <w:rPr>
          <w:spacing w:val="-1"/>
          <w:sz w:val="21"/>
        </w:rPr>
        <w:t xml:space="preserve">符合受理条件的，工作人员应当及时向申请人送达受理情况，并征求被申请人的调解意愿； </w:t>
      </w:r>
      <w:r>
        <w:rPr>
          <w:spacing w:val="-3"/>
          <w:sz w:val="21"/>
        </w:rPr>
        <w:t>不予受理的应当说明理由，并应告知申请人对于不予受理原因或要求其补充材料。</w:t>
      </w:r>
    </w:p>
    <w:p>
      <w:pPr>
        <w:pStyle w:val="ListParagraph"/>
        <w:numPr>
          <w:ilvl w:val="3"/>
          <w:numId w:val="8"/>
        </w:numPr>
        <w:tabs>
          <w:tab w:val="left" w:pos="1142"/>
        </w:tabs>
        <w:spacing w:before="122" w:after="0" w:line="240" w:lineRule="auto"/>
        <w:ind w:left="1141" w:right="0" w:hanging="902"/>
        <w:jc w:val="left"/>
        <w:rPr>
          <w:rFonts w:ascii="黑体" w:eastAsia="黑体" w:hint="eastAsia"/>
          <w:sz w:val="21"/>
        </w:rPr>
      </w:pPr>
      <w:r>
        <w:rPr>
          <w:rFonts w:ascii="黑体" w:eastAsia="黑体" w:hint="eastAsia"/>
          <w:spacing w:val="-1"/>
          <w:sz w:val="21"/>
        </w:rPr>
        <w:t>选派人员</w:t>
      </w:r>
    </w:p>
    <w:p>
      <w:pPr>
        <w:pStyle w:val="ListParagraph"/>
        <w:numPr>
          <w:ilvl w:val="4"/>
          <w:numId w:val="8"/>
        </w:numPr>
        <w:tabs>
          <w:tab w:val="left" w:pos="1341"/>
        </w:tabs>
        <w:spacing w:before="122" w:after="0" w:line="242" w:lineRule="auto"/>
        <w:ind w:left="240" w:right="754" w:firstLine="0"/>
        <w:jc w:val="both"/>
        <w:rPr>
          <w:sz w:val="21"/>
        </w:rPr>
      </w:pPr>
      <w:r>
        <w:rPr>
          <w:sz w:val="21"/>
        </w:rPr>
        <w:t>双方当事人接受调解后，工作人员应征求双方当事人意见选定调解员。调解员宜从援助机构</w:t>
      </w:r>
      <w:r>
        <w:rPr>
          <w:spacing w:val="-7"/>
          <w:sz w:val="21"/>
        </w:rPr>
        <w:t>所确定的调解组织的调解员名册中选择，经援助机构批准，也可在调解员名册外选择律师、专家、技术人</w:t>
      </w:r>
      <w:r>
        <w:rPr>
          <w:spacing w:val="-5"/>
          <w:sz w:val="21"/>
        </w:rPr>
        <w:t>员等具有调解能力的人员。</w:t>
      </w:r>
    </w:p>
    <w:p>
      <w:pPr>
        <w:pStyle w:val="ListParagraph"/>
        <w:numPr>
          <w:ilvl w:val="4"/>
          <w:numId w:val="8"/>
        </w:numPr>
        <w:tabs>
          <w:tab w:val="left" w:pos="1341"/>
        </w:tabs>
        <w:spacing w:before="3" w:after="0" w:line="242" w:lineRule="auto"/>
        <w:ind w:left="240" w:right="751" w:firstLine="0"/>
        <w:jc w:val="both"/>
        <w:rPr>
          <w:sz w:val="21"/>
        </w:rPr>
      </w:pPr>
      <w:r>
        <w:rPr>
          <w:sz w:val="21"/>
        </w:rPr>
        <w:t>如果在 7</w:t>
      </w:r>
      <w:r>
        <w:rPr>
          <w:spacing w:val="-3"/>
          <w:sz w:val="21"/>
        </w:rPr>
        <w:t xml:space="preserve"> 个工作日内不能共同选定调解员的, 由援助机构从所确定的调解员名册中指定调解</w:t>
      </w:r>
      <w:r>
        <w:rPr>
          <w:spacing w:val="-4"/>
          <w:sz w:val="21"/>
        </w:rPr>
        <w:t xml:space="preserve">员, 并及时通知双方当事人调解员姓名、调解日期、调解地点。如果双方当事人 </w:t>
      </w:r>
      <w:r>
        <w:rPr>
          <w:sz w:val="21"/>
        </w:rPr>
        <w:t>15</w:t>
      </w:r>
      <w:r>
        <w:rPr>
          <w:spacing w:val="-6"/>
          <w:sz w:val="21"/>
        </w:rPr>
        <w:t xml:space="preserve"> 个工作日内不能共同</w:t>
      </w:r>
      <w:r>
        <w:rPr>
          <w:spacing w:val="-4"/>
          <w:sz w:val="21"/>
        </w:rPr>
        <w:t>选定亦不能共同委托调解组织指定的调解员的, 视为拒绝调解。</w:t>
      </w:r>
    </w:p>
    <w:p>
      <w:pPr>
        <w:pStyle w:val="ListParagraph"/>
        <w:numPr>
          <w:ilvl w:val="3"/>
          <w:numId w:val="8"/>
        </w:numPr>
        <w:tabs>
          <w:tab w:val="left" w:pos="1142"/>
        </w:tabs>
        <w:spacing w:before="121" w:after="0" w:line="240" w:lineRule="auto"/>
        <w:ind w:left="1141" w:right="0" w:hanging="902"/>
        <w:jc w:val="left"/>
        <w:rPr>
          <w:rFonts w:ascii="黑体" w:eastAsia="黑体" w:hint="eastAsia"/>
          <w:sz w:val="21"/>
        </w:rPr>
      </w:pPr>
      <w:r>
        <w:rPr>
          <w:rFonts w:ascii="黑体" w:eastAsia="黑体" w:hint="eastAsia"/>
          <w:spacing w:val="-1"/>
          <w:sz w:val="21"/>
        </w:rPr>
        <w:t>调解及实施</w:t>
      </w:r>
    </w:p>
    <w:p>
      <w:pPr>
        <w:pStyle w:val="ListParagraph"/>
        <w:numPr>
          <w:ilvl w:val="4"/>
          <w:numId w:val="8"/>
        </w:numPr>
        <w:tabs>
          <w:tab w:val="left" w:pos="1341"/>
        </w:tabs>
        <w:spacing w:before="125" w:after="0" w:line="242" w:lineRule="auto"/>
        <w:ind w:left="240" w:right="762" w:firstLine="0"/>
        <w:jc w:val="left"/>
        <w:rPr>
          <w:sz w:val="21"/>
        </w:rPr>
      </w:pPr>
      <w:r>
        <w:rPr>
          <w:spacing w:val="-1"/>
          <w:sz w:val="21"/>
        </w:rPr>
        <w:t>调解员应征得双方同意后以现场调解、电话调解、书面调解以及网络调解等方式及时进行调</w:t>
      </w:r>
      <w:r>
        <w:rPr>
          <w:spacing w:val="-3"/>
          <w:sz w:val="21"/>
        </w:rPr>
        <w:t>解，主要按以下步骤进行：</w:t>
      </w:r>
    </w:p>
    <w:p>
      <w:pPr>
        <w:pStyle w:val="BodyText"/>
        <w:spacing w:line="268" w:lineRule="exact"/>
        <w:ind w:left="666"/>
      </w:pPr>
      <w:r>
        <w:rPr>
          <w:rFonts w:ascii="Times New Roman" w:eastAsia="Times New Roman" w:hAnsi="Times New Roman"/>
          <w:sz w:val="20"/>
        </w:rPr>
        <w:t xml:space="preserve">—— </w:t>
      </w:r>
      <w:r>
        <w:t>告知调解的性质、原则、程序和效力,以及在调解活动中享有的权利和承担的义务等事项；</w:t>
      </w:r>
    </w:p>
    <w:p>
      <w:pPr>
        <w:pStyle w:val="BodyText"/>
        <w:spacing w:before="4"/>
        <w:ind w:left="666"/>
      </w:pPr>
      <w:r>
        <w:rPr>
          <w:rFonts w:ascii="Times New Roman" w:eastAsia="Times New Roman" w:hAnsi="Times New Roman"/>
          <w:sz w:val="20"/>
        </w:rPr>
        <w:t xml:space="preserve">—— </w:t>
      </w:r>
      <w:r>
        <w:t>对案件材料进行分析,确定案件的关键问题及双方当事人的主要分歧；</w:t>
      </w:r>
    </w:p>
    <w:p>
      <w:pPr>
        <w:pStyle w:val="BodyText"/>
        <w:spacing w:before="3"/>
        <w:ind w:left="666"/>
      </w:pPr>
      <w:r>
        <w:rPr>
          <w:rFonts w:ascii="Times New Roman" w:eastAsia="Times New Roman" w:hAnsi="Times New Roman"/>
          <w:sz w:val="20"/>
        </w:rPr>
        <w:t xml:space="preserve">—— </w:t>
      </w:r>
      <w:r>
        <w:t>提出调解方案,引导当事人和解或达成调解协议。</w:t>
      </w:r>
    </w:p>
    <w:p>
      <w:pPr>
        <w:pStyle w:val="ListParagraph"/>
        <w:numPr>
          <w:ilvl w:val="4"/>
          <w:numId w:val="8"/>
        </w:numPr>
        <w:tabs>
          <w:tab w:val="left" w:pos="1341"/>
        </w:tabs>
        <w:spacing w:before="4" w:after="0" w:line="240" w:lineRule="auto"/>
        <w:ind w:left="1340" w:right="0" w:hanging="1101"/>
        <w:jc w:val="left"/>
        <w:rPr>
          <w:sz w:val="21"/>
        </w:rPr>
      </w:pPr>
      <w:r>
        <w:rPr>
          <w:spacing w:val="-15"/>
          <w:sz w:val="21"/>
        </w:rPr>
        <w:t xml:space="preserve">未能在 </w:t>
      </w:r>
      <w:r>
        <w:rPr>
          <w:sz w:val="21"/>
        </w:rPr>
        <w:t>30</w:t>
      </w:r>
      <w:r>
        <w:rPr>
          <w:spacing w:val="-9"/>
          <w:sz w:val="21"/>
        </w:rPr>
        <w:t xml:space="preserve"> 个工作日内达成调解协议的，视为调解不成，应终止调解。</w:t>
      </w:r>
    </w:p>
    <w:p>
      <w:pPr>
        <w:pStyle w:val="ListParagraph"/>
        <w:numPr>
          <w:ilvl w:val="3"/>
          <w:numId w:val="8"/>
        </w:numPr>
        <w:tabs>
          <w:tab w:val="left" w:pos="1142"/>
        </w:tabs>
        <w:spacing w:before="122" w:after="0" w:line="240" w:lineRule="auto"/>
        <w:ind w:left="1141" w:right="0" w:hanging="902"/>
        <w:jc w:val="left"/>
        <w:rPr>
          <w:rFonts w:ascii="黑体" w:eastAsia="黑体" w:hint="eastAsia"/>
          <w:sz w:val="21"/>
        </w:rPr>
      </w:pPr>
      <w:r>
        <w:rPr>
          <w:rFonts w:ascii="黑体" w:eastAsia="黑体" w:hint="eastAsia"/>
          <w:spacing w:val="-2"/>
          <w:sz w:val="21"/>
        </w:rPr>
        <w:t>出具调解协议书</w:t>
      </w:r>
    </w:p>
    <w:p>
      <w:pPr>
        <w:pStyle w:val="BodyText"/>
        <w:spacing w:before="125" w:line="242" w:lineRule="auto"/>
        <w:ind w:left="240" w:right="753" w:firstLine="420"/>
      </w:pPr>
      <w:r>
        <w:t>调解员应告知当事人调解结果,当事人经调解达成协议的,应制作调解协议书（见附录 F）</w:t>
      </w:r>
      <w:r>
        <w:rPr>
          <w:b/>
        </w:rPr>
        <w:t>,</w:t>
      </w:r>
      <w:r>
        <w:t>由双方当事人及调解员签名盖章,同时加盖援助机构公章，并做好以下工作：</w:t>
      </w:r>
    </w:p>
    <w:p>
      <w:pPr>
        <w:pStyle w:val="BodyText"/>
        <w:spacing w:before="1"/>
        <w:ind w:left="666"/>
      </w:pPr>
      <w:r>
        <w:rPr>
          <w:rFonts w:ascii="Times New Roman" w:eastAsia="Times New Roman" w:hAnsi="Times New Roman"/>
          <w:sz w:val="20"/>
        </w:rPr>
        <w:t xml:space="preserve">—— </w:t>
      </w:r>
      <w:r>
        <w:t>根据当事人需要,组织、协助双方向人民法院申请司法确认；</w:t>
      </w:r>
    </w:p>
    <w:p>
      <w:pPr>
        <w:pStyle w:val="BodyText"/>
        <w:spacing w:before="3"/>
        <w:ind w:left="666"/>
      </w:pPr>
      <w:r>
        <w:rPr>
          <w:rFonts w:ascii="Times New Roman" w:eastAsia="Times New Roman" w:hAnsi="Times New Roman"/>
          <w:sz w:val="20"/>
        </w:rPr>
        <w:t xml:space="preserve">—— </w:t>
      </w:r>
      <w:r>
        <w:t>指派专人对调解协议的履行情况进行回访,督促当事人履行约定义务；</w:t>
      </w:r>
    </w:p>
    <w:p>
      <w:pPr>
        <w:pStyle w:val="BodyText"/>
        <w:spacing w:before="4"/>
        <w:ind w:left="666"/>
      </w:pPr>
      <w:r>
        <w:rPr>
          <w:rFonts w:ascii="Times New Roman" w:eastAsia="Times New Roman" w:hAnsi="Times New Roman"/>
          <w:sz w:val="20"/>
        </w:rPr>
        <w:t xml:space="preserve">—— </w:t>
      </w:r>
      <w:r>
        <w:t>任一方当事人达成协议后又反悔或者不履行调解协议,告知其解决途径。</w:t>
      </w:r>
    </w:p>
    <w:p>
      <w:pPr>
        <w:pStyle w:val="ListParagraph"/>
        <w:numPr>
          <w:ilvl w:val="2"/>
          <w:numId w:val="6"/>
        </w:numPr>
        <w:tabs>
          <w:tab w:val="left" w:pos="941"/>
          <w:tab w:val="left" w:pos="943"/>
        </w:tabs>
        <w:spacing w:before="122" w:after="0" w:line="240" w:lineRule="auto"/>
        <w:ind w:left="942" w:right="0" w:hanging="703"/>
        <w:jc w:val="left"/>
        <w:rPr>
          <w:rFonts w:ascii="黑体" w:eastAsia="黑体" w:hint="eastAsia"/>
          <w:sz w:val="21"/>
        </w:rPr>
      </w:pPr>
      <w:r>
        <w:rPr>
          <w:rFonts w:ascii="黑体" w:eastAsia="黑体" w:hint="eastAsia"/>
          <w:spacing w:val="-1"/>
          <w:sz w:val="21"/>
        </w:rPr>
        <w:t>展会维权</w:t>
      </w:r>
    </w:p>
    <w:p>
      <w:pPr>
        <w:pStyle w:val="ListParagraph"/>
        <w:numPr>
          <w:ilvl w:val="3"/>
          <w:numId w:val="6"/>
        </w:numPr>
        <w:tabs>
          <w:tab w:val="left" w:pos="1142"/>
        </w:tabs>
        <w:spacing w:before="125" w:after="0" w:line="240" w:lineRule="auto"/>
        <w:ind w:left="1141" w:right="0" w:hanging="902"/>
        <w:jc w:val="left"/>
        <w:rPr>
          <w:rFonts w:ascii="黑体" w:eastAsia="黑体" w:hint="eastAsia"/>
          <w:sz w:val="21"/>
        </w:rPr>
      </w:pPr>
      <w:r>
        <w:rPr>
          <w:rFonts w:ascii="黑体" w:eastAsia="黑体" w:hint="eastAsia"/>
          <w:spacing w:val="-1"/>
          <w:sz w:val="21"/>
        </w:rPr>
        <w:t>申请受理</w:t>
      </w:r>
    </w:p>
    <w:p>
      <w:pPr>
        <w:pStyle w:val="BodyText"/>
        <w:spacing w:before="122"/>
        <w:ind w:left="661"/>
      </w:pPr>
      <w:r>
        <w:t>申请人通过来访知识产权服务台的方式投诉，并提交的相关材料，包括：</w:t>
      </w:r>
    </w:p>
    <w:p>
      <w:pPr>
        <w:spacing w:before="4"/>
        <w:ind w:left="666" w:right="0" w:firstLine="0"/>
        <w:jc w:val="left"/>
        <w:rPr>
          <w:sz w:val="21"/>
        </w:rPr>
      </w:pPr>
      <w:r>
        <w:rPr>
          <w:rFonts w:ascii="Times New Roman" w:eastAsia="Times New Roman" w:hAnsi="Times New Roman"/>
          <w:sz w:val="20"/>
        </w:rPr>
        <w:t xml:space="preserve">—— </w:t>
      </w:r>
      <w:r>
        <w:rPr>
          <w:sz w:val="21"/>
        </w:rPr>
        <w:t>投诉人的身份证明；</w:t>
      </w:r>
    </w:p>
    <w:p>
      <w:pPr>
        <w:pStyle w:val="BodyText"/>
        <w:spacing w:before="3"/>
        <w:ind w:left="666"/>
      </w:pPr>
      <w:r>
        <w:rPr>
          <w:rFonts w:ascii="Times New Roman" w:eastAsia="Times New Roman" w:hAnsi="Times New Roman"/>
          <w:sz w:val="20"/>
        </w:rPr>
        <w:t xml:space="preserve">—— </w:t>
      </w:r>
      <w:r>
        <w:t>涉嫌侵犯知识产权的事实、理由和证据；</w:t>
      </w:r>
    </w:p>
    <w:p>
      <w:pPr>
        <w:pStyle w:val="BodyText"/>
        <w:spacing w:before="4"/>
        <w:ind w:left="666"/>
      </w:pPr>
      <w:r>
        <w:rPr>
          <w:rFonts w:ascii="Times New Roman" w:eastAsia="Times New Roman" w:hAnsi="Times New Roman"/>
          <w:sz w:val="20"/>
        </w:rPr>
        <w:t xml:space="preserve">—— </w:t>
      </w:r>
      <w:r>
        <w:t>拥有知识产权的，应当提供权利证明文件；</w:t>
      </w:r>
    </w:p>
    <w:p>
      <w:pPr>
        <w:pStyle w:val="BodyText"/>
        <w:spacing w:before="2"/>
        <w:ind w:left="666"/>
      </w:pPr>
      <w:r>
        <w:rPr>
          <w:rFonts w:ascii="Times New Roman" w:eastAsia="Times New Roman" w:hAnsi="Times New Roman"/>
          <w:sz w:val="20"/>
        </w:rPr>
        <w:t xml:space="preserve">—— </w:t>
      </w:r>
      <w:r>
        <w:t>被投诉人的身份信息和展位号。</w:t>
      </w:r>
    </w:p>
    <w:p>
      <w:pPr>
        <w:pStyle w:val="ListParagraph"/>
        <w:numPr>
          <w:ilvl w:val="3"/>
          <w:numId w:val="6"/>
        </w:numPr>
        <w:tabs>
          <w:tab w:val="left" w:pos="1142"/>
        </w:tabs>
        <w:spacing w:before="125" w:after="0" w:line="240" w:lineRule="auto"/>
        <w:ind w:left="1141" w:right="0" w:hanging="902"/>
        <w:jc w:val="left"/>
        <w:rPr>
          <w:rFonts w:ascii="黑体" w:eastAsia="黑体" w:hint="eastAsia"/>
          <w:sz w:val="21"/>
        </w:rPr>
      </w:pPr>
      <w:r>
        <w:rPr>
          <w:rFonts w:ascii="黑体" w:eastAsia="黑体" w:hint="eastAsia"/>
          <w:spacing w:val="-1"/>
          <w:sz w:val="21"/>
        </w:rPr>
        <w:t>处理及实施</w:t>
      </w:r>
    </w:p>
    <w:p>
      <w:pPr>
        <w:pStyle w:val="BodyText"/>
        <w:spacing w:before="123"/>
        <w:ind w:left="661"/>
      </w:pPr>
      <w:r>
        <w:t>工作人员应协助展会主办方开展以下工作：</w:t>
      </w:r>
    </w:p>
    <w:p>
      <w:pPr>
        <w:pStyle w:val="BodyText"/>
        <w:spacing w:before="4"/>
        <w:ind w:left="666"/>
      </w:pPr>
      <w:r>
        <w:rPr>
          <w:rFonts w:ascii="Times New Roman" w:eastAsia="Times New Roman" w:hAnsi="Times New Roman"/>
          <w:sz w:val="20"/>
        </w:rPr>
        <w:t xml:space="preserve">—— </w:t>
      </w:r>
      <w:r>
        <w:t>通知被投诉人，告知其举证和抗辩途径；</w:t>
      </w:r>
    </w:p>
    <w:p>
      <w:pPr>
        <w:pStyle w:val="BodyText"/>
        <w:spacing w:before="2" w:line="242" w:lineRule="auto"/>
        <w:ind w:left="1093" w:right="651" w:hanging="428"/>
      </w:pPr>
      <w:r>
        <w:rPr>
          <w:rFonts w:ascii="Times New Roman" w:eastAsia="Times New Roman" w:hAnsi="Times New Roman"/>
          <w:sz w:val="20"/>
        </w:rPr>
        <w:t xml:space="preserve">—— </w:t>
      </w:r>
      <w:r>
        <w:t>调查取证，查阅、复制与案件有关的文件，询问当事人，采用拍照、摄像等方式进行现场勘验， 也可以抽样取证；</w:t>
      </w:r>
    </w:p>
    <w:p>
      <w:pPr>
        <w:pStyle w:val="BodyText"/>
        <w:spacing w:before="2"/>
        <w:ind w:left="666"/>
      </w:pPr>
      <w:r>
        <w:rPr>
          <w:rFonts w:ascii="Times New Roman" w:eastAsia="Times New Roman" w:hAnsi="Times New Roman"/>
          <w:sz w:val="20"/>
        </w:rPr>
        <w:t xml:space="preserve">—— </w:t>
      </w:r>
      <w:r>
        <w:t>确定侵权判定所依据的原则、法律法规条款、司法解释条款；</w:t>
      </w:r>
    </w:p>
    <w:p>
      <w:pPr>
        <w:pStyle w:val="BodyText"/>
        <w:spacing w:before="2" w:line="244" w:lineRule="auto"/>
        <w:ind w:left="1093" w:right="751" w:hanging="428"/>
      </w:pPr>
      <w:r>
        <w:rPr>
          <w:rFonts w:ascii="Times New Roman" w:eastAsia="Times New Roman" w:hAnsi="Times New Roman"/>
          <w:sz w:val="20"/>
        </w:rPr>
        <w:t xml:space="preserve">—— </w:t>
      </w:r>
      <w:r>
        <w:rPr>
          <w:spacing w:val="-7"/>
        </w:rPr>
        <w:t>对涉案权利和被控涉嫌侵权客体进行对比分析，提出侵权判定意见，协助行政执法部门出具处理</w:t>
      </w:r>
      <w:r>
        <w:rPr>
          <w:spacing w:val="-5"/>
        </w:rPr>
        <w:t>通知书；</w:t>
      </w:r>
    </w:p>
    <w:p>
      <w:pPr>
        <w:pStyle w:val="ListParagraph"/>
        <w:numPr>
          <w:ilvl w:val="2"/>
          <w:numId w:val="6"/>
        </w:numPr>
        <w:tabs>
          <w:tab w:val="left" w:pos="941"/>
          <w:tab w:val="left" w:pos="943"/>
        </w:tabs>
        <w:spacing w:before="116" w:after="0" w:line="240" w:lineRule="auto"/>
        <w:ind w:left="942" w:right="0" w:hanging="703"/>
        <w:jc w:val="left"/>
        <w:rPr>
          <w:rFonts w:ascii="黑体" w:eastAsia="黑体" w:hint="eastAsia"/>
          <w:sz w:val="21"/>
        </w:rPr>
      </w:pPr>
      <w:r>
        <w:rPr>
          <w:rFonts w:ascii="黑体" w:eastAsia="黑体" w:hint="eastAsia"/>
          <w:spacing w:val="-1"/>
          <w:sz w:val="21"/>
        </w:rPr>
        <w:t>电商维权</w:t>
      </w:r>
    </w:p>
    <w:p>
      <w:pPr>
        <w:pStyle w:val="ListParagraph"/>
        <w:numPr>
          <w:ilvl w:val="3"/>
          <w:numId w:val="6"/>
        </w:numPr>
        <w:tabs>
          <w:tab w:val="left" w:pos="1142"/>
        </w:tabs>
        <w:spacing w:before="124" w:after="0" w:line="240" w:lineRule="auto"/>
        <w:ind w:left="1141" w:right="0" w:hanging="902"/>
        <w:jc w:val="left"/>
        <w:rPr>
          <w:rFonts w:ascii="黑体" w:eastAsia="黑体" w:hint="eastAsia"/>
          <w:sz w:val="21"/>
        </w:rPr>
      </w:pPr>
      <w:r>
        <w:rPr>
          <w:rFonts w:ascii="黑体" w:eastAsia="黑体" w:hint="eastAsia"/>
          <w:spacing w:val="-1"/>
          <w:sz w:val="21"/>
        </w:rPr>
        <w:t>申请受理</w:t>
      </w:r>
    </w:p>
    <w:p>
      <w:pPr>
        <w:pStyle w:val="ListParagraph"/>
        <w:numPr>
          <w:ilvl w:val="4"/>
          <w:numId w:val="6"/>
        </w:numPr>
        <w:tabs>
          <w:tab w:val="left" w:pos="1341"/>
        </w:tabs>
        <w:spacing w:before="123" w:after="0" w:line="244" w:lineRule="auto"/>
        <w:ind w:left="240" w:right="758" w:firstLine="0"/>
        <w:jc w:val="both"/>
        <w:rPr>
          <w:sz w:val="21"/>
        </w:rPr>
      </w:pPr>
      <w:r>
        <w:rPr>
          <w:spacing w:val="-1"/>
          <w:sz w:val="21"/>
        </w:rPr>
        <w:t xml:space="preserve">申请人可通过电话、来访、网络、信函等方式提出维权援助申请，书面形式提交申请材料， </w:t>
      </w:r>
      <w:r>
        <w:rPr>
          <w:spacing w:val="-8"/>
          <w:sz w:val="21"/>
        </w:rPr>
        <w:t xml:space="preserve">申请材料应包括本文 </w:t>
      </w:r>
      <w:r>
        <w:rPr>
          <w:sz w:val="21"/>
        </w:rPr>
        <w:t>5.2.1.1.1</w:t>
      </w:r>
      <w:r>
        <w:rPr>
          <w:spacing w:val="-11"/>
          <w:sz w:val="21"/>
        </w:rPr>
        <w:t xml:space="preserve"> 所述内容。</w:t>
      </w:r>
    </w:p>
    <w:p>
      <w:pPr>
        <w:spacing w:after="0" w:line="244" w:lineRule="auto"/>
        <w:jc w:val="both"/>
        <w:rPr>
          <w:sz w:val="21"/>
        </w:rPr>
        <w:sectPr>
          <w:headerReference w:type="even" r:id="rId21"/>
          <w:headerReference w:type="default" r:id="rId22"/>
          <w:footerReference w:type="even" r:id="rId23"/>
          <w:footerReference w:type="default" r:id="rId24"/>
          <w:pgSz w:w="11920" w:h="16850"/>
          <w:pgMar w:top="620" w:right="440" w:bottom="1440" w:left="880" w:header="416" w:footer="1255"/>
          <w:pgNumType w:start="4"/>
          <w:cols w:space="708"/>
        </w:sectPr>
      </w:pPr>
    </w:p>
    <w:p>
      <w:pPr>
        <w:pStyle w:val="ListParagraph"/>
        <w:numPr>
          <w:ilvl w:val="4"/>
          <w:numId w:val="6"/>
        </w:numPr>
        <w:tabs>
          <w:tab w:val="left" w:pos="1341"/>
        </w:tabs>
        <w:spacing w:before="77" w:after="0" w:line="244" w:lineRule="auto"/>
        <w:ind w:left="240" w:right="751" w:firstLine="0"/>
        <w:jc w:val="both"/>
        <w:rPr>
          <w:sz w:val="21"/>
        </w:rPr>
      </w:pPr>
      <w:r>
        <w:rPr>
          <w:spacing w:val="-2"/>
          <w:sz w:val="21"/>
        </w:rPr>
        <w:t xml:space="preserve">援助机构工作人员应在 </w:t>
      </w:r>
      <w:r>
        <w:rPr>
          <w:sz w:val="21"/>
        </w:rPr>
        <w:t>3</w:t>
      </w:r>
      <w:r>
        <w:rPr>
          <w:spacing w:val="-3"/>
          <w:sz w:val="21"/>
        </w:rPr>
        <w:t xml:space="preserve"> 个工作日内进行审查，对于情况复杂影响重大的，经批准可适当延</w:t>
      </w:r>
      <w:r>
        <w:rPr>
          <w:spacing w:val="-10"/>
          <w:sz w:val="21"/>
        </w:rPr>
        <w:t xml:space="preserve">长，最长不超过 </w:t>
      </w:r>
      <w:r>
        <w:rPr>
          <w:sz w:val="21"/>
        </w:rPr>
        <w:t>15</w:t>
      </w:r>
      <w:r>
        <w:rPr>
          <w:spacing w:val="-11"/>
          <w:sz w:val="21"/>
        </w:rPr>
        <w:t xml:space="preserve"> 个工作日。审查内容应包括本文 </w:t>
      </w:r>
      <w:r>
        <w:rPr>
          <w:sz w:val="21"/>
        </w:rPr>
        <w:t>5.2.1.1.2</w:t>
      </w:r>
      <w:r>
        <w:rPr>
          <w:spacing w:val="-11"/>
          <w:sz w:val="21"/>
        </w:rPr>
        <w:t xml:space="preserve"> 所述内容。</w:t>
      </w:r>
    </w:p>
    <w:p>
      <w:pPr>
        <w:pStyle w:val="ListParagraph"/>
        <w:numPr>
          <w:ilvl w:val="4"/>
          <w:numId w:val="6"/>
        </w:numPr>
        <w:tabs>
          <w:tab w:val="left" w:pos="1341"/>
        </w:tabs>
        <w:spacing w:before="0" w:after="0" w:line="242" w:lineRule="auto"/>
        <w:ind w:left="240" w:right="751" w:firstLine="0"/>
        <w:jc w:val="both"/>
        <w:rPr>
          <w:sz w:val="21"/>
        </w:rPr>
      </w:pPr>
      <w:r>
        <w:rPr>
          <w:sz w:val="21"/>
        </w:rPr>
        <w:t>符合受理条件的，工作人员应登记事项信息，并将受理情况反馈申请人，并初步告知截屏录</w:t>
      </w:r>
      <w:r>
        <w:rPr>
          <w:spacing w:val="-9"/>
          <w:sz w:val="21"/>
        </w:rPr>
        <w:t>像、电子取证购买等取证方式；不予受理的应当说明理由，并应告知申请人不予受理原因或要求其补充材料。</w:t>
      </w:r>
    </w:p>
    <w:p>
      <w:pPr>
        <w:pStyle w:val="ListParagraph"/>
        <w:numPr>
          <w:ilvl w:val="3"/>
          <w:numId w:val="6"/>
        </w:numPr>
        <w:tabs>
          <w:tab w:val="left" w:pos="1142"/>
        </w:tabs>
        <w:spacing w:before="119" w:after="0" w:line="240" w:lineRule="auto"/>
        <w:ind w:left="1141" w:right="0" w:hanging="902"/>
        <w:jc w:val="left"/>
        <w:rPr>
          <w:rFonts w:ascii="黑体" w:eastAsia="黑体" w:hint="eastAsia"/>
          <w:sz w:val="21"/>
        </w:rPr>
      </w:pPr>
      <w:r>
        <w:rPr>
          <w:rFonts w:ascii="黑体" w:eastAsia="黑体" w:hint="eastAsia"/>
          <w:spacing w:val="-1"/>
          <w:sz w:val="21"/>
        </w:rPr>
        <w:t>选派人员</w:t>
      </w:r>
    </w:p>
    <w:p>
      <w:pPr>
        <w:pStyle w:val="BodyText"/>
        <w:spacing w:before="122" w:line="242" w:lineRule="auto"/>
        <w:ind w:left="240" w:right="751" w:firstLine="420"/>
        <w:jc w:val="both"/>
      </w:pPr>
      <w:r>
        <w:rPr>
          <w:spacing w:val="-5"/>
        </w:rPr>
        <w:t>援助机构应安排具体工作人员对受理事项的相关法律法规及对涉案的知识产权进行检索分析，根据掌</w:t>
      </w:r>
      <w:r>
        <w:rPr>
          <w:spacing w:val="-9"/>
        </w:rPr>
        <w:t>握的证据材料，初步理清事实和法律问题，确定具体技术领域，根据案情及工作需要选择符合要求的专家</w:t>
      </w:r>
      <w:r>
        <w:rPr>
          <w:spacing w:val="-5"/>
        </w:rPr>
        <w:t>进行判定。</w:t>
      </w:r>
    </w:p>
    <w:p>
      <w:pPr>
        <w:pStyle w:val="ListParagraph"/>
        <w:numPr>
          <w:ilvl w:val="3"/>
          <w:numId w:val="6"/>
        </w:numPr>
        <w:tabs>
          <w:tab w:val="left" w:pos="1142"/>
        </w:tabs>
        <w:spacing w:before="124" w:after="0" w:line="240" w:lineRule="auto"/>
        <w:ind w:left="1141" w:right="0" w:hanging="902"/>
        <w:jc w:val="left"/>
        <w:rPr>
          <w:rFonts w:ascii="黑体" w:eastAsia="黑体" w:hint="eastAsia"/>
          <w:sz w:val="21"/>
        </w:rPr>
      </w:pPr>
      <w:r>
        <w:rPr>
          <w:rFonts w:ascii="黑体" w:eastAsia="黑体" w:hint="eastAsia"/>
          <w:spacing w:val="-1"/>
          <w:sz w:val="21"/>
        </w:rPr>
        <w:t>判定及实施</w:t>
      </w:r>
    </w:p>
    <w:p>
      <w:pPr>
        <w:pStyle w:val="BodyText"/>
        <w:spacing w:before="122"/>
        <w:ind w:left="661"/>
      </w:pPr>
      <w:r>
        <w:drawing>
          <wp:anchor distT="0" distB="0" distL="0" distR="0" simplePos="0" relativeHeight="251662336" behindDoc="0" locked="0" layoutInCell="1" allowOverlap="1">
            <wp:simplePos x="0" y="0"/>
            <wp:positionH relativeFrom="page">
              <wp:posOffset>1512722</wp:posOffset>
            </wp:positionH>
            <wp:positionV relativeFrom="paragraph">
              <wp:posOffset>154696</wp:posOffset>
            </wp:positionV>
            <wp:extent cx="4538182" cy="4538182"/>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6" cstate="print"/>
                    <a:stretch>
                      <a:fillRect/>
                    </a:stretch>
                  </pic:blipFill>
                  <pic:spPr>
                    <a:xfrm>
                      <a:off x="0" y="0"/>
                      <a:ext cx="4538182" cy="4538182"/>
                    </a:xfrm>
                    <a:prstGeom prst="rect">
                      <a:avLst/>
                    </a:prstGeom>
                  </pic:spPr>
                </pic:pic>
              </a:graphicData>
            </a:graphic>
          </wp:anchor>
        </w:drawing>
      </w:r>
      <w:r>
        <w:rPr>
          <w:spacing w:val="-3"/>
        </w:rPr>
        <w:t>工作人员和选定的专家应通过以下方式对事项内容进行分析判定：</w:t>
      </w:r>
    </w:p>
    <w:p>
      <w:pPr>
        <w:pStyle w:val="BodyText"/>
        <w:spacing w:before="5"/>
        <w:ind w:left="666"/>
      </w:pPr>
      <w:r>
        <w:rPr>
          <w:rFonts w:ascii="Times New Roman" w:eastAsia="Times New Roman" w:hAnsi="Times New Roman"/>
          <w:spacing w:val="2"/>
          <w:sz w:val="20"/>
        </w:rPr>
        <w:t xml:space="preserve">—— </w:t>
      </w:r>
      <w:r>
        <w:rPr>
          <w:spacing w:val="-3"/>
        </w:rPr>
        <w:t>确定分析判定所依据的原则、法律法规条款、司法解释条款；</w:t>
      </w:r>
    </w:p>
    <w:p>
      <w:pPr>
        <w:pStyle w:val="BodyText"/>
        <w:spacing w:before="2"/>
        <w:ind w:left="666"/>
      </w:pPr>
      <w:r>
        <w:rPr>
          <w:rFonts w:ascii="Times New Roman" w:eastAsia="Times New Roman" w:hAnsi="Times New Roman"/>
          <w:sz w:val="20"/>
        </w:rPr>
        <w:t xml:space="preserve">—— </w:t>
      </w:r>
      <w:r>
        <w:t>对涉案知识产权及涉嫌侵权客体进行对比分析；</w:t>
      </w:r>
    </w:p>
    <w:p>
      <w:pPr>
        <w:pStyle w:val="BodyText"/>
        <w:spacing w:before="4"/>
        <w:ind w:left="666"/>
      </w:pPr>
      <w:r>
        <w:rPr>
          <w:rFonts w:ascii="Times New Roman" w:eastAsia="Times New Roman" w:hAnsi="Times New Roman"/>
          <w:sz w:val="20"/>
        </w:rPr>
        <w:t xml:space="preserve">—— </w:t>
      </w:r>
      <w:r>
        <w:t>对被控涉嫌侵权客体是否构成侵权或申诉抗辩理由是否成立进行判断。</w:t>
      </w:r>
    </w:p>
    <w:p>
      <w:pPr>
        <w:pStyle w:val="ListParagraph"/>
        <w:numPr>
          <w:ilvl w:val="3"/>
          <w:numId w:val="6"/>
        </w:numPr>
        <w:tabs>
          <w:tab w:val="left" w:pos="1142"/>
        </w:tabs>
        <w:spacing w:before="123" w:after="0" w:line="240" w:lineRule="auto"/>
        <w:ind w:left="1141" w:right="0" w:hanging="902"/>
        <w:jc w:val="left"/>
        <w:rPr>
          <w:rFonts w:ascii="黑体" w:eastAsia="黑体" w:hint="eastAsia"/>
          <w:sz w:val="21"/>
        </w:rPr>
      </w:pPr>
      <w:r>
        <w:rPr>
          <w:rFonts w:ascii="黑体" w:eastAsia="黑体" w:hint="eastAsia"/>
          <w:spacing w:val="-1"/>
          <w:sz w:val="21"/>
        </w:rPr>
        <w:t>出具意见</w:t>
      </w:r>
    </w:p>
    <w:p>
      <w:pPr>
        <w:pStyle w:val="BodyText"/>
        <w:spacing w:before="122" w:line="244" w:lineRule="auto"/>
        <w:ind w:left="240" w:right="751" w:firstLine="420"/>
        <w:jc w:val="both"/>
      </w:pPr>
      <w:r>
        <w:rPr>
          <w:spacing w:val="-4"/>
        </w:rPr>
        <w:t xml:space="preserve">工作人员应在整合各位专家分析判定结果后，在 </w:t>
      </w:r>
      <w:r>
        <w:t>30</w:t>
      </w:r>
      <w:r>
        <w:rPr>
          <w:spacing w:val="-5"/>
        </w:rPr>
        <w:t xml:space="preserve"> 个工作日内出具包括以下内容的侵权判定咨询意见表</w:t>
      </w:r>
      <w:r>
        <w:rPr>
          <w:spacing w:val="-3"/>
        </w:rPr>
        <w:t>（</w:t>
      </w:r>
      <w:r>
        <w:rPr>
          <w:spacing w:val="-15"/>
        </w:rPr>
        <w:t xml:space="preserve">见附录 </w:t>
      </w:r>
      <w:r>
        <w:t>D）</w:t>
      </w:r>
      <w:r>
        <w:rPr>
          <w:spacing w:val="-15"/>
        </w:rPr>
        <w:t xml:space="preserve">。所述意见表应包括本文 </w:t>
      </w:r>
      <w:r>
        <w:rPr>
          <w:spacing w:val="-4"/>
        </w:rPr>
        <w:t>5.2.1.4</w:t>
      </w:r>
      <w:r>
        <w:rPr>
          <w:spacing w:val="-17"/>
        </w:rPr>
        <w:t xml:space="preserve"> 所述内容。</w:t>
      </w:r>
    </w:p>
    <w:p>
      <w:pPr>
        <w:pStyle w:val="ListParagraph"/>
        <w:numPr>
          <w:ilvl w:val="2"/>
          <w:numId w:val="6"/>
        </w:numPr>
        <w:tabs>
          <w:tab w:val="left" w:pos="941"/>
          <w:tab w:val="left" w:pos="943"/>
        </w:tabs>
        <w:spacing w:before="116" w:after="0" w:line="240" w:lineRule="auto"/>
        <w:ind w:left="942" w:right="0" w:hanging="703"/>
        <w:jc w:val="left"/>
        <w:rPr>
          <w:rFonts w:ascii="黑体" w:eastAsia="黑体" w:hint="eastAsia"/>
          <w:sz w:val="21"/>
        </w:rPr>
      </w:pPr>
      <w:r>
        <w:rPr>
          <w:rFonts w:ascii="黑体" w:eastAsia="黑体" w:hint="eastAsia"/>
          <w:spacing w:val="-1"/>
          <w:sz w:val="21"/>
        </w:rPr>
        <w:t>海外维权</w:t>
      </w:r>
    </w:p>
    <w:p>
      <w:pPr>
        <w:pStyle w:val="ListParagraph"/>
        <w:numPr>
          <w:ilvl w:val="3"/>
          <w:numId w:val="6"/>
        </w:numPr>
        <w:tabs>
          <w:tab w:val="left" w:pos="1142"/>
        </w:tabs>
        <w:spacing w:before="124" w:after="0" w:line="240" w:lineRule="auto"/>
        <w:ind w:left="1141" w:right="0" w:hanging="902"/>
        <w:jc w:val="left"/>
        <w:rPr>
          <w:rFonts w:ascii="黑体" w:eastAsia="黑体" w:hint="eastAsia"/>
          <w:sz w:val="21"/>
        </w:rPr>
      </w:pPr>
      <w:r>
        <w:rPr>
          <w:rFonts w:ascii="黑体" w:eastAsia="黑体" w:hint="eastAsia"/>
          <w:spacing w:val="-1"/>
          <w:sz w:val="21"/>
        </w:rPr>
        <w:t>申请受理</w:t>
      </w:r>
    </w:p>
    <w:p>
      <w:pPr>
        <w:pStyle w:val="ListParagraph"/>
        <w:numPr>
          <w:ilvl w:val="4"/>
          <w:numId w:val="6"/>
        </w:numPr>
        <w:tabs>
          <w:tab w:val="left" w:pos="1341"/>
        </w:tabs>
        <w:spacing w:before="122" w:after="0" w:line="244" w:lineRule="auto"/>
        <w:ind w:left="240" w:right="762" w:firstLine="0"/>
        <w:jc w:val="left"/>
        <w:rPr>
          <w:sz w:val="21"/>
        </w:rPr>
      </w:pPr>
      <w:r>
        <w:rPr>
          <w:spacing w:val="-1"/>
          <w:sz w:val="21"/>
        </w:rPr>
        <w:t>申请人可通过电话、来访、网络、信函等方式提出维权援助申请，书面形式提交申请材料。</w:t>
      </w:r>
      <w:r>
        <w:rPr>
          <w:spacing w:val="-8"/>
          <w:sz w:val="21"/>
        </w:rPr>
        <w:t xml:space="preserve">申请材料应包括本文 </w:t>
      </w:r>
      <w:r>
        <w:rPr>
          <w:sz w:val="21"/>
        </w:rPr>
        <w:t>5.2.1.1.1</w:t>
      </w:r>
      <w:r>
        <w:rPr>
          <w:spacing w:val="-11"/>
          <w:sz w:val="21"/>
        </w:rPr>
        <w:t xml:space="preserve"> 所述内容。</w:t>
      </w:r>
    </w:p>
    <w:p>
      <w:pPr>
        <w:pStyle w:val="ListParagraph"/>
        <w:numPr>
          <w:ilvl w:val="4"/>
          <w:numId w:val="6"/>
        </w:numPr>
        <w:tabs>
          <w:tab w:val="left" w:pos="1341"/>
        </w:tabs>
        <w:spacing w:before="0" w:after="0" w:line="244" w:lineRule="auto"/>
        <w:ind w:left="240" w:right="751" w:firstLine="0"/>
        <w:jc w:val="left"/>
        <w:rPr>
          <w:sz w:val="21"/>
        </w:rPr>
      </w:pPr>
      <w:r>
        <w:rPr>
          <w:spacing w:val="-2"/>
          <w:sz w:val="21"/>
        </w:rPr>
        <w:t xml:space="preserve">援助机构工作人员应在 </w:t>
      </w:r>
      <w:r>
        <w:rPr>
          <w:sz w:val="21"/>
        </w:rPr>
        <w:t>5</w:t>
      </w:r>
      <w:r>
        <w:rPr>
          <w:spacing w:val="-3"/>
          <w:sz w:val="21"/>
        </w:rPr>
        <w:t xml:space="preserve"> 个工作日内进行审查，对于情况复杂影响重大的，经批准可适当延</w:t>
      </w:r>
      <w:r>
        <w:rPr>
          <w:spacing w:val="-10"/>
          <w:sz w:val="21"/>
        </w:rPr>
        <w:t xml:space="preserve">长，最长不超过 </w:t>
      </w:r>
      <w:r>
        <w:rPr>
          <w:sz w:val="21"/>
        </w:rPr>
        <w:t>15</w:t>
      </w:r>
      <w:r>
        <w:rPr>
          <w:spacing w:val="-11"/>
          <w:sz w:val="21"/>
        </w:rPr>
        <w:t xml:space="preserve"> 个工作日。审查内容应包括本文 </w:t>
      </w:r>
      <w:r>
        <w:rPr>
          <w:sz w:val="21"/>
        </w:rPr>
        <w:t>5.2.1.1.2</w:t>
      </w:r>
      <w:r>
        <w:rPr>
          <w:spacing w:val="-11"/>
          <w:sz w:val="21"/>
        </w:rPr>
        <w:t xml:space="preserve"> 所述内容。</w:t>
      </w:r>
    </w:p>
    <w:p>
      <w:pPr>
        <w:pStyle w:val="ListParagraph"/>
        <w:numPr>
          <w:ilvl w:val="4"/>
          <w:numId w:val="6"/>
        </w:numPr>
        <w:tabs>
          <w:tab w:val="left" w:pos="1341"/>
        </w:tabs>
        <w:spacing w:before="0" w:after="0" w:line="244" w:lineRule="auto"/>
        <w:ind w:left="240" w:right="762" w:firstLine="0"/>
        <w:jc w:val="left"/>
        <w:rPr>
          <w:sz w:val="21"/>
        </w:rPr>
      </w:pPr>
      <w:r>
        <w:rPr>
          <w:spacing w:val="-1"/>
          <w:sz w:val="21"/>
        </w:rPr>
        <w:t>符合受理条件的，工作人员应登记事项信息，并将受理情况反馈申请人；不予受理的应当说</w:t>
      </w:r>
      <w:r>
        <w:rPr>
          <w:spacing w:val="-3"/>
          <w:sz w:val="21"/>
        </w:rPr>
        <w:t>明理由，并应告知申请人不予受理原因或要求其补充材料。</w:t>
      </w:r>
    </w:p>
    <w:p>
      <w:pPr>
        <w:pStyle w:val="ListParagraph"/>
        <w:numPr>
          <w:ilvl w:val="3"/>
          <w:numId w:val="6"/>
        </w:numPr>
        <w:tabs>
          <w:tab w:val="left" w:pos="1142"/>
        </w:tabs>
        <w:spacing w:before="108" w:after="0" w:line="240" w:lineRule="auto"/>
        <w:ind w:left="1141" w:right="0" w:hanging="902"/>
        <w:jc w:val="left"/>
        <w:rPr>
          <w:rFonts w:ascii="黑体" w:eastAsia="黑体" w:hint="eastAsia"/>
          <w:sz w:val="21"/>
        </w:rPr>
      </w:pPr>
      <w:r>
        <w:rPr>
          <w:rFonts w:ascii="黑体" w:eastAsia="黑体" w:hint="eastAsia"/>
          <w:spacing w:val="-1"/>
          <w:sz w:val="21"/>
        </w:rPr>
        <w:t>选派人员</w:t>
      </w:r>
    </w:p>
    <w:p>
      <w:pPr>
        <w:pStyle w:val="BodyText"/>
        <w:spacing w:before="125"/>
        <w:ind w:left="661"/>
      </w:pPr>
      <w:r>
        <w:t>援助机构应依据案件分类，选定专家：</w:t>
      </w:r>
    </w:p>
    <w:p>
      <w:pPr>
        <w:pStyle w:val="BodyText"/>
        <w:spacing w:before="2"/>
        <w:ind w:left="666"/>
      </w:pPr>
      <w:r>
        <w:rPr>
          <w:rFonts w:ascii="Times New Roman" w:eastAsia="Times New Roman" w:hAnsi="Times New Roman"/>
          <w:sz w:val="20"/>
        </w:rPr>
        <w:t xml:space="preserve">—— </w:t>
      </w:r>
      <w:r>
        <w:t>普通纠纷，选定 1 名专家提供指导；</w:t>
      </w:r>
    </w:p>
    <w:p>
      <w:pPr>
        <w:pStyle w:val="BodyText"/>
        <w:spacing w:before="5" w:line="242" w:lineRule="auto"/>
        <w:ind w:left="1093" w:right="753" w:hanging="428"/>
      </w:pPr>
      <w:r>
        <w:rPr>
          <w:rFonts w:ascii="Times New Roman" w:eastAsia="Times New Roman" w:hAnsi="Times New Roman"/>
          <w:spacing w:val="-5"/>
          <w:sz w:val="20"/>
        </w:rPr>
        <w:t xml:space="preserve">—— </w:t>
      </w:r>
      <w:r>
        <w:rPr>
          <w:spacing w:val="-11"/>
        </w:rPr>
        <w:t xml:space="preserve">影响产业发展、主体复杂、数额特别巨大或波及范围较广的重大、疑难纠纷，选定 </w:t>
      </w:r>
      <w:r>
        <w:t>3</w:t>
      </w:r>
      <w:r>
        <w:rPr>
          <w:spacing w:val="-10"/>
        </w:rPr>
        <w:t xml:space="preserve"> 名及以上专</w:t>
      </w:r>
      <w:r>
        <w:rPr>
          <w:spacing w:val="-5"/>
        </w:rPr>
        <w:t>家提供指导。</w:t>
      </w:r>
    </w:p>
    <w:p>
      <w:pPr>
        <w:pStyle w:val="ListParagraph"/>
        <w:numPr>
          <w:ilvl w:val="3"/>
          <w:numId w:val="6"/>
        </w:numPr>
        <w:tabs>
          <w:tab w:val="left" w:pos="1142"/>
        </w:tabs>
        <w:spacing w:before="121" w:after="0" w:line="240" w:lineRule="auto"/>
        <w:ind w:left="1141" w:right="0" w:hanging="902"/>
        <w:jc w:val="left"/>
        <w:rPr>
          <w:rFonts w:ascii="黑体" w:eastAsia="黑体" w:hint="eastAsia"/>
          <w:sz w:val="21"/>
        </w:rPr>
      </w:pPr>
      <w:r>
        <w:rPr>
          <w:rFonts w:ascii="黑体" w:eastAsia="黑体" w:hint="eastAsia"/>
          <w:spacing w:val="-1"/>
          <w:sz w:val="21"/>
        </w:rPr>
        <w:t>判定及实施</w:t>
      </w:r>
    </w:p>
    <w:p>
      <w:pPr>
        <w:pStyle w:val="BodyText"/>
        <w:spacing w:before="123"/>
        <w:ind w:left="661"/>
      </w:pPr>
      <w:r>
        <w:t>援助机构应组织专家对以下内容进行分析研判：</w:t>
      </w:r>
    </w:p>
    <w:p>
      <w:pPr>
        <w:pStyle w:val="BodyText"/>
        <w:spacing w:before="4"/>
        <w:ind w:left="666"/>
      </w:pPr>
      <w:r>
        <w:rPr>
          <w:rFonts w:ascii="Times New Roman" w:eastAsia="Times New Roman" w:hAnsi="Times New Roman"/>
          <w:sz w:val="20"/>
        </w:rPr>
        <w:t xml:space="preserve">—— </w:t>
      </w:r>
      <w:r>
        <w:t>海外知识产权风险分析，如专利侵权风险评估、商标侵权风险评估等；</w:t>
      </w:r>
    </w:p>
    <w:p>
      <w:pPr>
        <w:pStyle w:val="BodyText"/>
        <w:spacing w:before="2"/>
        <w:ind w:left="666"/>
      </w:pPr>
      <w:r>
        <w:rPr>
          <w:rFonts w:ascii="Times New Roman" w:eastAsia="Times New Roman" w:hAnsi="Times New Roman"/>
          <w:sz w:val="20"/>
        </w:rPr>
        <w:t xml:space="preserve">—— </w:t>
      </w:r>
      <w:r>
        <w:t>侵权判定分析，如专利侵权比对分析、商标侵权判定分析等；</w:t>
      </w:r>
    </w:p>
    <w:p>
      <w:pPr>
        <w:pStyle w:val="BodyText"/>
        <w:spacing w:before="5"/>
        <w:ind w:left="666"/>
      </w:pPr>
      <w:r>
        <w:rPr>
          <w:rFonts w:ascii="Times New Roman" w:eastAsia="Times New Roman" w:hAnsi="Times New Roman"/>
          <w:sz w:val="20"/>
        </w:rPr>
        <w:t xml:space="preserve">—— </w:t>
      </w:r>
      <w:r>
        <w:t>诉讼策略，如无效申请、反诉、多辖区诉讼、送达程序利用等；</w:t>
      </w:r>
    </w:p>
    <w:p>
      <w:pPr>
        <w:pStyle w:val="BodyText"/>
        <w:spacing w:before="2"/>
        <w:ind w:left="666"/>
      </w:pPr>
      <w:r>
        <w:rPr>
          <w:rFonts w:ascii="Times New Roman" w:eastAsia="Times New Roman" w:hAnsi="Times New Roman"/>
          <w:sz w:val="20"/>
        </w:rPr>
        <w:t xml:space="preserve">—— </w:t>
      </w:r>
      <w:r>
        <w:t>临时措施应对，如提交反担保等；</w:t>
      </w:r>
    </w:p>
    <w:p>
      <w:pPr>
        <w:pStyle w:val="BodyText"/>
        <w:spacing w:before="2"/>
        <w:ind w:left="666"/>
      </w:pPr>
      <w:r>
        <w:rPr>
          <w:rFonts w:ascii="Times New Roman" w:eastAsia="Times New Roman" w:hAnsi="Times New Roman"/>
          <w:sz w:val="20"/>
        </w:rPr>
        <w:t xml:space="preserve">—— </w:t>
      </w:r>
      <w:r>
        <w:t>证据收集保全，如调查取证、保全手段选择等；</w:t>
      </w:r>
    </w:p>
    <w:p>
      <w:pPr>
        <w:spacing w:before="5"/>
        <w:ind w:left="666" w:right="0" w:firstLine="0"/>
        <w:jc w:val="left"/>
        <w:rPr>
          <w:sz w:val="21"/>
        </w:rPr>
      </w:pPr>
      <w:r>
        <w:rPr>
          <w:rFonts w:ascii="Times New Roman" w:eastAsia="Times New Roman" w:hAnsi="Times New Roman"/>
          <w:sz w:val="20"/>
        </w:rPr>
        <w:t xml:space="preserve">—— </w:t>
      </w:r>
      <w:r>
        <w:rPr>
          <w:sz w:val="21"/>
        </w:rPr>
        <w:t>程序时间管理策略；</w:t>
      </w:r>
    </w:p>
    <w:p>
      <w:pPr>
        <w:pStyle w:val="BodyText"/>
        <w:spacing w:before="2"/>
        <w:ind w:left="666"/>
      </w:pPr>
      <w:r>
        <w:rPr>
          <w:rFonts w:ascii="Times New Roman" w:eastAsia="Times New Roman" w:hAnsi="Times New Roman"/>
          <w:sz w:val="20"/>
        </w:rPr>
        <w:t xml:space="preserve">—— </w:t>
      </w:r>
      <w:r>
        <w:t>和解谈判策略，如谈判时机把控、谈判筹码获取等；</w:t>
      </w:r>
    </w:p>
    <w:p>
      <w:pPr>
        <w:spacing w:before="4"/>
        <w:ind w:left="666" w:right="0" w:firstLine="0"/>
        <w:jc w:val="left"/>
        <w:rPr>
          <w:sz w:val="21"/>
        </w:rPr>
      </w:pPr>
      <w:r>
        <w:rPr>
          <w:rFonts w:ascii="Times New Roman" w:eastAsia="Times New Roman" w:hAnsi="Times New Roman"/>
          <w:sz w:val="20"/>
        </w:rPr>
        <w:t xml:space="preserve">—— </w:t>
      </w:r>
      <w:r>
        <w:rPr>
          <w:sz w:val="21"/>
        </w:rPr>
        <w:t>判决执行策略；</w:t>
      </w:r>
    </w:p>
    <w:p>
      <w:pPr>
        <w:pStyle w:val="BodyText"/>
        <w:spacing w:before="3"/>
        <w:ind w:left="666"/>
      </w:pPr>
      <w:r>
        <w:rPr>
          <w:rFonts w:ascii="Times New Roman" w:eastAsia="Times New Roman" w:hAnsi="Times New Roman"/>
          <w:sz w:val="20"/>
        </w:rPr>
        <w:t xml:space="preserve">—— </w:t>
      </w:r>
      <w:r>
        <w:t>其他有助于申请人处理纠纷的意见。</w:t>
      </w:r>
    </w:p>
    <w:p>
      <w:pPr>
        <w:pStyle w:val="ListParagraph"/>
        <w:numPr>
          <w:ilvl w:val="3"/>
          <w:numId w:val="6"/>
        </w:numPr>
        <w:tabs>
          <w:tab w:val="left" w:pos="1142"/>
        </w:tabs>
        <w:spacing w:before="124" w:after="0" w:line="240" w:lineRule="auto"/>
        <w:ind w:left="1141" w:right="0" w:hanging="902"/>
        <w:jc w:val="left"/>
        <w:rPr>
          <w:rFonts w:ascii="黑体" w:eastAsia="黑体" w:hint="eastAsia"/>
          <w:sz w:val="21"/>
        </w:rPr>
      </w:pPr>
      <w:r>
        <w:rPr>
          <w:rFonts w:ascii="黑体" w:eastAsia="黑体" w:hint="eastAsia"/>
          <w:spacing w:val="-1"/>
          <w:sz w:val="21"/>
        </w:rPr>
        <w:t>出具意见</w:t>
      </w:r>
    </w:p>
    <w:p>
      <w:pPr>
        <w:spacing w:after="0" w:line="240" w:lineRule="auto"/>
        <w:jc w:val="left"/>
        <w:rPr>
          <w:rFonts w:ascii="黑体" w:eastAsia="黑体" w:hint="eastAsia"/>
          <w:sz w:val="21"/>
        </w:rPr>
        <w:sectPr>
          <w:headerReference w:type="even" r:id="rId25"/>
          <w:headerReference w:type="default" r:id="rId26"/>
          <w:footerReference w:type="even" r:id="rId27"/>
          <w:footerReference w:type="default" r:id="rId28"/>
          <w:pgSz w:w="11920" w:h="16850"/>
          <w:pgMar w:top="1440" w:right="440" w:bottom="1440" w:left="880" w:header="1232" w:footer="1255"/>
          <w:pgNumType w:start="5"/>
          <w:cols w:space="708"/>
        </w:sectPr>
      </w:pPr>
    </w:p>
    <w:p>
      <w:pPr>
        <w:pStyle w:val="BodyText"/>
        <w:rPr>
          <w:rFonts w:ascii="黑体"/>
          <w:sz w:val="20"/>
        </w:rPr>
      </w:pPr>
    </w:p>
    <w:p>
      <w:pPr>
        <w:pStyle w:val="BodyText"/>
        <w:rPr>
          <w:rFonts w:ascii="黑体"/>
          <w:sz w:val="20"/>
        </w:rPr>
      </w:pPr>
    </w:p>
    <w:p>
      <w:pPr>
        <w:pStyle w:val="BodyText"/>
        <w:spacing w:before="2"/>
        <w:rPr>
          <w:rFonts w:ascii="黑体"/>
          <w:sz w:val="24"/>
        </w:rPr>
      </w:pPr>
    </w:p>
    <w:p>
      <w:pPr>
        <w:pStyle w:val="BodyText"/>
        <w:spacing w:before="71"/>
        <w:ind w:left="661"/>
      </w:pPr>
      <w:r>
        <w:t>工作人员应根据申请人的申请事项以及专家分析研判结果在 30 个工作日内出具海外维权指导意见书</w:t>
      </w:r>
    </w:p>
    <w:p>
      <w:pPr>
        <w:pStyle w:val="BodyText"/>
        <w:spacing w:before="5"/>
        <w:ind w:left="240"/>
      </w:pPr>
      <w:r>
        <w:t>（见附录 G），对于情况复杂影响重大的，经批准可适当延长。指导意见书的内容可以包括：</w:t>
      </w:r>
    </w:p>
    <w:p>
      <w:pPr>
        <w:spacing w:before="2"/>
        <w:ind w:left="666" w:right="0" w:firstLine="0"/>
        <w:jc w:val="left"/>
        <w:rPr>
          <w:sz w:val="21"/>
        </w:rPr>
      </w:pPr>
      <w:r>
        <w:rPr>
          <w:rFonts w:ascii="Times New Roman" w:eastAsia="Times New Roman" w:hAnsi="Times New Roman"/>
          <w:sz w:val="20"/>
        </w:rPr>
        <w:t xml:space="preserve">—— </w:t>
      </w:r>
      <w:r>
        <w:rPr>
          <w:sz w:val="21"/>
        </w:rPr>
        <w:t>案件基本情况；</w:t>
      </w:r>
    </w:p>
    <w:p>
      <w:pPr>
        <w:spacing w:before="4"/>
        <w:ind w:left="666" w:right="0" w:firstLine="0"/>
        <w:jc w:val="left"/>
        <w:rPr>
          <w:sz w:val="21"/>
        </w:rPr>
      </w:pPr>
      <w:r>
        <w:rPr>
          <w:rFonts w:ascii="Times New Roman" w:eastAsia="Times New Roman" w:hAnsi="Times New Roman"/>
          <w:sz w:val="20"/>
        </w:rPr>
        <w:t xml:space="preserve">—— </w:t>
      </w:r>
      <w:r>
        <w:rPr>
          <w:sz w:val="21"/>
        </w:rPr>
        <w:t>分析研判的法律依据；</w:t>
      </w:r>
    </w:p>
    <w:p>
      <w:pPr>
        <w:spacing w:before="3"/>
        <w:ind w:left="666" w:right="0" w:firstLine="0"/>
        <w:jc w:val="left"/>
        <w:rPr>
          <w:sz w:val="21"/>
        </w:rPr>
      </w:pPr>
      <w:r>
        <w:rPr>
          <w:rFonts w:ascii="Times New Roman" w:eastAsia="Times New Roman" w:hAnsi="Times New Roman"/>
          <w:sz w:val="20"/>
        </w:rPr>
        <w:t xml:space="preserve">—— </w:t>
      </w:r>
      <w:r>
        <w:rPr>
          <w:sz w:val="21"/>
        </w:rPr>
        <w:t>分析研判的内容。</w:t>
      </w:r>
    </w:p>
    <w:p>
      <w:pPr>
        <w:pStyle w:val="ListParagraph"/>
        <w:numPr>
          <w:ilvl w:val="1"/>
          <w:numId w:val="5"/>
        </w:numPr>
        <w:tabs>
          <w:tab w:val="left" w:pos="741"/>
        </w:tabs>
        <w:spacing w:before="124" w:after="0" w:line="240" w:lineRule="auto"/>
        <w:ind w:left="740" w:right="0" w:hanging="501"/>
        <w:jc w:val="left"/>
        <w:rPr>
          <w:rFonts w:ascii="黑体" w:eastAsia="黑体" w:hint="eastAsia"/>
          <w:sz w:val="21"/>
        </w:rPr>
      </w:pPr>
      <w:r>
        <w:rPr>
          <w:rFonts w:ascii="黑体" w:eastAsia="黑体" w:hint="eastAsia"/>
          <w:spacing w:val="-1"/>
          <w:sz w:val="21"/>
        </w:rPr>
        <w:t>宣传培训</w:t>
      </w:r>
    </w:p>
    <w:p>
      <w:pPr>
        <w:pStyle w:val="ListParagraph"/>
        <w:numPr>
          <w:ilvl w:val="2"/>
          <w:numId w:val="5"/>
        </w:numPr>
        <w:tabs>
          <w:tab w:val="left" w:pos="941"/>
          <w:tab w:val="left" w:pos="943"/>
        </w:tabs>
        <w:spacing w:before="122" w:after="0" w:line="244" w:lineRule="auto"/>
        <w:ind w:left="240" w:right="759" w:firstLine="0"/>
        <w:jc w:val="left"/>
        <w:rPr>
          <w:sz w:val="21"/>
        </w:rPr>
      </w:pPr>
      <w:r>
        <w:rPr>
          <w:spacing w:val="-1"/>
          <w:sz w:val="21"/>
        </w:rPr>
        <w:t>应积极宣传普及知识产权相关法律法规知识，应不定期开展知识产权实务专题培训，增强服务对</w:t>
      </w:r>
      <w:r>
        <w:rPr>
          <w:spacing w:val="-3"/>
          <w:sz w:val="21"/>
        </w:rPr>
        <w:t>象知识产权保护意识，提升服务对象知识产权维权能力。</w:t>
      </w:r>
    </w:p>
    <w:p>
      <w:pPr>
        <w:pStyle w:val="ListParagraph"/>
        <w:numPr>
          <w:ilvl w:val="2"/>
          <w:numId w:val="5"/>
        </w:numPr>
        <w:tabs>
          <w:tab w:val="left" w:pos="941"/>
          <w:tab w:val="left" w:pos="943"/>
        </w:tabs>
        <w:spacing w:before="0" w:after="0" w:line="265" w:lineRule="exact"/>
        <w:ind w:left="942" w:right="0" w:hanging="703"/>
        <w:jc w:val="left"/>
        <w:rPr>
          <w:sz w:val="21"/>
        </w:rPr>
      </w:pPr>
      <w:r>
        <w:rPr>
          <w:spacing w:val="-3"/>
          <w:sz w:val="21"/>
        </w:rPr>
        <w:t>宣传培训包括但不限于以下内容：</w:t>
      </w:r>
    </w:p>
    <w:p>
      <w:pPr>
        <w:spacing w:before="5"/>
        <w:ind w:left="666" w:right="0" w:firstLine="0"/>
        <w:jc w:val="left"/>
        <w:rPr>
          <w:sz w:val="21"/>
        </w:rPr>
      </w:pPr>
      <w:r>
        <w:rPr>
          <w:rFonts w:ascii="Times New Roman" w:eastAsia="Times New Roman" w:hAnsi="Times New Roman"/>
          <w:sz w:val="20"/>
        </w:rPr>
        <w:t xml:space="preserve">—— </w:t>
      </w:r>
      <w:r>
        <w:rPr>
          <w:sz w:val="21"/>
        </w:rPr>
        <w:t>知识产权的概念；</w:t>
      </w:r>
    </w:p>
    <w:p>
      <w:pPr>
        <w:spacing w:before="2"/>
        <w:ind w:left="666" w:right="0" w:firstLine="0"/>
        <w:jc w:val="left"/>
        <w:rPr>
          <w:sz w:val="21"/>
        </w:rPr>
      </w:pPr>
      <w:r>
        <w:rPr>
          <w:rFonts w:ascii="Times New Roman" w:eastAsia="Times New Roman" w:hAnsi="Times New Roman"/>
          <w:sz w:val="20"/>
        </w:rPr>
        <w:t xml:space="preserve">—— </w:t>
      </w:r>
      <w:r>
        <w:rPr>
          <w:sz w:val="21"/>
        </w:rPr>
        <w:t>知识产权的重要性；</w:t>
      </w:r>
    </w:p>
    <w:p>
      <w:pPr>
        <w:spacing w:before="5"/>
        <w:ind w:left="666" w:right="0" w:firstLine="0"/>
        <w:jc w:val="left"/>
        <w:rPr>
          <w:sz w:val="21"/>
        </w:rPr>
      </w:pPr>
      <w:r>
        <w:rPr>
          <w:rFonts w:ascii="Times New Roman" w:eastAsia="Times New Roman" w:hAnsi="Times New Roman"/>
          <w:sz w:val="20"/>
        </w:rPr>
        <w:t xml:space="preserve">—— </w:t>
      </w:r>
      <w:r>
        <w:rPr>
          <w:sz w:val="21"/>
        </w:rPr>
        <w:t>知识产权的种类；</w:t>
      </w:r>
    </w:p>
    <w:p>
      <w:pPr>
        <w:pStyle w:val="BodyText"/>
        <w:spacing w:before="2"/>
        <w:ind w:left="666"/>
      </w:pPr>
      <w:r>
        <w:rPr>
          <w:rFonts w:ascii="Times New Roman" w:eastAsia="Times New Roman" w:hAnsi="Times New Roman"/>
          <w:sz w:val="20"/>
        </w:rPr>
        <w:t xml:space="preserve">—— </w:t>
      </w:r>
      <w:r>
        <w:t>知识产权维权保护、信息检索；</w:t>
      </w:r>
    </w:p>
    <w:p>
      <w:pPr>
        <w:spacing w:before="5"/>
        <w:ind w:left="666" w:right="0" w:firstLine="0"/>
        <w:jc w:val="left"/>
        <w:rPr>
          <w:sz w:val="21"/>
        </w:rPr>
      </w:pPr>
      <w:r>
        <w:rPr>
          <w:rFonts w:ascii="Times New Roman" w:eastAsia="Times New Roman" w:hAnsi="Times New Roman"/>
          <w:sz w:val="20"/>
        </w:rPr>
        <w:t xml:space="preserve">—— </w:t>
      </w:r>
      <w:r>
        <w:rPr>
          <w:sz w:val="21"/>
        </w:rPr>
        <w:t>知识产权的法律法规；</w:t>
      </w:r>
    </w:p>
    <w:p>
      <w:pPr>
        <w:spacing w:before="2"/>
        <w:ind w:left="666" w:right="0" w:firstLine="0"/>
        <w:jc w:val="left"/>
        <w:rPr>
          <w:sz w:val="21"/>
        </w:rPr>
      </w:pPr>
      <w:r>
        <w:rPr>
          <w:rFonts w:ascii="Times New Roman" w:eastAsia="Times New Roman" w:hAnsi="Times New Roman"/>
          <w:sz w:val="20"/>
        </w:rPr>
        <w:t xml:space="preserve">—— </w:t>
      </w:r>
      <w:r>
        <w:rPr>
          <w:sz w:val="21"/>
        </w:rPr>
        <w:t>知识产权营商环境政策；</w:t>
      </w:r>
    </w:p>
    <w:p>
      <w:pPr>
        <w:spacing w:before="2"/>
        <w:ind w:left="666" w:right="0" w:firstLine="0"/>
        <w:jc w:val="left"/>
        <w:rPr>
          <w:sz w:val="21"/>
        </w:rPr>
      </w:pPr>
      <w:r>
        <w:rPr>
          <w:rFonts w:ascii="Times New Roman" w:eastAsia="Times New Roman" w:hAnsi="Times New Roman"/>
          <w:sz w:val="20"/>
        </w:rPr>
        <w:t xml:space="preserve">—— </w:t>
      </w:r>
      <w:r>
        <w:rPr>
          <w:sz w:val="21"/>
        </w:rPr>
        <w:t>知识产权典型案例。</w:t>
      </w:r>
    </w:p>
    <w:p>
      <w:pPr>
        <w:pStyle w:val="ListParagraph"/>
        <w:numPr>
          <w:ilvl w:val="2"/>
          <w:numId w:val="5"/>
        </w:numPr>
        <w:tabs>
          <w:tab w:val="left" w:pos="941"/>
          <w:tab w:val="left" w:pos="943"/>
        </w:tabs>
        <w:spacing w:before="5" w:after="0" w:line="240" w:lineRule="auto"/>
        <w:ind w:left="942" w:right="0" w:hanging="703"/>
        <w:jc w:val="left"/>
        <w:rPr>
          <w:sz w:val="21"/>
        </w:rPr>
      </w:pPr>
      <w:r>
        <w:rPr>
          <w:spacing w:val="-3"/>
          <w:sz w:val="21"/>
        </w:rPr>
        <w:t>宣传方式包括但不限于：</w:t>
      </w:r>
    </w:p>
    <w:p>
      <w:pPr>
        <w:spacing w:before="2"/>
        <w:ind w:left="666" w:right="0" w:firstLine="0"/>
        <w:jc w:val="left"/>
        <w:rPr>
          <w:sz w:val="21"/>
        </w:rPr>
      </w:pPr>
      <w:r>
        <w:rPr>
          <w:rFonts w:ascii="Times New Roman" w:eastAsia="Times New Roman" w:hAnsi="Times New Roman"/>
          <w:sz w:val="20"/>
        </w:rPr>
        <w:t xml:space="preserve">—— </w:t>
      </w:r>
      <w:r>
        <w:rPr>
          <w:sz w:val="21"/>
        </w:rPr>
        <w:t>网站、公众号发布信息；</w:t>
      </w:r>
    </w:p>
    <w:p>
      <w:pPr>
        <w:pStyle w:val="BodyText"/>
        <w:spacing w:before="4"/>
        <w:ind w:left="666"/>
      </w:pPr>
      <w:r>
        <w:rPr>
          <w:rFonts w:ascii="Times New Roman" w:eastAsia="Times New Roman" w:hAnsi="Times New Roman"/>
          <w:sz w:val="20"/>
        </w:rPr>
        <w:t xml:space="preserve">—— </w:t>
      </w:r>
      <w:r>
        <w:t>印制知识产权维权援助服务宣传手册，在重点市场、园区、企业走访派发；</w:t>
      </w:r>
    </w:p>
    <w:p>
      <w:pPr>
        <w:pStyle w:val="BodyText"/>
        <w:spacing w:before="2"/>
        <w:ind w:left="666"/>
      </w:pPr>
      <w:r>
        <w:rPr>
          <w:rFonts w:ascii="Times New Roman" w:eastAsia="Times New Roman" w:hAnsi="Times New Roman"/>
          <w:sz w:val="20"/>
        </w:rPr>
        <w:t xml:space="preserve">—— </w:t>
      </w:r>
      <w:r>
        <w:t>印制知识产权保护宣传海报在重点区域宣传；</w:t>
      </w:r>
    </w:p>
    <w:p>
      <w:pPr>
        <w:pStyle w:val="BodyText"/>
        <w:spacing w:before="5"/>
        <w:ind w:left="666"/>
      </w:pPr>
      <w:r>
        <w:rPr>
          <w:rFonts w:ascii="Times New Roman" w:eastAsia="Times New Roman" w:hAnsi="Times New Roman"/>
          <w:sz w:val="20"/>
        </w:rPr>
        <w:t xml:space="preserve">—— </w:t>
      </w:r>
      <w:r>
        <w:t>举办知识产权维权援助宜讲会、案例研讨会、座谈会；</w:t>
      </w:r>
    </w:p>
    <w:p>
      <w:pPr>
        <w:pStyle w:val="BodyText"/>
        <w:spacing w:before="2"/>
        <w:ind w:left="666"/>
      </w:pPr>
      <w:r>
        <w:rPr>
          <w:rFonts w:ascii="Times New Roman" w:eastAsia="Times New Roman" w:hAnsi="Times New Roman"/>
          <w:sz w:val="20"/>
        </w:rPr>
        <w:t xml:space="preserve">—— </w:t>
      </w:r>
      <w:r>
        <w:t>在重点产业、专业市场聘请站点联络员，深入专业市场宣传指导。</w:t>
      </w:r>
    </w:p>
    <w:p>
      <w:pPr>
        <w:pStyle w:val="ListParagraph"/>
        <w:numPr>
          <w:ilvl w:val="2"/>
          <w:numId w:val="5"/>
        </w:numPr>
        <w:tabs>
          <w:tab w:val="left" w:pos="941"/>
          <w:tab w:val="left" w:pos="943"/>
        </w:tabs>
        <w:spacing w:before="5" w:after="0" w:line="242" w:lineRule="auto"/>
        <w:ind w:left="240" w:right="750" w:firstLine="0"/>
        <w:jc w:val="left"/>
        <w:rPr>
          <w:sz w:val="21"/>
        </w:rPr>
      </w:pPr>
      <w:r>
        <w:rPr>
          <w:spacing w:val="-3"/>
          <w:sz w:val="21"/>
        </w:rPr>
        <w:t xml:space="preserve">援助机构应每年组织开展培训活动，省级知识产权维权援助机构不少于 </w:t>
      </w:r>
      <w:r>
        <w:rPr>
          <w:sz w:val="21"/>
        </w:rPr>
        <w:t>500</w:t>
      </w:r>
      <w:r>
        <w:rPr>
          <w:spacing w:val="-3"/>
          <w:sz w:val="21"/>
        </w:rPr>
        <w:t xml:space="preserve"> 人次，分中心不少于200</w:t>
      </w:r>
      <w:r>
        <w:rPr>
          <w:spacing w:val="-14"/>
          <w:sz w:val="21"/>
        </w:rPr>
        <w:t xml:space="preserve"> 人次，工作站不少于 </w:t>
      </w:r>
      <w:r>
        <w:rPr>
          <w:sz w:val="21"/>
        </w:rPr>
        <w:t>50</w:t>
      </w:r>
      <w:r>
        <w:rPr>
          <w:spacing w:val="-15"/>
          <w:sz w:val="21"/>
        </w:rPr>
        <w:t xml:space="preserve"> 人次。</w:t>
      </w:r>
    </w:p>
    <w:p>
      <w:pPr>
        <w:pStyle w:val="ListParagraph"/>
        <w:numPr>
          <w:ilvl w:val="1"/>
          <w:numId w:val="5"/>
        </w:numPr>
        <w:tabs>
          <w:tab w:val="left" w:pos="741"/>
        </w:tabs>
        <w:spacing w:before="121" w:after="0" w:line="240" w:lineRule="auto"/>
        <w:ind w:left="740" w:right="0" w:hanging="501"/>
        <w:jc w:val="left"/>
        <w:rPr>
          <w:rFonts w:ascii="黑体" w:eastAsia="黑体" w:hint="eastAsia"/>
          <w:sz w:val="21"/>
        </w:rPr>
      </w:pPr>
      <w:r>
        <w:rPr>
          <w:rFonts w:ascii="黑体" w:eastAsia="黑体" w:hint="eastAsia"/>
          <w:spacing w:val="-2"/>
          <w:sz w:val="21"/>
        </w:rPr>
        <w:t>信息公共服务</w:t>
      </w:r>
    </w:p>
    <w:p>
      <w:pPr>
        <w:pStyle w:val="BodyText"/>
        <w:spacing w:before="122" w:line="244" w:lineRule="auto"/>
        <w:ind w:left="240" w:right="756" w:firstLine="317"/>
      </w:pPr>
      <w:r>
        <w:rPr>
          <w:spacing w:val="-4"/>
        </w:rPr>
        <w:t>有条件的援助机构宜利用国家知识产权局专利检索及分析系统等信息公共服务产品或自建、购置专题</w:t>
      </w:r>
      <w:r>
        <w:rPr>
          <w:spacing w:val="-3"/>
        </w:rPr>
        <w:t>库及其他工具提供信息公共服务。</w:t>
      </w:r>
    </w:p>
    <w:p>
      <w:pPr>
        <w:pStyle w:val="BodyText"/>
        <w:spacing w:before="5"/>
        <w:rPr>
          <w:sz w:val="18"/>
        </w:rPr>
      </w:pPr>
    </w:p>
    <w:p>
      <w:pPr>
        <w:pStyle w:val="ListParagraph"/>
        <w:numPr>
          <w:ilvl w:val="0"/>
          <w:numId w:val="8"/>
        </w:numPr>
        <w:tabs>
          <w:tab w:val="left" w:pos="541"/>
          <w:tab w:val="left" w:pos="542"/>
        </w:tabs>
        <w:spacing w:before="1" w:after="0" w:line="240" w:lineRule="auto"/>
        <w:ind w:left="541" w:right="0" w:hanging="302"/>
        <w:jc w:val="left"/>
        <w:rPr>
          <w:rFonts w:ascii="黑体" w:eastAsia="黑体" w:hint="eastAsia"/>
          <w:sz w:val="21"/>
        </w:rPr>
      </w:pPr>
      <w:bookmarkStart w:id="6" w:name="_bookmark6"/>
      <w:bookmarkEnd w:id="6"/>
      <w:r>
        <w:rPr>
          <w:rFonts w:ascii="黑体" w:eastAsia="黑体" w:hint="eastAsia"/>
          <w:sz w:val="21"/>
        </w:rPr>
        <w:t>管理</w:t>
      </w:r>
    </w:p>
    <w:p>
      <w:pPr>
        <w:pStyle w:val="BodyText"/>
        <w:spacing w:before="1"/>
        <w:rPr>
          <w:rFonts w:ascii="黑体"/>
          <w:sz w:val="19"/>
        </w:rPr>
      </w:pPr>
    </w:p>
    <w:p>
      <w:pPr>
        <w:pStyle w:val="ListParagraph"/>
        <w:numPr>
          <w:ilvl w:val="1"/>
          <w:numId w:val="8"/>
        </w:numPr>
        <w:tabs>
          <w:tab w:val="left" w:pos="741"/>
        </w:tabs>
        <w:spacing w:before="0" w:after="0" w:line="240" w:lineRule="auto"/>
        <w:ind w:left="740" w:right="0" w:hanging="501"/>
        <w:jc w:val="left"/>
        <w:rPr>
          <w:rFonts w:ascii="黑体" w:eastAsia="黑体" w:hint="eastAsia"/>
          <w:sz w:val="21"/>
        </w:rPr>
      </w:pPr>
      <w:r>
        <w:rPr>
          <w:rFonts w:ascii="黑体" w:eastAsia="黑体" w:hint="eastAsia"/>
          <w:spacing w:val="-1"/>
          <w:sz w:val="21"/>
        </w:rPr>
        <w:t>组织管理</w:t>
      </w:r>
    </w:p>
    <w:p>
      <w:pPr>
        <w:pStyle w:val="ListParagraph"/>
        <w:numPr>
          <w:ilvl w:val="2"/>
          <w:numId w:val="8"/>
        </w:numPr>
        <w:tabs>
          <w:tab w:val="left" w:pos="943"/>
        </w:tabs>
        <w:spacing w:before="122" w:after="0" w:line="244" w:lineRule="auto"/>
        <w:ind w:left="240" w:right="756" w:firstLine="0"/>
        <w:jc w:val="both"/>
        <w:rPr>
          <w:sz w:val="21"/>
        </w:rPr>
      </w:pPr>
      <w:r>
        <w:rPr>
          <w:sz w:val="21"/>
        </w:rPr>
        <w:t>援助机构应在国家知识产权局指导和地方知识产权管理部门带领支持下,为辖区内创新主体和社</w:t>
      </w:r>
      <w:r>
        <w:rPr>
          <w:spacing w:val="-3"/>
          <w:sz w:val="21"/>
        </w:rPr>
        <w:t>会公众提供知识产权维权援助服务。</w:t>
      </w:r>
    </w:p>
    <w:p>
      <w:pPr>
        <w:pStyle w:val="ListParagraph"/>
        <w:numPr>
          <w:ilvl w:val="2"/>
          <w:numId w:val="8"/>
        </w:numPr>
        <w:tabs>
          <w:tab w:val="left" w:pos="943"/>
        </w:tabs>
        <w:spacing w:before="0" w:after="0" w:line="265" w:lineRule="exact"/>
        <w:ind w:left="942" w:right="0" w:hanging="703"/>
        <w:jc w:val="both"/>
        <w:rPr>
          <w:sz w:val="21"/>
        </w:rPr>
      </w:pPr>
      <w:r>
        <w:rPr>
          <w:spacing w:val="-3"/>
          <w:sz w:val="21"/>
        </w:rPr>
        <w:t>分中心和工作站受省级援助机构的业务指导和技术支持。</w:t>
      </w:r>
    </w:p>
    <w:p>
      <w:pPr>
        <w:pStyle w:val="ListParagraph"/>
        <w:numPr>
          <w:ilvl w:val="2"/>
          <w:numId w:val="8"/>
        </w:numPr>
        <w:tabs>
          <w:tab w:val="left" w:pos="943"/>
        </w:tabs>
        <w:spacing w:before="5" w:after="0" w:line="242" w:lineRule="auto"/>
        <w:ind w:left="240" w:right="755" w:firstLine="0"/>
        <w:jc w:val="both"/>
        <w:rPr>
          <w:sz w:val="21"/>
        </w:rPr>
      </w:pPr>
      <w:r>
        <w:rPr>
          <w:spacing w:val="-1"/>
          <w:sz w:val="21"/>
        </w:rPr>
        <w:t>分中心、工作站实行准入及退出管理机制，对新申请的援助机构进行严格申请审查，对获批的援</w:t>
      </w:r>
      <w:r>
        <w:rPr>
          <w:spacing w:val="-3"/>
          <w:sz w:val="21"/>
        </w:rPr>
        <w:t xml:space="preserve">助机构严格考核评价。对于评价结果为不合格的分中心、工作站,要求定期整改;对连续 </w:t>
      </w:r>
      <w:r>
        <w:rPr>
          <w:sz w:val="21"/>
        </w:rPr>
        <w:t>2</w:t>
      </w:r>
      <w:r>
        <w:rPr>
          <w:spacing w:val="1"/>
          <w:sz w:val="21"/>
        </w:rPr>
        <w:t xml:space="preserve"> 年评价结果为</w:t>
      </w:r>
      <w:r>
        <w:rPr>
          <w:spacing w:val="-3"/>
          <w:sz w:val="21"/>
        </w:rPr>
        <w:t>不合格的分中心、工作站,将取消其备案,并向社会公告。</w:t>
      </w:r>
    </w:p>
    <w:p>
      <w:pPr>
        <w:pStyle w:val="ListParagraph"/>
        <w:numPr>
          <w:ilvl w:val="1"/>
          <w:numId w:val="8"/>
        </w:numPr>
        <w:tabs>
          <w:tab w:val="left" w:pos="741"/>
        </w:tabs>
        <w:spacing w:before="121" w:after="0" w:line="240" w:lineRule="auto"/>
        <w:ind w:left="740" w:right="0" w:hanging="501"/>
        <w:jc w:val="left"/>
        <w:rPr>
          <w:rFonts w:ascii="黑体" w:eastAsia="黑体" w:hint="eastAsia"/>
          <w:sz w:val="21"/>
        </w:rPr>
      </w:pPr>
      <w:r>
        <w:rPr>
          <w:rFonts w:ascii="黑体" w:eastAsia="黑体" w:hint="eastAsia"/>
          <w:spacing w:val="-3"/>
          <w:sz w:val="21"/>
        </w:rPr>
        <w:t>工作场所及设施设备</w:t>
      </w:r>
    </w:p>
    <w:p>
      <w:pPr>
        <w:pStyle w:val="ListParagraph"/>
        <w:numPr>
          <w:ilvl w:val="2"/>
          <w:numId w:val="8"/>
        </w:numPr>
        <w:tabs>
          <w:tab w:val="left" w:pos="943"/>
        </w:tabs>
        <w:spacing w:before="122" w:after="0" w:line="244" w:lineRule="auto"/>
        <w:ind w:left="240" w:right="751" w:firstLine="0"/>
        <w:jc w:val="both"/>
        <w:rPr>
          <w:sz w:val="21"/>
        </w:rPr>
      </w:pPr>
      <w:r>
        <w:rPr>
          <w:spacing w:val="-6"/>
          <w:sz w:val="21"/>
        </w:rPr>
        <w:t xml:space="preserve">援助机构应有独立的工作场所，悬挂知识产权维权援助牌匾。分中心工作场所应不少于 </w:t>
      </w:r>
      <w:r>
        <w:rPr>
          <w:sz w:val="21"/>
        </w:rPr>
        <w:t>50</w:t>
      </w:r>
      <w:r>
        <w:rPr>
          <w:spacing w:val="-13"/>
          <w:sz w:val="21"/>
        </w:rPr>
        <w:t xml:space="preserve"> ㎡，工</w:t>
      </w:r>
      <w:r>
        <w:rPr>
          <w:spacing w:val="-11"/>
          <w:sz w:val="21"/>
        </w:rPr>
        <w:t xml:space="preserve">作站工作场所应不少于 </w:t>
      </w:r>
      <w:r>
        <w:rPr>
          <w:sz w:val="21"/>
        </w:rPr>
        <w:t>25</w:t>
      </w:r>
      <w:r>
        <w:rPr>
          <w:spacing w:val="-19"/>
          <w:sz w:val="21"/>
        </w:rPr>
        <w:t xml:space="preserve"> ㎡。</w:t>
      </w:r>
    </w:p>
    <w:p>
      <w:pPr>
        <w:pStyle w:val="ListParagraph"/>
        <w:numPr>
          <w:ilvl w:val="2"/>
          <w:numId w:val="8"/>
        </w:numPr>
        <w:tabs>
          <w:tab w:val="left" w:pos="943"/>
        </w:tabs>
        <w:spacing w:before="0" w:after="0" w:line="242" w:lineRule="auto"/>
        <w:ind w:left="240" w:right="751" w:firstLine="0"/>
        <w:jc w:val="both"/>
        <w:rPr>
          <w:sz w:val="21"/>
        </w:rPr>
      </w:pPr>
      <w:r>
        <w:rPr>
          <w:sz w:val="21"/>
        </w:rPr>
        <w:t>工作场所内应在显著位置设置文字规范、清晰的服务范围、工作流程、制度、职责、服务时间、</w:t>
      </w:r>
      <w:r>
        <w:rPr>
          <w:spacing w:val="-6"/>
          <w:sz w:val="21"/>
        </w:rPr>
        <w:t>投诉和咨询电话以及服务承诺等告示，并为服务对象提供调解工作相关详细介绍和服务须知等资料。设置</w:t>
      </w:r>
      <w:r>
        <w:rPr>
          <w:spacing w:val="-7"/>
          <w:sz w:val="21"/>
        </w:rPr>
        <w:t xml:space="preserve">的标识应明显、规范，公共信息图形符号应符合 </w:t>
      </w:r>
      <w:r>
        <w:rPr>
          <w:sz w:val="21"/>
        </w:rPr>
        <w:t>GB/T</w:t>
      </w:r>
      <w:r>
        <w:rPr>
          <w:spacing w:val="1"/>
          <w:sz w:val="21"/>
        </w:rPr>
        <w:t xml:space="preserve"> </w:t>
      </w:r>
      <w:r>
        <w:rPr>
          <w:sz w:val="21"/>
        </w:rPr>
        <w:t>10001.1</w:t>
      </w:r>
      <w:r>
        <w:rPr>
          <w:spacing w:val="-12"/>
          <w:sz w:val="21"/>
        </w:rPr>
        <w:t xml:space="preserve"> 的规定。</w:t>
      </w:r>
    </w:p>
    <w:p>
      <w:pPr>
        <w:pStyle w:val="ListParagraph"/>
        <w:numPr>
          <w:ilvl w:val="2"/>
          <w:numId w:val="8"/>
        </w:numPr>
        <w:tabs>
          <w:tab w:val="left" w:pos="943"/>
        </w:tabs>
        <w:spacing w:before="0" w:after="0" w:line="240" w:lineRule="auto"/>
        <w:ind w:left="942" w:right="0" w:hanging="703"/>
        <w:jc w:val="both"/>
        <w:rPr>
          <w:sz w:val="21"/>
        </w:rPr>
      </w:pPr>
      <w:r>
        <w:rPr>
          <w:spacing w:val="-3"/>
          <w:sz w:val="21"/>
        </w:rPr>
        <w:t>工作场所应备有自动化办公设备和网络。</w:t>
      </w:r>
    </w:p>
    <w:p>
      <w:pPr>
        <w:pStyle w:val="ListParagraph"/>
        <w:numPr>
          <w:ilvl w:val="2"/>
          <w:numId w:val="8"/>
        </w:numPr>
        <w:tabs>
          <w:tab w:val="left" w:pos="943"/>
        </w:tabs>
        <w:spacing w:before="1" w:after="0" w:line="240" w:lineRule="auto"/>
        <w:ind w:left="942" w:right="0" w:hanging="703"/>
        <w:jc w:val="both"/>
        <w:rPr>
          <w:sz w:val="21"/>
        </w:rPr>
      </w:pPr>
      <w:r>
        <w:rPr>
          <w:spacing w:val="-3"/>
          <w:sz w:val="21"/>
        </w:rPr>
        <w:t>援助机构工作场所设置主要包括办公室、接待室、调解室等，设置要求包括但不限于：</w:t>
      </w:r>
    </w:p>
    <w:p>
      <w:pPr>
        <w:spacing w:before="5"/>
        <w:ind w:left="666" w:right="0" w:firstLine="0"/>
        <w:jc w:val="both"/>
        <w:rPr>
          <w:sz w:val="21"/>
        </w:rPr>
      </w:pPr>
      <w:r>
        <w:rPr>
          <w:rFonts w:ascii="Times New Roman" w:eastAsia="Times New Roman" w:hAnsi="Times New Roman"/>
          <w:sz w:val="20"/>
        </w:rPr>
        <w:t xml:space="preserve">—— </w:t>
      </w:r>
      <w:r>
        <w:rPr>
          <w:sz w:val="21"/>
        </w:rPr>
        <w:t>办公室:</w:t>
      </w:r>
    </w:p>
    <w:p>
      <w:pPr>
        <w:pStyle w:val="ListParagraph"/>
        <w:numPr>
          <w:ilvl w:val="0"/>
          <w:numId w:val="4"/>
        </w:numPr>
        <w:tabs>
          <w:tab w:val="left" w:pos="1511"/>
        </w:tabs>
        <w:spacing w:before="2" w:after="0" w:line="240" w:lineRule="auto"/>
        <w:ind w:left="1510" w:right="0" w:hanging="418"/>
        <w:jc w:val="both"/>
        <w:rPr>
          <w:sz w:val="21"/>
        </w:rPr>
      </w:pPr>
      <w:r>
        <w:rPr>
          <w:spacing w:val="-3"/>
          <w:sz w:val="21"/>
        </w:rPr>
        <w:t>应配备办公用桌、椅；</w:t>
      </w:r>
    </w:p>
    <w:p>
      <w:pPr>
        <w:spacing w:after="0" w:line="240" w:lineRule="auto"/>
        <w:jc w:val="both"/>
        <w:rPr>
          <w:sz w:val="21"/>
        </w:rPr>
        <w:sectPr>
          <w:headerReference w:type="even" r:id="rId29"/>
          <w:headerReference w:type="default" r:id="rId30"/>
          <w:footerReference w:type="even" r:id="rId31"/>
          <w:footerReference w:type="default" r:id="rId32"/>
          <w:pgSz w:w="11920" w:h="16850"/>
          <w:pgMar w:top="620" w:right="440" w:bottom="1440" w:left="880" w:header="416" w:footer="1255"/>
          <w:pgNumType w:start="6"/>
          <w:cols w:space="708"/>
        </w:sectPr>
      </w:pPr>
    </w:p>
    <w:p>
      <w:pPr>
        <w:pStyle w:val="ListParagraph"/>
        <w:numPr>
          <w:ilvl w:val="0"/>
          <w:numId w:val="4"/>
        </w:numPr>
        <w:tabs>
          <w:tab w:val="left" w:pos="1510"/>
          <w:tab w:val="left" w:pos="1511"/>
        </w:tabs>
        <w:spacing w:before="77" w:after="0" w:line="240" w:lineRule="auto"/>
        <w:ind w:left="1510" w:right="0" w:hanging="418"/>
        <w:jc w:val="left"/>
        <w:rPr>
          <w:sz w:val="21"/>
        </w:rPr>
      </w:pPr>
      <w:r>
        <w:rPr>
          <w:spacing w:val="-3"/>
          <w:sz w:val="21"/>
        </w:rPr>
        <w:t>应配备文件档案柜；</w:t>
      </w:r>
    </w:p>
    <w:p>
      <w:pPr>
        <w:pStyle w:val="ListParagraph"/>
        <w:numPr>
          <w:ilvl w:val="0"/>
          <w:numId w:val="4"/>
        </w:numPr>
        <w:tabs>
          <w:tab w:val="left" w:pos="1510"/>
          <w:tab w:val="left" w:pos="1511"/>
        </w:tabs>
        <w:spacing w:before="5" w:after="0" w:line="242" w:lineRule="auto"/>
        <w:ind w:left="1510" w:right="751" w:hanging="418"/>
        <w:jc w:val="left"/>
        <w:rPr>
          <w:sz w:val="21"/>
        </w:rPr>
      </w:pPr>
      <w:r>
        <w:rPr>
          <w:spacing w:val="-4"/>
          <w:sz w:val="21"/>
        </w:rPr>
        <w:t>应配备办公电脑及配件、工作座机或其他通讯设备,设有维权援助服务电话或传真机等相关</w:t>
      </w:r>
      <w:r>
        <w:rPr>
          <w:sz w:val="21"/>
        </w:rPr>
        <w:t>设施；</w:t>
      </w:r>
    </w:p>
    <w:p>
      <w:pPr>
        <w:pStyle w:val="ListParagraph"/>
        <w:numPr>
          <w:ilvl w:val="0"/>
          <w:numId w:val="4"/>
        </w:numPr>
        <w:tabs>
          <w:tab w:val="left" w:pos="1510"/>
          <w:tab w:val="left" w:pos="1511"/>
        </w:tabs>
        <w:spacing w:before="1" w:after="0" w:line="242" w:lineRule="auto"/>
        <w:ind w:left="1510" w:right="751" w:hanging="418"/>
        <w:jc w:val="left"/>
        <w:rPr>
          <w:sz w:val="21"/>
        </w:rPr>
      </w:pPr>
      <w:r>
        <w:rPr>
          <w:spacing w:val="-7"/>
          <w:sz w:val="21"/>
        </w:rPr>
        <w:t>应配备必要的业务书籍资料以及各种法律援助专用格式文书、表格、案卷用纸等必需的办公用品。</w:t>
      </w:r>
    </w:p>
    <w:p>
      <w:pPr>
        <w:spacing w:before="1"/>
        <w:ind w:left="666" w:right="0" w:firstLine="0"/>
        <w:jc w:val="left"/>
        <w:rPr>
          <w:sz w:val="21"/>
        </w:rPr>
      </w:pPr>
      <w:r>
        <w:rPr>
          <w:rFonts w:ascii="Times New Roman" w:eastAsia="Times New Roman" w:hAnsi="Times New Roman"/>
          <w:sz w:val="20"/>
        </w:rPr>
        <w:t xml:space="preserve">—— </w:t>
      </w:r>
      <w:r>
        <w:rPr>
          <w:sz w:val="21"/>
        </w:rPr>
        <w:t>接待室：</w:t>
      </w:r>
    </w:p>
    <w:p>
      <w:pPr>
        <w:pStyle w:val="ListParagraph"/>
        <w:numPr>
          <w:ilvl w:val="0"/>
          <w:numId w:val="4"/>
        </w:numPr>
        <w:tabs>
          <w:tab w:val="left" w:pos="1510"/>
          <w:tab w:val="left" w:pos="1511"/>
        </w:tabs>
        <w:spacing w:before="2" w:after="0" w:line="240" w:lineRule="auto"/>
        <w:ind w:left="1510" w:right="0" w:hanging="418"/>
        <w:jc w:val="left"/>
        <w:rPr>
          <w:sz w:val="21"/>
        </w:rPr>
      </w:pPr>
      <w:r>
        <w:rPr>
          <w:spacing w:val="-3"/>
          <w:sz w:val="21"/>
        </w:rPr>
        <w:t>应设立在显著位置并有明显标识；</w:t>
      </w:r>
    </w:p>
    <w:p>
      <w:pPr>
        <w:pStyle w:val="ListParagraph"/>
        <w:numPr>
          <w:ilvl w:val="0"/>
          <w:numId w:val="4"/>
        </w:numPr>
        <w:tabs>
          <w:tab w:val="left" w:pos="1510"/>
          <w:tab w:val="left" w:pos="1511"/>
        </w:tabs>
        <w:spacing w:before="5" w:after="0" w:line="240" w:lineRule="auto"/>
        <w:ind w:left="1510" w:right="0" w:hanging="418"/>
        <w:jc w:val="left"/>
        <w:rPr>
          <w:sz w:val="21"/>
        </w:rPr>
      </w:pPr>
      <w:r>
        <w:rPr>
          <w:spacing w:val="-3"/>
          <w:sz w:val="21"/>
        </w:rPr>
        <w:t>应将受理范围、援助流程等信息上墙；</w:t>
      </w:r>
    </w:p>
    <w:p>
      <w:pPr>
        <w:pStyle w:val="ListParagraph"/>
        <w:numPr>
          <w:ilvl w:val="0"/>
          <w:numId w:val="4"/>
        </w:numPr>
        <w:tabs>
          <w:tab w:val="left" w:pos="1510"/>
          <w:tab w:val="left" w:pos="1511"/>
        </w:tabs>
        <w:spacing w:before="2" w:after="0" w:line="240" w:lineRule="auto"/>
        <w:ind w:left="1510" w:right="0" w:hanging="418"/>
        <w:jc w:val="left"/>
        <w:rPr>
          <w:sz w:val="21"/>
        </w:rPr>
      </w:pPr>
      <w:r>
        <w:rPr>
          <w:spacing w:val="-3"/>
          <w:sz w:val="21"/>
        </w:rPr>
        <w:t>应放置工作人员信息牌，内容包括驻点工作人员姓名、照片等信息；</w:t>
      </w:r>
    </w:p>
    <w:p>
      <w:pPr>
        <w:pStyle w:val="ListParagraph"/>
        <w:numPr>
          <w:ilvl w:val="0"/>
          <w:numId w:val="4"/>
        </w:numPr>
        <w:tabs>
          <w:tab w:val="left" w:pos="1510"/>
          <w:tab w:val="left" w:pos="1511"/>
        </w:tabs>
        <w:spacing w:before="5" w:after="0" w:line="240" w:lineRule="auto"/>
        <w:ind w:left="1510" w:right="0" w:hanging="418"/>
        <w:jc w:val="left"/>
        <w:rPr>
          <w:sz w:val="21"/>
        </w:rPr>
      </w:pPr>
      <w:r>
        <w:rPr>
          <w:spacing w:val="-3"/>
          <w:sz w:val="21"/>
        </w:rPr>
        <w:t>应配备桌椅、饮水器具等设施；</w:t>
      </w:r>
    </w:p>
    <w:p>
      <w:pPr>
        <w:pStyle w:val="ListParagraph"/>
        <w:numPr>
          <w:ilvl w:val="0"/>
          <w:numId w:val="4"/>
        </w:numPr>
        <w:tabs>
          <w:tab w:val="left" w:pos="1510"/>
          <w:tab w:val="left" w:pos="1511"/>
        </w:tabs>
        <w:spacing w:before="2" w:after="0" w:line="240" w:lineRule="auto"/>
        <w:ind w:left="1510" w:right="0" w:hanging="418"/>
        <w:jc w:val="left"/>
        <w:rPr>
          <w:sz w:val="21"/>
        </w:rPr>
      </w:pPr>
      <w:r>
        <w:rPr>
          <w:spacing w:val="-3"/>
          <w:sz w:val="21"/>
        </w:rPr>
        <w:t>应提供申请知识产权维权援助登记表以及统一制定的相关证明、材料表格等材料；</w:t>
      </w:r>
    </w:p>
    <w:p>
      <w:pPr>
        <w:pStyle w:val="ListParagraph"/>
        <w:numPr>
          <w:ilvl w:val="0"/>
          <w:numId w:val="4"/>
        </w:numPr>
        <w:tabs>
          <w:tab w:val="left" w:pos="1510"/>
          <w:tab w:val="left" w:pos="1511"/>
        </w:tabs>
        <w:spacing w:before="4" w:after="0" w:line="240" w:lineRule="auto"/>
        <w:ind w:left="1510" w:right="0" w:hanging="418"/>
        <w:jc w:val="left"/>
        <w:rPr>
          <w:sz w:val="21"/>
        </w:rPr>
      </w:pPr>
      <w:r>
        <w:rPr>
          <w:spacing w:val="-3"/>
          <w:sz w:val="21"/>
        </w:rPr>
        <w:t>应提供法律法规政策宣传手册、知识产权宣传手册、工作站宣传海报等相关材料。</w:t>
      </w:r>
    </w:p>
    <w:p>
      <w:pPr>
        <w:spacing w:before="3"/>
        <w:ind w:left="666" w:right="0" w:firstLine="0"/>
        <w:jc w:val="left"/>
        <w:rPr>
          <w:sz w:val="21"/>
        </w:rPr>
      </w:pPr>
      <w:r>
        <w:drawing>
          <wp:anchor distT="0" distB="0" distL="0" distR="0" simplePos="0" relativeHeight="251663360" behindDoc="0" locked="0" layoutInCell="1" allowOverlap="1">
            <wp:simplePos x="0" y="0"/>
            <wp:positionH relativeFrom="page">
              <wp:posOffset>1512722</wp:posOffset>
            </wp:positionH>
            <wp:positionV relativeFrom="paragraph">
              <wp:posOffset>37983</wp:posOffset>
            </wp:positionV>
            <wp:extent cx="4538182" cy="4538182"/>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6" cstate="print"/>
                    <a:stretch>
                      <a:fillRect/>
                    </a:stretch>
                  </pic:blipFill>
                  <pic:spPr>
                    <a:xfrm>
                      <a:off x="0" y="0"/>
                      <a:ext cx="4538182" cy="4538182"/>
                    </a:xfrm>
                    <a:prstGeom prst="rect">
                      <a:avLst/>
                    </a:prstGeom>
                  </pic:spPr>
                </pic:pic>
              </a:graphicData>
            </a:graphic>
          </wp:anchor>
        </w:drawing>
      </w:r>
      <w:r>
        <w:rPr>
          <w:rFonts w:ascii="Times New Roman" w:eastAsia="Times New Roman" w:hAnsi="Times New Roman"/>
          <w:sz w:val="20"/>
        </w:rPr>
        <w:t xml:space="preserve">—— </w:t>
      </w:r>
      <w:r>
        <w:rPr>
          <w:sz w:val="21"/>
        </w:rPr>
        <w:t>调解室：</w:t>
      </w:r>
    </w:p>
    <w:p>
      <w:pPr>
        <w:pStyle w:val="ListParagraph"/>
        <w:numPr>
          <w:ilvl w:val="0"/>
          <w:numId w:val="4"/>
        </w:numPr>
        <w:tabs>
          <w:tab w:val="left" w:pos="1510"/>
          <w:tab w:val="left" w:pos="1511"/>
        </w:tabs>
        <w:spacing w:before="5" w:after="0" w:line="240" w:lineRule="auto"/>
        <w:ind w:left="1510" w:right="0" w:hanging="418"/>
        <w:jc w:val="left"/>
        <w:rPr>
          <w:sz w:val="21"/>
        </w:rPr>
      </w:pPr>
      <w:r>
        <w:rPr>
          <w:spacing w:val="-2"/>
          <w:sz w:val="21"/>
        </w:rPr>
        <w:t>应相对独立；</w:t>
      </w:r>
    </w:p>
    <w:p>
      <w:pPr>
        <w:pStyle w:val="ListParagraph"/>
        <w:numPr>
          <w:ilvl w:val="0"/>
          <w:numId w:val="4"/>
        </w:numPr>
        <w:tabs>
          <w:tab w:val="left" w:pos="1510"/>
          <w:tab w:val="left" w:pos="1511"/>
        </w:tabs>
        <w:spacing w:before="2" w:after="0" w:line="240" w:lineRule="auto"/>
        <w:ind w:left="1510" w:right="0" w:hanging="418"/>
        <w:jc w:val="left"/>
        <w:rPr>
          <w:sz w:val="21"/>
        </w:rPr>
      </w:pPr>
      <w:r>
        <w:rPr>
          <w:spacing w:val="-3"/>
          <w:sz w:val="21"/>
        </w:rPr>
        <w:t>应配备调解桌、椅，并摆放调解人员、记录员、当事人和代理人台牌；</w:t>
      </w:r>
    </w:p>
    <w:p>
      <w:pPr>
        <w:pStyle w:val="ListParagraph"/>
        <w:numPr>
          <w:ilvl w:val="0"/>
          <w:numId w:val="4"/>
        </w:numPr>
        <w:tabs>
          <w:tab w:val="left" w:pos="1510"/>
          <w:tab w:val="left" w:pos="1511"/>
        </w:tabs>
        <w:spacing w:before="2" w:after="0" w:line="240" w:lineRule="auto"/>
        <w:ind w:left="1510" w:right="0" w:hanging="418"/>
        <w:jc w:val="left"/>
        <w:rPr>
          <w:sz w:val="21"/>
        </w:rPr>
      </w:pPr>
      <w:r>
        <w:rPr>
          <w:spacing w:val="-3"/>
          <w:sz w:val="21"/>
        </w:rPr>
        <w:t>应在显著位置展示调解流程、调解纪律、注意事项等信息；</w:t>
      </w:r>
    </w:p>
    <w:p>
      <w:pPr>
        <w:pStyle w:val="ListParagraph"/>
        <w:numPr>
          <w:ilvl w:val="0"/>
          <w:numId w:val="4"/>
        </w:numPr>
        <w:tabs>
          <w:tab w:val="left" w:pos="1510"/>
          <w:tab w:val="left" w:pos="1511"/>
        </w:tabs>
        <w:spacing w:before="4" w:after="0" w:line="240" w:lineRule="auto"/>
        <w:ind w:left="1510" w:right="0" w:hanging="418"/>
        <w:jc w:val="left"/>
        <w:rPr>
          <w:sz w:val="21"/>
        </w:rPr>
      </w:pPr>
      <w:r>
        <w:rPr>
          <w:spacing w:val="-3"/>
          <w:sz w:val="21"/>
        </w:rPr>
        <w:t>应将调解纪律、当事人权利义务、调解注意事项等信息上墙；</w:t>
      </w:r>
    </w:p>
    <w:p>
      <w:pPr>
        <w:pStyle w:val="ListParagraph"/>
        <w:numPr>
          <w:ilvl w:val="0"/>
          <w:numId w:val="4"/>
        </w:numPr>
        <w:tabs>
          <w:tab w:val="left" w:pos="1510"/>
          <w:tab w:val="left" w:pos="1511"/>
        </w:tabs>
        <w:spacing w:before="3" w:after="0" w:line="240" w:lineRule="auto"/>
        <w:ind w:left="1510" w:right="0" w:hanging="418"/>
        <w:jc w:val="left"/>
        <w:rPr>
          <w:sz w:val="21"/>
        </w:rPr>
      </w:pPr>
      <w:r>
        <w:rPr>
          <w:spacing w:val="-3"/>
          <w:sz w:val="21"/>
        </w:rPr>
        <w:t>应配备用于记录调解过程的电脑、打印设备；</w:t>
      </w:r>
    </w:p>
    <w:p>
      <w:pPr>
        <w:pStyle w:val="ListParagraph"/>
        <w:numPr>
          <w:ilvl w:val="0"/>
          <w:numId w:val="4"/>
        </w:numPr>
        <w:tabs>
          <w:tab w:val="left" w:pos="1510"/>
          <w:tab w:val="left" w:pos="1511"/>
        </w:tabs>
        <w:spacing w:before="4" w:after="0" w:line="240" w:lineRule="auto"/>
        <w:ind w:left="1510" w:right="0" w:hanging="418"/>
        <w:jc w:val="left"/>
        <w:rPr>
          <w:sz w:val="21"/>
        </w:rPr>
      </w:pPr>
      <w:r>
        <w:rPr>
          <w:spacing w:val="-3"/>
          <w:sz w:val="21"/>
        </w:rPr>
        <w:t>应配置录音和投影设备，用于过程录音和展示当事人电子证据。</w:t>
      </w:r>
    </w:p>
    <w:p>
      <w:pPr>
        <w:pStyle w:val="ListParagraph"/>
        <w:numPr>
          <w:ilvl w:val="2"/>
          <w:numId w:val="8"/>
        </w:numPr>
        <w:tabs>
          <w:tab w:val="left" w:pos="941"/>
          <w:tab w:val="left" w:pos="943"/>
        </w:tabs>
        <w:spacing w:before="2" w:after="0" w:line="244" w:lineRule="auto"/>
        <w:ind w:left="240" w:right="751" w:firstLine="0"/>
        <w:jc w:val="left"/>
        <w:rPr>
          <w:sz w:val="21"/>
        </w:rPr>
      </w:pPr>
      <w:r>
        <w:rPr>
          <w:spacing w:val="-3"/>
          <w:sz w:val="21"/>
        </w:rPr>
        <w:t xml:space="preserve">援助机构均应设置办公室，鼓励有条件的分中心、工作站按本文件 </w:t>
      </w:r>
      <w:r>
        <w:rPr>
          <w:sz w:val="21"/>
        </w:rPr>
        <w:t>6.2.4</w:t>
      </w:r>
      <w:r>
        <w:rPr>
          <w:spacing w:val="-3"/>
          <w:sz w:val="21"/>
        </w:rPr>
        <w:t xml:space="preserve"> 的规定建设接待室、调解室。</w:t>
      </w:r>
    </w:p>
    <w:p>
      <w:pPr>
        <w:pStyle w:val="ListParagraph"/>
        <w:numPr>
          <w:ilvl w:val="2"/>
          <w:numId w:val="8"/>
        </w:numPr>
        <w:tabs>
          <w:tab w:val="left" w:pos="941"/>
          <w:tab w:val="left" w:pos="943"/>
        </w:tabs>
        <w:spacing w:before="0" w:after="0" w:line="244" w:lineRule="auto"/>
        <w:ind w:left="240" w:right="751" w:firstLine="0"/>
        <w:jc w:val="left"/>
        <w:rPr>
          <w:sz w:val="21"/>
        </w:rPr>
      </w:pPr>
      <w:r>
        <w:rPr>
          <w:spacing w:val="-5"/>
          <w:sz w:val="21"/>
        </w:rPr>
        <w:t xml:space="preserve">工作场所按照相关标准配备消防设施、器材，按照 </w:t>
      </w:r>
      <w:r>
        <w:rPr>
          <w:sz w:val="21"/>
        </w:rPr>
        <w:t>GB</w:t>
      </w:r>
      <w:r>
        <w:rPr>
          <w:spacing w:val="-19"/>
          <w:sz w:val="21"/>
        </w:rPr>
        <w:t xml:space="preserve"> </w:t>
      </w:r>
      <w:r>
        <w:rPr>
          <w:sz w:val="21"/>
        </w:rPr>
        <w:t>15630</w:t>
      </w:r>
      <w:r>
        <w:rPr>
          <w:spacing w:val="-8"/>
          <w:sz w:val="21"/>
        </w:rPr>
        <w:t xml:space="preserve"> 的要求设置消防安全标志。应设有应</w:t>
      </w:r>
      <w:r>
        <w:rPr>
          <w:spacing w:val="-5"/>
          <w:sz w:val="21"/>
        </w:rPr>
        <w:t>急出口且通道畅通。</w:t>
      </w:r>
    </w:p>
    <w:p>
      <w:pPr>
        <w:pStyle w:val="ListParagraph"/>
        <w:numPr>
          <w:ilvl w:val="1"/>
          <w:numId w:val="8"/>
        </w:numPr>
        <w:tabs>
          <w:tab w:val="left" w:pos="741"/>
        </w:tabs>
        <w:spacing w:before="112" w:after="0" w:line="240" w:lineRule="auto"/>
        <w:ind w:left="740" w:right="0" w:hanging="501"/>
        <w:jc w:val="left"/>
        <w:rPr>
          <w:rFonts w:ascii="黑体" w:eastAsia="黑体" w:hint="eastAsia"/>
          <w:sz w:val="21"/>
        </w:rPr>
      </w:pPr>
      <w:r>
        <w:rPr>
          <w:rFonts w:ascii="黑体" w:eastAsia="黑体" w:hint="eastAsia"/>
          <w:sz w:val="21"/>
        </w:rPr>
        <w:t>人员</w:t>
      </w:r>
    </w:p>
    <w:p>
      <w:pPr>
        <w:pStyle w:val="ListParagraph"/>
        <w:numPr>
          <w:ilvl w:val="2"/>
          <w:numId w:val="8"/>
        </w:numPr>
        <w:tabs>
          <w:tab w:val="left" w:pos="941"/>
          <w:tab w:val="left" w:pos="943"/>
        </w:tabs>
        <w:spacing w:before="125" w:after="0" w:line="240" w:lineRule="auto"/>
        <w:ind w:left="942" w:right="0" w:hanging="703"/>
        <w:jc w:val="left"/>
        <w:rPr>
          <w:rFonts w:ascii="黑体" w:eastAsia="黑体" w:hint="eastAsia"/>
          <w:sz w:val="21"/>
        </w:rPr>
      </w:pPr>
      <w:r>
        <w:rPr>
          <w:rFonts w:ascii="黑体" w:eastAsia="黑体" w:hint="eastAsia"/>
          <w:spacing w:val="-1"/>
          <w:sz w:val="21"/>
        </w:rPr>
        <w:t>工作人员</w:t>
      </w:r>
    </w:p>
    <w:p>
      <w:pPr>
        <w:pStyle w:val="ListParagraph"/>
        <w:numPr>
          <w:ilvl w:val="3"/>
          <w:numId w:val="8"/>
        </w:numPr>
        <w:tabs>
          <w:tab w:val="left" w:pos="1142"/>
        </w:tabs>
        <w:spacing w:before="122" w:after="0" w:line="240" w:lineRule="auto"/>
        <w:ind w:left="1141" w:right="0" w:hanging="902"/>
        <w:jc w:val="left"/>
        <w:rPr>
          <w:sz w:val="21"/>
        </w:rPr>
      </w:pPr>
      <w:r>
        <w:rPr>
          <w:spacing w:val="-3"/>
          <w:sz w:val="21"/>
        </w:rPr>
        <w:t>应配备满足自身工作需求的专、兼职工作人员，各类人员应保持稳定。</w:t>
      </w:r>
    </w:p>
    <w:p>
      <w:pPr>
        <w:pStyle w:val="ListParagraph"/>
        <w:numPr>
          <w:ilvl w:val="3"/>
          <w:numId w:val="8"/>
        </w:numPr>
        <w:tabs>
          <w:tab w:val="left" w:pos="1142"/>
        </w:tabs>
        <w:spacing w:before="5" w:after="0" w:line="240" w:lineRule="auto"/>
        <w:ind w:left="1141" w:right="0" w:hanging="902"/>
        <w:jc w:val="left"/>
        <w:rPr>
          <w:sz w:val="21"/>
        </w:rPr>
      </w:pPr>
      <w:r>
        <w:rPr>
          <w:spacing w:val="-3"/>
          <w:sz w:val="21"/>
        </w:rPr>
        <w:t>工作人员应具备知识产权专业知识、技能和素养，包括但不限于：</w:t>
      </w:r>
    </w:p>
    <w:p>
      <w:pPr>
        <w:spacing w:before="2"/>
        <w:ind w:left="666" w:right="0" w:firstLine="0"/>
        <w:jc w:val="left"/>
        <w:rPr>
          <w:sz w:val="21"/>
        </w:rPr>
      </w:pPr>
      <w:r>
        <w:rPr>
          <w:rFonts w:ascii="Times New Roman" w:eastAsia="Times New Roman" w:hAnsi="Times New Roman"/>
          <w:sz w:val="20"/>
        </w:rPr>
        <w:t xml:space="preserve">—— </w:t>
      </w:r>
      <w:r>
        <w:rPr>
          <w:sz w:val="21"/>
        </w:rPr>
        <w:t>基本服务能力：</w:t>
      </w:r>
    </w:p>
    <w:p>
      <w:pPr>
        <w:pStyle w:val="ListParagraph"/>
        <w:numPr>
          <w:ilvl w:val="0"/>
          <w:numId w:val="3"/>
        </w:numPr>
        <w:tabs>
          <w:tab w:val="left" w:pos="1510"/>
          <w:tab w:val="left" w:pos="1511"/>
        </w:tabs>
        <w:spacing w:before="4" w:after="0" w:line="240" w:lineRule="auto"/>
        <w:ind w:left="1510" w:right="0" w:hanging="418"/>
        <w:jc w:val="left"/>
        <w:rPr>
          <w:sz w:val="21"/>
        </w:rPr>
      </w:pPr>
      <w:r>
        <w:rPr>
          <w:spacing w:val="-3"/>
          <w:sz w:val="21"/>
        </w:rPr>
        <w:t>熟悉基本的知识产权法律法规；</w:t>
      </w:r>
    </w:p>
    <w:p>
      <w:pPr>
        <w:pStyle w:val="ListParagraph"/>
        <w:numPr>
          <w:ilvl w:val="0"/>
          <w:numId w:val="3"/>
        </w:numPr>
        <w:tabs>
          <w:tab w:val="left" w:pos="1510"/>
          <w:tab w:val="left" w:pos="1511"/>
        </w:tabs>
        <w:spacing w:before="2" w:after="0" w:line="240" w:lineRule="auto"/>
        <w:ind w:left="1510" w:right="0" w:hanging="418"/>
        <w:jc w:val="left"/>
        <w:rPr>
          <w:sz w:val="21"/>
        </w:rPr>
      </w:pPr>
      <w:r>
        <w:rPr>
          <w:spacing w:val="-3"/>
          <w:sz w:val="21"/>
        </w:rPr>
        <w:t>熟练使用各类办公软件；</w:t>
      </w:r>
    </w:p>
    <w:p>
      <w:pPr>
        <w:pStyle w:val="ListParagraph"/>
        <w:numPr>
          <w:ilvl w:val="0"/>
          <w:numId w:val="3"/>
        </w:numPr>
        <w:tabs>
          <w:tab w:val="left" w:pos="1510"/>
          <w:tab w:val="left" w:pos="1511"/>
        </w:tabs>
        <w:spacing w:before="5" w:after="0" w:line="240" w:lineRule="auto"/>
        <w:ind w:left="1510" w:right="0" w:hanging="418"/>
        <w:jc w:val="left"/>
        <w:rPr>
          <w:sz w:val="21"/>
        </w:rPr>
      </w:pPr>
      <w:r>
        <w:rPr>
          <w:spacing w:val="-3"/>
          <w:sz w:val="21"/>
        </w:rPr>
        <w:t>较强的语言组织与表达能力；</w:t>
      </w:r>
    </w:p>
    <w:p>
      <w:pPr>
        <w:pStyle w:val="ListParagraph"/>
        <w:numPr>
          <w:ilvl w:val="0"/>
          <w:numId w:val="3"/>
        </w:numPr>
        <w:tabs>
          <w:tab w:val="left" w:pos="1510"/>
          <w:tab w:val="left" w:pos="1511"/>
        </w:tabs>
        <w:spacing w:before="2" w:after="0" w:line="240" w:lineRule="auto"/>
        <w:ind w:left="1510" w:right="0" w:hanging="418"/>
        <w:jc w:val="left"/>
        <w:rPr>
          <w:sz w:val="21"/>
        </w:rPr>
      </w:pPr>
      <w:r>
        <w:rPr>
          <w:spacing w:val="-3"/>
          <w:sz w:val="21"/>
        </w:rPr>
        <w:t>统筹和协调能力、沟通能力、应急事务分析处理能力。</w:t>
      </w:r>
    </w:p>
    <w:p>
      <w:pPr>
        <w:spacing w:before="5"/>
        <w:ind w:left="666" w:right="0" w:firstLine="0"/>
        <w:jc w:val="left"/>
        <w:rPr>
          <w:sz w:val="21"/>
        </w:rPr>
      </w:pPr>
      <w:r>
        <w:rPr>
          <w:rFonts w:ascii="Times New Roman" w:eastAsia="Times New Roman" w:hAnsi="Times New Roman"/>
          <w:sz w:val="20"/>
        </w:rPr>
        <w:t xml:space="preserve">—— </w:t>
      </w:r>
      <w:r>
        <w:rPr>
          <w:sz w:val="21"/>
        </w:rPr>
        <w:t>专项业务能力：</w:t>
      </w:r>
    </w:p>
    <w:p>
      <w:pPr>
        <w:pStyle w:val="ListParagraph"/>
        <w:numPr>
          <w:ilvl w:val="0"/>
          <w:numId w:val="3"/>
        </w:numPr>
        <w:tabs>
          <w:tab w:val="left" w:pos="1510"/>
          <w:tab w:val="left" w:pos="1511"/>
        </w:tabs>
        <w:spacing w:before="2" w:after="0" w:line="240" w:lineRule="auto"/>
        <w:ind w:left="1510" w:right="0" w:hanging="418"/>
        <w:jc w:val="left"/>
        <w:rPr>
          <w:sz w:val="21"/>
        </w:rPr>
      </w:pPr>
      <w:r>
        <w:rPr>
          <w:spacing w:val="-3"/>
          <w:sz w:val="21"/>
        </w:rPr>
        <w:t>各类知识产权信息的检索、分析能力；</w:t>
      </w:r>
    </w:p>
    <w:p>
      <w:pPr>
        <w:pStyle w:val="ListParagraph"/>
        <w:numPr>
          <w:ilvl w:val="0"/>
          <w:numId w:val="3"/>
        </w:numPr>
        <w:tabs>
          <w:tab w:val="left" w:pos="1510"/>
          <w:tab w:val="left" w:pos="1511"/>
        </w:tabs>
        <w:spacing w:before="4" w:after="0" w:line="240" w:lineRule="auto"/>
        <w:ind w:left="1510" w:right="0" w:hanging="418"/>
        <w:jc w:val="left"/>
        <w:rPr>
          <w:sz w:val="21"/>
        </w:rPr>
      </w:pPr>
      <w:r>
        <w:rPr>
          <w:spacing w:val="-3"/>
          <w:sz w:val="21"/>
        </w:rPr>
        <w:t>知识产权行政及司法判例的学习、适用能力；</w:t>
      </w:r>
    </w:p>
    <w:p>
      <w:pPr>
        <w:pStyle w:val="ListParagraph"/>
        <w:numPr>
          <w:ilvl w:val="0"/>
          <w:numId w:val="3"/>
        </w:numPr>
        <w:tabs>
          <w:tab w:val="left" w:pos="1510"/>
          <w:tab w:val="left" w:pos="1511"/>
        </w:tabs>
        <w:spacing w:before="3" w:after="0" w:line="240" w:lineRule="auto"/>
        <w:ind w:left="1510" w:right="0" w:hanging="418"/>
        <w:jc w:val="left"/>
        <w:rPr>
          <w:sz w:val="21"/>
        </w:rPr>
      </w:pPr>
      <w:r>
        <w:rPr>
          <w:spacing w:val="-3"/>
          <w:sz w:val="21"/>
        </w:rPr>
        <w:t>知识产权纠纷处理能力。</w:t>
      </w:r>
    </w:p>
    <w:p>
      <w:pPr>
        <w:pStyle w:val="ListParagraph"/>
        <w:numPr>
          <w:ilvl w:val="3"/>
          <w:numId w:val="8"/>
        </w:numPr>
        <w:tabs>
          <w:tab w:val="left" w:pos="1142"/>
        </w:tabs>
        <w:spacing w:before="2" w:after="0" w:line="240" w:lineRule="auto"/>
        <w:ind w:left="1141" w:right="0" w:hanging="902"/>
        <w:jc w:val="left"/>
        <w:rPr>
          <w:sz w:val="21"/>
        </w:rPr>
      </w:pPr>
      <w:r>
        <w:rPr>
          <w:spacing w:val="-4"/>
          <w:sz w:val="21"/>
        </w:rPr>
        <w:t>工作人员应熟悉知识产权维权援助工作的工作内容及工作流程，并能够严格执行相关工作制度。</w:t>
      </w:r>
    </w:p>
    <w:p>
      <w:pPr>
        <w:pStyle w:val="ListParagraph"/>
        <w:numPr>
          <w:ilvl w:val="2"/>
          <w:numId w:val="8"/>
        </w:numPr>
        <w:tabs>
          <w:tab w:val="left" w:pos="941"/>
          <w:tab w:val="left" w:pos="943"/>
        </w:tabs>
        <w:spacing w:before="125" w:after="0" w:line="240" w:lineRule="auto"/>
        <w:ind w:left="942" w:right="0" w:hanging="703"/>
        <w:jc w:val="left"/>
        <w:rPr>
          <w:rFonts w:ascii="黑体" w:eastAsia="黑体" w:hint="eastAsia"/>
          <w:sz w:val="21"/>
        </w:rPr>
      </w:pPr>
      <w:r>
        <w:rPr>
          <w:rFonts w:ascii="黑体" w:eastAsia="黑体" w:hint="eastAsia"/>
          <w:sz w:val="21"/>
        </w:rPr>
        <w:t>专家</w:t>
      </w:r>
    </w:p>
    <w:p>
      <w:pPr>
        <w:pStyle w:val="ListParagraph"/>
        <w:numPr>
          <w:ilvl w:val="3"/>
          <w:numId w:val="8"/>
        </w:numPr>
        <w:tabs>
          <w:tab w:val="left" w:pos="1142"/>
        </w:tabs>
        <w:spacing w:before="122" w:after="0" w:line="244" w:lineRule="auto"/>
        <w:ind w:left="240" w:right="756" w:firstLine="0"/>
        <w:jc w:val="left"/>
        <w:rPr>
          <w:sz w:val="21"/>
        </w:rPr>
      </w:pPr>
      <w:r>
        <w:rPr>
          <w:spacing w:val="-1"/>
          <w:sz w:val="21"/>
        </w:rPr>
        <w:t>分中心、工作站可以根据工作需求，邀请各专业技术及司法领域的专家建立专家库，并向相关</w:t>
      </w:r>
      <w:r>
        <w:rPr>
          <w:spacing w:val="-3"/>
          <w:sz w:val="21"/>
        </w:rPr>
        <w:t>知识产权管理部门进行备案。</w:t>
      </w:r>
    </w:p>
    <w:p>
      <w:pPr>
        <w:pStyle w:val="ListParagraph"/>
        <w:numPr>
          <w:ilvl w:val="3"/>
          <w:numId w:val="8"/>
        </w:numPr>
        <w:tabs>
          <w:tab w:val="left" w:pos="1142"/>
        </w:tabs>
        <w:spacing w:before="0" w:after="0" w:line="265" w:lineRule="exact"/>
        <w:ind w:left="1141" w:right="0" w:hanging="902"/>
        <w:jc w:val="left"/>
        <w:rPr>
          <w:sz w:val="21"/>
        </w:rPr>
      </w:pPr>
      <w:r>
        <w:rPr>
          <w:spacing w:val="-3"/>
          <w:sz w:val="21"/>
        </w:rPr>
        <w:t>没有专家库的分中心、工作站可根据工作需求向省级援助机构申请专家现场或线上支持。</w:t>
      </w:r>
    </w:p>
    <w:p>
      <w:pPr>
        <w:pStyle w:val="ListParagraph"/>
        <w:numPr>
          <w:ilvl w:val="3"/>
          <w:numId w:val="8"/>
        </w:numPr>
        <w:tabs>
          <w:tab w:val="left" w:pos="1142"/>
        </w:tabs>
        <w:spacing w:before="4" w:after="0" w:line="240" w:lineRule="auto"/>
        <w:ind w:left="1141" w:right="0" w:hanging="902"/>
        <w:jc w:val="left"/>
        <w:rPr>
          <w:sz w:val="21"/>
        </w:rPr>
      </w:pPr>
      <w:r>
        <w:rPr>
          <w:spacing w:val="-3"/>
          <w:sz w:val="21"/>
        </w:rPr>
        <w:t>邀请的专家应填写知识产权维权援助专家申请表（</w:t>
      </w:r>
      <w:r>
        <w:rPr>
          <w:spacing w:val="-15"/>
          <w:sz w:val="21"/>
        </w:rPr>
        <w:t xml:space="preserve">见附录 </w:t>
      </w:r>
      <w:r>
        <w:rPr>
          <w:sz w:val="21"/>
        </w:rPr>
        <w:t>H）</w:t>
      </w:r>
      <w:r>
        <w:rPr>
          <w:spacing w:val="-3"/>
          <w:sz w:val="21"/>
        </w:rPr>
        <w:t>，并满足以下基本条件：</w:t>
      </w:r>
    </w:p>
    <w:p>
      <w:pPr>
        <w:pStyle w:val="BodyText"/>
        <w:spacing w:before="3" w:line="244" w:lineRule="auto"/>
        <w:ind w:left="1093" w:right="751" w:hanging="428"/>
      </w:pPr>
      <w:r>
        <w:rPr>
          <w:rFonts w:ascii="Times New Roman" w:eastAsia="Times New Roman" w:hAnsi="Times New Roman"/>
          <w:sz w:val="20"/>
        </w:rPr>
        <w:t xml:space="preserve">—— </w:t>
      </w:r>
      <w:r>
        <w:rPr>
          <w:spacing w:val="-9"/>
        </w:rPr>
        <w:t>遵守国家有关法律、法规、规章和政策，具有严谨的科学素养、职业道德和高度的责任心，作风</w:t>
      </w:r>
      <w:r>
        <w:rPr>
          <w:spacing w:val="-5"/>
        </w:rPr>
        <w:t>正派，治学严谨，能够客观、公正地履行职责；</w:t>
      </w:r>
    </w:p>
    <w:p>
      <w:pPr>
        <w:pStyle w:val="BodyText"/>
        <w:spacing w:line="244" w:lineRule="auto"/>
        <w:ind w:left="1093" w:right="751" w:hanging="428"/>
      </w:pPr>
      <w:r>
        <w:rPr>
          <w:rFonts w:ascii="Times New Roman" w:eastAsia="Times New Roman" w:hAnsi="Times New Roman"/>
          <w:sz w:val="20"/>
        </w:rPr>
        <w:t xml:space="preserve">—— </w:t>
      </w:r>
      <w:r>
        <w:rPr>
          <w:spacing w:val="-7"/>
        </w:rPr>
        <w:t>在本专业领域具有较强理论水平或丰富实践经验，熟悉国内外专业(技术)领域和知识产权最新发</w:t>
      </w:r>
      <w:r>
        <w:rPr>
          <w:spacing w:val="-5"/>
        </w:rPr>
        <w:t>展动态；</w:t>
      </w:r>
    </w:p>
    <w:p>
      <w:pPr>
        <w:pStyle w:val="BodyText"/>
        <w:spacing w:line="265" w:lineRule="exact"/>
        <w:ind w:left="666"/>
      </w:pPr>
      <w:r>
        <w:rPr>
          <w:rFonts w:ascii="Times New Roman" w:eastAsia="Times New Roman" w:hAnsi="Times New Roman"/>
          <w:sz w:val="20"/>
        </w:rPr>
        <w:t xml:space="preserve">—— </w:t>
      </w:r>
      <w:r>
        <w:t>年龄在 65 周岁以下，身体健康，能够胜任有关工作，如有特殊情况，经批准可放宽条件；</w:t>
      </w:r>
    </w:p>
    <w:p>
      <w:pPr>
        <w:pStyle w:val="BodyText"/>
        <w:ind w:left="666"/>
      </w:pPr>
      <w:r>
        <w:rPr>
          <w:rFonts w:ascii="Times New Roman" w:eastAsia="Times New Roman" w:hAnsi="Times New Roman"/>
          <w:sz w:val="20"/>
        </w:rPr>
        <w:t xml:space="preserve">—— </w:t>
      </w:r>
      <w:r>
        <w:t>熟练掌握国内外知识产权相关政策、法律法规和其他规定，服务山西省知识产权事业；</w:t>
      </w:r>
    </w:p>
    <w:p>
      <w:pPr>
        <w:spacing w:after="0"/>
        <w:sectPr>
          <w:headerReference w:type="even" r:id="rId33"/>
          <w:headerReference w:type="default" r:id="rId34"/>
          <w:footerReference w:type="even" r:id="rId35"/>
          <w:footerReference w:type="default" r:id="rId36"/>
          <w:pgSz w:w="11920" w:h="16850"/>
          <w:pgMar w:top="1440" w:right="440" w:bottom="1440" w:left="880" w:header="1232" w:footer="1255"/>
          <w:pgNumType w:start="7"/>
          <w:cols w:space="708"/>
        </w:sectPr>
      </w:pPr>
    </w:p>
    <w:p>
      <w:pPr>
        <w:pStyle w:val="BodyText"/>
        <w:rPr>
          <w:sz w:val="20"/>
        </w:rPr>
      </w:pPr>
    </w:p>
    <w:p>
      <w:pPr>
        <w:pStyle w:val="BodyText"/>
        <w:rPr>
          <w:sz w:val="20"/>
        </w:rPr>
      </w:pPr>
    </w:p>
    <w:p>
      <w:pPr>
        <w:pStyle w:val="BodyText"/>
        <w:spacing w:before="2"/>
        <w:rPr>
          <w:sz w:val="24"/>
        </w:rPr>
      </w:pPr>
    </w:p>
    <w:p>
      <w:pPr>
        <w:pStyle w:val="BodyText"/>
        <w:spacing w:before="71"/>
        <w:ind w:left="666"/>
      </w:pPr>
      <w:r>
        <w:rPr>
          <w:rFonts w:ascii="Times New Roman" w:eastAsia="Times New Roman" w:hAnsi="Times New Roman"/>
          <w:sz w:val="20"/>
        </w:rPr>
        <w:t xml:space="preserve">—— </w:t>
      </w:r>
      <w:r>
        <w:t>自愿履行相关保密义务，遵守工作纪律，服从管理，自觉接受监督，无违法违纪等记录。</w:t>
      </w:r>
    </w:p>
    <w:p>
      <w:pPr>
        <w:pStyle w:val="ListParagraph"/>
        <w:numPr>
          <w:ilvl w:val="2"/>
          <w:numId w:val="8"/>
        </w:numPr>
        <w:tabs>
          <w:tab w:val="left" w:pos="941"/>
          <w:tab w:val="left" w:pos="943"/>
        </w:tabs>
        <w:spacing w:before="125" w:after="0" w:line="240" w:lineRule="auto"/>
        <w:ind w:left="942" w:right="0" w:hanging="703"/>
        <w:jc w:val="left"/>
        <w:rPr>
          <w:rFonts w:ascii="黑体" w:eastAsia="黑体" w:hint="eastAsia"/>
          <w:sz w:val="21"/>
        </w:rPr>
      </w:pPr>
      <w:r>
        <w:rPr>
          <w:rFonts w:ascii="黑体" w:eastAsia="黑体" w:hint="eastAsia"/>
          <w:sz w:val="21"/>
        </w:rPr>
        <w:t>志愿者</w:t>
      </w:r>
    </w:p>
    <w:p>
      <w:pPr>
        <w:pStyle w:val="ListParagraph"/>
        <w:numPr>
          <w:ilvl w:val="3"/>
          <w:numId w:val="8"/>
        </w:numPr>
        <w:tabs>
          <w:tab w:val="left" w:pos="1142"/>
        </w:tabs>
        <w:spacing w:before="122" w:after="0" w:line="240" w:lineRule="auto"/>
        <w:ind w:left="1141" w:right="0" w:hanging="902"/>
        <w:jc w:val="left"/>
        <w:rPr>
          <w:sz w:val="21"/>
        </w:rPr>
      </w:pPr>
      <w:r>
        <w:rPr>
          <w:spacing w:val="-3"/>
          <w:sz w:val="21"/>
        </w:rPr>
        <w:t>援助机构可以根据工作需要，统计志愿者需求，制定计划，招募志愿者。</w:t>
      </w:r>
    </w:p>
    <w:p>
      <w:pPr>
        <w:pStyle w:val="ListParagraph"/>
        <w:numPr>
          <w:ilvl w:val="3"/>
          <w:numId w:val="8"/>
        </w:numPr>
        <w:tabs>
          <w:tab w:val="left" w:pos="1142"/>
        </w:tabs>
        <w:spacing w:before="4" w:after="0" w:line="240" w:lineRule="auto"/>
        <w:ind w:left="1141" w:right="0" w:hanging="902"/>
        <w:jc w:val="left"/>
        <w:rPr>
          <w:sz w:val="21"/>
        </w:rPr>
      </w:pPr>
      <w:r>
        <w:rPr>
          <w:spacing w:val="-3"/>
          <w:sz w:val="21"/>
        </w:rPr>
        <w:t>志愿者招募程序如下：</w:t>
      </w:r>
    </w:p>
    <w:p>
      <w:pPr>
        <w:pStyle w:val="BodyText"/>
        <w:spacing w:before="3"/>
        <w:ind w:left="666"/>
      </w:pPr>
      <w:r>
        <w:rPr>
          <w:rFonts w:ascii="Times New Roman" w:eastAsia="Times New Roman" w:hAnsi="Times New Roman"/>
          <w:sz w:val="20"/>
        </w:rPr>
        <w:t xml:space="preserve">—— </w:t>
      </w:r>
      <w:r>
        <w:t>援助机构发布招募信息，包括：工作内容、工作时间等；</w:t>
      </w:r>
    </w:p>
    <w:p>
      <w:pPr>
        <w:pStyle w:val="BodyText"/>
        <w:spacing w:before="4"/>
        <w:ind w:left="666"/>
      </w:pPr>
      <w:r>
        <w:rPr>
          <w:rFonts w:ascii="Times New Roman" w:eastAsia="Times New Roman" w:hAnsi="Times New Roman"/>
          <w:sz w:val="20"/>
        </w:rPr>
        <w:t xml:space="preserve">—— </w:t>
      </w:r>
      <w:r>
        <w:t>志愿服务意向者本人向援助机构提出申请，并如实填写志愿者登记表（见附录 I）；</w:t>
      </w:r>
    </w:p>
    <w:p>
      <w:pPr>
        <w:pStyle w:val="BodyText"/>
        <w:spacing w:before="2"/>
        <w:ind w:left="666"/>
      </w:pPr>
      <w:r>
        <w:rPr>
          <w:rFonts w:ascii="Times New Roman" w:eastAsia="Times New Roman" w:hAnsi="Times New Roman"/>
          <w:sz w:val="20"/>
        </w:rPr>
        <w:t xml:space="preserve">—— </w:t>
      </w:r>
      <w:r>
        <w:t>由援助机构对申请人进行审核，并根据实际情况安排面试等筛选环节；</w:t>
      </w:r>
    </w:p>
    <w:p>
      <w:pPr>
        <w:pStyle w:val="BodyText"/>
        <w:spacing w:before="5"/>
        <w:ind w:left="666"/>
      </w:pPr>
      <w:r>
        <w:rPr>
          <w:rFonts w:ascii="Times New Roman" w:eastAsia="Times New Roman" w:hAnsi="Times New Roman"/>
          <w:sz w:val="20"/>
        </w:rPr>
        <w:t xml:space="preserve">—— </w:t>
      </w:r>
      <w:r>
        <w:t>审核合格后招募为志愿者。</w:t>
      </w:r>
    </w:p>
    <w:p>
      <w:pPr>
        <w:pStyle w:val="BodyText"/>
        <w:spacing w:before="2"/>
        <w:ind w:left="666"/>
      </w:pPr>
      <w:r>
        <w:rPr>
          <w:rFonts w:ascii="Times New Roman" w:eastAsia="Times New Roman" w:hAnsi="Times New Roman"/>
          <w:sz w:val="20"/>
        </w:rPr>
        <w:t xml:space="preserve">—— </w:t>
      </w:r>
      <w:r>
        <w:t>在进行知识产权维权援助志愿者招募时，要进行风险告知。</w:t>
      </w:r>
    </w:p>
    <w:p>
      <w:pPr>
        <w:pStyle w:val="ListParagraph"/>
        <w:numPr>
          <w:ilvl w:val="3"/>
          <w:numId w:val="8"/>
        </w:numPr>
        <w:tabs>
          <w:tab w:val="left" w:pos="1142"/>
        </w:tabs>
        <w:spacing w:before="4" w:after="0" w:line="240" w:lineRule="auto"/>
        <w:ind w:left="1141" w:right="0" w:hanging="902"/>
        <w:jc w:val="left"/>
        <w:rPr>
          <w:sz w:val="21"/>
        </w:rPr>
      </w:pPr>
      <w:r>
        <w:rPr>
          <w:spacing w:val="-3"/>
          <w:sz w:val="21"/>
        </w:rPr>
        <w:t>知识产权维权援助志愿者应具备以下条件：</w:t>
      </w:r>
    </w:p>
    <w:p>
      <w:pPr>
        <w:pStyle w:val="BodyText"/>
        <w:spacing w:before="3"/>
        <w:ind w:left="666"/>
      </w:pPr>
      <w:r>
        <w:rPr>
          <w:rFonts w:ascii="Times New Roman" w:eastAsia="Times New Roman" w:hAnsi="Times New Roman"/>
          <w:sz w:val="20"/>
        </w:rPr>
        <w:t xml:space="preserve">—— </w:t>
      </w:r>
      <w:r>
        <w:t>热心社会公益事业，热爱知识产权事业，具有“奉献、友爱、互助、进步”的志愿服务精神；</w:t>
      </w:r>
    </w:p>
    <w:p>
      <w:pPr>
        <w:pStyle w:val="BodyText"/>
        <w:spacing w:before="5"/>
        <w:ind w:left="666"/>
      </w:pPr>
      <w:r>
        <w:rPr>
          <w:rFonts w:ascii="Times New Roman" w:eastAsia="Times New Roman" w:hAnsi="Times New Roman"/>
          <w:sz w:val="20"/>
        </w:rPr>
        <w:t xml:space="preserve">—— </w:t>
      </w:r>
      <w:r>
        <w:t>具备参加维权援助服务工作所需要的基本能力和身体素质；</w:t>
      </w:r>
    </w:p>
    <w:p>
      <w:pPr>
        <w:pStyle w:val="BodyText"/>
        <w:spacing w:before="2"/>
        <w:ind w:left="666"/>
      </w:pPr>
      <w:r>
        <w:rPr>
          <w:rFonts w:ascii="Times New Roman" w:eastAsia="Times New Roman" w:hAnsi="Times New Roman"/>
          <w:sz w:val="20"/>
        </w:rPr>
        <w:t xml:space="preserve">—— </w:t>
      </w:r>
      <w:r>
        <w:t>品行端正，遵守国家法律法规和援助机构的相关规定；</w:t>
      </w:r>
    </w:p>
    <w:p>
      <w:pPr>
        <w:pStyle w:val="BodyText"/>
        <w:spacing w:before="4"/>
        <w:ind w:left="666"/>
      </w:pPr>
      <w:r>
        <w:rPr>
          <w:rFonts w:ascii="Times New Roman" w:eastAsia="Times New Roman" w:hAnsi="Times New Roman"/>
          <w:sz w:val="20"/>
        </w:rPr>
        <w:t xml:space="preserve">—— </w:t>
      </w:r>
      <w:r>
        <w:t>无违纪、违法行为及不良信用记录。</w:t>
      </w:r>
    </w:p>
    <w:p>
      <w:pPr>
        <w:pStyle w:val="ListParagraph"/>
        <w:numPr>
          <w:ilvl w:val="2"/>
          <w:numId w:val="8"/>
        </w:numPr>
        <w:tabs>
          <w:tab w:val="left" w:pos="941"/>
          <w:tab w:val="left" w:pos="943"/>
        </w:tabs>
        <w:spacing w:before="123" w:after="0" w:line="240" w:lineRule="auto"/>
        <w:ind w:left="942" w:right="0" w:hanging="703"/>
        <w:jc w:val="left"/>
        <w:rPr>
          <w:rFonts w:ascii="黑体" w:eastAsia="黑体" w:hint="eastAsia"/>
          <w:sz w:val="21"/>
        </w:rPr>
      </w:pPr>
      <w:r>
        <w:rPr>
          <w:rFonts w:ascii="黑体" w:eastAsia="黑体" w:hint="eastAsia"/>
          <w:sz w:val="21"/>
        </w:rPr>
        <w:t>培训</w:t>
      </w:r>
    </w:p>
    <w:p>
      <w:pPr>
        <w:pStyle w:val="ListParagraph"/>
        <w:numPr>
          <w:ilvl w:val="3"/>
          <w:numId w:val="8"/>
        </w:numPr>
        <w:tabs>
          <w:tab w:val="left" w:pos="1142"/>
        </w:tabs>
        <w:spacing w:before="122" w:after="0" w:line="240" w:lineRule="auto"/>
        <w:ind w:left="1141" w:right="0" w:hanging="902"/>
        <w:jc w:val="left"/>
        <w:rPr>
          <w:sz w:val="21"/>
        </w:rPr>
      </w:pPr>
      <w:r>
        <w:rPr>
          <w:spacing w:val="-3"/>
          <w:sz w:val="21"/>
        </w:rPr>
        <w:t>应定期组织工作人员参加专业培训，培训内容包括但不限于以下内容：</w:t>
      </w:r>
    </w:p>
    <w:p>
      <w:pPr>
        <w:pStyle w:val="BodyText"/>
        <w:spacing w:before="4"/>
        <w:ind w:left="666"/>
      </w:pPr>
      <w:r>
        <w:rPr>
          <w:rFonts w:ascii="Times New Roman" w:eastAsia="Times New Roman" w:hAnsi="Times New Roman"/>
          <w:sz w:val="20"/>
        </w:rPr>
        <w:t xml:space="preserve">—— </w:t>
      </w:r>
      <w:r>
        <w:t>党中央、国务院关于知识产权保护的方针、政策和措施；</w:t>
      </w:r>
    </w:p>
    <w:p>
      <w:pPr>
        <w:spacing w:before="2"/>
        <w:ind w:left="666" w:right="0" w:firstLine="0"/>
        <w:jc w:val="left"/>
        <w:rPr>
          <w:sz w:val="21"/>
        </w:rPr>
      </w:pPr>
      <w:r>
        <w:rPr>
          <w:rFonts w:ascii="Times New Roman" w:eastAsia="Times New Roman" w:hAnsi="Times New Roman"/>
          <w:sz w:val="20"/>
        </w:rPr>
        <w:t xml:space="preserve">—— </w:t>
      </w:r>
      <w:r>
        <w:rPr>
          <w:sz w:val="21"/>
        </w:rPr>
        <w:t>知识产权法律法规；</w:t>
      </w:r>
    </w:p>
    <w:p>
      <w:pPr>
        <w:pStyle w:val="BodyText"/>
        <w:spacing w:before="5" w:line="242" w:lineRule="auto"/>
        <w:ind w:left="1093" w:right="751" w:hanging="428"/>
      </w:pPr>
      <w:r>
        <w:rPr>
          <w:rFonts w:ascii="Times New Roman" w:eastAsia="Times New Roman" w:hAnsi="Times New Roman"/>
          <w:sz w:val="20"/>
        </w:rPr>
        <w:t xml:space="preserve">—— </w:t>
      </w:r>
      <w:r>
        <w:rPr>
          <w:spacing w:val="-18"/>
        </w:rPr>
        <w:t xml:space="preserve">知识产权授权确权标准与程序，法律状态判定，知识产权行政、司法和调解仲裁等纠纷处理方法， </w:t>
      </w:r>
      <w:r>
        <w:rPr>
          <w:spacing w:val="-7"/>
        </w:rPr>
        <w:t>取证方法等专业知识和技能；</w:t>
      </w:r>
    </w:p>
    <w:p>
      <w:pPr>
        <w:pStyle w:val="BodyText"/>
        <w:spacing w:before="1"/>
        <w:ind w:left="666"/>
      </w:pPr>
      <w:r>
        <w:rPr>
          <w:rFonts w:ascii="Times New Roman" w:eastAsia="Times New Roman" w:hAnsi="Times New Roman"/>
          <w:sz w:val="20"/>
        </w:rPr>
        <w:t xml:space="preserve">—— </w:t>
      </w:r>
      <w:r>
        <w:t>知识产权维权援助领域的职业操守；</w:t>
      </w:r>
    </w:p>
    <w:p>
      <w:pPr>
        <w:pStyle w:val="BodyText"/>
        <w:spacing w:before="2"/>
        <w:ind w:left="666"/>
      </w:pPr>
      <w:r>
        <w:rPr>
          <w:rFonts w:ascii="Times New Roman" w:eastAsia="Times New Roman" w:hAnsi="Times New Roman"/>
          <w:sz w:val="20"/>
        </w:rPr>
        <w:t xml:space="preserve">—— </w:t>
      </w:r>
      <w:r>
        <w:t>知识产权信息利用、知识产权文化普及等方面的知识和技能；</w:t>
      </w:r>
    </w:p>
    <w:p>
      <w:pPr>
        <w:pStyle w:val="BodyText"/>
        <w:spacing w:before="5"/>
        <w:ind w:left="666"/>
      </w:pPr>
      <w:r>
        <w:rPr>
          <w:rFonts w:ascii="Times New Roman" w:eastAsia="Times New Roman" w:hAnsi="Times New Roman"/>
          <w:sz w:val="20"/>
        </w:rPr>
        <w:t xml:space="preserve">—— </w:t>
      </w:r>
      <w:r>
        <w:t>相关领域的技术发展现状和趋势等。</w:t>
      </w:r>
    </w:p>
    <w:p>
      <w:pPr>
        <w:pStyle w:val="ListParagraph"/>
        <w:numPr>
          <w:ilvl w:val="3"/>
          <w:numId w:val="8"/>
        </w:numPr>
        <w:tabs>
          <w:tab w:val="left" w:pos="1142"/>
        </w:tabs>
        <w:spacing w:before="2" w:after="0" w:line="240" w:lineRule="auto"/>
        <w:ind w:left="1141" w:right="0" w:hanging="902"/>
        <w:jc w:val="left"/>
        <w:rPr>
          <w:sz w:val="21"/>
        </w:rPr>
      </w:pPr>
      <w:r>
        <w:rPr>
          <w:spacing w:val="-3"/>
          <w:sz w:val="21"/>
        </w:rPr>
        <w:t>宜定期组织专家、志愿者对知识产权法律法规及最新的方针政策进行培训学习。</w:t>
      </w:r>
    </w:p>
    <w:p>
      <w:pPr>
        <w:pStyle w:val="ListParagraph"/>
        <w:numPr>
          <w:ilvl w:val="1"/>
          <w:numId w:val="2"/>
        </w:numPr>
        <w:tabs>
          <w:tab w:val="left" w:pos="741"/>
        </w:tabs>
        <w:spacing w:before="125" w:after="0" w:line="240" w:lineRule="auto"/>
        <w:ind w:left="740" w:right="0" w:hanging="501"/>
        <w:jc w:val="left"/>
        <w:rPr>
          <w:rFonts w:ascii="黑体" w:eastAsia="黑体" w:hint="eastAsia"/>
          <w:sz w:val="21"/>
        </w:rPr>
      </w:pPr>
      <w:r>
        <w:rPr>
          <w:rFonts w:ascii="黑体" w:eastAsia="黑体" w:hint="eastAsia"/>
          <w:sz w:val="21"/>
        </w:rPr>
        <w:t>制度</w:t>
      </w:r>
    </w:p>
    <w:p>
      <w:pPr>
        <w:pStyle w:val="ListParagraph"/>
        <w:numPr>
          <w:ilvl w:val="2"/>
          <w:numId w:val="2"/>
        </w:numPr>
        <w:tabs>
          <w:tab w:val="left" w:pos="941"/>
          <w:tab w:val="left" w:pos="943"/>
        </w:tabs>
        <w:spacing w:before="122" w:after="0" w:line="240" w:lineRule="auto"/>
        <w:ind w:left="942" w:right="0" w:hanging="703"/>
        <w:jc w:val="left"/>
        <w:rPr>
          <w:rFonts w:ascii="黑体" w:eastAsia="黑体" w:hint="eastAsia"/>
          <w:sz w:val="21"/>
        </w:rPr>
      </w:pPr>
      <w:r>
        <w:rPr>
          <w:rFonts w:ascii="黑体" w:eastAsia="黑体" w:hint="eastAsia"/>
          <w:spacing w:val="-1"/>
          <w:sz w:val="21"/>
        </w:rPr>
        <w:t>工作制度</w:t>
      </w:r>
    </w:p>
    <w:p>
      <w:pPr>
        <w:pStyle w:val="BodyText"/>
        <w:spacing w:before="125" w:line="242" w:lineRule="auto"/>
        <w:ind w:left="240" w:right="651" w:firstLine="420"/>
      </w:pPr>
      <w:r>
        <w:rPr>
          <w:spacing w:val="-4"/>
        </w:rPr>
        <w:t>应建立与维权援助工作实际相适应的普通咨询、专项援助、宣传培训、信息报送等工作制度及人员、</w:t>
      </w:r>
      <w:r>
        <w:rPr>
          <w:spacing w:val="-3"/>
        </w:rPr>
        <w:t>专家的聘用、培训、管理、考核等制度。</w:t>
      </w:r>
    </w:p>
    <w:p>
      <w:pPr>
        <w:pStyle w:val="ListParagraph"/>
        <w:numPr>
          <w:ilvl w:val="2"/>
          <w:numId w:val="2"/>
        </w:numPr>
        <w:tabs>
          <w:tab w:val="left" w:pos="941"/>
          <w:tab w:val="left" w:pos="943"/>
        </w:tabs>
        <w:spacing w:before="121" w:after="0" w:line="240" w:lineRule="auto"/>
        <w:ind w:left="942" w:right="0" w:hanging="703"/>
        <w:jc w:val="left"/>
        <w:rPr>
          <w:rFonts w:ascii="黑体" w:eastAsia="黑体" w:hint="eastAsia"/>
          <w:sz w:val="21"/>
        </w:rPr>
      </w:pPr>
      <w:r>
        <w:rPr>
          <w:rFonts w:ascii="黑体" w:eastAsia="黑体" w:hint="eastAsia"/>
          <w:spacing w:val="-2"/>
          <w:sz w:val="21"/>
        </w:rPr>
        <w:t>档案管理制度</w:t>
      </w:r>
    </w:p>
    <w:p>
      <w:pPr>
        <w:pStyle w:val="ListParagraph"/>
        <w:numPr>
          <w:ilvl w:val="3"/>
          <w:numId w:val="2"/>
        </w:numPr>
        <w:tabs>
          <w:tab w:val="left" w:pos="1142"/>
        </w:tabs>
        <w:spacing w:before="122" w:after="0" w:line="240" w:lineRule="auto"/>
        <w:ind w:left="1141" w:right="0" w:hanging="902"/>
        <w:jc w:val="left"/>
        <w:rPr>
          <w:sz w:val="21"/>
        </w:rPr>
      </w:pPr>
      <w:r>
        <w:rPr>
          <w:spacing w:val="-10"/>
          <w:sz w:val="21"/>
        </w:rPr>
        <w:t>应制定档案管理制度，安排专人进行档案的收集、归档、整理、保管、保密、查阅和销毁工作。</w:t>
      </w:r>
    </w:p>
    <w:p>
      <w:pPr>
        <w:pStyle w:val="ListParagraph"/>
        <w:numPr>
          <w:ilvl w:val="3"/>
          <w:numId w:val="2"/>
        </w:numPr>
        <w:tabs>
          <w:tab w:val="left" w:pos="1142"/>
        </w:tabs>
        <w:spacing w:before="5" w:after="0" w:line="242" w:lineRule="auto"/>
        <w:ind w:left="240" w:right="756" w:firstLine="0"/>
        <w:jc w:val="left"/>
        <w:rPr>
          <w:sz w:val="21"/>
        </w:rPr>
      </w:pPr>
      <w:r>
        <w:rPr>
          <w:spacing w:val="-1"/>
          <w:sz w:val="21"/>
        </w:rPr>
        <w:t>应按照一案一号、一案一卷的原则建立纸质档案和电子档案，电子档案至少为纸质档案的扫描</w:t>
      </w:r>
      <w:r>
        <w:rPr>
          <w:spacing w:val="-3"/>
          <w:sz w:val="21"/>
        </w:rPr>
        <w:t>件。档案材料包括但不限于以下内容：</w:t>
      </w:r>
    </w:p>
    <w:p>
      <w:pPr>
        <w:pStyle w:val="BodyText"/>
        <w:spacing w:before="1"/>
        <w:ind w:left="666"/>
      </w:pPr>
      <w:r>
        <w:rPr>
          <w:rFonts w:ascii="Times New Roman" w:eastAsia="Times New Roman" w:hAnsi="Times New Roman"/>
          <w:sz w:val="20"/>
        </w:rPr>
        <w:t xml:space="preserve">—— </w:t>
      </w:r>
      <w:r>
        <w:t>卷宗封面、卷内目录（见附录 J）；</w:t>
      </w:r>
    </w:p>
    <w:p>
      <w:pPr>
        <w:pStyle w:val="BodyText"/>
        <w:spacing w:before="3" w:line="244" w:lineRule="auto"/>
        <w:ind w:left="1093" w:right="772" w:hanging="428"/>
      </w:pPr>
      <w:r>
        <w:rPr>
          <w:rFonts w:ascii="Times New Roman" w:eastAsia="Times New Roman" w:hAnsi="Times New Roman"/>
          <w:spacing w:val="-5"/>
          <w:sz w:val="20"/>
        </w:rPr>
        <w:t xml:space="preserve">—— </w:t>
      </w:r>
      <w:r>
        <w:rPr>
          <w:spacing w:val="-3"/>
        </w:rPr>
        <w:t>知识产权维权援助普通咨询记录表（</w:t>
      </w:r>
      <w:r>
        <w:rPr>
          <w:spacing w:val="-12"/>
        </w:rPr>
        <w:t xml:space="preserve">见附录 </w:t>
      </w:r>
      <w:r>
        <w:t>A）</w:t>
      </w:r>
      <w:r>
        <w:rPr>
          <w:spacing w:val="-3"/>
        </w:rPr>
        <w:t>、知识产权维权援助申请表</w:t>
      </w:r>
      <w:r>
        <w:t>（</w:t>
      </w:r>
      <w:r>
        <w:rPr>
          <w:spacing w:val="-11"/>
        </w:rPr>
        <w:t xml:space="preserve">见附录 </w:t>
      </w:r>
      <w:r>
        <w:t>B）</w:t>
      </w:r>
      <w:r>
        <w:rPr>
          <w:spacing w:val="-2"/>
        </w:rPr>
        <w:t>、纠纷</w:t>
      </w:r>
      <w:r>
        <w:rPr>
          <w:spacing w:val="-3"/>
        </w:rPr>
        <w:t>调解申请书</w:t>
      </w:r>
      <w:r>
        <w:t>（</w:t>
      </w:r>
      <w:r>
        <w:rPr>
          <w:spacing w:val="-15"/>
        </w:rPr>
        <w:t xml:space="preserve">见附录 </w:t>
      </w:r>
      <w:r>
        <w:t>E）等；</w:t>
      </w:r>
    </w:p>
    <w:p>
      <w:pPr>
        <w:pStyle w:val="BodyText"/>
        <w:spacing w:line="242" w:lineRule="auto"/>
        <w:ind w:left="1093" w:right="794" w:hanging="428"/>
      </w:pPr>
      <w:r>
        <w:rPr>
          <w:rFonts w:ascii="Times New Roman" w:eastAsia="Times New Roman" w:hAnsi="Times New Roman"/>
          <w:spacing w:val="-6"/>
          <w:sz w:val="20"/>
        </w:rPr>
        <w:t xml:space="preserve">—— </w:t>
      </w:r>
      <w:r>
        <w:rPr>
          <w:spacing w:val="-8"/>
        </w:rPr>
        <w:t>侵权判定咨询意见表</w:t>
      </w:r>
      <w:r>
        <w:t>（</w:t>
      </w:r>
      <w:r>
        <w:rPr>
          <w:spacing w:val="-12"/>
        </w:rPr>
        <w:t xml:space="preserve">见附录 </w:t>
      </w:r>
      <w:r>
        <w:rPr>
          <w:spacing w:val="-24"/>
        </w:rPr>
        <w:t>D）</w:t>
      </w:r>
      <w:r>
        <w:rPr>
          <w:spacing w:val="-17"/>
        </w:rPr>
        <w:t>、调解协议书</w:t>
      </w:r>
      <w:r>
        <w:t>（</w:t>
      </w:r>
      <w:r>
        <w:rPr>
          <w:spacing w:val="-12"/>
        </w:rPr>
        <w:t xml:space="preserve">见附录 </w:t>
      </w:r>
      <w:r>
        <w:rPr>
          <w:spacing w:val="-24"/>
        </w:rPr>
        <w:t>F）</w:t>
      </w:r>
      <w:r>
        <w:rPr>
          <w:spacing w:val="-12"/>
        </w:rPr>
        <w:t>、海外维权指导意见书</w:t>
      </w:r>
      <w:r>
        <w:rPr>
          <w:spacing w:val="-3"/>
        </w:rPr>
        <w:t>（</w:t>
      </w:r>
      <w:r>
        <w:rPr>
          <w:spacing w:val="-12"/>
        </w:rPr>
        <w:t xml:space="preserve">见附录 </w:t>
      </w:r>
      <w:r>
        <w:rPr>
          <w:spacing w:val="-24"/>
        </w:rPr>
        <w:t>G）</w:t>
      </w:r>
      <w:r>
        <w:rPr>
          <w:spacing w:val="-44"/>
        </w:rPr>
        <w:t>、</w:t>
      </w:r>
      <w:r>
        <w:rPr>
          <w:spacing w:val="-3"/>
        </w:rPr>
        <w:t>知识产权维权援助办理表</w:t>
      </w:r>
      <w:r>
        <w:t>（</w:t>
      </w:r>
      <w:r>
        <w:rPr>
          <w:spacing w:val="-15"/>
        </w:rPr>
        <w:t xml:space="preserve">见附录 </w:t>
      </w:r>
      <w:r>
        <w:t>K）</w:t>
      </w:r>
      <w:r>
        <w:rPr>
          <w:spacing w:val="-2"/>
        </w:rPr>
        <w:t>等；</w:t>
      </w:r>
    </w:p>
    <w:p>
      <w:pPr>
        <w:spacing w:before="0"/>
        <w:ind w:left="666" w:right="0" w:firstLine="0"/>
        <w:jc w:val="left"/>
        <w:rPr>
          <w:sz w:val="21"/>
        </w:rPr>
      </w:pPr>
      <w:r>
        <w:rPr>
          <w:rFonts w:ascii="Times New Roman" w:eastAsia="Times New Roman" w:hAnsi="Times New Roman"/>
          <w:sz w:val="20"/>
        </w:rPr>
        <w:t xml:space="preserve">—— </w:t>
      </w:r>
      <w:r>
        <w:rPr>
          <w:sz w:val="21"/>
        </w:rPr>
        <w:t>申请人提交的相关材料；</w:t>
      </w:r>
    </w:p>
    <w:p>
      <w:pPr>
        <w:pStyle w:val="BodyText"/>
        <w:ind w:left="666"/>
      </w:pPr>
      <w:r>
        <w:rPr>
          <w:rFonts w:ascii="Times New Roman" w:eastAsia="Times New Roman" w:hAnsi="Times New Roman"/>
          <w:sz w:val="20"/>
        </w:rPr>
        <w:t xml:space="preserve">—— </w:t>
      </w:r>
      <w:r>
        <w:t>案件处理过程的相关文件资料；</w:t>
      </w:r>
    </w:p>
    <w:p>
      <w:pPr>
        <w:spacing w:before="3"/>
        <w:ind w:left="666" w:right="0" w:firstLine="0"/>
        <w:jc w:val="left"/>
        <w:rPr>
          <w:sz w:val="21"/>
        </w:rPr>
      </w:pPr>
      <w:r>
        <w:rPr>
          <w:rFonts w:ascii="Times New Roman" w:eastAsia="Times New Roman" w:hAnsi="Times New Roman"/>
          <w:sz w:val="20"/>
        </w:rPr>
        <w:t xml:space="preserve">—— </w:t>
      </w:r>
      <w:r>
        <w:rPr>
          <w:sz w:val="21"/>
        </w:rPr>
        <w:t>案件跟踪记录；</w:t>
      </w:r>
    </w:p>
    <w:p>
      <w:pPr>
        <w:spacing w:before="3"/>
        <w:ind w:left="666" w:right="0" w:firstLine="0"/>
        <w:jc w:val="left"/>
        <w:rPr>
          <w:sz w:val="21"/>
        </w:rPr>
      </w:pPr>
      <w:r>
        <w:rPr>
          <w:rFonts w:ascii="Times New Roman" w:eastAsia="Times New Roman" w:hAnsi="Times New Roman"/>
          <w:sz w:val="20"/>
        </w:rPr>
        <w:t xml:space="preserve">—— </w:t>
      </w:r>
      <w:r>
        <w:rPr>
          <w:sz w:val="21"/>
        </w:rPr>
        <w:t>回访记录；</w:t>
      </w:r>
    </w:p>
    <w:p>
      <w:pPr>
        <w:spacing w:before="4"/>
        <w:ind w:left="666" w:right="0" w:firstLine="0"/>
        <w:jc w:val="left"/>
        <w:rPr>
          <w:sz w:val="21"/>
        </w:rPr>
      </w:pPr>
      <w:r>
        <w:rPr>
          <w:rFonts w:ascii="Times New Roman" w:eastAsia="Times New Roman" w:hAnsi="Times New Roman"/>
          <w:sz w:val="20"/>
        </w:rPr>
        <w:t xml:space="preserve">—— </w:t>
      </w:r>
      <w:r>
        <w:rPr>
          <w:sz w:val="21"/>
        </w:rPr>
        <w:t>其他案卷材料；</w:t>
      </w:r>
    </w:p>
    <w:p>
      <w:pPr>
        <w:spacing w:before="2"/>
        <w:ind w:left="666" w:right="0" w:firstLine="0"/>
        <w:jc w:val="left"/>
        <w:rPr>
          <w:sz w:val="21"/>
        </w:rPr>
      </w:pPr>
      <w:r>
        <w:rPr>
          <w:rFonts w:ascii="Times New Roman" w:eastAsia="Times New Roman" w:hAnsi="Times New Roman"/>
          <w:sz w:val="20"/>
        </w:rPr>
        <w:t xml:space="preserve">—— </w:t>
      </w:r>
      <w:r>
        <w:rPr>
          <w:sz w:val="21"/>
        </w:rPr>
        <w:t>封底。</w:t>
      </w:r>
    </w:p>
    <w:p>
      <w:pPr>
        <w:pStyle w:val="ListParagraph"/>
        <w:numPr>
          <w:ilvl w:val="3"/>
          <w:numId w:val="2"/>
        </w:numPr>
        <w:tabs>
          <w:tab w:val="left" w:pos="1142"/>
        </w:tabs>
        <w:spacing w:before="5" w:after="0" w:line="242" w:lineRule="auto"/>
        <w:ind w:left="240" w:right="645" w:firstLine="0"/>
        <w:jc w:val="left"/>
        <w:rPr>
          <w:sz w:val="21"/>
        </w:rPr>
      </w:pPr>
      <w:r>
        <w:rPr>
          <w:spacing w:val="-7"/>
          <w:sz w:val="21"/>
        </w:rPr>
        <w:t>档案由省级知识产权维权援助机构统一赋号，格式为晋+区划代码</w:t>
      </w:r>
      <w:r>
        <w:rPr>
          <w:sz w:val="21"/>
        </w:rPr>
        <w:t>+W/Q/T/D/H</w:t>
      </w:r>
      <w:r>
        <w:rPr>
          <w:spacing w:val="-7"/>
          <w:sz w:val="21"/>
        </w:rPr>
        <w:t xml:space="preserve">+流水号 </w:t>
      </w:r>
      <w:r>
        <w:rPr>
          <w:sz w:val="21"/>
        </w:rPr>
        <w:t>000</w:t>
      </w:r>
      <w:r>
        <w:rPr>
          <w:spacing w:val="-2"/>
          <w:sz w:val="21"/>
        </w:rPr>
        <w:t>+年份。</w:t>
      </w:r>
      <w:r>
        <w:rPr>
          <w:spacing w:val="-8"/>
          <w:sz w:val="21"/>
        </w:rPr>
        <w:t xml:space="preserve">档案号编号规则见附录 </w:t>
      </w:r>
      <w:r>
        <w:rPr>
          <w:spacing w:val="-3"/>
          <w:sz w:val="21"/>
        </w:rPr>
        <w:t>L.</w:t>
      </w:r>
    </w:p>
    <w:p>
      <w:pPr>
        <w:spacing w:after="0" w:line="242" w:lineRule="auto"/>
        <w:jc w:val="left"/>
        <w:rPr>
          <w:sz w:val="21"/>
        </w:rPr>
        <w:sectPr>
          <w:headerReference w:type="even" r:id="rId37"/>
          <w:headerReference w:type="default" r:id="rId38"/>
          <w:footerReference w:type="even" r:id="rId39"/>
          <w:footerReference w:type="default" r:id="rId40"/>
          <w:pgSz w:w="11920" w:h="16850"/>
          <w:pgMar w:top="620" w:right="440" w:bottom="1440" w:left="880" w:header="416" w:footer="1255"/>
          <w:pgNumType w:start="8"/>
          <w:cols w:space="708"/>
        </w:sectPr>
      </w:pPr>
    </w:p>
    <w:p>
      <w:pPr>
        <w:pStyle w:val="ListParagraph"/>
        <w:numPr>
          <w:ilvl w:val="3"/>
          <w:numId w:val="2"/>
        </w:numPr>
        <w:tabs>
          <w:tab w:val="left" w:pos="1142"/>
        </w:tabs>
        <w:spacing w:before="77" w:after="0" w:line="244" w:lineRule="auto"/>
        <w:ind w:left="240" w:right="757" w:firstLine="0"/>
        <w:jc w:val="both"/>
        <w:rPr>
          <w:sz w:val="21"/>
        </w:rPr>
      </w:pPr>
      <w:r>
        <w:rPr>
          <w:spacing w:val="-1"/>
          <w:sz w:val="21"/>
        </w:rPr>
        <w:t>分中心、工作站应按季度向省级知识产权维权援助机构报送信息，每年年底报送全年工作总结</w:t>
      </w:r>
      <w:r>
        <w:rPr>
          <w:spacing w:val="-2"/>
          <w:sz w:val="21"/>
        </w:rPr>
        <w:t>和经典案例。</w:t>
      </w:r>
    </w:p>
    <w:p>
      <w:pPr>
        <w:pStyle w:val="ListParagraph"/>
        <w:numPr>
          <w:ilvl w:val="2"/>
          <w:numId w:val="2"/>
        </w:numPr>
        <w:tabs>
          <w:tab w:val="left" w:pos="941"/>
          <w:tab w:val="left" w:pos="943"/>
        </w:tabs>
        <w:spacing w:before="116" w:after="0" w:line="240" w:lineRule="auto"/>
        <w:ind w:left="942" w:right="0" w:hanging="703"/>
        <w:jc w:val="left"/>
        <w:rPr>
          <w:rFonts w:ascii="黑体" w:eastAsia="黑体" w:hint="eastAsia"/>
          <w:sz w:val="21"/>
        </w:rPr>
      </w:pPr>
      <w:r>
        <w:rPr>
          <w:rFonts w:ascii="黑体" w:eastAsia="黑体" w:hint="eastAsia"/>
          <w:spacing w:val="-2"/>
          <w:sz w:val="21"/>
        </w:rPr>
        <w:t>协同联动制度</w:t>
      </w:r>
    </w:p>
    <w:p>
      <w:pPr>
        <w:pStyle w:val="ListParagraph"/>
        <w:numPr>
          <w:ilvl w:val="3"/>
          <w:numId w:val="2"/>
        </w:numPr>
        <w:tabs>
          <w:tab w:val="left" w:pos="1142"/>
        </w:tabs>
        <w:spacing w:before="125" w:after="0" w:line="240" w:lineRule="auto"/>
        <w:ind w:left="1141" w:right="0" w:hanging="902"/>
        <w:jc w:val="both"/>
        <w:rPr>
          <w:sz w:val="21"/>
        </w:rPr>
      </w:pPr>
      <w:r>
        <w:rPr>
          <w:spacing w:val="-3"/>
          <w:sz w:val="21"/>
        </w:rPr>
        <w:t>应当建立援助机构之间的协同联动制度，协作完成重大、疑难的专项援助。</w:t>
      </w:r>
    </w:p>
    <w:p>
      <w:pPr>
        <w:pStyle w:val="ListParagraph"/>
        <w:numPr>
          <w:ilvl w:val="3"/>
          <w:numId w:val="2"/>
        </w:numPr>
        <w:tabs>
          <w:tab w:val="left" w:pos="1142"/>
        </w:tabs>
        <w:spacing w:before="2" w:after="0" w:line="244" w:lineRule="auto"/>
        <w:ind w:left="240" w:right="753" w:firstLine="0"/>
        <w:jc w:val="both"/>
        <w:rPr>
          <w:sz w:val="21"/>
        </w:rPr>
      </w:pPr>
      <w:r>
        <w:rPr>
          <w:spacing w:val="-6"/>
          <w:sz w:val="21"/>
        </w:rPr>
        <w:t>对于本辖区内的重大、复杂、有较大影响力的维权援助申请,工作站可请省、市级援助机构给予</w:t>
      </w:r>
      <w:r>
        <w:rPr>
          <w:spacing w:val="-4"/>
          <w:sz w:val="21"/>
        </w:rPr>
        <w:t>指导和支持，分中心可请省级援助机构给予指导和支持。</w:t>
      </w:r>
    </w:p>
    <w:p>
      <w:pPr>
        <w:pStyle w:val="ListParagraph"/>
        <w:numPr>
          <w:ilvl w:val="3"/>
          <w:numId w:val="2"/>
        </w:numPr>
        <w:tabs>
          <w:tab w:val="left" w:pos="1142"/>
        </w:tabs>
        <w:spacing w:before="0" w:after="0" w:line="244" w:lineRule="auto"/>
        <w:ind w:left="240" w:right="757" w:firstLine="0"/>
        <w:jc w:val="both"/>
        <w:rPr>
          <w:sz w:val="21"/>
        </w:rPr>
      </w:pPr>
      <w:r>
        <w:rPr>
          <w:spacing w:val="-1"/>
          <w:sz w:val="21"/>
        </w:rPr>
        <w:t>对于跨区域的维权援助申请，需要移交处理的，分中心、工作站先自行协商，协商一致的按程</w:t>
      </w:r>
      <w:r>
        <w:rPr>
          <w:spacing w:val="-3"/>
          <w:sz w:val="21"/>
        </w:rPr>
        <w:t>序进行案件移交；协商不一致的，提请省级援助机构协调处理。</w:t>
      </w:r>
    </w:p>
    <w:p>
      <w:pPr>
        <w:pStyle w:val="ListParagraph"/>
        <w:numPr>
          <w:ilvl w:val="3"/>
          <w:numId w:val="2"/>
        </w:numPr>
        <w:tabs>
          <w:tab w:val="left" w:pos="1142"/>
        </w:tabs>
        <w:spacing w:before="0" w:after="0" w:line="242" w:lineRule="auto"/>
        <w:ind w:left="240" w:right="751" w:firstLine="0"/>
        <w:jc w:val="both"/>
        <w:rPr>
          <w:sz w:val="21"/>
        </w:rPr>
      </w:pPr>
      <w:r>
        <w:rPr>
          <w:sz w:val="21"/>
        </w:rPr>
        <w:t>分中心、工作站可根据工作需求向省级援助机构申请包括但不限于专家、数据库等资源指导和</w:t>
      </w:r>
      <w:r>
        <w:rPr>
          <w:spacing w:val="-4"/>
          <w:sz w:val="21"/>
        </w:rPr>
        <w:t xml:space="preserve">支持，援助机构资源共享申请表见附录 </w:t>
      </w:r>
      <w:r>
        <w:rPr>
          <w:spacing w:val="-3"/>
          <w:sz w:val="21"/>
        </w:rPr>
        <w:t>M</w:t>
      </w:r>
      <w:r>
        <w:rPr>
          <w:spacing w:val="-5"/>
          <w:sz w:val="21"/>
        </w:rPr>
        <w:t>。申请相关支持如产生相应费用，如专家差旅费等，原则上由申</w:t>
      </w:r>
      <w:r>
        <w:rPr>
          <w:spacing w:val="-4"/>
          <w:sz w:val="21"/>
        </w:rPr>
        <w:t>请援助机构负责，如有约定，按约定履行。</w:t>
      </w:r>
    </w:p>
    <w:p>
      <w:pPr>
        <w:pStyle w:val="ListParagraph"/>
        <w:numPr>
          <w:ilvl w:val="2"/>
          <w:numId w:val="2"/>
        </w:numPr>
        <w:tabs>
          <w:tab w:val="left" w:pos="941"/>
          <w:tab w:val="left" w:pos="943"/>
        </w:tabs>
        <w:spacing w:before="115" w:after="0" w:line="240" w:lineRule="auto"/>
        <w:ind w:left="942" w:right="0" w:hanging="703"/>
        <w:jc w:val="left"/>
        <w:rPr>
          <w:rFonts w:ascii="黑体" w:eastAsia="黑体" w:hint="eastAsia"/>
          <w:sz w:val="21"/>
        </w:rPr>
      </w:pPr>
      <w:r>
        <w:drawing>
          <wp:anchor distT="0" distB="0" distL="0" distR="0" simplePos="0" relativeHeight="251664384" behindDoc="0" locked="0" layoutInCell="1" allowOverlap="1">
            <wp:simplePos x="0" y="0"/>
            <wp:positionH relativeFrom="page">
              <wp:posOffset>1512722</wp:posOffset>
            </wp:positionH>
            <wp:positionV relativeFrom="paragraph">
              <wp:posOffset>52715</wp:posOffset>
            </wp:positionV>
            <wp:extent cx="4538182" cy="4538182"/>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6" cstate="print"/>
                    <a:stretch>
                      <a:fillRect/>
                    </a:stretch>
                  </pic:blipFill>
                  <pic:spPr>
                    <a:xfrm>
                      <a:off x="0" y="0"/>
                      <a:ext cx="4538182" cy="4538182"/>
                    </a:xfrm>
                    <a:prstGeom prst="rect">
                      <a:avLst/>
                    </a:prstGeom>
                  </pic:spPr>
                </pic:pic>
              </a:graphicData>
            </a:graphic>
          </wp:anchor>
        </w:drawing>
      </w:r>
      <w:r>
        <w:rPr>
          <w:rFonts w:ascii="黑体" w:eastAsia="黑体" w:hint="eastAsia"/>
          <w:spacing w:val="-2"/>
          <w:sz w:val="21"/>
        </w:rPr>
        <w:t>自我评价制度</w:t>
      </w:r>
    </w:p>
    <w:p>
      <w:pPr>
        <w:pStyle w:val="BodyText"/>
        <w:spacing w:before="122"/>
        <w:ind w:left="661"/>
      </w:pPr>
      <w:r>
        <w:t>应建立援助机构的内部自我评价制度，定期对包括但不限以下内容进行自我评价：</w:t>
      </w:r>
    </w:p>
    <w:p>
      <w:pPr>
        <w:spacing w:before="5"/>
        <w:ind w:left="666" w:right="0" w:firstLine="0"/>
        <w:jc w:val="left"/>
        <w:rPr>
          <w:sz w:val="21"/>
        </w:rPr>
      </w:pPr>
      <w:r>
        <w:rPr>
          <w:rFonts w:ascii="Times New Roman" w:eastAsia="Times New Roman" w:hAnsi="Times New Roman"/>
          <w:sz w:val="20"/>
        </w:rPr>
        <w:t xml:space="preserve">—— </w:t>
      </w:r>
      <w:r>
        <w:rPr>
          <w:sz w:val="21"/>
        </w:rPr>
        <w:t>基础条件情况；</w:t>
      </w:r>
    </w:p>
    <w:p>
      <w:pPr>
        <w:spacing w:before="2"/>
        <w:ind w:left="666" w:right="0" w:firstLine="0"/>
        <w:jc w:val="left"/>
        <w:rPr>
          <w:sz w:val="21"/>
        </w:rPr>
      </w:pPr>
      <w:r>
        <w:rPr>
          <w:rFonts w:ascii="Times New Roman" w:eastAsia="Times New Roman" w:hAnsi="Times New Roman"/>
          <w:spacing w:val="-4"/>
          <w:sz w:val="20"/>
        </w:rPr>
        <w:t xml:space="preserve">—— </w:t>
      </w:r>
      <w:r>
        <w:rPr>
          <w:spacing w:val="-3"/>
          <w:sz w:val="21"/>
        </w:rPr>
        <w:t>人员、专家履职情况；</w:t>
      </w:r>
    </w:p>
    <w:p>
      <w:pPr>
        <w:spacing w:before="2"/>
        <w:ind w:left="666" w:right="0" w:firstLine="0"/>
        <w:jc w:val="left"/>
        <w:rPr>
          <w:sz w:val="21"/>
        </w:rPr>
      </w:pPr>
      <w:r>
        <w:rPr>
          <w:rFonts w:ascii="Times New Roman" w:eastAsia="Times New Roman" w:hAnsi="Times New Roman"/>
          <w:spacing w:val="-4"/>
          <w:sz w:val="20"/>
        </w:rPr>
        <w:t xml:space="preserve">—— </w:t>
      </w:r>
      <w:r>
        <w:rPr>
          <w:spacing w:val="-3"/>
          <w:sz w:val="21"/>
        </w:rPr>
        <w:t>经费投入、使用情况；</w:t>
      </w:r>
    </w:p>
    <w:p>
      <w:pPr>
        <w:spacing w:before="5"/>
        <w:ind w:left="666" w:right="0" w:firstLine="0"/>
        <w:jc w:val="left"/>
        <w:rPr>
          <w:sz w:val="21"/>
        </w:rPr>
      </w:pPr>
      <w:r>
        <w:rPr>
          <w:rFonts w:ascii="Times New Roman" w:eastAsia="Times New Roman" w:hAnsi="Times New Roman"/>
          <w:sz w:val="20"/>
        </w:rPr>
        <w:t xml:space="preserve">—— </w:t>
      </w:r>
      <w:r>
        <w:rPr>
          <w:sz w:val="21"/>
        </w:rPr>
        <w:t>工作机制建立完善情况；</w:t>
      </w:r>
    </w:p>
    <w:p>
      <w:pPr>
        <w:pStyle w:val="BodyText"/>
        <w:spacing w:before="2"/>
        <w:ind w:left="666"/>
      </w:pPr>
      <w:r>
        <w:rPr>
          <w:rFonts w:ascii="Times New Roman" w:eastAsia="Times New Roman" w:hAnsi="Times New Roman"/>
          <w:sz w:val="20"/>
        </w:rPr>
        <w:t xml:space="preserve">—— </w:t>
      </w:r>
      <w:r>
        <w:t>开展知识产权维权援助工作情况；</w:t>
      </w:r>
    </w:p>
    <w:p>
      <w:pPr>
        <w:pStyle w:val="BodyText"/>
        <w:spacing w:before="5"/>
        <w:ind w:left="666"/>
      </w:pPr>
      <w:r>
        <w:rPr>
          <w:rFonts w:ascii="Times New Roman" w:eastAsia="Times New Roman" w:hAnsi="Times New Roman"/>
          <w:sz w:val="20"/>
        </w:rPr>
        <w:t xml:space="preserve">—— </w:t>
      </w:r>
      <w:r>
        <w:t>下年度工作计划、规划落实情况等。</w:t>
      </w:r>
    </w:p>
    <w:p>
      <w:pPr>
        <w:pStyle w:val="BodyText"/>
        <w:spacing w:before="11"/>
        <w:rPr>
          <w:sz w:val="18"/>
        </w:rPr>
      </w:pPr>
    </w:p>
    <w:p>
      <w:pPr>
        <w:pStyle w:val="ListParagraph"/>
        <w:numPr>
          <w:ilvl w:val="0"/>
          <w:numId w:val="8"/>
        </w:numPr>
        <w:tabs>
          <w:tab w:val="left" w:pos="541"/>
          <w:tab w:val="left" w:pos="542"/>
        </w:tabs>
        <w:spacing w:before="0" w:after="0" w:line="240" w:lineRule="auto"/>
        <w:ind w:left="541" w:right="0" w:hanging="302"/>
        <w:jc w:val="left"/>
        <w:rPr>
          <w:rFonts w:ascii="黑体" w:eastAsia="黑体" w:hint="eastAsia"/>
          <w:sz w:val="21"/>
        </w:rPr>
      </w:pPr>
      <w:bookmarkStart w:id="7" w:name="_bookmark7"/>
      <w:bookmarkEnd w:id="7"/>
      <w:r>
        <w:rPr>
          <w:rFonts w:ascii="黑体" w:eastAsia="黑体" w:hint="eastAsia"/>
          <w:spacing w:val="-1"/>
          <w:sz w:val="21"/>
        </w:rPr>
        <w:t>评价与改进</w:t>
      </w:r>
    </w:p>
    <w:p>
      <w:pPr>
        <w:pStyle w:val="BodyText"/>
        <w:spacing w:before="1"/>
        <w:rPr>
          <w:rFonts w:ascii="黑体"/>
          <w:sz w:val="19"/>
        </w:rPr>
      </w:pPr>
    </w:p>
    <w:p>
      <w:pPr>
        <w:pStyle w:val="ListParagraph"/>
        <w:numPr>
          <w:ilvl w:val="1"/>
          <w:numId w:val="8"/>
        </w:numPr>
        <w:tabs>
          <w:tab w:val="left" w:pos="741"/>
        </w:tabs>
        <w:spacing w:before="0" w:after="0" w:line="240" w:lineRule="auto"/>
        <w:ind w:left="740" w:right="0" w:hanging="501"/>
        <w:jc w:val="left"/>
        <w:rPr>
          <w:rFonts w:ascii="黑体" w:eastAsia="黑体" w:hint="eastAsia"/>
          <w:sz w:val="21"/>
        </w:rPr>
      </w:pPr>
      <w:r>
        <w:rPr>
          <w:rFonts w:ascii="黑体" w:eastAsia="黑体" w:hint="eastAsia"/>
          <w:spacing w:val="-1"/>
          <w:sz w:val="21"/>
        </w:rPr>
        <w:t>监督管理</w:t>
      </w:r>
    </w:p>
    <w:p>
      <w:pPr>
        <w:pStyle w:val="ListParagraph"/>
        <w:numPr>
          <w:ilvl w:val="2"/>
          <w:numId w:val="8"/>
        </w:numPr>
        <w:tabs>
          <w:tab w:val="left" w:pos="943"/>
        </w:tabs>
        <w:spacing w:before="123" w:after="0" w:line="244" w:lineRule="auto"/>
        <w:ind w:left="240" w:right="759" w:firstLine="0"/>
        <w:jc w:val="both"/>
        <w:rPr>
          <w:sz w:val="21"/>
        </w:rPr>
      </w:pPr>
      <w:r>
        <w:rPr>
          <w:spacing w:val="-1"/>
          <w:sz w:val="21"/>
        </w:rPr>
        <w:t>各级知识产权主管部门可自行开展或委托第三方进行的外部评价或监督考核，评价指标评分表见</w:t>
      </w:r>
      <w:r>
        <w:rPr>
          <w:spacing w:val="-18"/>
          <w:sz w:val="21"/>
        </w:rPr>
        <w:t xml:space="preserve">附录 </w:t>
      </w:r>
      <w:r>
        <w:rPr>
          <w:spacing w:val="-3"/>
          <w:sz w:val="21"/>
        </w:rPr>
        <w:t>N。评价考核结果将作为分中心、工作站获得表彰或取消备案的依据。</w:t>
      </w:r>
    </w:p>
    <w:p>
      <w:pPr>
        <w:pStyle w:val="ListParagraph"/>
        <w:numPr>
          <w:ilvl w:val="2"/>
          <w:numId w:val="8"/>
        </w:numPr>
        <w:tabs>
          <w:tab w:val="left" w:pos="941"/>
          <w:tab w:val="left" w:pos="943"/>
        </w:tabs>
        <w:spacing w:before="0" w:after="0" w:line="265" w:lineRule="exact"/>
        <w:ind w:left="942" w:right="0" w:hanging="703"/>
        <w:jc w:val="left"/>
        <w:rPr>
          <w:sz w:val="21"/>
        </w:rPr>
      </w:pPr>
      <w:r>
        <w:rPr>
          <w:spacing w:val="-3"/>
          <w:sz w:val="21"/>
        </w:rPr>
        <w:t>各级援助机构应接受社会各界的监督。</w:t>
      </w:r>
    </w:p>
    <w:p>
      <w:pPr>
        <w:pStyle w:val="ListParagraph"/>
        <w:numPr>
          <w:ilvl w:val="1"/>
          <w:numId w:val="8"/>
        </w:numPr>
        <w:tabs>
          <w:tab w:val="left" w:pos="741"/>
        </w:tabs>
        <w:spacing w:before="124" w:after="0" w:line="240" w:lineRule="auto"/>
        <w:ind w:left="740" w:right="0" w:hanging="501"/>
        <w:jc w:val="left"/>
        <w:rPr>
          <w:rFonts w:ascii="黑体" w:eastAsia="黑体" w:hint="eastAsia"/>
          <w:sz w:val="21"/>
        </w:rPr>
      </w:pPr>
      <w:r>
        <w:rPr>
          <w:rFonts w:ascii="黑体" w:eastAsia="黑体" w:hint="eastAsia"/>
          <w:spacing w:val="-1"/>
          <w:sz w:val="21"/>
        </w:rPr>
        <w:t>投诉与处理</w:t>
      </w:r>
    </w:p>
    <w:p>
      <w:pPr>
        <w:pStyle w:val="ListParagraph"/>
        <w:numPr>
          <w:ilvl w:val="2"/>
          <w:numId w:val="8"/>
        </w:numPr>
        <w:tabs>
          <w:tab w:val="left" w:pos="941"/>
          <w:tab w:val="left" w:pos="943"/>
        </w:tabs>
        <w:spacing w:before="122" w:after="0" w:line="240" w:lineRule="auto"/>
        <w:ind w:left="942" w:right="0" w:hanging="703"/>
        <w:jc w:val="left"/>
        <w:rPr>
          <w:sz w:val="21"/>
        </w:rPr>
      </w:pPr>
      <w:r>
        <w:rPr>
          <w:spacing w:val="-3"/>
          <w:sz w:val="21"/>
        </w:rPr>
        <w:t>应建立投诉处理机制，公布投诉监督电话。</w:t>
      </w:r>
    </w:p>
    <w:p>
      <w:pPr>
        <w:pStyle w:val="ListParagraph"/>
        <w:numPr>
          <w:ilvl w:val="2"/>
          <w:numId w:val="8"/>
        </w:numPr>
        <w:tabs>
          <w:tab w:val="left" w:pos="941"/>
          <w:tab w:val="left" w:pos="943"/>
        </w:tabs>
        <w:spacing w:before="5" w:after="0" w:line="240" w:lineRule="auto"/>
        <w:ind w:left="942" w:right="0" w:hanging="703"/>
        <w:jc w:val="left"/>
        <w:rPr>
          <w:sz w:val="21"/>
        </w:rPr>
      </w:pPr>
      <w:r>
        <w:rPr>
          <w:spacing w:val="-3"/>
          <w:sz w:val="21"/>
        </w:rPr>
        <w:t>接到投诉后应记录投诉内容，并尽快查明事实，分清责任。</w:t>
      </w:r>
    </w:p>
    <w:p>
      <w:pPr>
        <w:pStyle w:val="ListParagraph"/>
        <w:numPr>
          <w:ilvl w:val="2"/>
          <w:numId w:val="8"/>
        </w:numPr>
        <w:tabs>
          <w:tab w:val="left" w:pos="941"/>
          <w:tab w:val="left" w:pos="943"/>
        </w:tabs>
        <w:spacing w:before="2" w:after="0" w:line="240" w:lineRule="auto"/>
        <w:ind w:left="942" w:right="0" w:hanging="703"/>
        <w:jc w:val="left"/>
        <w:rPr>
          <w:sz w:val="21"/>
        </w:rPr>
      </w:pPr>
      <w:r>
        <w:rPr>
          <w:spacing w:val="-3"/>
          <w:sz w:val="21"/>
        </w:rPr>
        <w:t>投诉处理完成后应进行回访，并对投诉处理资料进行归档。</w:t>
      </w:r>
    </w:p>
    <w:p>
      <w:pPr>
        <w:pStyle w:val="ListParagraph"/>
        <w:numPr>
          <w:ilvl w:val="1"/>
          <w:numId w:val="8"/>
        </w:numPr>
        <w:tabs>
          <w:tab w:val="left" w:pos="741"/>
        </w:tabs>
        <w:spacing w:before="125" w:after="0" w:line="240" w:lineRule="auto"/>
        <w:ind w:left="740" w:right="0" w:hanging="501"/>
        <w:jc w:val="left"/>
        <w:rPr>
          <w:rFonts w:ascii="黑体" w:eastAsia="黑体" w:hint="eastAsia"/>
          <w:sz w:val="21"/>
        </w:rPr>
      </w:pPr>
      <w:r>
        <w:rPr>
          <w:rFonts w:ascii="黑体" w:eastAsia="黑体" w:hint="eastAsia"/>
          <w:spacing w:val="-1"/>
          <w:sz w:val="21"/>
        </w:rPr>
        <w:t>服务评价</w:t>
      </w:r>
    </w:p>
    <w:p>
      <w:pPr>
        <w:pStyle w:val="ListParagraph"/>
        <w:numPr>
          <w:ilvl w:val="2"/>
          <w:numId w:val="8"/>
        </w:numPr>
        <w:tabs>
          <w:tab w:val="left" w:pos="941"/>
          <w:tab w:val="left" w:pos="943"/>
        </w:tabs>
        <w:spacing w:before="122" w:after="0" w:line="244" w:lineRule="auto"/>
        <w:ind w:left="240" w:right="751" w:firstLine="0"/>
        <w:jc w:val="left"/>
        <w:rPr>
          <w:sz w:val="21"/>
        </w:rPr>
      </w:pPr>
      <w:r>
        <w:rPr>
          <w:spacing w:val="-11"/>
          <w:sz w:val="21"/>
        </w:rPr>
        <w:t>应制定回访服务评价制度，采取定期和不定期相结合的方式。对于办结事项，可采取不定期回访。</w:t>
      </w:r>
      <w:r>
        <w:rPr>
          <w:spacing w:val="-6"/>
          <w:sz w:val="21"/>
        </w:rPr>
        <w:t>每年第一季度开展上一年度服务情况的回访工作。</w:t>
      </w:r>
    </w:p>
    <w:p>
      <w:pPr>
        <w:pStyle w:val="ListParagraph"/>
        <w:numPr>
          <w:ilvl w:val="2"/>
          <w:numId w:val="8"/>
        </w:numPr>
        <w:tabs>
          <w:tab w:val="left" w:pos="941"/>
          <w:tab w:val="left" w:pos="943"/>
        </w:tabs>
        <w:spacing w:before="0" w:after="0" w:line="266" w:lineRule="exact"/>
        <w:ind w:left="942" w:right="0" w:hanging="703"/>
        <w:jc w:val="left"/>
        <w:rPr>
          <w:sz w:val="21"/>
        </w:rPr>
      </w:pPr>
      <w:r>
        <w:rPr>
          <w:spacing w:val="-3"/>
          <w:sz w:val="21"/>
        </w:rPr>
        <w:t>回访内容包括但不限于：</w:t>
      </w:r>
    </w:p>
    <w:p>
      <w:pPr>
        <w:spacing w:before="4"/>
        <w:ind w:left="666" w:right="0" w:firstLine="0"/>
        <w:jc w:val="left"/>
        <w:rPr>
          <w:sz w:val="21"/>
        </w:rPr>
      </w:pPr>
      <w:r>
        <w:rPr>
          <w:rFonts w:ascii="Times New Roman" w:eastAsia="Times New Roman" w:hAnsi="Times New Roman"/>
          <w:spacing w:val="-4"/>
          <w:sz w:val="20"/>
        </w:rPr>
        <w:t xml:space="preserve">—— </w:t>
      </w:r>
      <w:r>
        <w:rPr>
          <w:spacing w:val="-3"/>
          <w:sz w:val="21"/>
        </w:rPr>
        <w:t>申请事项处理工作效率；</w:t>
      </w:r>
    </w:p>
    <w:p>
      <w:pPr>
        <w:spacing w:before="2"/>
        <w:ind w:left="666" w:right="0" w:firstLine="0"/>
        <w:jc w:val="left"/>
        <w:rPr>
          <w:sz w:val="21"/>
        </w:rPr>
      </w:pPr>
      <w:r>
        <w:rPr>
          <w:rFonts w:ascii="Times New Roman" w:eastAsia="Times New Roman" w:hAnsi="Times New Roman"/>
          <w:spacing w:val="-4"/>
          <w:sz w:val="20"/>
        </w:rPr>
        <w:t xml:space="preserve">—— </w:t>
      </w:r>
      <w:r>
        <w:rPr>
          <w:spacing w:val="-3"/>
          <w:sz w:val="21"/>
        </w:rPr>
        <w:t>工作流程是否符合规定；</w:t>
      </w:r>
    </w:p>
    <w:p>
      <w:pPr>
        <w:spacing w:before="5"/>
        <w:ind w:left="666" w:right="0" w:firstLine="0"/>
        <w:jc w:val="left"/>
        <w:rPr>
          <w:sz w:val="21"/>
        </w:rPr>
      </w:pPr>
      <w:r>
        <w:rPr>
          <w:rFonts w:ascii="Times New Roman" w:eastAsia="Times New Roman" w:hAnsi="Times New Roman"/>
          <w:spacing w:val="-5"/>
          <w:sz w:val="20"/>
        </w:rPr>
        <w:t xml:space="preserve">—— </w:t>
      </w:r>
      <w:r>
        <w:rPr>
          <w:spacing w:val="-3"/>
          <w:sz w:val="21"/>
        </w:rPr>
        <w:t>工作人员服务态度；</w:t>
      </w:r>
    </w:p>
    <w:p>
      <w:pPr>
        <w:spacing w:before="2"/>
        <w:ind w:left="666" w:right="0" w:firstLine="0"/>
        <w:jc w:val="left"/>
        <w:rPr>
          <w:sz w:val="21"/>
        </w:rPr>
      </w:pPr>
      <w:r>
        <w:rPr>
          <w:rFonts w:ascii="Times New Roman" w:eastAsia="Times New Roman" w:hAnsi="Times New Roman"/>
          <w:spacing w:val="-5"/>
          <w:sz w:val="20"/>
        </w:rPr>
        <w:t xml:space="preserve">—— </w:t>
      </w:r>
      <w:r>
        <w:rPr>
          <w:spacing w:val="-3"/>
          <w:sz w:val="21"/>
        </w:rPr>
        <w:t>工作质量是否合格。</w:t>
      </w:r>
    </w:p>
    <w:p>
      <w:pPr>
        <w:pStyle w:val="ListParagraph"/>
        <w:numPr>
          <w:ilvl w:val="2"/>
          <w:numId w:val="8"/>
        </w:numPr>
        <w:tabs>
          <w:tab w:val="left" w:pos="941"/>
          <w:tab w:val="left" w:pos="943"/>
        </w:tabs>
        <w:spacing w:before="2" w:after="0" w:line="240" w:lineRule="auto"/>
        <w:ind w:left="942" w:right="0" w:hanging="703"/>
        <w:jc w:val="left"/>
        <w:rPr>
          <w:sz w:val="21"/>
        </w:rPr>
      </w:pPr>
      <w:r>
        <w:rPr>
          <w:spacing w:val="-3"/>
          <w:sz w:val="21"/>
        </w:rPr>
        <w:t>回访结果宜进行量化，按百分制计算。</w:t>
      </w:r>
    </w:p>
    <w:p>
      <w:pPr>
        <w:pStyle w:val="ListParagraph"/>
        <w:numPr>
          <w:ilvl w:val="2"/>
          <w:numId w:val="8"/>
        </w:numPr>
        <w:tabs>
          <w:tab w:val="left" w:pos="941"/>
          <w:tab w:val="left" w:pos="943"/>
        </w:tabs>
        <w:spacing w:before="5" w:after="0" w:line="240" w:lineRule="auto"/>
        <w:ind w:left="942" w:right="0" w:hanging="703"/>
        <w:jc w:val="left"/>
        <w:rPr>
          <w:sz w:val="21"/>
        </w:rPr>
      </w:pPr>
      <w:r>
        <w:rPr>
          <w:spacing w:val="-3"/>
          <w:sz w:val="21"/>
        </w:rPr>
        <w:t>回访方式可采用电话回访、网上调查等方式向服务对象开展调查工作。</w:t>
      </w:r>
    </w:p>
    <w:p>
      <w:pPr>
        <w:pStyle w:val="ListParagraph"/>
        <w:numPr>
          <w:ilvl w:val="1"/>
          <w:numId w:val="8"/>
        </w:numPr>
        <w:tabs>
          <w:tab w:val="left" w:pos="741"/>
        </w:tabs>
        <w:spacing w:before="122" w:after="0" w:line="240" w:lineRule="auto"/>
        <w:ind w:left="740" w:right="0" w:hanging="501"/>
        <w:jc w:val="left"/>
        <w:rPr>
          <w:rFonts w:ascii="黑体" w:eastAsia="黑体" w:hint="eastAsia"/>
          <w:sz w:val="21"/>
        </w:rPr>
      </w:pPr>
      <w:r>
        <w:rPr>
          <w:rFonts w:ascii="黑体" w:eastAsia="黑体" w:hint="eastAsia"/>
          <w:spacing w:val="-1"/>
          <w:sz w:val="21"/>
        </w:rPr>
        <w:t>服务改进</w:t>
      </w:r>
    </w:p>
    <w:p>
      <w:pPr>
        <w:pStyle w:val="BodyText"/>
        <w:spacing w:before="124" w:line="242" w:lineRule="auto"/>
        <w:ind w:left="240" w:right="753" w:firstLine="420"/>
      </w:pPr>
      <w:r>
        <w:rPr>
          <w:spacing w:val="-9"/>
        </w:rPr>
        <w:t>应对回访、监督管理、服务评价中发现的问题进行科学合理的分析，制定纠正措施和改进计划，切实</w:t>
      </w:r>
      <w:r>
        <w:rPr>
          <w:spacing w:val="-5"/>
        </w:rPr>
        <w:t>提高服务水平。</w:t>
      </w:r>
    </w:p>
    <w:p>
      <w:pPr>
        <w:spacing w:after="0" w:line="242" w:lineRule="auto"/>
        <w:sectPr>
          <w:headerReference w:type="even" r:id="rId41"/>
          <w:headerReference w:type="default" r:id="rId42"/>
          <w:footerReference w:type="even" r:id="rId43"/>
          <w:footerReference w:type="default" r:id="rId44"/>
          <w:pgSz w:w="11920" w:h="16850"/>
          <w:pgMar w:top="1440" w:right="440" w:bottom="1440" w:left="880" w:header="1232" w:footer="1255"/>
          <w:pgNumType w:start="9"/>
          <w:cols w:space="708"/>
        </w:sectPr>
      </w:pPr>
    </w:p>
    <w:p>
      <w:pPr>
        <w:pStyle w:val="BodyText"/>
        <w:rPr>
          <w:sz w:val="20"/>
        </w:rPr>
      </w:pPr>
    </w:p>
    <w:p>
      <w:pPr>
        <w:pStyle w:val="BodyText"/>
        <w:rPr>
          <w:sz w:val="20"/>
        </w:rPr>
      </w:pPr>
    </w:p>
    <w:p>
      <w:pPr>
        <w:pStyle w:val="BodyText"/>
        <w:spacing w:before="3"/>
      </w:pPr>
    </w:p>
    <w:p>
      <w:pPr>
        <w:pStyle w:val="BodyText"/>
        <w:rPr>
          <w:sz w:val="2"/>
        </w:rPr>
      </w:pPr>
    </w:p>
    <w:p>
      <w:pPr>
        <w:pStyle w:val="BodyText"/>
        <w:rPr>
          <w:sz w:val="2"/>
        </w:rPr>
      </w:pPr>
    </w:p>
    <w:p>
      <w:pPr>
        <w:pStyle w:val="BodyText"/>
        <w:rPr>
          <w:sz w:val="2"/>
        </w:rPr>
      </w:pPr>
    </w:p>
    <w:p>
      <w:pPr>
        <w:pStyle w:val="BodyText"/>
        <w:spacing w:before="3"/>
        <w:rPr>
          <w:sz w:val="2"/>
        </w:rPr>
      </w:pPr>
    </w:p>
    <w:p>
      <w:pPr>
        <w:spacing w:before="0" w:line="134" w:lineRule="auto"/>
        <w:ind w:left="4826" w:right="5754" w:firstLine="0"/>
        <w:jc w:val="center"/>
        <w:rPr>
          <w:sz w:val="2"/>
        </w:rPr>
      </w:pPr>
      <w:r>
        <w:rPr>
          <w:sz w:val="2"/>
        </w:rPr>
        <w:t>A A</w:t>
      </w:r>
    </w:p>
    <w:p>
      <w:pPr>
        <w:pStyle w:val="BodyText"/>
        <w:rPr>
          <w:sz w:val="2"/>
        </w:rPr>
      </w:pPr>
    </w:p>
    <w:p>
      <w:pPr>
        <w:pStyle w:val="BodyText"/>
        <w:spacing w:before="12"/>
        <w:rPr>
          <w:sz w:val="2"/>
        </w:rPr>
      </w:pPr>
    </w:p>
    <w:p>
      <w:pPr>
        <w:pStyle w:val="BodyText"/>
        <w:tabs>
          <w:tab w:val="left" w:pos="415"/>
          <w:tab w:val="left" w:pos="830"/>
        </w:tabs>
        <w:ind w:right="617"/>
        <w:jc w:val="center"/>
        <w:rPr>
          <w:rFonts w:ascii="黑体" w:eastAsia="黑体" w:hint="eastAsia"/>
        </w:rPr>
      </w:pPr>
      <w:bookmarkStart w:id="8" w:name="_bookmark8"/>
      <w:bookmarkEnd w:id="8"/>
      <w:r>
        <w:rPr>
          <w:rFonts w:ascii="黑体" w:eastAsia="黑体" w:hint="eastAsia"/>
        </w:rPr>
        <w:t>附</w:t>
        <w:tab/>
        <w:t>录</w:t>
        <w:tab/>
        <w:t>A</w:t>
      </w:r>
    </w:p>
    <w:p>
      <w:pPr>
        <w:pStyle w:val="BodyText"/>
        <w:spacing w:before="2"/>
        <w:ind w:right="512"/>
        <w:jc w:val="center"/>
        <w:rPr>
          <w:rFonts w:ascii="黑体" w:eastAsia="黑体" w:hint="eastAsia"/>
        </w:rPr>
      </w:pPr>
      <w:r>
        <w:rPr>
          <w:rFonts w:ascii="黑体" w:eastAsia="黑体" w:hint="eastAsia"/>
        </w:rPr>
        <w:t>（规范性）</w:t>
      </w:r>
    </w:p>
    <w:p>
      <w:pPr>
        <w:pStyle w:val="BodyText"/>
        <w:spacing w:before="5"/>
        <w:ind w:right="514"/>
        <w:jc w:val="center"/>
        <w:rPr>
          <w:rFonts w:ascii="黑体" w:eastAsia="黑体" w:hint="eastAsia"/>
        </w:rPr>
      </w:pPr>
      <w:r>
        <w:rPr>
          <w:rFonts w:ascii="黑体" w:eastAsia="黑体" w:hint="eastAsia"/>
        </w:rPr>
        <w:t>知识产权维权援助普通咨询记录表</w:t>
      </w:r>
    </w:p>
    <w:p>
      <w:pPr>
        <w:pStyle w:val="BodyText"/>
        <w:rPr>
          <w:rFonts w:ascii="黑体"/>
          <w:sz w:val="20"/>
        </w:rPr>
      </w:pPr>
    </w:p>
    <w:p>
      <w:pPr>
        <w:pStyle w:val="BodyText"/>
        <w:spacing w:before="139"/>
        <w:ind w:left="240"/>
      </w:pPr>
      <w:r>
        <w:t>知识产权维权援助普通咨询记录表按表 A.1 执行。</w:t>
      </w:r>
    </w:p>
    <w:p>
      <w:pPr>
        <w:pStyle w:val="BodyText"/>
        <w:tabs>
          <w:tab w:val="left" w:pos="789"/>
        </w:tabs>
        <w:spacing w:before="163"/>
        <w:ind w:right="514"/>
        <w:jc w:val="center"/>
        <w:rPr>
          <w:rFonts w:ascii="黑体" w:eastAsia="黑体" w:hint="eastAsia"/>
        </w:rPr>
      </w:pPr>
      <w:r>
        <w:rPr>
          <w:rFonts w:ascii="黑体" w:eastAsia="黑体" w:hint="eastAsia"/>
        </w:rPr>
        <w:t>表</w:t>
      </w:r>
      <w:r>
        <w:rPr>
          <w:rFonts w:ascii="黑体" w:eastAsia="黑体" w:hint="eastAsia"/>
          <w:spacing w:val="-53"/>
        </w:rPr>
        <w:t xml:space="preserve"> </w:t>
      </w:r>
      <w:r>
        <w:rPr>
          <w:rFonts w:ascii="黑体" w:eastAsia="黑体" w:hint="eastAsia"/>
        </w:rPr>
        <w:t>A.1</w:t>
        <w:tab/>
      </w:r>
      <w:r>
        <w:rPr>
          <w:rFonts w:ascii="黑体" w:eastAsia="黑体" w:hint="eastAsia"/>
          <w:spacing w:val="-3"/>
        </w:rPr>
        <w:t>知</w:t>
      </w:r>
      <w:r>
        <w:rPr>
          <w:rFonts w:ascii="黑体" w:eastAsia="黑体" w:hint="eastAsia"/>
        </w:rPr>
        <w:t>识</w:t>
      </w:r>
      <w:r>
        <w:rPr>
          <w:rFonts w:ascii="黑体" w:eastAsia="黑体" w:hint="eastAsia"/>
          <w:spacing w:val="-3"/>
        </w:rPr>
        <w:t>产</w:t>
      </w:r>
      <w:r>
        <w:rPr>
          <w:rFonts w:ascii="黑体" w:eastAsia="黑体" w:hint="eastAsia"/>
        </w:rPr>
        <w:t>权</w:t>
      </w:r>
      <w:r>
        <w:rPr>
          <w:rFonts w:ascii="黑体" w:eastAsia="黑体" w:hint="eastAsia"/>
          <w:spacing w:val="-3"/>
        </w:rPr>
        <w:t>维</w:t>
      </w:r>
      <w:r>
        <w:rPr>
          <w:rFonts w:ascii="黑体" w:eastAsia="黑体" w:hint="eastAsia"/>
        </w:rPr>
        <w:t>权</w:t>
      </w:r>
      <w:r>
        <w:rPr>
          <w:rFonts w:ascii="黑体" w:eastAsia="黑体" w:hint="eastAsia"/>
          <w:spacing w:val="-3"/>
        </w:rPr>
        <w:t>援</w:t>
      </w:r>
      <w:r>
        <w:rPr>
          <w:rFonts w:ascii="黑体" w:eastAsia="黑体" w:hint="eastAsia"/>
        </w:rPr>
        <w:t>助普</w:t>
      </w:r>
      <w:r>
        <w:rPr>
          <w:rFonts w:ascii="黑体" w:eastAsia="黑体" w:hint="eastAsia"/>
          <w:spacing w:val="-3"/>
        </w:rPr>
        <w:t>通</w:t>
      </w:r>
      <w:r>
        <w:rPr>
          <w:rFonts w:ascii="黑体" w:eastAsia="黑体" w:hint="eastAsia"/>
        </w:rPr>
        <w:t>咨</w:t>
      </w:r>
      <w:r>
        <w:rPr>
          <w:rFonts w:ascii="黑体" w:eastAsia="黑体" w:hint="eastAsia"/>
          <w:spacing w:val="-3"/>
        </w:rPr>
        <w:t>询</w:t>
      </w:r>
      <w:r>
        <w:rPr>
          <w:rFonts w:ascii="黑体" w:eastAsia="黑体" w:hint="eastAsia"/>
        </w:rPr>
        <w:t>记</w:t>
      </w:r>
      <w:r>
        <w:rPr>
          <w:rFonts w:ascii="黑体" w:eastAsia="黑体" w:hint="eastAsia"/>
          <w:spacing w:val="-3"/>
        </w:rPr>
        <w:t>录</w:t>
      </w:r>
      <w:r>
        <w:rPr>
          <w:rFonts w:ascii="黑体" w:eastAsia="黑体" w:hint="eastAsia"/>
        </w:rPr>
        <w:t>表</w:t>
      </w:r>
    </w:p>
    <w:p>
      <w:pPr>
        <w:pStyle w:val="BodyText"/>
        <w:spacing w:before="8"/>
        <w:rPr>
          <w:rFonts w:ascii="黑体"/>
          <w:sz w:val="9"/>
        </w:rPr>
      </w:pPr>
    </w:p>
    <w:tbl>
      <w:tblPr>
        <w:tblStyle w:val="TableNormal0"/>
        <w:tblW w:w="0" w:type="auto"/>
        <w:jc w:val="left"/>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30"/>
        <w:gridCol w:w="2187"/>
        <w:gridCol w:w="1322"/>
        <w:gridCol w:w="1231"/>
        <w:gridCol w:w="1617"/>
        <w:gridCol w:w="1670"/>
      </w:tblGrid>
      <w:tr>
        <w:tblPrEx>
          <w:tblW w:w="0" w:type="auto"/>
          <w:jc w:val="left"/>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062"/>
          <w:jc w:val="left"/>
        </w:trPr>
        <w:tc>
          <w:tcPr>
            <w:tcW w:w="1330" w:type="dxa"/>
          </w:tcPr>
          <w:p>
            <w:pPr>
              <w:pStyle w:val="TableParagraph"/>
              <w:spacing w:before="5"/>
              <w:rPr>
                <w:rFonts w:ascii="黑体"/>
                <w:sz w:val="29"/>
              </w:rPr>
            </w:pPr>
          </w:p>
          <w:p>
            <w:pPr>
              <w:pStyle w:val="TableParagraph"/>
              <w:ind w:left="135" w:right="125"/>
              <w:jc w:val="center"/>
              <w:rPr>
                <w:sz w:val="24"/>
              </w:rPr>
            </w:pPr>
            <w:r>
              <w:rPr>
                <w:sz w:val="24"/>
              </w:rPr>
              <w:t>咨询单位</w:t>
            </w:r>
          </w:p>
        </w:tc>
        <w:tc>
          <w:tcPr>
            <w:tcW w:w="2187" w:type="dxa"/>
          </w:tcPr>
          <w:p>
            <w:pPr>
              <w:pStyle w:val="TableParagraph"/>
              <w:rPr>
                <w:rFonts w:ascii="Times New Roman"/>
                <w:sz w:val="22"/>
              </w:rPr>
            </w:pPr>
          </w:p>
        </w:tc>
        <w:tc>
          <w:tcPr>
            <w:tcW w:w="1322" w:type="dxa"/>
          </w:tcPr>
          <w:p>
            <w:pPr>
              <w:pStyle w:val="TableParagraph"/>
              <w:spacing w:before="2"/>
              <w:rPr>
                <w:rFonts w:ascii="黑体"/>
                <w:sz w:val="17"/>
              </w:rPr>
            </w:pPr>
          </w:p>
          <w:p>
            <w:pPr>
              <w:pStyle w:val="TableParagraph"/>
              <w:spacing w:line="242" w:lineRule="auto"/>
              <w:ind w:left="179" w:right="170"/>
              <w:rPr>
                <w:sz w:val="24"/>
              </w:rPr>
            </w:pPr>
            <w:r>
              <w:rPr>
                <w:sz w:val="24"/>
              </w:rPr>
              <w:t>经办人及联系方式</w:t>
            </w:r>
          </w:p>
        </w:tc>
        <w:tc>
          <w:tcPr>
            <w:tcW w:w="1231" w:type="dxa"/>
          </w:tcPr>
          <w:p>
            <w:pPr>
              <w:pStyle w:val="TableParagraph"/>
              <w:rPr>
                <w:rFonts w:ascii="Times New Roman"/>
                <w:sz w:val="22"/>
              </w:rPr>
            </w:pPr>
          </w:p>
        </w:tc>
        <w:tc>
          <w:tcPr>
            <w:tcW w:w="1617" w:type="dxa"/>
          </w:tcPr>
          <w:p>
            <w:pPr>
              <w:pStyle w:val="TableParagraph"/>
              <w:spacing w:before="2"/>
              <w:rPr>
                <w:rFonts w:ascii="黑体"/>
                <w:sz w:val="17"/>
              </w:rPr>
            </w:pPr>
          </w:p>
          <w:p>
            <w:pPr>
              <w:pStyle w:val="TableParagraph"/>
              <w:spacing w:line="242" w:lineRule="auto"/>
              <w:ind w:left="569" w:right="555"/>
              <w:jc w:val="center"/>
              <w:rPr>
                <w:sz w:val="24"/>
              </w:rPr>
            </w:pPr>
            <w:r>
              <w:rPr>
                <w:sz w:val="24"/>
              </w:rPr>
              <w:t>咨询日期</w:t>
            </w:r>
          </w:p>
        </w:tc>
        <w:tc>
          <w:tcPr>
            <w:tcW w:w="1670" w:type="dxa"/>
          </w:tcPr>
          <w:p>
            <w:pPr>
              <w:pStyle w:val="TableParagraph"/>
              <w:rPr>
                <w:rFonts w:ascii="Times New Roman"/>
                <w:sz w:val="22"/>
              </w:rPr>
            </w:pPr>
          </w:p>
        </w:tc>
      </w:tr>
      <w:tr>
        <w:tblPrEx>
          <w:tblW w:w="0" w:type="auto"/>
          <w:jc w:val="left"/>
          <w:tblInd w:w="138" w:type="dxa"/>
          <w:tblLayout w:type="fixed"/>
          <w:tblCellMar>
            <w:top w:w="0" w:type="dxa"/>
            <w:left w:w="0" w:type="dxa"/>
            <w:bottom w:w="0" w:type="dxa"/>
            <w:right w:w="0" w:type="dxa"/>
          </w:tblCellMar>
          <w:tblLook w:val="01E0"/>
        </w:tblPrEx>
        <w:trPr>
          <w:trHeight w:val="1680"/>
          <w:jc w:val="left"/>
        </w:trPr>
        <w:tc>
          <w:tcPr>
            <w:tcW w:w="1330" w:type="dxa"/>
          </w:tcPr>
          <w:p>
            <w:pPr>
              <w:pStyle w:val="TableParagraph"/>
              <w:spacing w:before="4"/>
              <w:rPr>
                <w:rFonts w:ascii="黑体"/>
                <w:sz w:val="25"/>
              </w:rPr>
            </w:pPr>
          </w:p>
          <w:p>
            <w:pPr>
              <w:pStyle w:val="TableParagraph"/>
              <w:spacing w:line="405" w:lineRule="auto"/>
              <w:ind w:left="305" w:right="292"/>
              <w:rPr>
                <w:sz w:val="24"/>
              </w:rPr>
            </w:pPr>
            <w:r>
              <w:rPr>
                <w:sz w:val="24"/>
              </w:rPr>
              <w:t>咨询事项说明</w:t>
            </w:r>
          </w:p>
        </w:tc>
        <w:tc>
          <w:tcPr>
            <w:tcW w:w="8027" w:type="dxa"/>
            <w:gridSpan w:val="5"/>
          </w:tcPr>
          <w:p>
            <w:pPr>
              <w:pStyle w:val="TableParagraph"/>
              <w:rPr>
                <w:rFonts w:ascii="Times New Roman"/>
                <w:sz w:val="22"/>
              </w:rPr>
            </w:pPr>
          </w:p>
        </w:tc>
      </w:tr>
      <w:tr>
        <w:tblPrEx>
          <w:tblW w:w="0" w:type="auto"/>
          <w:jc w:val="left"/>
          <w:tblInd w:w="138" w:type="dxa"/>
          <w:tblLayout w:type="fixed"/>
          <w:tblCellMar>
            <w:top w:w="0" w:type="dxa"/>
            <w:left w:w="0" w:type="dxa"/>
            <w:bottom w:w="0" w:type="dxa"/>
            <w:right w:w="0" w:type="dxa"/>
          </w:tblCellMar>
          <w:tblLook w:val="01E0"/>
        </w:tblPrEx>
        <w:trPr>
          <w:trHeight w:val="897"/>
          <w:jc w:val="left"/>
        </w:trPr>
        <w:tc>
          <w:tcPr>
            <w:tcW w:w="1330" w:type="dxa"/>
            <w:vMerge w:val="restart"/>
          </w:tcPr>
          <w:p>
            <w:pPr>
              <w:pStyle w:val="TableParagraph"/>
              <w:rPr>
                <w:rFonts w:ascii="黑体"/>
                <w:sz w:val="24"/>
              </w:rPr>
            </w:pPr>
          </w:p>
          <w:p>
            <w:pPr>
              <w:pStyle w:val="TableParagraph"/>
              <w:rPr>
                <w:rFonts w:ascii="黑体"/>
                <w:sz w:val="24"/>
              </w:rPr>
            </w:pPr>
          </w:p>
          <w:p>
            <w:pPr>
              <w:pStyle w:val="TableParagraph"/>
              <w:spacing w:before="210"/>
              <w:ind w:left="185"/>
              <w:rPr>
                <w:sz w:val="24"/>
              </w:rPr>
            </w:pPr>
            <w:r>
              <w:rPr>
                <w:sz w:val="24"/>
              </w:rPr>
              <w:t>答复方式</w:t>
            </w:r>
          </w:p>
        </w:tc>
        <w:tc>
          <w:tcPr>
            <w:tcW w:w="2187" w:type="dxa"/>
          </w:tcPr>
          <w:p>
            <w:pPr>
              <w:pStyle w:val="TableParagraph"/>
              <w:spacing w:before="12"/>
              <w:rPr>
                <w:rFonts w:ascii="黑体"/>
                <w:sz w:val="23"/>
              </w:rPr>
            </w:pPr>
          </w:p>
          <w:p>
            <w:pPr>
              <w:pStyle w:val="TableParagraph"/>
              <w:ind w:left="105"/>
              <w:rPr>
                <w:sz w:val="24"/>
              </w:rPr>
            </w:pPr>
            <w:r>
              <w:rPr>
                <w:sz w:val="24"/>
              </w:rPr>
              <w:t>立即答复</w:t>
            </w:r>
          </w:p>
        </w:tc>
        <w:tc>
          <w:tcPr>
            <w:tcW w:w="5840" w:type="dxa"/>
            <w:gridSpan w:val="4"/>
          </w:tcPr>
          <w:p>
            <w:pPr>
              <w:pStyle w:val="TableParagraph"/>
              <w:rPr>
                <w:rFonts w:ascii="黑体"/>
                <w:sz w:val="23"/>
              </w:rPr>
            </w:pPr>
          </w:p>
          <w:p>
            <w:pPr>
              <w:pStyle w:val="TableParagraph"/>
              <w:tabs>
                <w:tab w:val="left" w:pos="2628"/>
              </w:tabs>
              <w:ind w:left="347"/>
              <w:rPr>
                <w:sz w:val="24"/>
              </w:rPr>
            </w:pPr>
            <w:r>
              <w:rPr>
                <w:sz w:val="24"/>
              </w:rPr>
              <w:t>2 日内答复（电 话</w:t>
              <w:tab/>
              <w:t>电子信函 ）</w:t>
            </w:r>
          </w:p>
        </w:tc>
      </w:tr>
      <w:tr>
        <w:tblPrEx>
          <w:tblW w:w="0" w:type="auto"/>
          <w:jc w:val="left"/>
          <w:tblInd w:w="138" w:type="dxa"/>
          <w:tblLayout w:type="fixed"/>
          <w:tblCellMar>
            <w:top w:w="0" w:type="dxa"/>
            <w:left w:w="0" w:type="dxa"/>
            <w:bottom w:w="0" w:type="dxa"/>
            <w:right w:w="0" w:type="dxa"/>
          </w:tblCellMar>
          <w:tblLook w:val="01E0"/>
        </w:tblPrEx>
        <w:trPr>
          <w:trHeight w:val="1255"/>
          <w:jc w:val="left"/>
        </w:trPr>
        <w:tc>
          <w:tcPr>
            <w:tcW w:w="1330" w:type="dxa"/>
            <w:vMerge/>
            <w:tcBorders>
              <w:top w:val="nil"/>
            </w:tcBorders>
          </w:tcPr>
          <w:p>
            <w:pPr>
              <w:rPr>
                <w:sz w:val="2"/>
                <w:szCs w:val="2"/>
              </w:rPr>
            </w:pPr>
          </w:p>
        </w:tc>
        <w:tc>
          <w:tcPr>
            <w:tcW w:w="8027" w:type="dxa"/>
            <w:gridSpan w:val="5"/>
          </w:tcPr>
          <w:p>
            <w:pPr>
              <w:pStyle w:val="TableParagraph"/>
              <w:spacing w:before="11"/>
              <w:rPr>
                <w:rFonts w:ascii="黑体"/>
                <w:sz w:val="36"/>
              </w:rPr>
            </w:pPr>
          </w:p>
          <w:p>
            <w:pPr>
              <w:pStyle w:val="TableParagraph"/>
              <w:tabs>
                <w:tab w:val="left" w:pos="1840"/>
                <w:tab w:val="left" w:pos="2145"/>
                <w:tab w:val="left" w:pos="3040"/>
                <w:tab w:val="left" w:pos="5146"/>
              </w:tabs>
              <w:ind w:left="105"/>
              <w:rPr>
                <w:sz w:val="24"/>
              </w:rPr>
            </w:pPr>
            <w:r>
              <w:rPr>
                <w:sz w:val="24"/>
              </w:rPr>
              <w:t>批准人：</w:t>
            </w:r>
            <w:r>
              <w:rPr>
                <w:sz w:val="24"/>
                <w:u w:val="single"/>
              </w:rPr>
              <w:t xml:space="preserve"> </w:t>
              <w:tab/>
            </w:r>
            <w:r>
              <w:rPr>
                <w:sz w:val="24"/>
              </w:rPr>
              <w:tab/>
            </w:r>
            <w:r>
              <w:rPr>
                <w:sz w:val="24"/>
                <w:u w:val="single"/>
              </w:rPr>
              <w:t xml:space="preserve"> </w:t>
              <w:tab/>
            </w:r>
            <w:r>
              <w:rPr>
                <w:sz w:val="24"/>
              </w:rPr>
              <w:t>日内答复（电 话</w:t>
              <w:tab/>
              <w:t>电子信函）</w:t>
            </w:r>
          </w:p>
        </w:tc>
      </w:tr>
      <w:tr>
        <w:tblPrEx>
          <w:tblW w:w="0" w:type="auto"/>
          <w:jc w:val="left"/>
          <w:tblInd w:w="138" w:type="dxa"/>
          <w:tblLayout w:type="fixed"/>
          <w:tblCellMar>
            <w:top w:w="0" w:type="dxa"/>
            <w:left w:w="0" w:type="dxa"/>
            <w:bottom w:w="0" w:type="dxa"/>
            <w:right w:w="0" w:type="dxa"/>
          </w:tblCellMar>
          <w:tblLook w:val="01E0"/>
        </w:tblPrEx>
        <w:trPr>
          <w:trHeight w:val="3062"/>
          <w:jc w:val="left"/>
        </w:trPr>
        <w:tc>
          <w:tcPr>
            <w:tcW w:w="1330" w:type="dxa"/>
          </w:tcPr>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spacing w:before="5"/>
              <w:rPr>
                <w:rFonts w:ascii="黑体"/>
                <w:sz w:val="27"/>
              </w:rPr>
            </w:pPr>
          </w:p>
          <w:p>
            <w:pPr>
              <w:pStyle w:val="TableParagraph"/>
              <w:ind w:left="135" w:right="125"/>
              <w:jc w:val="center"/>
              <w:rPr>
                <w:sz w:val="24"/>
              </w:rPr>
            </w:pPr>
            <w:r>
              <w:rPr>
                <w:sz w:val="24"/>
              </w:rPr>
              <w:t>答复内容</w:t>
            </w:r>
          </w:p>
        </w:tc>
        <w:tc>
          <w:tcPr>
            <w:tcW w:w="8027" w:type="dxa"/>
            <w:gridSpan w:val="5"/>
          </w:tcPr>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spacing w:before="8"/>
              <w:rPr>
                <w:rFonts w:ascii="黑体"/>
                <w:sz w:val="21"/>
              </w:rPr>
            </w:pPr>
          </w:p>
          <w:p>
            <w:pPr>
              <w:pStyle w:val="TableParagraph"/>
              <w:spacing w:line="520" w:lineRule="atLeast"/>
              <w:ind w:left="5093" w:right="1817" w:firstLine="72"/>
              <w:rPr>
                <w:sz w:val="24"/>
              </w:rPr>
            </w:pPr>
            <w:r>
              <w:rPr>
                <w:sz w:val="24"/>
              </w:rPr>
              <w:t>经办人： 年 月 日</w:t>
            </w:r>
          </w:p>
        </w:tc>
      </w:tr>
      <w:tr>
        <w:tblPrEx>
          <w:tblW w:w="0" w:type="auto"/>
          <w:jc w:val="left"/>
          <w:tblInd w:w="138" w:type="dxa"/>
          <w:tblLayout w:type="fixed"/>
          <w:tblCellMar>
            <w:top w:w="0" w:type="dxa"/>
            <w:left w:w="0" w:type="dxa"/>
            <w:bottom w:w="0" w:type="dxa"/>
            <w:right w:w="0" w:type="dxa"/>
          </w:tblCellMar>
          <w:tblLook w:val="01E0"/>
        </w:tblPrEx>
        <w:trPr>
          <w:trHeight w:val="1902"/>
          <w:jc w:val="left"/>
        </w:trPr>
        <w:tc>
          <w:tcPr>
            <w:tcW w:w="1330" w:type="dxa"/>
          </w:tcPr>
          <w:p>
            <w:pPr>
              <w:pStyle w:val="TableParagraph"/>
              <w:spacing w:before="9"/>
              <w:rPr>
                <w:rFonts w:ascii="黑体"/>
                <w:sz w:val="18"/>
              </w:rPr>
            </w:pPr>
          </w:p>
          <w:p>
            <w:pPr>
              <w:pStyle w:val="TableParagraph"/>
              <w:ind w:left="135" w:right="125"/>
              <w:jc w:val="center"/>
              <w:rPr>
                <w:sz w:val="24"/>
              </w:rPr>
            </w:pPr>
            <w:r>
              <w:rPr>
                <w:sz w:val="24"/>
              </w:rPr>
              <w:t>备注</w:t>
            </w:r>
          </w:p>
          <w:p>
            <w:pPr>
              <w:pStyle w:val="TableParagraph"/>
              <w:spacing w:before="210" w:line="405" w:lineRule="auto"/>
              <w:ind w:left="139" w:right="125"/>
              <w:jc w:val="center"/>
              <w:rPr>
                <w:sz w:val="21"/>
              </w:rPr>
            </w:pPr>
            <w:r>
              <w:rPr>
                <w:sz w:val="21"/>
              </w:rPr>
              <w:t>（可另附说明材料）</w:t>
            </w:r>
          </w:p>
        </w:tc>
        <w:tc>
          <w:tcPr>
            <w:tcW w:w="8027" w:type="dxa"/>
            <w:gridSpan w:val="5"/>
          </w:tcPr>
          <w:p>
            <w:pPr>
              <w:pStyle w:val="TableParagraph"/>
              <w:rPr>
                <w:rFonts w:ascii="Times New Roman"/>
                <w:sz w:val="22"/>
              </w:rPr>
            </w:pPr>
          </w:p>
        </w:tc>
      </w:tr>
    </w:tbl>
    <w:p>
      <w:pPr>
        <w:spacing w:after="0"/>
        <w:rPr>
          <w:rFonts w:ascii="Times New Roman"/>
          <w:sz w:val="22"/>
        </w:rPr>
        <w:sectPr>
          <w:headerReference w:type="even" r:id="rId45"/>
          <w:headerReference w:type="default" r:id="rId46"/>
          <w:footerReference w:type="even" r:id="rId47"/>
          <w:footerReference w:type="default" r:id="rId48"/>
          <w:pgSz w:w="11920" w:h="16850"/>
          <w:pgMar w:top="620" w:right="440" w:bottom="1440" w:left="880" w:header="416" w:footer="1255"/>
          <w:pgNumType w:start="10"/>
          <w:cols w:space="708"/>
        </w:sectPr>
      </w:pPr>
    </w:p>
    <w:p>
      <w:pPr>
        <w:pStyle w:val="BodyText"/>
        <w:rPr>
          <w:rFonts w:ascii="黑体"/>
          <w:sz w:val="2"/>
        </w:rPr>
      </w:pPr>
    </w:p>
    <w:p>
      <w:pPr>
        <w:pStyle w:val="BodyText"/>
        <w:rPr>
          <w:rFonts w:ascii="黑体"/>
          <w:sz w:val="2"/>
        </w:rPr>
      </w:pPr>
    </w:p>
    <w:p>
      <w:pPr>
        <w:pStyle w:val="BodyText"/>
        <w:rPr>
          <w:rFonts w:ascii="黑体"/>
          <w:sz w:val="2"/>
        </w:rPr>
      </w:pPr>
    </w:p>
    <w:p>
      <w:pPr>
        <w:spacing w:before="0" w:line="134" w:lineRule="auto"/>
        <w:ind w:left="4826" w:right="5754" w:firstLine="0"/>
        <w:jc w:val="center"/>
        <w:rPr>
          <w:sz w:val="2"/>
        </w:rPr>
      </w:pPr>
      <w:r>
        <w:rPr>
          <w:sz w:val="2"/>
        </w:rPr>
        <w:t>B B</w:t>
      </w:r>
    </w:p>
    <w:p>
      <w:pPr>
        <w:pStyle w:val="BodyText"/>
        <w:rPr>
          <w:sz w:val="2"/>
        </w:rPr>
      </w:pPr>
    </w:p>
    <w:p>
      <w:pPr>
        <w:pStyle w:val="BodyText"/>
        <w:spacing w:before="9"/>
        <w:rPr>
          <w:sz w:val="2"/>
        </w:rPr>
      </w:pPr>
    </w:p>
    <w:p>
      <w:pPr>
        <w:pStyle w:val="BodyText"/>
        <w:tabs>
          <w:tab w:val="left" w:pos="415"/>
          <w:tab w:val="left" w:pos="830"/>
        </w:tabs>
        <w:ind w:right="616"/>
        <w:jc w:val="center"/>
        <w:rPr>
          <w:rFonts w:ascii="黑体" w:eastAsia="黑体" w:hint="eastAsia"/>
        </w:rPr>
      </w:pPr>
      <w:bookmarkStart w:id="9" w:name="_bookmark9"/>
      <w:bookmarkEnd w:id="9"/>
      <w:r>
        <w:rPr>
          <w:rFonts w:ascii="黑体" w:eastAsia="黑体" w:hint="eastAsia"/>
        </w:rPr>
        <w:t>附</w:t>
        <w:tab/>
        <w:t>录</w:t>
        <w:tab/>
        <w:t>B</w:t>
      </w:r>
    </w:p>
    <w:p>
      <w:pPr>
        <w:pStyle w:val="BodyText"/>
        <w:spacing w:before="2"/>
        <w:ind w:right="512"/>
        <w:jc w:val="center"/>
        <w:rPr>
          <w:rFonts w:ascii="黑体" w:eastAsia="黑体" w:hint="eastAsia"/>
        </w:rPr>
      </w:pPr>
      <w:r>
        <w:rPr>
          <w:rFonts w:ascii="黑体" w:eastAsia="黑体" w:hint="eastAsia"/>
        </w:rPr>
        <w:t>（规范性）</w:t>
      </w:r>
    </w:p>
    <w:p>
      <w:pPr>
        <w:pStyle w:val="BodyText"/>
        <w:spacing w:before="5"/>
        <w:ind w:right="514"/>
        <w:jc w:val="center"/>
        <w:rPr>
          <w:rFonts w:ascii="黑体" w:eastAsia="黑体" w:hint="eastAsia"/>
        </w:rPr>
      </w:pPr>
      <w:r>
        <w:rPr>
          <w:rFonts w:ascii="黑体" w:eastAsia="黑体" w:hint="eastAsia"/>
        </w:rPr>
        <w:t>知识产权维权援助申请表</w:t>
      </w:r>
    </w:p>
    <w:p>
      <w:pPr>
        <w:pStyle w:val="BodyText"/>
        <w:spacing w:before="122"/>
        <w:ind w:left="240"/>
      </w:pPr>
      <w:r>
        <w:t>知识产权维权援助申请表按表 B.1 执行。</w:t>
      </w:r>
    </w:p>
    <w:p>
      <w:pPr>
        <w:pStyle w:val="BodyText"/>
        <w:tabs>
          <w:tab w:val="left" w:pos="789"/>
        </w:tabs>
        <w:spacing w:before="165"/>
        <w:ind w:right="514"/>
        <w:jc w:val="center"/>
        <w:rPr>
          <w:rFonts w:ascii="黑体" w:eastAsia="黑体" w:hint="eastAsia"/>
        </w:rPr>
      </w:pPr>
      <w:r>
        <w:rPr>
          <w:rFonts w:ascii="黑体" w:eastAsia="黑体" w:hint="eastAsia"/>
        </w:rPr>
        <w:t>表</w:t>
      </w:r>
      <w:r>
        <w:rPr>
          <w:rFonts w:ascii="黑体" w:eastAsia="黑体" w:hint="eastAsia"/>
          <w:spacing w:val="-53"/>
        </w:rPr>
        <w:t xml:space="preserve"> </w:t>
      </w:r>
      <w:r>
        <w:rPr>
          <w:rFonts w:ascii="黑体" w:eastAsia="黑体" w:hint="eastAsia"/>
        </w:rPr>
        <w:t>B.1</w:t>
        <w:tab/>
      </w:r>
      <w:r>
        <w:rPr>
          <w:rFonts w:ascii="黑体" w:eastAsia="黑体" w:hint="eastAsia"/>
          <w:spacing w:val="-3"/>
        </w:rPr>
        <w:t>知</w:t>
      </w:r>
      <w:r>
        <w:rPr>
          <w:rFonts w:ascii="黑体" w:eastAsia="黑体" w:hint="eastAsia"/>
        </w:rPr>
        <w:t>识</w:t>
      </w:r>
      <w:r>
        <w:rPr>
          <w:rFonts w:ascii="黑体" w:eastAsia="黑体" w:hint="eastAsia"/>
          <w:spacing w:val="-3"/>
        </w:rPr>
        <w:t>产</w:t>
      </w:r>
      <w:r>
        <w:rPr>
          <w:rFonts w:ascii="黑体" w:eastAsia="黑体" w:hint="eastAsia"/>
        </w:rPr>
        <w:t>权</w:t>
      </w:r>
      <w:r>
        <w:rPr>
          <w:rFonts w:ascii="黑体" w:eastAsia="黑体" w:hint="eastAsia"/>
          <w:spacing w:val="-3"/>
        </w:rPr>
        <w:t>维</w:t>
      </w:r>
      <w:r>
        <w:rPr>
          <w:rFonts w:ascii="黑体" w:eastAsia="黑体" w:hint="eastAsia"/>
        </w:rPr>
        <w:t>权</w:t>
      </w:r>
      <w:r>
        <w:rPr>
          <w:rFonts w:ascii="黑体" w:eastAsia="黑体" w:hint="eastAsia"/>
          <w:spacing w:val="-3"/>
        </w:rPr>
        <w:t>援</w:t>
      </w:r>
      <w:r>
        <w:rPr>
          <w:rFonts w:ascii="黑体" w:eastAsia="黑体" w:hint="eastAsia"/>
        </w:rPr>
        <w:t>助申</w:t>
      </w:r>
      <w:r>
        <w:rPr>
          <w:rFonts w:ascii="黑体" w:eastAsia="黑体" w:hint="eastAsia"/>
          <w:spacing w:val="-3"/>
        </w:rPr>
        <w:t>请</w:t>
      </w:r>
      <w:r>
        <w:rPr>
          <w:rFonts w:ascii="黑体" w:eastAsia="黑体" w:hint="eastAsia"/>
        </w:rPr>
        <w:t>表</w:t>
      </w:r>
    </w:p>
    <w:p>
      <w:pPr>
        <w:pStyle w:val="BodyText"/>
        <w:tabs>
          <w:tab w:val="left" w:pos="6489"/>
        </w:tabs>
        <w:spacing w:before="122" w:after="4"/>
        <w:ind w:left="240"/>
      </w:pPr>
      <w:r>
        <w:drawing>
          <wp:anchor distT="0" distB="0" distL="0" distR="0" simplePos="0" relativeHeight="251665408" behindDoc="0" locked="0" layoutInCell="1" allowOverlap="1">
            <wp:simplePos x="0" y="0"/>
            <wp:positionH relativeFrom="page">
              <wp:posOffset>1512722</wp:posOffset>
            </wp:positionH>
            <wp:positionV relativeFrom="paragraph">
              <wp:posOffset>1014613</wp:posOffset>
            </wp:positionV>
            <wp:extent cx="4538182" cy="4538182"/>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6" cstate="print"/>
                    <a:stretch>
                      <a:fillRect/>
                    </a:stretch>
                  </pic:blipFill>
                  <pic:spPr>
                    <a:xfrm>
                      <a:off x="0" y="0"/>
                      <a:ext cx="4538182" cy="4538182"/>
                    </a:xfrm>
                    <a:prstGeom prst="rect">
                      <a:avLst/>
                    </a:prstGeom>
                  </pic:spPr>
                </pic:pic>
              </a:graphicData>
            </a:graphic>
          </wp:anchor>
        </w:drawing>
      </w:r>
      <w:r>
        <w:t>申请</w:t>
      </w:r>
      <w:r>
        <w:rPr>
          <w:spacing w:val="-3"/>
        </w:rPr>
        <w:t>日</w:t>
      </w:r>
      <w:r>
        <w:t>期：XXXX</w:t>
      </w:r>
      <w:r>
        <w:rPr>
          <w:spacing w:val="-53"/>
        </w:rPr>
        <w:t xml:space="preserve"> </w:t>
      </w:r>
      <w:r>
        <w:t>年</w:t>
      </w:r>
      <w:r>
        <w:rPr>
          <w:spacing w:val="-53"/>
        </w:rPr>
        <w:t xml:space="preserve"> </w:t>
      </w:r>
      <w:r>
        <w:t>XX</w:t>
      </w:r>
      <w:r>
        <w:rPr>
          <w:spacing w:val="-53"/>
        </w:rPr>
        <w:t xml:space="preserve"> </w:t>
      </w:r>
      <w:r>
        <w:t>月</w:t>
      </w:r>
      <w:r>
        <w:rPr>
          <w:spacing w:val="-54"/>
        </w:rPr>
        <w:t xml:space="preserve"> </w:t>
      </w:r>
      <w:r>
        <w:t>XX</w:t>
      </w:r>
      <w:r>
        <w:rPr>
          <w:spacing w:val="-53"/>
        </w:rPr>
        <w:t xml:space="preserve"> </w:t>
      </w:r>
      <w:r>
        <w:t>日</w:t>
        <w:tab/>
        <w:t>编</w:t>
      </w:r>
      <w:r>
        <w:rPr>
          <w:spacing w:val="-3"/>
        </w:rPr>
        <w:t>号</w:t>
      </w:r>
      <w:r>
        <w:t>：</w:t>
      </w:r>
    </w:p>
    <w:tbl>
      <w:tblPr>
        <w:tblStyle w:val="TableNormal1"/>
        <w:tblW w:w="0" w:type="auto"/>
        <w:jc w:val="left"/>
        <w:tblInd w:w="14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743"/>
        <w:gridCol w:w="1426"/>
        <w:gridCol w:w="1369"/>
        <w:gridCol w:w="497"/>
        <w:gridCol w:w="684"/>
        <w:gridCol w:w="1707"/>
      </w:tblGrid>
      <w:tr>
        <w:tblPrEx>
          <w:tblW w:w="0" w:type="auto"/>
          <w:jc w:val="left"/>
          <w:tblInd w:w="14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36"/>
          <w:jc w:val="left"/>
        </w:trPr>
        <w:tc>
          <w:tcPr>
            <w:tcW w:w="3743" w:type="dxa"/>
            <w:tcBorders>
              <w:bottom w:val="single" w:sz="4" w:space="0" w:color="000000"/>
              <w:right w:val="single" w:sz="4" w:space="0" w:color="000000"/>
            </w:tcBorders>
          </w:tcPr>
          <w:p>
            <w:pPr>
              <w:pStyle w:val="TableParagraph"/>
              <w:spacing w:before="126"/>
              <w:ind w:left="909"/>
              <w:rPr>
                <w:sz w:val="24"/>
              </w:rPr>
            </w:pPr>
            <w:r>
              <w:rPr>
                <w:sz w:val="24"/>
              </w:rPr>
              <w:t>维权援助机构名称</w:t>
            </w:r>
          </w:p>
        </w:tc>
        <w:tc>
          <w:tcPr>
            <w:tcW w:w="5683" w:type="dxa"/>
            <w:gridSpan w:val="5"/>
            <w:tcBorders>
              <w:left w:val="single" w:sz="4" w:space="0" w:color="000000"/>
              <w:bottom w:val="single" w:sz="4" w:space="0" w:color="000000"/>
              <w:right w:val="single" w:sz="4" w:space="0" w:color="000000"/>
            </w:tcBorders>
          </w:tcPr>
          <w:p>
            <w:pPr>
              <w:pStyle w:val="TableParagraph"/>
              <w:spacing w:before="126"/>
              <w:ind w:left="1986" w:right="1967"/>
              <w:jc w:val="center"/>
              <w:rPr>
                <w:sz w:val="24"/>
              </w:rPr>
            </w:pPr>
            <w:r>
              <w:rPr>
                <w:sz w:val="24"/>
              </w:rPr>
              <w:t>×××（盖章）</w:t>
            </w:r>
          </w:p>
        </w:tc>
      </w:tr>
      <w:tr>
        <w:tblPrEx>
          <w:tblW w:w="0" w:type="auto"/>
          <w:jc w:val="left"/>
          <w:tblInd w:w="148" w:type="dxa"/>
          <w:tblLayout w:type="fixed"/>
          <w:tblCellMar>
            <w:top w:w="0" w:type="dxa"/>
            <w:left w:w="0" w:type="dxa"/>
            <w:bottom w:w="0" w:type="dxa"/>
            <w:right w:w="0" w:type="dxa"/>
          </w:tblCellMar>
          <w:tblLook w:val="01E0"/>
        </w:tblPrEx>
        <w:trPr>
          <w:trHeight w:val="405"/>
          <w:jc w:val="left"/>
        </w:trPr>
        <w:tc>
          <w:tcPr>
            <w:tcW w:w="3743" w:type="dxa"/>
            <w:vMerge w:val="restart"/>
            <w:tcBorders>
              <w:top w:val="single" w:sz="4" w:space="0" w:color="000000"/>
              <w:bottom w:val="single" w:sz="4" w:space="0" w:color="000000"/>
              <w:right w:val="single" w:sz="4" w:space="0" w:color="000000"/>
            </w:tcBorders>
          </w:tcPr>
          <w:p>
            <w:pPr>
              <w:pStyle w:val="TableParagraph"/>
              <w:rPr>
                <w:sz w:val="24"/>
              </w:rPr>
            </w:pPr>
          </w:p>
          <w:p>
            <w:pPr>
              <w:pStyle w:val="TableParagraph"/>
              <w:spacing w:before="7"/>
              <w:rPr>
                <w:sz w:val="20"/>
              </w:rPr>
            </w:pPr>
          </w:p>
          <w:p>
            <w:pPr>
              <w:pStyle w:val="TableParagraph"/>
              <w:spacing w:before="1"/>
              <w:ind w:left="1282" w:right="1267"/>
              <w:jc w:val="center"/>
              <w:rPr>
                <w:sz w:val="24"/>
              </w:rPr>
            </w:pPr>
            <w:r>
              <w:rPr>
                <w:sz w:val="24"/>
              </w:rPr>
              <w:t>申请途径</w:t>
            </w:r>
          </w:p>
        </w:tc>
        <w:tc>
          <w:tcPr>
            <w:tcW w:w="2795" w:type="dxa"/>
            <w:gridSpan w:val="2"/>
            <w:tcBorders>
              <w:top w:val="single" w:sz="4" w:space="0" w:color="000000"/>
              <w:left w:val="single" w:sz="4" w:space="0" w:color="000000"/>
              <w:bottom w:val="single" w:sz="4" w:space="0" w:color="000000"/>
              <w:right w:val="single" w:sz="4" w:space="0" w:color="000000"/>
            </w:tcBorders>
          </w:tcPr>
          <w:p>
            <w:pPr>
              <w:pStyle w:val="TableParagraph"/>
              <w:tabs>
                <w:tab w:val="left" w:pos="1643"/>
              </w:tabs>
              <w:spacing w:before="60"/>
              <w:ind w:left="923"/>
              <w:rPr>
                <w:sz w:val="24"/>
              </w:rPr>
            </w:pPr>
            <w:r>
              <w:rPr>
                <w:sz w:val="24"/>
              </w:rPr>
              <w:t>电</w:t>
              <w:tab/>
              <w:t>话</w:t>
            </w:r>
          </w:p>
        </w:tc>
        <w:tc>
          <w:tcPr>
            <w:tcW w:w="2888" w:type="dxa"/>
            <w:gridSpan w:val="3"/>
            <w:tcBorders>
              <w:top w:val="single" w:sz="4" w:space="0" w:color="000000"/>
              <w:left w:val="single" w:sz="4" w:space="0" w:color="000000"/>
              <w:bottom w:val="single" w:sz="4" w:space="0" w:color="000000"/>
              <w:right w:val="single" w:sz="4" w:space="0" w:color="000000"/>
            </w:tcBorders>
          </w:tcPr>
          <w:p>
            <w:pPr>
              <w:pStyle w:val="TableParagraph"/>
              <w:spacing w:before="60"/>
              <w:ind w:left="970"/>
              <w:rPr>
                <w:sz w:val="24"/>
              </w:rPr>
            </w:pPr>
            <w:r>
              <w:rPr>
                <w:sz w:val="24"/>
              </w:rPr>
              <w:t>窗口面交</w:t>
            </w:r>
          </w:p>
        </w:tc>
      </w:tr>
      <w:tr>
        <w:tblPrEx>
          <w:tblW w:w="0" w:type="auto"/>
          <w:jc w:val="left"/>
          <w:tblInd w:w="148" w:type="dxa"/>
          <w:tblLayout w:type="fixed"/>
          <w:tblCellMar>
            <w:top w:w="0" w:type="dxa"/>
            <w:left w:w="0" w:type="dxa"/>
            <w:bottom w:w="0" w:type="dxa"/>
            <w:right w:w="0" w:type="dxa"/>
          </w:tblCellMar>
          <w:tblLook w:val="01E0"/>
        </w:tblPrEx>
        <w:trPr>
          <w:trHeight w:val="444"/>
          <w:jc w:val="left"/>
        </w:trPr>
        <w:tc>
          <w:tcPr>
            <w:tcW w:w="3743" w:type="dxa"/>
            <w:vMerge/>
            <w:tcBorders>
              <w:top w:val="nil"/>
              <w:bottom w:val="single" w:sz="4" w:space="0" w:color="000000"/>
              <w:right w:val="single" w:sz="4" w:space="0" w:color="000000"/>
            </w:tcBorders>
          </w:tcPr>
          <w:p>
            <w:pPr>
              <w:rPr>
                <w:sz w:val="2"/>
                <w:szCs w:val="2"/>
              </w:rPr>
            </w:pPr>
          </w:p>
        </w:tc>
        <w:tc>
          <w:tcPr>
            <w:tcW w:w="279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9"/>
              <w:ind w:left="923"/>
              <w:rPr>
                <w:sz w:val="24"/>
              </w:rPr>
            </w:pPr>
            <w:r>
              <w:rPr>
                <w:sz w:val="24"/>
              </w:rPr>
              <w:t>线上申请</w:t>
            </w:r>
          </w:p>
        </w:tc>
        <w:tc>
          <w:tcPr>
            <w:tcW w:w="2888" w:type="dxa"/>
            <w:gridSpan w:val="3"/>
            <w:tcBorders>
              <w:top w:val="single" w:sz="4" w:space="0" w:color="000000"/>
              <w:left w:val="single" w:sz="4" w:space="0" w:color="000000"/>
              <w:bottom w:val="single" w:sz="4" w:space="0" w:color="000000"/>
              <w:right w:val="single" w:sz="4" w:space="0" w:color="000000"/>
            </w:tcBorders>
          </w:tcPr>
          <w:p>
            <w:pPr>
              <w:pStyle w:val="TableParagraph"/>
              <w:spacing w:before="79"/>
              <w:ind w:left="970"/>
              <w:rPr>
                <w:sz w:val="24"/>
              </w:rPr>
            </w:pPr>
            <w:r>
              <w:rPr>
                <w:sz w:val="24"/>
              </w:rPr>
              <w:t>邮寄信函</w:t>
            </w:r>
          </w:p>
        </w:tc>
      </w:tr>
      <w:tr>
        <w:tblPrEx>
          <w:tblW w:w="0" w:type="auto"/>
          <w:jc w:val="left"/>
          <w:tblInd w:w="148" w:type="dxa"/>
          <w:tblLayout w:type="fixed"/>
          <w:tblCellMar>
            <w:top w:w="0" w:type="dxa"/>
            <w:left w:w="0" w:type="dxa"/>
            <w:bottom w:w="0" w:type="dxa"/>
            <w:right w:w="0" w:type="dxa"/>
          </w:tblCellMar>
          <w:tblLook w:val="01E0"/>
        </w:tblPrEx>
        <w:trPr>
          <w:trHeight w:val="556"/>
          <w:jc w:val="left"/>
        </w:trPr>
        <w:tc>
          <w:tcPr>
            <w:tcW w:w="3743" w:type="dxa"/>
            <w:vMerge/>
            <w:tcBorders>
              <w:top w:val="nil"/>
              <w:bottom w:val="single" w:sz="4" w:space="0" w:color="000000"/>
              <w:right w:val="single" w:sz="4" w:space="0" w:color="000000"/>
            </w:tcBorders>
          </w:tcPr>
          <w:p>
            <w:pPr>
              <w:rPr>
                <w:sz w:val="2"/>
                <w:szCs w:val="2"/>
              </w:rPr>
            </w:pPr>
          </w:p>
        </w:tc>
        <w:tc>
          <w:tcPr>
            <w:tcW w:w="5683" w:type="dxa"/>
            <w:gridSpan w:val="5"/>
            <w:tcBorders>
              <w:top w:val="single" w:sz="4" w:space="0" w:color="000000"/>
              <w:left w:val="single" w:sz="4" w:space="0" w:color="000000"/>
              <w:bottom w:val="single" w:sz="4" w:space="0" w:color="000000"/>
              <w:right w:val="single" w:sz="4" w:space="0" w:color="000000"/>
            </w:tcBorders>
          </w:tcPr>
          <w:p>
            <w:pPr>
              <w:pStyle w:val="TableParagraph"/>
              <w:spacing w:before="136"/>
              <w:ind w:left="834"/>
              <w:rPr>
                <w:sz w:val="24"/>
              </w:rPr>
            </w:pPr>
            <w:r>
              <w:rPr>
                <w:sz w:val="24"/>
              </w:rPr>
              <w:t>其他方式</w:t>
            </w:r>
          </w:p>
        </w:tc>
      </w:tr>
      <w:tr>
        <w:tblPrEx>
          <w:tblW w:w="0" w:type="auto"/>
          <w:jc w:val="left"/>
          <w:tblInd w:w="148" w:type="dxa"/>
          <w:tblLayout w:type="fixed"/>
          <w:tblCellMar>
            <w:top w:w="0" w:type="dxa"/>
            <w:left w:w="0" w:type="dxa"/>
            <w:bottom w:w="0" w:type="dxa"/>
            <w:right w:w="0" w:type="dxa"/>
          </w:tblCellMar>
          <w:tblLook w:val="01E0"/>
        </w:tblPrEx>
        <w:trPr>
          <w:trHeight w:val="558"/>
          <w:jc w:val="left"/>
        </w:trPr>
        <w:tc>
          <w:tcPr>
            <w:tcW w:w="3743" w:type="dxa"/>
            <w:tcBorders>
              <w:top w:val="single" w:sz="4" w:space="0" w:color="000000"/>
              <w:bottom w:val="single" w:sz="4" w:space="0" w:color="000000"/>
              <w:right w:val="single" w:sz="4" w:space="0" w:color="000000"/>
            </w:tcBorders>
          </w:tcPr>
          <w:p>
            <w:pPr>
              <w:pStyle w:val="TableParagraph"/>
              <w:spacing w:before="136"/>
              <w:ind w:left="669"/>
              <w:rPr>
                <w:sz w:val="24"/>
              </w:rPr>
            </w:pPr>
            <w:r>
              <w:rPr>
                <w:sz w:val="24"/>
              </w:rPr>
              <w:t>申请人（名称或姓名）</w:t>
            </w:r>
          </w:p>
        </w:tc>
        <w:tc>
          <w:tcPr>
            <w:tcW w:w="5683" w:type="dxa"/>
            <w:gridSpan w:val="5"/>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556"/>
          <w:jc w:val="left"/>
        </w:trPr>
        <w:tc>
          <w:tcPr>
            <w:tcW w:w="3743" w:type="dxa"/>
            <w:tcBorders>
              <w:top w:val="single" w:sz="4" w:space="0" w:color="000000"/>
              <w:bottom w:val="single" w:sz="4" w:space="0" w:color="000000"/>
              <w:right w:val="single" w:sz="4" w:space="0" w:color="000000"/>
            </w:tcBorders>
          </w:tcPr>
          <w:p>
            <w:pPr>
              <w:pStyle w:val="TableParagraph"/>
              <w:spacing w:before="122"/>
              <w:ind w:right="344"/>
              <w:jc w:val="right"/>
              <w:rPr>
                <w:sz w:val="24"/>
              </w:rPr>
            </w:pPr>
            <w:r>
              <w:rPr>
                <w:sz w:val="24"/>
              </w:rPr>
              <w:t>统一社会信用代码/身份证号码</w:t>
            </w:r>
          </w:p>
        </w:tc>
        <w:tc>
          <w:tcPr>
            <w:tcW w:w="5683" w:type="dxa"/>
            <w:gridSpan w:val="5"/>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556"/>
          <w:jc w:val="left"/>
        </w:trPr>
        <w:tc>
          <w:tcPr>
            <w:tcW w:w="3743" w:type="dxa"/>
            <w:tcBorders>
              <w:top w:val="single" w:sz="4" w:space="0" w:color="000000"/>
              <w:bottom w:val="single" w:sz="4" w:space="0" w:color="000000"/>
              <w:right w:val="single" w:sz="4" w:space="0" w:color="000000"/>
            </w:tcBorders>
          </w:tcPr>
          <w:p>
            <w:pPr>
              <w:pStyle w:val="TableParagraph"/>
              <w:spacing w:before="136"/>
              <w:ind w:left="1282" w:right="1267"/>
              <w:jc w:val="center"/>
              <w:rPr>
                <w:sz w:val="24"/>
              </w:rPr>
            </w:pPr>
            <w:r>
              <w:rPr>
                <w:sz w:val="24"/>
              </w:rPr>
              <w:t>联系地址</w:t>
            </w:r>
          </w:p>
        </w:tc>
        <w:tc>
          <w:tcPr>
            <w:tcW w:w="5683" w:type="dxa"/>
            <w:gridSpan w:val="5"/>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556"/>
          <w:jc w:val="left"/>
        </w:trPr>
        <w:tc>
          <w:tcPr>
            <w:tcW w:w="3743" w:type="dxa"/>
            <w:tcBorders>
              <w:top w:val="single" w:sz="4" w:space="0" w:color="000000"/>
              <w:bottom w:val="single" w:sz="4" w:space="0" w:color="000000"/>
              <w:right w:val="single" w:sz="4" w:space="0" w:color="000000"/>
            </w:tcBorders>
          </w:tcPr>
          <w:p>
            <w:pPr>
              <w:pStyle w:val="TableParagraph"/>
              <w:spacing w:before="136"/>
              <w:ind w:left="1209"/>
              <w:rPr>
                <w:sz w:val="24"/>
              </w:rPr>
            </w:pPr>
            <w:r>
              <w:rPr>
                <w:sz w:val="24"/>
              </w:rPr>
              <w:t>知识产权类型</w:t>
            </w:r>
          </w:p>
        </w:tc>
        <w:tc>
          <w:tcPr>
            <w:tcW w:w="5683" w:type="dxa"/>
            <w:gridSpan w:val="5"/>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559"/>
          <w:jc w:val="left"/>
        </w:trPr>
        <w:tc>
          <w:tcPr>
            <w:tcW w:w="3743" w:type="dxa"/>
            <w:vMerge w:val="restart"/>
            <w:tcBorders>
              <w:top w:val="single" w:sz="4" w:space="0" w:color="000000"/>
              <w:bottom w:val="single" w:sz="4" w:space="0" w:color="000000"/>
              <w:right w:val="single" w:sz="4" w:space="0" w:color="000000"/>
            </w:tcBorders>
          </w:tcPr>
          <w:p>
            <w:pPr>
              <w:pStyle w:val="TableParagraph"/>
              <w:spacing w:before="10"/>
              <w:rPr>
                <w:sz w:val="32"/>
              </w:rPr>
            </w:pPr>
          </w:p>
          <w:p>
            <w:pPr>
              <w:pStyle w:val="TableParagraph"/>
              <w:ind w:left="1029"/>
              <w:rPr>
                <w:sz w:val="24"/>
              </w:rPr>
            </w:pPr>
            <w:r>
              <w:rPr>
                <w:sz w:val="24"/>
              </w:rPr>
              <w:t>联系人或代理人</w:t>
            </w:r>
          </w:p>
        </w:tc>
        <w:tc>
          <w:tcPr>
            <w:tcW w:w="1426"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866" w:type="dxa"/>
            <w:gridSpan w:val="2"/>
            <w:tcBorders>
              <w:top w:val="single" w:sz="4" w:space="0" w:color="000000"/>
              <w:left w:val="single" w:sz="4" w:space="0" w:color="000000"/>
              <w:bottom w:val="single" w:sz="4" w:space="0" w:color="000000"/>
              <w:right w:val="single" w:sz="4" w:space="0" w:color="000000"/>
            </w:tcBorders>
          </w:tcPr>
          <w:p>
            <w:pPr>
              <w:pStyle w:val="TableParagraph"/>
              <w:tabs>
                <w:tab w:val="left" w:pos="1060"/>
              </w:tabs>
              <w:spacing w:before="137"/>
              <w:ind w:left="580"/>
              <w:rPr>
                <w:sz w:val="24"/>
              </w:rPr>
            </w:pPr>
            <w:r>
              <w:rPr>
                <w:sz w:val="24"/>
              </w:rPr>
              <w:t>邮</w:t>
              <w:tab/>
              <w:t>件</w:t>
            </w:r>
          </w:p>
        </w:tc>
        <w:tc>
          <w:tcPr>
            <w:tcW w:w="2391" w:type="dxa"/>
            <w:gridSpan w:val="2"/>
            <w:tcBorders>
              <w:top w:val="single" w:sz="4" w:space="0" w:color="000000"/>
              <w:left w:val="single" w:sz="4" w:space="0" w:color="000000"/>
              <w:bottom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556"/>
          <w:jc w:val="left"/>
        </w:trPr>
        <w:tc>
          <w:tcPr>
            <w:tcW w:w="3743" w:type="dxa"/>
            <w:vMerge/>
            <w:tcBorders>
              <w:top w:val="nil"/>
              <w:bottom w:val="single" w:sz="4" w:space="0" w:color="000000"/>
              <w:right w:val="single" w:sz="4" w:space="0" w:color="000000"/>
            </w:tcBorders>
          </w:tcPr>
          <w:p>
            <w:pPr>
              <w:rPr>
                <w:sz w:val="2"/>
                <w:szCs w:val="2"/>
              </w:rPr>
            </w:pPr>
          </w:p>
        </w:tc>
        <w:tc>
          <w:tcPr>
            <w:tcW w:w="1426" w:type="dxa"/>
            <w:vMerge/>
            <w:tcBorders>
              <w:top w:val="nil"/>
              <w:left w:val="single" w:sz="4" w:space="0" w:color="000000"/>
              <w:bottom w:val="single" w:sz="4" w:space="0" w:color="000000"/>
              <w:right w:val="single" w:sz="4" w:space="0" w:color="000000"/>
            </w:tcBorders>
          </w:tcPr>
          <w:p>
            <w:pPr>
              <w:rPr>
                <w:sz w:val="2"/>
                <w:szCs w:val="2"/>
              </w:rPr>
            </w:pPr>
          </w:p>
        </w:tc>
        <w:tc>
          <w:tcPr>
            <w:tcW w:w="1866" w:type="dxa"/>
            <w:gridSpan w:val="2"/>
            <w:tcBorders>
              <w:top w:val="single" w:sz="4" w:space="0" w:color="000000"/>
              <w:left w:val="single" w:sz="4" w:space="0" w:color="000000"/>
              <w:bottom w:val="single" w:sz="4" w:space="0" w:color="000000"/>
              <w:right w:val="single" w:sz="4" w:space="0" w:color="000000"/>
            </w:tcBorders>
          </w:tcPr>
          <w:p>
            <w:pPr>
              <w:pStyle w:val="TableParagraph"/>
              <w:tabs>
                <w:tab w:val="left" w:pos="1060"/>
              </w:tabs>
              <w:spacing w:before="134"/>
              <w:ind w:left="580"/>
              <w:rPr>
                <w:sz w:val="24"/>
              </w:rPr>
            </w:pPr>
            <w:r>
              <w:rPr>
                <w:sz w:val="24"/>
              </w:rPr>
              <w:t>手</w:t>
              <w:tab/>
              <w:t>机</w:t>
            </w:r>
          </w:p>
        </w:tc>
        <w:tc>
          <w:tcPr>
            <w:tcW w:w="2391" w:type="dxa"/>
            <w:gridSpan w:val="2"/>
            <w:tcBorders>
              <w:top w:val="single" w:sz="4" w:space="0" w:color="000000"/>
              <w:left w:val="single" w:sz="4" w:space="0" w:color="000000"/>
              <w:bottom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556"/>
          <w:jc w:val="left"/>
        </w:trPr>
        <w:tc>
          <w:tcPr>
            <w:tcW w:w="9426" w:type="dxa"/>
            <w:gridSpan w:val="6"/>
            <w:tcBorders>
              <w:top w:val="single" w:sz="4" w:space="0" w:color="000000"/>
              <w:bottom w:val="single" w:sz="4" w:space="0" w:color="000000"/>
              <w:right w:val="single" w:sz="4" w:space="0" w:color="000000"/>
            </w:tcBorders>
          </w:tcPr>
          <w:p>
            <w:pPr>
              <w:pStyle w:val="TableParagraph"/>
              <w:spacing w:before="136"/>
              <w:ind w:left="1399" w:right="1383"/>
              <w:jc w:val="center"/>
              <w:rPr>
                <w:sz w:val="24"/>
              </w:rPr>
            </w:pPr>
            <w:r>
              <w:rPr>
                <w:sz w:val="24"/>
              </w:rPr>
              <w:t>所交申请及证明材料（</w:t>
            </w:r>
            <w:r>
              <w:rPr>
                <w:spacing w:val="-8"/>
                <w:sz w:val="24"/>
              </w:rPr>
              <w:t>由申请人在所选项后的方框内打“√”</w:t>
            </w:r>
            <w:r>
              <w:rPr>
                <w:sz w:val="24"/>
              </w:rPr>
              <w:t>）</w:t>
            </w:r>
          </w:p>
        </w:tc>
      </w:tr>
      <w:tr>
        <w:tblPrEx>
          <w:tblW w:w="0" w:type="auto"/>
          <w:jc w:val="left"/>
          <w:tblInd w:w="148" w:type="dxa"/>
          <w:tblLayout w:type="fixed"/>
          <w:tblCellMar>
            <w:top w:w="0" w:type="dxa"/>
            <w:left w:w="0" w:type="dxa"/>
            <w:bottom w:w="0" w:type="dxa"/>
            <w:right w:w="0" w:type="dxa"/>
          </w:tblCellMar>
          <w:tblLook w:val="01E0"/>
        </w:tblPrEx>
        <w:trPr>
          <w:trHeight w:val="726"/>
          <w:jc w:val="left"/>
        </w:trPr>
        <w:tc>
          <w:tcPr>
            <w:tcW w:w="3743" w:type="dxa"/>
            <w:tcBorders>
              <w:top w:val="single" w:sz="4" w:space="0" w:color="000000"/>
              <w:bottom w:val="single" w:sz="4" w:space="0" w:color="000000"/>
              <w:right w:val="single" w:sz="4" w:space="0" w:color="000000"/>
            </w:tcBorders>
          </w:tcPr>
          <w:p>
            <w:pPr>
              <w:pStyle w:val="TableParagraph"/>
              <w:spacing w:before="2"/>
              <w:rPr>
                <w:sz w:val="17"/>
              </w:rPr>
            </w:pPr>
          </w:p>
          <w:p>
            <w:pPr>
              <w:pStyle w:val="TableParagraph"/>
              <w:ind w:right="373"/>
              <w:jc w:val="right"/>
              <w:rPr>
                <w:sz w:val="24"/>
              </w:rPr>
            </w:pPr>
            <w:r>
              <w:rPr>
                <w:sz w:val="24"/>
              </w:rPr>
              <w:t>统一社会信用代码证书/身份证</w:t>
            </w:r>
          </w:p>
        </w:tc>
        <w:tc>
          <w:tcPr>
            <w:tcW w:w="142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2550" w:type="dxa"/>
            <w:gridSpan w:val="3"/>
            <w:tcBorders>
              <w:top w:val="single" w:sz="4" w:space="0" w:color="000000"/>
              <w:left w:val="single" w:sz="4" w:space="0" w:color="000000"/>
              <w:bottom w:val="single" w:sz="4" w:space="0" w:color="000000"/>
              <w:right w:val="single" w:sz="4" w:space="0" w:color="000000"/>
            </w:tcBorders>
          </w:tcPr>
          <w:p>
            <w:pPr>
              <w:pStyle w:val="TableParagraph"/>
              <w:spacing w:before="62" w:line="249" w:lineRule="auto"/>
              <w:ind w:left="1041" w:right="178" w:hanging="840"/>
              <w:rPr>
                <w:sz w:val="24"/>
              </w:rPr>
            </w:pPr>
            <w:r>
              <w:rPr>
                <w:sz w:val="24"/>
              </w:rPr>
              <w:t>援助事项或案件相关材料</w:t>
            </w:r>
          </w:p>
        </w:tc>
        <w:tc>
          <w:tcPr>
            <w:tcW w:w="1707" w:type="dxa"/>
            <w:tcBorders>
              <w:top w:val="single" w:sz="4" w:space="0" w:color="000000"/>
              <w:left w:val="single" w:sz="4" w:space="0" w:color="000000"/>
              <w:bottom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558"/>
          <w:jc w:val="left"/>
        </w:trPr>
        <w:tc>
          <w:tcPr>
            <w:tcW w:w="3743" w:type="dxa"/>
            <w:tcBorders>
              <w:top w:val="single" w:sz="4" w:space="0" w:color="000000"/>
              <w:bottom w:val="single" w:sz="4" w:space="0" w:color="000000"/>
              <w:right w:val="single" w:sz="4" w:space="0" w:color="000000"/>
            </w:tcBorders>
          </w:tcPr>
          <w:p>
            <w:pPr>
              <w:pStyle w:val="TableParagraph"/>
              <w:spacing w:before="136"/>
              <w:ind w:left="1369" w:right="941"/>
              <w:jc w:val="center"/>
              <w:rPr>
                <w:sz w:val="24"/>
              </w:rPr>
            </w:pPr>
            <w:r>
              <w:rPr>
                <w:sz w:val="24"/>
              </w:rPr>
              <w:t>委托书</w:t>
            </w:r>
          </w:p>
        </w:tc>
        <w:tc>
          <w:tcPr>
            <w:tcW w:w="142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2550" w:type="dxa"/>
            <w:gridSpan w:val="3"/>
            <w:tcBorders>
              <w:top w:val="single" w:sz="4" w:space="0" w:color="000000"/>
              <w:left w:val="single" w:sz="4" w:space="0" w:color="000000"/>
              <w:bottom w:val="single" w:sz="4" w:space="0" w:color="000000"/>
              <w:right w:val="single" w:sz="4" w:space="0" w:color="000000"/>
            </w:tcBorders>
          </w:tcPr>
          <w:p>
            <w:pPr>
              <w:pStyle w:val="TableParagraph"/>
              <w:spacing w:before="136"/>
              <w:ind w:left="618"/>
              <w:rPr>
                <w:sz w:val="24"/>
              </w:rPr>
            </w:pPr>
            <w:r>
              <w:rPr>
                <w:sz w:val="24"/>
              </w:rPr>
              <w:t>其他证明材料</w:t>
            </w:r>
          </w:p>
        </w:tc>
        <w:tc>
          <w:tcPr>
            <w:tcW w:w="1707" w:type="dxa"/>
            <w:tcBorders>
              <w:top w:val="single" w:sz="4" w:space="0" w:color="000000"/>
              <w:left w:val="single" w:sz="4" w:space="0" w:color="000000"/>
              <w:bottom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557"/>
          <w:jc w:val="left"/>
        </w:trPr>
        <w:tc>
          <w:tcPr>
            <w:tcW w:w="9426" w:type="dxa"/>
            <w:gridSpan w:val="6"/>
            <w:tcBorders>
              <w:top w:val="single" w:sz="4" w:space="0" w:color="000000"/>
              <w:bottom w:val="single" w:sz="4" w:space="0" w:color="000000"/>
              <w:right w:val="single" w:sz="4" w:space="0" w:color="000000"/>
            </w:tcBorders>
          </w:tcPr>
          <w:p>
            <w:pPr>
              <w:pStyle w:val="TableParagraph"/>
              <w:spacing w:before="134"/>
              <w:ind w:left="107"/>
              <w:rPr>
                <w:sz w:val="24"/>
              </w:rPr>
            </w:pPr>
            <w:r>
              <w:rPr>
                <w:sz w:val="24"/>
              </w:rPr>
              <w:t>申请援助内容（</w:t>
            </w:r>
            <w:r>
              <w:rPr>
                <w:spacing w:val="-8"/>
                <w:sz w:val="24"/>
              </w:rPr>
              <w:t>由申请人在所选项后的方框内打“√”</w:t>
            </w:r>
            <w:r>
              <w:rPr>
                <w:sz w:val="24"/>
              </w:rPr>
              <w:t>）</w:t>
            </w:r>
          </w:p>
        </w:tc>
      </w:tr>
      <w:tr>
        <w:tblPrEx>
          <w:tblW w:w="0" w:type="auto"/>
          <w:jc w:val="left"/>
          <w:tblInd w:w="148" w:type="dxa"/>
          <w:tblLayout w:type="fixed"/>
          <w:tblCellMar>
            <w:top w:w="0" w:type="dxa"/>
            <w:left w:w="0" w:type="dxa"/>
            <w:bottom w:w="0" w:type="dxa"/>
            <w:right w:w="0" w:type="dxa"/>
          </w:tblCellMar>
          <w:tblLook w:val="01E0"/>
        </w:tblPrEx>
        <w:trPr>
          <w:trHeight w:val="1384"/>
          <w:jc w:val="left"/>
        </w:trPr>
        <w:tc>
          <w:tcPr>
            <w:tcW w:w="3743" w:type="dxa"/>
            <w:tcBorders>
              <w:top w:val="single" w:sz="4" w:space="0" w:color="000000"/>
              <w:bottom w:val="single" w:sz="4" w:space="0" w:color="000000"/>
              <w:right w:val="single" w:sz="4" w:space="0" w:color="000000"/>
            </w:tcBorders>
          </w:tcPr>
          <w:p>
            <w:pPr>
              <w:pStyle w:val="TableParagraph"/>
              <w:spacing w:before="12"/>
              <w:rPr>
                <w:sz w:val="17"/>
              </w:rPr>
            </w:pPr>
          </w:p>
          <w:p>
            <w:pPr>
              <w:pStyle w:val="TableParagraph"/>
              <w:spacing w:line="249" w:lineRule="auto"/>
              <w:ind w:left="107" w:right="13"/>
              <w:jc w:val="both"/>
              <w:rPr>
                <w:sz w:val="24"/>
              </w:rPr>
            </w:pPr>
            <w:r>
              <w:rPr>
                <w:sz w:val="24"/>
              </w:rPr>
              <w:t>组织提供有关知识产权法律法规、授权确权程序与法律状态、纠纷处理方式、取证方法等咨询指导服务</w:t>
            </w:r>
          </w:p>
        </w:tc>
        <w:tc>
          <w:tcPr>
            <w:tcW w:w="142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2550" w:type="dxa"/>
            <w:gridSpan w:val="3"/>
            <w:tcBorders>
              <w:top w:val="single" w:sz="4" w:space="0" w:color="000000"/>
              <w:left w:val="single" w:sz="4" w:space="0" w:color="000000"/>
              <w:bottom w:val="single" w:sz="4" w:space="0" w:color="000000"/>
              <w:right w:val="single" w:sz="4" w:space="0" w:color="000000"/>
            </w:tcBorders>
          </w:tcPr>
          <w:p>
            <w:pPr>
              <w:pStyle w:val="TableParagraph"/>
              <w:spacing w:before="69" w:line="249" w:lineRule="auto"/>
              <w:ind w:left="78" w:right="54"/>
              <w:jc w:val="center"/>
              <w:rPr>
                <w:sz w:val="24"/>
              </w:rPr>
            </w:pPr>
            <w:r>
              <w:rPr>
                <w:sz w:val="24"/>
              </w:rPr>
              <w:t>为展会、交易会、大型体育赛事、创新创业活动、文化活动等提供驻场等维权援助服务</w:t>
            </w:r>
          </w:p>
        </w:tc>
        <w:tc>
          <w:tcPr>
            <w:tcW w:w="1707" w:type="dxa"/>
            <w:tcBorders>
              <w:top w:val="single" w:sz="4" w:space="0" w:color="000000"/>
              <w:left w:val="single" w:sz="4" w:space="0" w:color="000000"/>
              <w:bottom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1011"/>
          <w:jc w:val="left"/>
        </w:trPr>
        <w:tc>
          <w:tcPr>
            <w:tcW w:w="3743" w:type="dxa"/>
            <w:tcBorders>
              <w:top w:val="single" w:sz="4" w:space="0" w:color="000000"/>
              <w:right w:val="single" w:sz="4" w:space="0" w:color="000000"/>
            </w:tcBorders>
          </w:tcPr>
          <w:p>
            <w:pPr>
              <w:pStyle w:val="TableParagraph"/>
              <w:spacing w:before="203" w:line="249" w:lineRule="auto"/>
              <w:ind w:left="1629" w:right="171" w:hanging="1440"/>
              <w:rPr>
                <w:sz w:val="24"/>
              </w:rPr>
            </w:pPr>
            <w:r>
              <w:rPr>
                <w:sz w:val="24"/>
              </w:rPr>
              <w:t>组织提供知识产权侵权判定参考意见</w:t>
            </w:r>
          </w:p>
        </w:tc>
        <w:tc>
          <w:tcPr>
            <w:tcW w:w="1426" w:type="dxa"/>
            <w:tcBorders>
              <w:top w:val="single" w:sz="4" w:space="0" w:color="000000"/>
              <w:left w:val="single" w:sz="4" w:space="0" w:color="000000"/>
              <w:right w:val="single" w:sz="4" w:space="0" w:color="000000"/>
            </w:tcBorders>
          </w:tcPr>
          <w:p>
            <w:pPr>
              <w:pStyle w:val="TableParagraph"/>
              <w:rPr>
                <w:rFonts w:ascii="Times New Roman"/>
                <w:sz w:val="22"/>
              </w:rPr>
            </w:pPr>
          </w:p>
        </w:tc>
        <w:tc>
          <w:tcPr>
            <w:tcW w:w="2550" w:type="dxa"/>
            <w:gridSpan w:val="3"/>
            <w:tcBorders>
              <w:top w:val="single" w:sz="4" w:space="0" w:color="000000"/>
              <w:left w:val="single" w:sz="4" w:space="0" w:color="000000"/>
              <w:right w:val="single" w:sz="4" w:space="0" w:color="000000"/>
            </w:tcBorders>
          </w:tcPr>
          <w:p>
            <w:pPr>
              <w:pStyle w:val="TableParagraph"/>
              <w:spacing w:before="43"/>
              <w:ind w:left="201"/>
              <w:rPr>
                <w:sz w:val="24"/>
              </w:rPr>
            </w:pPr>
            <w:r>
              <w:rPr>
                <w:sz w:val="24"/>
              </w:rPr>
              <w:t>为重大公共知识产权</w:t>
            </w:r>
          </w:p>
          <w:p>
            <w:pPr>
              <w:pStyle w:val="TableParagraph"/>
              <w:spacing w:before="1" w:line="320" w:lineRule="atLeast"/>
              <w:ind w:left="441" w:right="178" w:hanging="240"/>
              <w:rPr>
                <w:sz w:val="24"/>
              </w:rPr>
            </w:pPr>
            <w:r>
              <w:rPr>
                <w:sz w:val="24"/>
              </w:rPr>
              <w:t>纠纷或争端组织提供解决方案或建议</w:t>
            </w:r>
          </w:p>
        </w:tc>
        <w:tc>
          <w:tcPr>
            <w:tcW w:w="1707" w:type="dxa"/>
            <w:tcBorders>
              <w:top w:val="single" w:sz="4" w:space="0" w:color="000000"/>
              <w:left w:val="single" w:sz="4" w:space="0" w:color="000000"/>
            </w:tcBorders>
          </w:tcPr>
          <w:p>
            <w:pPr>
              <w:pStyle w:val="TableParagraph"/>
              <w:rPr>
                <w:rFonts w:ascii="Times New Roman"/>
                <w:sz w:val="22"/>
              </w:rPr>
            </w:pPr>
          </w:p>
        </w:tc>
      </w:tr>
    </w:tbl>
    <w:p>
      <w:pPr>
        <w:spacing w:after="0"/>
        <w:rPr>
          <w:rFonts w:ascii="Times New Roman"/>
          <w:sz w:val="22"/>
        </w:rPr>
        <w:sectPr>
          <w:headerReference w:type="even" r:id="rId49"/>
          <w:headerReference w:type="default" r:id="rId50"/>
          <w:footerReference w:type="even" r:id="rId51"/>
          <w:footerReference w:type="default" r:id="rId52"/>
          <w:pgSz w:w="11920" w:h="16850"/>
          <w:pgMar w:top="1440" w:right="440" w:bottom="1440" w:left="880" w:header="1232" w:footer="1255"/>
          <w:pgNumType w:start="11"/>
          <w:cols w:space="708"/>
        </w:sectPr>
      </w:pPr>
    </w:p>
    <w:p>
      <w:pPr>
        <w:pStyle w:val="BodyText"/>
        <w:rPr>
          <w:sz w:val="20"/>
        </w:rPr>
      </w:pPr>
    </w:p>
    <w:p>
      <w:pPr>
        <w:pStyle w:val="BodyText"/>
        <w:rPr>
          <w:sz w:val="20"/>
        </w:rPr>
      </w:pPr>
    </w:p>
    <w:p>
      <w:pPr>
        <w:pStyle w:val="BodyText"/>
        <w:spacing w:before="2"/>
        <w:rPr>
          <w:sz w:val="24"/>
        </w:rPr>
      </w:pPr>
    </w:p>
    <w:p>
      <w:pPr>
        <w:pStyle w:val="BodyText"/>
        <w:spacing w:before="71" w:after="4"/>
        <w:ind w:right="94"/>
        <w:jc w:val="center"/>
        <w:rPr>
          <w:rFonts w:ascii="黑体" w:eastAsia="黑体" w:hint="eastAsia"/>
        </w:rPr>
      </w:pPr>
      <w:r>
        <w:rPr>
          <w:rFonts w:ascii="黑体" w:eastAsia="黑体" w:hint="eastAsia"/>
        </w:rPr>
        <w:t>表 B.1 (续）</w:t>
      </w:r>
    </w:p>
    <w:tbl>
      <w:tblPr>
        <w:tblStyle w:val="TableNormal2"/>
        <w:tblW w:w="0" w:type="auto"/>
        <w:jc w:val="left"/>
        <w:tblInd w:w="14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752"/>
        <w:gridCol w:w="5691"/>
      </w:tblGrid>
      <w:tr>
        <w:tblPrEx>
          <w:tblW w:w="0" w:type="auto"/>
          <w:jc w:val="left"/>
          <w:tblInd w:w="14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331"/>
          <w:jc w:val="left"/>
        </w:trPr>
        <w:tc>
          <w:tcPr>
            <w:tcW w:w="3752" w:type="dxa"/>
            <w:tcBorders>
              <w:bottom w:val="single" w:sz="4" w:space="0" w:color="000000"/>
              <w:right w:val="single" w:sz="4" w:space="0" w:color="000000"/>
            </w:tcBorders>
          </w:tcPr>
          <w:p>
            <w:pPr>
              <w:pStyle w:val="TableParagraph"/>
              <w:spacing w:before="203" w:line="249" w:lineRule="auto"/>
              <w:ind w:left="76" w:right="56"/>
              <w:jc w:val="center"/>
              <w:rPr>
                <w:sz w:val="24"/>
              </w:rPr>
            </w:pPr>
            <w:r>
              <w:rPr>
                <w:sz w:val="24"/>
              </w:rPr>
              <w:t>为公共研发、经贸、投资、技术转移或知识产权对外转让等活动组织提供分析预警</w:t>
            </w:r>
          </w:p>
        </w:tc>
        <w:tc>
          <w:tcPr>
            <w:tcW w:w="5691" w:type="dxa"/>
            <w:tcBorders>
              <w:left w:val="single" w:sz="4" w:space="0" w:color="000000"/>
              <w:bottom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2793"/>
          <w:jc w:val="left"/>
        </w:trPr>
        <w:tc>
          <w:tcPr>
            <w:tcW w:w="3752" w:type="dxa"/>
            <w:tcBorders>
              <w:top w:val="single" w:sz="4" w:space="0" w:color="000000"/>
              <w:bottom w:val="single" w:sz="4" w:space="0" w:color="000000"/>
              <w:right w:val="single" w:sz="4" w:space="0" w:color="000000"/>
            </w:tcBorders>
          </w:tcPr>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spacing w:before="162" w:line="242" w:lineRule="auto"/>
              <w:ind w:left="1154" w:right="895" w:hanging="240"/>
              <w:rPr>
                <w:sz w:val="24"/>
              </w:rPr>
            </w:pPr>
            <w:r>
              <w:rPr>
                <w:sz w:val="24"/>
              </w:rPr>
              <w:t>其他知识产权维权援助申请内容</w:t>
            </w:r>
          </w:p>
        </w:tc>
        <w:tc>
          <w:tcPr>
            <w:tcW w:w="5691" w:type="dxa"/>
            <w:tcBorders>
              <w:top w:val="single" w:sz="4" w:space="0" w:color="000000"/>
              <w:left w:val="single" w:sz="4" w:space="0" w:color="000000"/>
              <w:bottom w:val="single" w:sz="4" w:space="0" w:color="000000"/>
            </w:tcBorders>
          </w:tcPr>
          <w:p>
            <w:pPr>
              <w:pStyle w:val="TableParagraph"/>
              <w:rPr>
                <w:rFonts w:ascii="Times New Roman"/>
                <w:sz w:val="22"/>
              </w:rPr>
            </w:pPr>
          </w:p>
        </w:tc>
      </w:tr>
      <w:tr>
        <w:tblPrEx>
          <w:tblW w:w="0" w:type="auto"/>
          <w:jc w:val="left"/>
          <w:tblInd w:w="148" w:type="dxa"/>
          <w:tblLayout w:type="fixed"/>
          <w:tblCellMar>
            <w:top w:w="0" w:type="dxa"/>
            <w:left w:w="0" w:type="dxa"/>
            <w:bottom w:w="0" w:type="dxa"/>
            <w:right w:w="0" w:type="dxa"/>
          </w:tblCellMar>
          <w:tblLook w:val="01E0"/>
        </w:tblPrEx>
        <w:trPr>
          <w:trHeight w:val="1787"/>
          <w:jc w:val="left"/>
        </w:trPr>
        <w:tc>
          <w:tcPr>
            <w:tcW w:w="3752" w:type="dxa"/>
            <w:tcBorders>
              <w:top w:val="single" w:sz="4" w:space="0" w:color="000000"/>
              <w:bottom w:val="single" w:sz="4" w:space="0" w:color="000000"/>
              <w:right w:val="single" w:sz="4" w:space="0" w:color="000000"/>
            </w:tcBorders>
          </w:tcPr>
          <w:p>
            <w:pPr>
              <w:pStyle w:val="TableParagraph"/>
              <w:rPr>
                <w:rFonts w:ascii="黑体"/>
                <w:sz w:val="24"/>
              </w:rPr>
            </w:pPr>
          </w:p>
          <w:p>
            <w:pPr>
              <w:pStyle w:val="TableParagraph"/>
              <w:spacing w:before="7"/>
              <w:rPr>
                <w:rFonts w:ascii="黑体"/>
                <w:sz w:val="34"/>
              </w:rPr>
            </w:pPr>
          </w:p>
          <w:p>
            <w:pPr>
              <w:pStyle w:val="TableParagraph"/>
              <w:spacing w:before="1"/>
              <w:ind w:left="72" w:right="56"/>
              <w:jc w:val="center"/>
              <w:rPr>
                <w:sz w:val="24"/>
              </w:rPr>
            </w:pPr>
            <w:r>
              <w:rPr>
                <w:sz w:val="24"/>
              </w:rPr>
              <w:t>受理意见</w:t>
            </w:r>
          </w:p>
        </w:tc>
        <w:tc>
          <w:tcPr>
            <w:tcW w:w="5691" w:type="dxa"/>
            <w:tcBorders>
              <w:top w:val="single" w:sz="4" w:space="0" w:color="000000"/>
              <w:left w:val="single" w:sz="4" w:space="0" w:color="000000"/>
              <w:bottom w:val="single" w:sz="4" w:space="0" w:color="000000"/>
            </w:tcBorders>
          </w:tcPr>
          <w:p>
            <w:pPr>
              <w:pStyle w:val="TableParagraph"/>
              <w:spacing w:before="47" w:line="280" w:lineRule="auto"/>
              <w:ind w:left="355" w:right="1473"/>
              <w:rPr>
                <w:sz w:val="24"/>
              </w:rPr>
            </w:pPr>
            <w:r>
              <w:rPr>
                <w:sz w:val="24"/>
              </w:rPr>
              <w:t xml:space="preserve">所提交资料符合维权援助受理要求 </w:t>
            </w:r>
            <w:r>
              <w:rPr>
                <w:spacing w:val="-2"/>
                <w:sz w:val="24"/>
              </w:rPr>
              <w:t>所提交资料不符合维权援助受理要求</w:t>
            </w:r>
          </w:p>
          <w:p>
            <w:pPr>
              <w:pStyle w:val="TableParagraph"/>
              <w:spacing w:before="2"/>
              <w:rPr>
                <w:rFonts w:ascii="黑体"/>
                <w:sz w:val="28"/>
              </w:rPr>
            </w:pPr>
          </w:p>
          <w:p>
            <w:pPr>
              <w:pStyle w:val="TableParagraph"/>
              <w:ind w:left="1919" w:right="399"/>
              <w:jc w:val="center"/>
              <w:rPr>
                <w:sz w:val="24"/>
              </w:rPr>
            </w:pPr>
            <w:r>
              <w:rPr>
                <w:sz w:val="24"/>
              </w:rPr>
              <w:t>经办人（签章）</w:t>
            </w:r>
          </w:p>
          <w:p>
            <w:pPr>
              <w:pStyle w:val="TableParagraph"/>
              <w:spacing w:before="53" w:line="280" w:lineRule="exact"/>
              <w:ind w:left="1919" w:right="399"/>
              <w:jc w:val="center"/>
              <w:rPr>
                <w:sz w:val="24"/>
              </w:rPr>
            </w:pPr>
            <w:r>
              <w:rPr>
                <w:sz w:val="24"/>
              </w:rPr>
              <w:t>××××年××月××日</w:t>
            </w:r>
          </w:p>
        </w:tc>
      </w:tr>
      <w:tr>
        <w:tblPrEx>
          <w:tblW w:w="0" w:type="auto"/>
          <w:jc w:val="left"/>
          <w:tblInd w:w="148" w:type="dxa"/>
          <w:tblLayout w:type="fixed"/>
          <w:tblCellMar>
            <w:top w:w="0" w:type="dxa"/>
            <w:left w:w="0" w:type="dxa"/>
            <w:bottom w:w="0" w:type="dxa"/>
            <w:right w:w="0" w:type="dxa"/>
          </w:tblCellMar>
          <w:tblLook w:val="01E0"/>
        </w:tblPrEx>
        <w:trPr>
          <w:trHeight w:val="2239"/>
          <w:jc w:val="left"/>
        </w:trPr>
        <w:tc>
          <w:tcPr>
            <w:tcW w:w="3752" w:type="dxa"/>
            <w:tcBorders>
              <w:top w:val="single" w:sz="4" w:space="0" w:color="000000"/>
              <w:bottom w:val="single" w:sz="4" w:space="0" w:color="000000"/>
              <w:right w:val="single" w:sz="4" w:space="0" w:color="000000"/>
            </w:tcBorders>
          </w:tcPr>
          <w:p>
            <w:pPr>
              <w:pStyle w:val="TableParagraph"/>
              <w:rPr>
                <w:rFonts w:ascii="黑体"/>
                <w:sz w:val="24"/>
              </w:rPr>
            </w:pPr>
          </w:p>
          <w:p>
            <w:pPr>
              <w:pStyle w:val="TableParagraph"/>
              <w:rPr>
                <w:rFonts w:ascii="黑体"/>
                <w:sz w:val="24"/>
              </w:rPr>
            </w:pPr>
          </w:p>
          <w:p>
            <w:pPr>
              <w:pStyle w:val="TableParagraph"/>
              <w:spacing w:before="3"/>
              <w:rPr>
                <w:rFonts w:ascii="黑体"/>
                <w:sz w:val="28"/>
              </w:rPr>
            </w:pPr>
          </w:p>
          <w:p>
            <w:pPr>
              <w:pStyle w:val="TableParagraph"/>
              <w:ind w:left="72" w:right="56"/>
              <w:jc w:val="center"/>
              <w:rPr>
                <w:sz w:val="24"/>
              </w:rPr>
            </w:pPr>
            <w:r>
              <w:rPr>
                <w:sz w:val="24"/>
              </w:rPr>
              <w:t>初审意见</w:t>
            </w:r>
          </w:p>
        </w:tc>
        <w:tc>
          <w:tcPr>
            <w:tcW w:w="5691" w:type="dxa"/>
            <w:tcBorders>
              <w:top w:val="single" w:sz="4" w:space="0" w:color="000000"/>
              <w:left w:val="single" w:sz="4" w:space="0" w:color="000000"/>
              <w:bottom w:val="single" w:sz="4" w:space="0" w:color="000000"/>
            </w:tcBorders>
          </w:tcPr>
          <w:p>
            <w:pPr>
              <w:pStyle w:val="TableParagraph"/>
              <w:spacing w:before="16"/>
              <w:ind w:left="115"/>
              <w:rPr>
                <w:sz w:val="24"/>
              </w:rPr>
            </w:pPr>
            <w:r>
              <w:rPr>
                <w:sz w:val="24"/>
              </w:rPr>
              <w:t>（写明维权援助形式和具体内容）</w:t>
            </w: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9"/>
              </w:rPr>
            </w:pPr>
          </w:p>
          <w:p>
            <w:pPr>
              <w:pStyle w:val="TableParagraph"/>
              <w:ind w:left="3115"/>
              <w:rPr>
                <w:sz w:val="24"/>
              </w:rPr>
            </w:pPr>
            <w:r>
              <w:rPr>
                <w:sz w:val="24"/>
              </w:rPr>
              <w:t>经办人（签章）</w:t>
            </w:r>
          </w:p>
          <w:p>
            <w:pPr>
              <w:pStyle w:val="TableParagraph"/>
              <w:spacing w:before="12" w:line="282" w:lineRule="exact"/>
              <w:ind w:left="2950"/>
              <w:rPr>
                <w:sz w:val="24"/>
              </w:rPr>
            </w:pPr>
            <w:r>
              <w:rPr>
                <w:sz w:val="24"/>
              </w:rPr>
              <w:t>××××年××月××日</w:t>
            </w:r>
          </w:p>
        </w:tc>
      </w:tr>
      <w:tr>
        <w:tblPrEx>
          <w:tblW w:w="0" w:type="auto"/>
          <w:jc w:val="left"/>
          <w:tblInd w:w="148" w:type="dxa"/>
          <w:tblLayout w:type="fixed"/>
          <w:tblCellMar>
            <w:top w:w="0" w:type="dxa"/>
            <w:left w:w="0" w:type="dxa"/>
            <w:bottom w:w="0" w:type="dxa"/>
            <w:right w:w="0" w:type="dxa"/>
          </w:tblCellMar>
          <w:tblLook w:val="01E0"/>
        </w:tblPrEx>
        <w:trPr>
          <w:trHeight w:val="1922"/>
          <w:jc w:val="left"/>
        </w:trPr>
        <w:tc>
          <w:tcPr>
            <w:tcW w:w="3752" w:type="dxa"/>
            <w:tcBorders>
              <w:top w:val="single" w:sz="4" w:space="0" w:color="000000"/>
              <w:bottom w:val="single" w:sz="4" w:space="0" w:color="000000"/>
              <w:right w:val="single" w:sz="4" w:space="0" w:color="000000"/>
            </w:tcBorders>
          </w:tcPr>
          <w:p>
            <w:pPr>
              <w:pStyle w:val="TableParagraph"/>
              <w:rPr>
                <w:rFonts w:ascii="黑体"/>
                <w:sz w:val="24"/>
              </w:rPr>
            </w:pPr>
          </w:p>
          <w:p>
            <w:pPr>
              <w:pStyle w:val="TableParagraph"/>
              <w:rPr>
                <w:rFonts w:ascii="黑体"/>
                <w:sz w:val="24"/>
              </w:rPr>
            </w:pPr>
          </w:p>
          <w:p>
            <w:pPr>
              <w:pStyle w:val="TableParagraph"/>
              <w:spacing w:before="203"/>
              <w:ind w:left="72" w:right="56"/>
              <w:jc w:val="center"/>
              <w:rPr>
                <w:sz w:val="24"/>
              </w:rPr>
            </w:pPr>
            <w:r>
              <w:rPr>
                <w:sz w:val="24"/>
              </w:rPr>
              <w:t>知识产权维权援助机构意见</w:t>
            </w:r>
          </w:p>
        </w:tc>
        <w:tc>
          <w:tcPr>
            <w:tcW w:w="5691" w:type="dxa"/>
            <w:tcBorders>
              <w:top w:val="single" w:sz="4" w:space="0" w:color="000000"/>
              <w:left w:val="single" w:sz="4" w:space="0" w:color="000000"/>
              <w:bottom w:val="single" w:sz="4" w:space="0" w:color="000000"/>
            </w:tcBorders>
          </w:tcPr>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spacing w:before="4"/>
              <w:rPr>
                <w:rFonts w:ascii="黑体"/>
                <w:sz w:val="29"/>
              </w:rPr>
            </w:pPr>
          </w:p>
          <w:p>
            <w:pPr>
              <w:pStyle w:val="TableParagraph"/>
              <w:ind w:left="431" w:right="399"/>
              <w:jc w:val="center"/>
              <w:rPr>
                <w:sz w:val="24"/>
              </w:rPr>
            </w:pPr>
            <w:r>
              <w:rPr>
                <w:sz w:val="24"/>
              </w:rPr>
              <w:t>（签章）</w:t>
            </w:r>
          </w:p>
          <w:p>
            <w:pPr>
              <w:pStyle w:val="TableParagraph"/>
              <w:spacing w:before="12" w:line="285" w:lineRule="exact"/>
              <w:ind w:left="2255" w:right="63"/>
              <w:jc w:val="center"/>
              <w:rPr>
                <w:sz w:val="24"/>
              </w:rPr>
            </w:pPr>
            <w:r>
              <w:rPr>
                <w:sz w:val="24"/>
              </w:rPr>
              <w:t>××××年××月××日</w:t>
            </w:r>
          </w:p>
        </w:tc>
      </w:tr>
      <w:tr>
        <w:tblPrEx>
          <w:tblW w:w="0" w:type="auto"/>
          <w:jc w:val="left"/>
          <w:tblInd w:w="148" w:type="dxa"/>
          <w:tblLayout w:type="fixed"/>
          <w:tblCellMar>
            <w:top w:w="0" w:type="dxa"/>
            <w:left w:w="0" w:type="dxa"/>
            <w:bottom w:w="0" w:type="dxa"/>
            <w:right w:w="0" w:type="dxa"/>
          </w:tblCellMar>
          <w:tblLook w:val="01E0"/>
        </w:tblPrEx>
        <w:trPr>
          <w:trHeight w:val="1489"/>
          <w:jc w:val="left"/>
        </w:trPr>
        <w:tc>
          <w:tcPr>
            <w:tcW w:w="3752" w:type="dxa"/>
            <w:tcBorders>
              <w:top w:val="single" w:sz="4" w:space="0" w:color="000000"/>
              <w:right w:val="single" w:sz="4" w:space="0" w:color="000000"/>
            </w:tcBorders>
          </w:tcPr>
          <w:p>
            <w:pPr>
              <w:pStyle w:val="TableParagraph"/>
              <w:spacing w:before="5"/>
              <w:rPr>
                <w:rFonts w:ascii="黑体"/>
                <w:sz w:val="34"/>
              </w:rPr>
            </w:pPr>
          </w:p>
          <w:p>
            <w:pPr>
              <w:pStyle w:val="TableParagraph"/>
              <w:spacing w:line="249" w:lineRule="auto"/>
              <w:ind w:left="1634" w:right="175" w:hanging="1440"/>
              <w:rPr>
                <w:sz w:val="24"/>
              </w:rPr>
            </w:pPr>
            <w:r>
              <w:rPr>
                <w:sz w:val="24"/>
              </w:rPr>
              <w:t>维权援助意见反馈申请人方式及时间</w:t>
            </w:r>
          </w:p>
        </w:tc>
        <w:tc>
          <w:tcPr>
            <w:tcW w:w="5691" w:type="dxa"/>
            <w:tcBorders>
              <w:top w:val="single" w:sz="4" w:space="0" w:color="000000"/>
              <w:left w:val="single" w:sz="4" w:space="0" w:color="000000"/>
            </w:tcBorders>
          </w:tcPr>
          <w:p>
            <w:pPr>
              <w:pStyle w:val="TableParagraph"/>
              <w:rPr>
                <w:rFonts w:ascii="Times New Roman"/>
                <w:sz w:val="22"/>
              </w:rPr>
            </w:pPr>
          </w:p>
        </w:tc>
      </w:tr>
    </w:tbl>
    <w:p>
      <w:pPr>
        <w:spacing w:after="0"/>
        <w:rPr>
          <w:rFonts w:ascii="Times New Roman"/>
          <w:sz w:val="22"/>
        </w:rPr>
        <w:sectPr>
          <w:headerReference w:type="even" r:id="rId53"/>
          <w:headerReference w:type="default" r:id="rId54"/>
          <w:footerReference w:type="even" r:id="rId55"/>
          <w:footerReference w:type="default" r:id="rId56"/>
          <w:pgSz w:w="11920" w:h="16850"/>
          <w:pgMar w:top="620" w:right="440" w:bottom="1440" w:left="880" w:header="416" w:footer="1255"/>
          <w:pgNumType w:start="12"/>
          <w:cols w:space="708"/>
        </w:sectPr>
      </w:pPr>
    </w:p>
    <w:p>
      <w:pPr>
        <w:pStyle w:val="BodyText"/>
        <w:rPr>
          <w:rFonts w:ascii="黑体"/>
          <w:sz w:val="2"/>
        </w:rPr>
      </w:pPr>
    </w:p>
    <w:p>
      <w:pPr>
        <w:pStyle w:val="BodyText"/>
        <w:rPr>
          <w:rFonts w:ascii="黑体"/>
          <w:sz w:val="2"/>
        </w:rPr>
      </w:pPr>
    </w:p>
    <w:p>
      <w:pPr>
        <w:pStyle w:val="BodyText"/>
        <w:rPr>
          <w:rFonts w:ascii="黑体"/>
          <w:sz w:val="2"/>
        </w:rPr>
      </w:pPr>
    </w:p>
    <w:p>
      <w:pPr>
        <w:spacing w:before="0" w:line="134" w:lineRule="auto"/>
        <w:ind w:left="4826" w:right="5754" w:firstLine="0"/>
        <w:jc w:val="center"/>
        <w:rPr>
          <w:sz w:val="2"/>
        </w:rPr>
      </w:pPr>
      <w:r>
        <w:rPr>
          <w:sz w:val="2"/>
        </w:rPr>
        <w:t>C C</w:t>
      </w:r>
    </w:p>
    <w:p>
      <w:pPr>
        <w:pStyle w:val="BodyText"/>
        <w:rPr>
          <w:sz w:val="2"/>
        </w:rPr>
      </w:pPr>
    </w:p>
    <w:p>
      <w:pPr>
        <w:pStyle w:val="BodyText"/>
        <w:spacing w:before="9"/>
        <w:rPr>
          <w:sz w:val="2"/>
        </w:rPr>
      </w:pPr>
    </w:p>
    <w:p>
      <w:pPr>
        <w:pStyle w:val="BodyText"/>
        <w:tabs>
          <w:tab w:val="left" w:pos="415"/>
          <w:tab w:val="left" w:pos="830"/>
        </w:tabs>
        <w:ind w:right="616"/>
        <w:jc w:val="center"/>
        <w:rPr>
          <w:rFonts w:ascii="黑体" w:eastAsia="黑体" w:hint="eastAsia"/>
        </w:rPr>
      </w:pPr>
      <w:bookmarkStart w:id="10" w:name="_bookmark10"/>
      <w:bookmarkEnd w:id="10"/>
      <w:r>
        <w:rPr>
          <w:rFonts w:ascii="黑体" w:eastAsia="黑体" w:hint="eastAsia"/>
        </w:rPr>
        <w:t>附</w:t>
        <w:tab/>
        <w:t>录</w:t>
        <w:tab/>
        <w:t>C</w:t>
      </w:r>
    </w:p>
    <w:p>
      <w:pPr>
        <w:pStyle w:val="BodyText"/>
        <w:spacing w:before="2" w:line="244" w:lineRule="auto"/>
        <w:ind w:left="4511" w:right="5024"/>
        <w:jc w:val="center"/>
        <w:rPr>
          <w:rFonts w:ascii="黑体" w:eastAsia="黑体" w:hint="eastAsia"/>
        </w:rPr>
      </w:pPr>
      <w:r>
        <w:rPr>
          <w:rFonts w:ascii="黑体" w:eastAsia="黑体" w:hint="eastAsia"/>
        </w:rPr>
        <w:t>（资料性） 委托函</w:t>
      </w:r>
    </w:p>
    <w:p>
      <w:pPr>
        <w:pStyle w:val="BodyText"/>
        <w:rPr>
          <w:rFonts w:ascii="黑体"/>
          <w:sz w:val="20"/>
        </w:rPr>
      </w:pPr>
    </w:p>
    <w:p>
      <w:pPr>
        <w:pStyle w:val="BodyText"/>
        <w:rPr>
          <w:rFonts w:ascii="黑体"/>
          <w:sz w:val="26"/>
        </w:rPr>
      </w:pPr>
    </w:p>
    <w:p>
      <w:pPr>
        <w:pStyle w:val="BodyText"/>
        <w:spacing w:before="72"/>
        <w:ind w:left="661"/>
      </w:pPr>
      <w:r>
        <w:t>以下给出了委托函的格式参考。</w:t>
      </w:r>
    </w:p>
    <w:p>
      <w:pPr>
        <w:pStyle w:val="BodyText"/>
        <w:rPr>
          <w:sz w:val="20"/>
        </w:rPr>
      </w:pPr>
    </w:p>
    <w:p>
      <w:pPr>
        <w:pStyle w:val="BodyText"/>
        <w:spacing w:before="7"/>
        <w:rPr>
          <w:sz w:val="16"/>
        </w:rPr>
      </w:pPr>
    </w:p>
    <w:p>
      <w:pPr>
        <w:spacing w:before="0"/>
        <w:ind w:left="0" w:right="515" w:firstLine="0"/>
        <w:jc w:val="center"/>
        <w:rPr>
          <w:sz w:val="36"/>
        </w:rPr>
      </w:pPr>
      <w:r>
        <w:rPr>
          <w:sz w:val="36"/>
        </w:rPr>
        <w:t>关于对 XXX 进行侵权判定咨询的委托函</w:t>
      </w:r>
    </w:p>
    <w:p>
      <w:pPr>
        <w:pStyle w:val="BodyText"/>
        <w:rPr>
          <w:sz w:val="33"/>
        </w:rPr>
      </w:pPr>
    </w:p>
    <w:p>
      <w:pPr>
        <w:spacing w:before="0"/>
        <w:ind w:left="240" w:right="0" w:firstLine="0"/>
        <w:jc w:val="left"/>
        <w:rPr>
          <w:rFonts w:ascii="Arial Unicode MS" w:eastAsia="Arial Unicode MS" w:hint="eastAsia"/>
          <w:sz w:val="28"/>
        </w:rPr>
      </w:pPr>
      <w:r>
        <w:drawing>
          <wp:anchor distT="0" distB="0" distL="0" distR="0" simplePos="0" relativeHeight="251666432" behindDoc="0" locked="0" layoutInCell="1" allowOverlap="1">
            <wp:simplePos x="0" y="0"/>
            <wp:positionH relativeFrom="page">
              <wp:posOffset>1512722</wp:posOffset>
            </wp:positionH>
            <wp:positionV relativeFrom="paragraph">
              <wp:posOffset>85377</wp:posOffset>
            </wp:positionV>
            <wp:extent cx="4538182" cy="4538182"/>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6" cstate="print"/>
                    <a:stretch>
                      <a:fillRect/>
                    </a:stretch>
                  </pic:blipFill>
                  <pic:spPr>
                    <a:xfrm>
                      <a:off x="0" y="0"/>
                      <a:ext cx="4538182" cy="4538182"/>
                    </a:xfrm>
                    <a:prstGeom prst="rect">
                      <a:avLst/>
                    </a:prstGeom>
                  </pic:spPr>
                </pic:pic>
              </a:graphicData>
            </a:graphic>
          </wp:anchor>
        </w:drawing>
      </w:r>
      <w:r>
        <w:rPr>
          <w:rFonts w:ascii="Arial Unicode MS" w:eastAsia="Arial Unicode MS" w:hint="eastAsia"/>
          <w:sz w:val="28"/>
        </w:rPr>
        <w:t>XXX（维权援助机构名称）:</w:t>
      </w:r>
    </w:p>
    <w:p>
      <w:pPr>
        <w:tabs>
          <w:tab w:val="left" w:pos="9898"/>
        </w:tabs>
        <w:spacing w:before="113"/>
        <w:ind w:left="1093" w:right="0" w:firstLine="0"/>
        <w:jc w:val="left"/>
        <w:rPr>
          <w:rFonts w:ascii="Times New Roman" w:eastAsia="Times New Roman"/>
          <w:sz w:val="28"/>
        </w:rPr>
      </w:pPr>
      <w:r>
        <w:rPr>
          <w:rFonts w:ascii="Arial Unicode MS" w:eastAsia="Arial Unicode MS" w:hint="eastAsia"/>
          <w:spacing w:val="-1"/>
          <w:sz w:val="28"/>
        </w:rPr>
        <w:t>我</w:t>
      </w:r>
      <w:r>
        <w:rPr>
          <w:rFonts w:ascii="Arial Unicode MS" w:eastAsia="Arial Unicode MS" w:hint="eastAsia"/>
          <w:sz w:val="28"/>
        </w:rPr>
        <w:t>单位因</w:t>
      </w:r>
      <w:r>
        <w:rPr>
          <w:rFonts w:ascii="Times New Roman" w:eastAsia="Times New Roman"/>
          <w:sz w:val="28"/>
          <w:u w:val="single"/>
        </w:rPr>
        <w:t xml:space="preserve"> </w:t>
        <w:tab/>
      </w:r>
    </w:p>
    <w:p>
      <w:pPr>
        <w:tabs>
          <w:tab w:val="left" w:pos="4302"/>
        </w:tabs>
        <w:spacing w:before="113" w:line="295" w:lineRule="auto"/>
        <w:ind w:left="519" w:right="757" w:firstLine="0"/>
        <w:jc w:val="left"/>
        <w:rPr>
          <w:rFonts w:ascii="Arial Unicode MS" w:eastAsia="Arial Unicode MS" w:hint="eastAsia"/>
          <w:sz w:val="28"/>
        </w:rPr>
      </w:pPr>
      <w:r>
        <w:rPr>
          <w:rFonts w:ascii="Times New Roman" w:eastAsia="Times New Roman"/>
          <w:w w:val="100"/>
          <w:sz w:val="28"/>
          <w:u w:val="single"/>
        </w:rPr>
        <w:t xml:space="preserve"> </w:t>
      </w:r>
      <w:r>
        <w:rPr>
          <w:rFonts w:ascii="Times New Roman" w:eastAsia="Times New Roman"/>
          <w:sz w:val="28"/>
          <w:u w:val="single"/>
        </w:rPr>
        <w:tab/>
      </w:r>
      <w:r>
        <w:rPr>
          <w:rFonts w:ascii="Arial Unicode MS" w:eastAsia="Arial Unicode MS" w:hint="eastAsia"/>
          <w:spacing w:val="-8"/>
          <w:sz w:val="28"/>
        </w:rPr>
        <w:t>现委托贵单位对相关材料进行技术比对，提出</w:t>
      </w:r>
      <w:r>
        <w:rPr>
          <w:rFonts w:ascii="Arial Unicode MS" w:eastAsia="Arial Unicode MS" w:hint="eastAsia"/>
          <w:spacing w:val="-1"/>
          <w:sz w:val="28"/>
        </w:rPr>
        <w:t>侵权判定意见。</w:t>
      </w:r>
    </w:p>
    <w:p>
      <w:pPr>
        <w:spacing w:before="1" w:line="295" w:lineRule="auto"/>
        <w:ind w:left="882" w:right="8305" w:firstLine="0"/>
        <w:jc w:val="left"/>
        <w:rPr>
          <w:rFonts w:ascii="Arial Unicode MS" w:eastAsia="Arial Unicode MS" w:hint="eastAsia"/>
          <w:sz w:val="28"/>
        </w:rPr>
      </w:pPr>
      <w:r>
        <w:rPr>
          <w:rFonts w:ascii="Arial Unicode MS" w:eastAsia="Arial Unicode MS" w:hint="eastAsia"/>
          <w:sz w:val="28"/>
        </w:rPr>
        <w:t>专此委托。附件：XXX</w:t>
      </w:r>
    </w:p>
    <w:p>
      <w:pPr>
        <w:pStyle w:val="BodyText"/>
        <w:rPr>
          <w:rFonts w:ascii="Arial Unicode MS"/>
          <w:sz w:val="38"/>
        </w:rPr>
      </w:pPr>
    </w:p>
    <w:p>
      <w:pPr>
        <w:pStyle w:val="BodyText"/>
        <w:rPr>
          <w:rFonts w:ascii="Arial Unicode MS"/>
          <w:sz w:val="38"/>
        </w:rPr>
      </w:pPr>
    </w:p>
    <w:p>
      <w:pPr>
        <w:pStyle w:val="BodyText"/>
        <w:spacing w:before="8"/>
        <w:rPr>
          <w:rFonts w:ascii="Arial Unicode MS"/>
          <w:sz w:val="27"/>
        </w:rPr>
      </w:pPr>
    </w:p>
    <w:p>
      <w:pPr>
        <w:tabs>
          <w:tab w:val="left" w:pos="7396"/>
          <w:tab w:val="left" w:pos="7956"/>
        </w:tabs>
        <w:spacing w:before="0" w:line="295" w:lineRule="auto"/>
        <w:ind w:left="6835" w:right="2146" w:hanging="72"/>
        <w:jc w:val="left"/>
        <w:rPr>
          <w:rFonts w:ascii="Arial Unicode MS" w:eastAsia="Arial Unicode MS" w:hint="eastAsia"/>
          <w:sz w:val="28"/>
        </w:rPr>
      </w:pPr>
      <w:r>
        <w:rPr>
          <w:rFonts w:ascii="Arial Unicode MS" w:eastAsia="Arial Unicode MS" w:hint="eastAsia"/>
          <w:sz w:val="28"/>
        </w:rPr>
        <w:t>XXX（盖</w:t>
      </w:r>
      <w:r>
        <w:rPr>
          <w:rFonts w:ascii="Arial Unicode MS" w:eastAsia="Arial Unicode MS" w:hint="eastAsia"/>
          <w:spacing w:val="-3"/>
          <w:sz w:val="28"/>
        </w:rPr>
        <w:t>章</w:t>
      </w:r>
      <w:r>
        <w:rPr>
          <w:rFonts w:ascii="Arial Unicode MS" w:eastAsia="Arial Unicode MS" w:hint="eastAsia"/>
          <w:spacing w:val="-14"/>
          <w:sz w:val="28"/>
        </w:rPr>
        <w:t xml:space="preserve">） </w:t>
      </w:r>
      <w:r>
        <w:rPr>
          <w:rFonts w:ascii="Arial Unicode MS" w:eastAsia="Arial Unicode MS" w:hint="eastAsia"/>
          <w:sz w:val="28"/>
        </w:rPr>
        <w:t>年</w:t>
        <w:tab/>
        <w:t>月</w:t>
        <w:tab/>
        <w:t>日</w:t>
      </w:r>
    </w:p>
    <w:p>
      <w:pPr>
        <w:spacing w:after="0" w:line="295" w:lineRule="auto"/>
        <w:jc w:val="left"/>
        <w:rPr>
          <w:rFonts w:ascii="Arial Unicode MS" w:eastAsia="Arial Unicode MS" w:hint="eastAsia"/>
          <w:sz w:val="28"/>
        </w:rPr>
        <w:sectPr>
          <w:headerReference w:type="even" r:id="rId57"/>
          <w:headerReference w:type="default" r:id="rId58"/>
          <w:footerReference w:type="even" r:id="rId59"/>
          <w:footerReference w:type="default" r:id="rId60"/>
          <w:pgSz w:w="11920" w:h="16850"/>
          <w:pgMar w:top="1440" w:right="440" w:bottom="1440" w:left="880" w:header="1232" w:footer="1255"/>
          <w:pgNumType w:start="13"/>
          <w:cols w:space="708"/>
        </w:sect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spacing w:before="5"/>
        <w:rPr>
          <w:rFonts w:ascii="Arial Unicode MS"/>
          <w:sz w:val="15"/>
        </w:rPr>
      </w:pPr>
    </w:p>
    <w:p>
      <w:pPr>
        <w:pStyle w:val="BodyText"/>
        <w:rPr>
          <w:rFonts w:ascii="Arial Unicode MS"/>
          <w:sz w:val="2"/>
        </w:rPr>
      </w:pPr>
    </w:p>
    <w:p>
      <w:pPr>
        <w:pStyle w:val="BodyText"/>
        <w:rPr>
          <w:rFonts w:ascii="Arial Unicode MS"/>
          <w:sz w:val="2"/>
        </w:rPr>
      </w:pPr>
    </w:p>
    <w:p>
      <w:pPr>
        <w:pStyle w:val="BodyText"/>
        <w:spacing w:before="1"/>
        <w:rPr>
          <w:rFonts w:ascii="Arial Unicode MS"/>
          <w:sz w:val="2"/>
        </w:rPr>
      </w:pPr>
    </w:p>
    <w:p>
      <w:pPr>
        <w:spacing w:before="0" w:line="134" w:lineRule="auto"/>
        <w:ind w:left="4826" w:right="5754" w:firstLine="0"/>
        <w:jc w:val="center"/>
        <w:rPr>
          <w:sz w:val="2"/>
        </w:rPr>
      </w:pPr>
      <w:r>
        <w:rPr>
          <w:sz w:val="2"/>
        </w:rPr>
        <w:t>D D</w:t>
      </w:r>
    </w:p>
    <w:p>
      <w:pPr>
        <w:pStyle w:val="BodyText"/>
        <w:rPr>
          <w:sz w:val="2"/>
        </w:rPr>
      </w:pPr>
    </w:p>
    <w:p>
      <w:pPr>
        <w:pStyle w:val="BodyText"/>
        <w:spacing w:before="9"/>
        <w:rPr>
          <w:sz w:val="2"/>
        </w:rPr>
      </w:pPr>
    </w:p>
    <w:p>
      <w:pPr>
        <w:pStyle w:val="BodyText"/>
        <w:tabs>
          <w:tab w:val="left" w:pos="415"/>
          <w:tab w:val="left" w:pos="830"/>
        </w:tabs>
        <w:ind w:right="617"/>
        <w:jc w:val="center"/>
        <w:rPr>
          <w:rFonts w:ascii="黑体" w:eastAsia="黑体" w:hint="eastAsia"/>
        </w:rPr>
      </w:pPr>
      <w:bookmarkStart w:id="11" w:name="_bookmark11"/>
      <w:bookmarkEnd w:id="11"/>
      <w:r>
        <w:rPr>
          <w:rFonts w:ascii="黑体" w:eastAsia="黑体" w:hint="eastAsia"/>
        </w:rPr>
        <w:t>附</w:t>
        <w:tab/>
        <w:t>录</w:t>
        <w:tab/>
        <w:t>D</w:t>
      </w:r>
    </w:p>
    <w:p>
      <w:pPr>
        <w:pStyle w:val="BodyText"/>
        <w:spacing w:before="5" w:line="242" w:lineRule="auto"/>
        <w:ind w:left="4300" w:right="4815" w:firstLine="211"/>
        <w:rPr>
          <w:rFonts w:ascii="黑体" w:eastAsia="黑体" w:hint="eastAsia"/>
        </w:rPr>
      </w:pPr>
      <w:r>
        <w:rPr>
          <w:rFonts w:ascii="黑体" w:eastAsia="黑体" w:hint="eastAsia"/>
        </w:rPr>
        <w:t>（</w:t>
      </w:r>
      <w:r>
        <w:rPr>
          <w:rFonts w:ascii="黑体" w:eastAsia="黑体" w:hint="eastAsia"/>
          <w:spacing w:val="-2"/>
        </w:rPr>
        <w:t>规范性</w:t>
      </w:r>
      <w:r>
        <w:rPr>
          <w:rFonts w:ascii="黑体" w:eastAsia="黑体" w:hint="eastAsia"/>
        </w:rPr>
        <w:t xml:space="preserve">） </w:t>
      </w:r>
      <w:r>
        <w:rPr>
          <w:rFonts w:ascii="黑体" w:eastAsia="黑体" w:hint="eastAsia"/>
          <w:spacing w:val="-5"/>
        </w:rPr>
        <w:t>侵权判定咨询表</w:t>
      </w:r>
    </w:p>
    <w:p>
      <w:pPr>
        <w:pStyle w:val="BodyText"/>
        <w:spacing w:before="121"/>
        <w:ind w:left="661"/>
      </w:pPr>
      <w:r>
        <w:t>知识产权维权援助申请表按表 D.1 执行。</w:t>
      </w:r>
    </w:p>
    <w:p>
      <w:pPr>
        <w:pStyle w:val="BodyText"/>
        <w:tabs>
          <w:tab w:val="left" w:pos="789"/>
        </w:tabs>
        <w:spacing w:before="122"/>
        <w:ind w:right="514"/>
        <w:jc w:val="center"/>
        <w:rPr>
          <w:rFonts w:ascii="黑体" w:eastAsia="黑体" w:hint="eastAsia"/>
        </w:rPr>
      </w:pPr>
      <w:r>
        <w:rPr>
          <w:rFonts w:ascii="黑体" w:eastAsia="黑体" w:hint="eastAsia"/>
        </w:rPr>
        <w:t>表</w:t>
      </w:r>
      <w:r>
        <w:rPr>
          <w:rFonts w:ascii="黑体" w:eastAsia="黑体" w:hint="eastAsia"/>
          <w:spacing w:val="-53"/>
        </w:rPr>
        <w:t xml:space="preserve"> </w:t>
      </w:r>
      <w:r>
        <w:rPr>
          <w:rFonts w:ascii="黑体" w:eastAsia="黑体" w:hint="eastAsia"/>
        </w:rPr>
        <w:t>D.1</w:t>
        <w:tab/>
      </w:r>
      <w:r>
        <w:rPr>
          <w:rFonts w:ascii="黑体" w:eastAsia="黑体" w:hint="eastAsia"/>
          <w:spacing w:val="-3"/>
        </w:rPr>
        <w:t>侵</w:t>
      </w:r>
      <w:r>
        <w:rPr>
          <w:rFonts w:ascii="黑体" w:eastAsia="黑体" w:hint="eastAsia"/>
        </w:rPr>
        <w:t>权</w:t>
      </w:r>
      <w:r>
        <w:rPr>
          <w:rFonts w:ascii="黑体" w:eastAsia="黑体" w:hint="eastAsia"/>
          <w:spacing w:val="-3"/>
        </w:rPr>
        <w:t>判</w:t>
      </w:r>
      <w:r>
        <w:rPr>
          <w:rFonts w:ascii="黑体" w:eastAsia="黑体" w:hint="eastAsia"/>
        </w:rPr>
        <w:t>定</w:t>
      </w:r>
      <w:r>
        <w:rPr>
          <w:rFonts w:ascii="黑体" w:eastAsia="黑体" w:hint="eastAsia"/>
          <w:spacing w:val="-3"/>
        </w:rPr>
        <w:t>咨</w:t>
      </w:r>
      <w:r>
        <w:rPr>
          <w:rFonts w:ascii="黑体" w:eastAsia="黑体" w:hint="eastAsia"/>
        </w:rPr>
        <w:t>询表</w:t>
      </w:r>
    </w:p>
    <w:p>
      <w:pPr>
        <w:spacing w:before="124" w:after="3"/>
        <w:ind w:left="2950" w:right="517" w:firstLine="0"/>
        <w:jc w:val="center"/>
        <w:rPr>
          <w:sz w:val="28"/>
        </w:rPr>
      </w:pPr>
      <w:r>
        <w:rPr>
          <w:sz w:val="28"/>
        </w:rPr>
        <w:t>编号：</w:t>
      </w:r>
    </w:p>
    <w:tbl>
      <w:tblPr>
        <w:tblStyle w:val="TableNormal3"/>
        <w:tblW w:w="0" w:type="auto"/>
        <w:jc w:val="left"/>
        <w:tblInd w:w="3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65"/>
        <w:gridCol w:w="1424"/>
        <w:gridCol w:w="1284"/>
        <w:gridCol w:w="1781"/>
        <w:gridCol w:w="1037"/>
        <w:gridCol w:w="2024"/>
      </w:tblGrid>
      <w:tr>
        <w:tblPrEx>
          <w:tblW w:w="0" w:type="auto"/>
          <w:jc w:val="left"/>
          <w:tblInd w:w="3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332"/>
          <w:jc w:val="left"/>
        </w:trPr>
        <w:tc>
          <w:tcPr>
            <w:tcW w:w="1565" w:type="dxa"/>
          </w:tcPr>
          <w:p>
            <w:pPr>
              <w:pStyle w:val="TableParagraph"/>
              <w:rPr>
                <w:sz w:val="24"/>
              </w:rPr>
            </w:pPr>
          </w:p>
          <w:p>
            <w:pPr>
              <w:pStyle w:val="TableParagraph"/>
              <w:spacing w:before="204"/>
              <w:ind w:left="302"/>
              <w:rPr>
                <w:sz w:val="24"/>
              </w:rPr>
            </w:pPr>
            <w:r>
              <w:rPr>
                <w:sz w:val="24"/>
              </w:rPr>
              <w:t>咨询单位</w:t>
            </w:r>
          </w:p>
        </w:tc>
        <w:tc>
          <w:tcPr>
            <w:tcW w:w="1424" w:type="dxa"/>
          </w:tcPr>
          <w:p>
            <w:pPr>
              <w:pStyle w:val="TableParagraph"/>
              <w:rPr>
                <w:rFonts w:ascii="Times New Roman"/>
                <w:sz w:val="22"/>
              </w:rPr>
            </w:pPr>
          </w:p>
        </w:tc>
        <w:tc>
          <w:tcPr>
            <w:tcW w:w="1284" w:type="dxa"/>
          </w:tcPr>
          <w:p>
            <w:pPr>
              <w:pStyle w:val="TableParagraph"/>
              <w:spacing w:before="9"/>
              <w:rPr>
                <w:sz w:val="27"/>
              </w:rPr>
            </w:pPr>
          </w:p>
          <w:p>
            <w:pPr>
              <w:pStyle w:val="TableParagraph"/>
              <w:spacing w:line="242" w:lineRule="auto"/>
              <w:ind w:left="160" w:right="151"/>
              <w:rPr>
                <w:sz w:val="24"/>
              </w:rPr>
            </w:pPr>
            <w:r>
              <w:rPr>
                <w:sz w:val="24"/>
              </w:rPr>
              <w:t>经办人及联系方式</w:t>
            </w:r>
          </w:p>
        </w:tc>
        <w:tc>
          <w:tcPr>
            <w:tcW w:w="1781" w:type="dxa"/>
          </w:tcPr>
          <w:p>
            <w:pPr>
              <w:pStyle w:val="TableParagraph"/>
              <w:rPr>
                <w:rFonts w:ascii="Times New Roman"/>
                <w:sz w:val="22"/>
              </w:rPr>
            </w:pPr>
          </w:p>
        </w:tc>
        <w:tc>
          <w:tcPr>
            <w:tcW w:w="1037" w:type="dxa"/>
          </w:tcPr>
          <w:p>
            <w:pPr>
              <w:pStyle w:val="TableParagraph"/>
              <w:spacing w:before="9"/>
              <w:rPr>
                <w:sz w:val="27"/>
              </w:rPr>
            </w:pPr>
          </w:p>
          <w:p>
            <w:pPr>
              <w:pStyle w:val="TableParagraph"/>
              <w:spacing w:line="242" w:lineRule="auto"/>
              <w:ind w:left="277" w:right="267"/>
              <w:rPr>
                <w:sz w:val="24"/>
              </w:rPr>
            </w:pPr>
            <w:r>
              <w:rPr>
                <w:sz w:val="24"/>
              </w:rPr>
              <w:t>咨询日期</w:t>
            </w:r>
          </w:p>
        </w:tc>
        <w:tc>
          <w:tcPr>
            <w:tcW w:w="2024" w:type="dxa"/>
          </w:tcPr>
          <w:p>
            <w:pPr>
              <w:pStyle w:val="TableParagraph"/>
              <w:rPr>
                <w:rFonts w:ascii="Times New Roman"/>
                <w:sz w:val="22"/>
              </w:rPr>
            </w:pPr>
          </w:p>
        </w:tc>
      </w:tr>
      <w:tr>
        <w:tblPrEx>
          <w:tblW w:w="0" w:type="auto"/>
          <w:jc w:val="left"/>
          <w:tblInd w:w="385" w:type="dxa"/>
          <w:tblLayout w:type="fixed"/>
          <w:tblCellMar>
            <w:top w:w="0" w:type="dxa"/>
            <w:left w:w="0" w:type="dxa"/>
            <w:bottom w:w="0" w:type="dxa"/>
            <w:right w:w="0" w:type="dxa"/>
          </w:tblCellMar>
          <w:tblLook w:val="01E0"/>
        </w:tblPrEx>
        <w:trPr>
          <w:trHeight w:val="3707"/>
          <w:jc w:val="left"/>
        </w:trPr>
        <w:tc>
          <w:tcPr>
            <w:tcW w:w="1565" w:type="dxa"/>
          </w:tcPr>
          <w:p>
            <w:pPr>
              <w:pStyle w:val="TableParagraph"/>
              <w:rPr>
                <w:sz w:val="24"/>
              </w:rPr>
            </w:pPr>
          </w:p>
          <w:p>
            <w:pPr>
              <w:pStyle w:val="TableParagraph"/>
              <w:rPr>
                <w:sz w:val="24"/>
              </w:rPr>
            </w:pPr>
          </w:p>
          <w:p>
            <w:pPr>
              <w:pStyle w:val="TableParagraph"/>
              <w:rPr>
                <w:sz w:val="24"/>
              </w:rPr>
            </w:pPr>
          </w:p>
          <w:p>
            <w:pPr>
              <w:pStyle w:val="TableParagraph"/>
              <w:spacing w:before="6"/>
              <w:rPr>
                <w:sz w:val="32"/>
              </w:rPr>
            </w:pPr>
          </w:p>
          <w:p>
            <w:pPr>
              <w:pStyle w:val="TableParagraph"/>
              <w:spacing w:line="405" w:lineRule="auto"/>
              <w:ind w:left="422" w:right="410"/>
              <w:rPr>
                <w:sz w:val="24"/>
              </w:rPr>
            </w:pPr>
            <w:r>
              <w:rPr>
                <w:sz w:val="24"/>
              </w:rPr>
              <w:t>咨询事项说明</w:t>
            </w:r>
          </w:p>
        </w:tc>
        <w:tc>
          <w:tcPr>
            <w:tcW w:w="7550" w:type="dxa"/>
            <w:gridSpan w:val="5"/>
          </w:tcPr>
          <w:p>
            <w:pPr>
              <w:pStyle w:val="TableParagraph"/>
              <w:rPr>
                <w:rFonts w:ascii="Times New Roman"/>
                <w:sz w:val="22"/>
              </w:rPr>
            </w:pPr>
          </w:p>
        </w:tc>
      </w:tr>
      <w:tr>
        <w:tblPrEx>
          <w:tblW w:w="0" w:type="auto"/>
          <w:jc w:val="left"/>
          <w:tblInd w:w="385" w:type="dxa"/>
          <w:tblLayout w:type="fixed"/>
          <w:tblCellMar>
            <w:top w:w="0" w:type="dxa"/>
            <w:left w:w="0" w:type="dxa"/>
            <w:bottom w:w="0" w:type="dxa"/>
            <w:right w:w="0" w:type="dxa"/>
          </w:tblCellMar>
          <w:tblLook w:val="01E0"/>
        </w:tblPrEx>
        <w:trPr>
          <w:trHeight w:val="4180"/>
          <w:jc w:val="left"/>
        </w:trPr>
        <w:tc>
          <w:tcPr>
            <w:tcW w:w="1565"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11"/>
              <w:rPr>
                <w:sz w:val="26"/>
              </w:rPr>
            </w:pPr>
          </w:p>
          <w:p>
            <w:pPr>
              <w:pStyle w:val="TableParagraph"/>
              <w:spacing w:line="405" w:lineRule="auto"/>
              <w:ind w:left="662" w:right="170" w:hanging="480"/>
              <w:rPr>
                <w:sz w:val="24"/>
              </w:rPr>
            </w:pPr>
            <w:r>
              <w:rPr>
                <w:sz w:val="24"/>
              </w:rPr>
              <w:t>接收材料清单</w:t>
            </w:r>
          </w:p>
        </w:tc>
        <w:tc>
          <w:tcPr>
            <w:tcW w:w="7550" w:type="dxa"/>
            <w:gridSpan w:val="5"/>
          </w:tcPr>
          <w:p>
            <w:pPr>
              <w:pStyle w:val="TableParagraph"/>
              <w:rPr>
                <w:rFonts w:ascii="Times New Roman"/>
                <w:sz w:val="22"/>
              </w:rPr>
            </w:pPr>
          </w:p>
        </w:tc>
      </w:tr>
    </w:tbl>
    <w:p>
      <w:pPr>
        <w:spacing w:after="0"/>
        <w:rPr>
          <w:rFonts w:ascii="Times New Roman"/>
          <w:sz w:val="22"/>
        </w:rPr>
      </w:pPr>
      <w:r>
        <w:rPr>
          <w:rFonts w:ascii="Times New Roman"/>
          <w:sz w:val="22"/>
        </w:rPr>
        <w:br/>
      </w:r>
      <w:r>
        <w:rPr>
          <w:rFonts w:ascii="Times New Roman"/>
          <w:sz w:val="2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1" w:history="1">
        <w:r>
          <w:rPr>
            <w:rFonts w:ascii="SimSun" w:eastAsia="SimSun" w:hAnsi="SimSun" w:cs="SimSun"/>
            <w:b/>
            <w:bCs/>
            <w:color w:val="0000EE"/>
            <w:sz w:val="30"/>
            <w:szCs w:val="30"/>
            <w:u w:val="single" w:color="0000EE"/>
          </w:rPr>
          <w:t>https://d.book118.com/588036010114006036</w:t>
        </w:r>
      </w:hyperlink>
    </w:p>
    <w:p>
      <w:pPr>
        <w:spacing w:after="0"/>
        <w:rPr>
          <w:rFonts w:ascii="Times New Roman"/>
          <w:sz w:val="22"/>
        </w:rPr>
      </w:pPr>
    </w:p>
    <w:sectPr>
      <w:headerReference w:type="even" r:id="rId62"/>
      <w:headerReference w:type="default" r:id="rId63"/>
      <w:footerReference w:type="even" r:id="rId64"/>
      <w:footerReference w:type="default" r:id="rId65"/>
      <w:pgSz w:w="11920" w:h="16850"/>
      <w:pgMar w:top="620" w:right="440" w:bottom="1440" w:left="880" w:header="416" w:footer="1255"/>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Wingdings 3">
    <w:altName w:val="Wingdings 3"/>
    <w:charset w:val="02"/>
    <w:family w:val="roman"/>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 w:name="Arial Unicode MS">
    <w:altName w:val="Arial Unicode MS"/>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5.7pt;height:11pt;margin-top:768.27pt;margin-left:520.74pt;mso-position-horizontal-relative:page;mso-position-vertical-relative:page;position:absolute;z-index:-251658240" filled="f" stroked="f">
          <v:textbox inset="0,0,0,0">
            <w:txbxContent>
              <w:p>
                <w:pPr>
                  <w:spacing w:before="0" w:line="220" w:lineRule="exact"/>
                  <w:ind w:left="20" w:right="0" w:firstLine="0"/>
                  <w:jc w:val="left"/>
                  <w:rPr>
                    <w:sz w:val="18"/>
                  </w:rPr>
                </w:pPr>
                <w:r>
                  <w:rPr>
                    <w:sz w:val="18"/>
                  </w:rPr>
                  <w:t>III</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7pt;height:11pt;margin-top:768.27pt;margin-left:520.74pt;mso-position-horizontal-relative:page;mso-position-vertical-relative:page;position:absolute;z-index:-251657216" filled="f" stroked="f">
          <v:textbox inset="0,0,0,0">
            <w:txbxContent>
              <w:p>
                <w:pPr>
                  <w:spacing w:before="0" w:line="220" w:lineRule="exact"/>
                  <w:ind w:left="20" w:right="0" w:firstLine="0"/>
                  <w:jc w:val="left"/>
                  <w:rPr>
                    <w:sz w:val="18"/>
                  </w:rPr>
                </w:pPr>
                <w:r>
                  <w:rPr>
                    <w:sz w:val="18"/>
                  </w:rPr>
                  <w:t>III</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0.5pt;height:11pt;margin-top:768.27pt;margin-left:53.28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5.15pt;height:11pt;margin-top:768.27pt;margin-left:523.3pt;mso-position-horizontal-relative:page;mso-position-vertical-relative:page;position:absolute;z-index:-2516561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0.5pt;height:11pt;margin-top:768.27pt;margin-left:53.28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5.15pt;height:11pt;margin-top:768.27pt;margin-left:523.3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0.5pt;height:11pt;margin-top:768.27pt;margin-left:53.28pt;mso-position-horizontal-relative:page;mso-position-vertical-relative:page;position:absolute;z-index:-25165107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5.15pt;height:11pt;margin-top:768.27pt;margin-left:523.3pt;mso-position-horizontal-relative:page;mso-position-vertical-relative:page;position:absolute;z-index:-25165209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5.15pt;height:11pt;margin-top:768.27pt;margin-left:53.28pt;mso-position-horizontal-relative:page;mso-position-vertical-relative:page;position:absolute;z-index:-25165004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0.5pt;height:11pt;margin-top:768.27pt;margin-left:527.74pt;mso-position-horizontal-relative:page;mso-position-vertical-relative:page;position:absolute;z-index:-25164902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5.15pt;height:11pt;margin-top:768.27pt;margin-left:53.28pt;mso-position-horizontal-relative:page;mso-position-vertical-relative:page;position:absolute;z-index:-25164800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20</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0.5pt;height:11pt;margin-top:768.27pt;margin-left:527.74pt;mso-position-horizontal-relative:page;mso-position-vertical-relative:page;position:absolute;z-index:-25164697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5.15pt;height:11pt;margin-top:768.27pt;margin-left:53.28pt;mso-position-horizontal-relative:page;mso-position-vertical-relative:page;position:absolute;z-index:-25164595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6</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0.5pt;height:11pt;margin-top:768.27pt;margin-left:527.74pt;mso-position-horizontal-relative:page;mso-position-vertical-relative:page;position:absolute;z-index:-25164492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21</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5.15pt;height:11pt;margin-top:768.27pt;margin-left:53.28pt;mso-position-horizontal-relative:page;mso-position-vertical-relative:page;position:absolute;z-index:-25164390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20</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0.5pt;height:11pt;margin-top:768.27pt;margin-left:527.74pt;mso-position-horizontal-relative:page;mso-position-vertical-relative:page;position:absolute;z-index:-25164288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5.15pt;height:11pt;margin-top:768.27pt;margin-left:53.28pt;mso-position-horizontal-relative:page;mso-position-vertical-relative:page;position:absolute;z-index:-25164185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8</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0.5pt;height:11pt;margin-top:768.27pt;margin-left:527.74pt;mso-position-horizontal-relative:page;mso-position-vertical-relative:page;position:absolute;z-index:-25164083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21</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5.15pt;height:11pt;margin-top:768.27pt;margin-left:53.28pt;mso-position-horizontal-relative:page;mso-position-vertical-relative:page;position:absolute;z-index:-25163980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0.5pt;height:11pt;margin-top:768.27pt;margin-left:527.74pt;mso-position-horizontal-relative:page;mso-position-vertical-relative:page;position:absolute;z-index:-25163878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9</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5.15pt;height:11pt;margin-top:768.27pt;margin-left:53.28pt;mso-position-horizontal-relative:page;mso-position-vertical-relative:page;position:absolute;z-index:-25163776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10</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0.5pt;height:11pt;margin-top:768.27pt;margin-left:527.74pt;mso-position-horizontal-relative:page;mso-position-vertical-relative:page;position:absolute;z-index:-25163673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21</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5.15pt;height:11pt;margin-top:768.27pt;margin-left:53.28pt;mso-position-horizontal-relative:page;mso-position-vertical-relative:page;position:absolute;z-index:-25163571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20</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0.5pt;height:11pt;margin-top:768.27pt;margin-left:527.74pt;mso-position-horizontal-relative:page;mso-position-vertical-relative:page;position:absolute;z-index:-25163468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11</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5.15pt;height:11pt;margin-top:768.27pt;margin-left:53.28pt;mso-position-horizontal-relative:page;mso-position-vertical-relative:page;position:absolute;z-index:-25163366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12</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10.5pt;height:11pt;margin-top:768.27pt;margin-left:527.74pt;mso-position-horizontal-relative:page;mso-position-vertical-relative:page;position:absolute;z-index:-25163264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21</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5.15pt;height:11pt;margin-top:768.27pt;margin-left:53.28pt;mso-position-horizontal-relative:page;mso-position-vertical-relative:page;position:absolute;z-index:-25163161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20</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10.5pt;height:11pt;margin-top:768.27pt;margin-left:527.74pt;mso-position-horizontal-relative:page;mso-position-vertical-relative:page;position:absolute;z-index:-2516305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13</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15.15pt;height:11pt;margin-top:768.27pt;margin-left:53.28pt;mso-position-horizontal-relative:page;mso-position-vertical-relative:page;position:absolute;z-index:-2516295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14</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10.5pt;height:11pt;margin-top:768.27pt;margin-left:527.74pt;mso-position-horizontal-relative:page;mso-position-vertical-relative:page;position:absolute;z-index:-2516285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21</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1.45pt;height:12.6pt;margin-top:19.8pt;margin-left:55.04pt;mso-position-horizontal-relative:page;mso-position-vertical-relative:page;position:absolute;z-index:-251657216"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1.45pt;height:12.6pt;margin-top:60.6pt;margin-left:433.11pt;mso-position-horizontal-relative:page;mso-position-vertical-relative:page;position:absolute;z-index:-251658240"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1.45pt;height:12.6pt;margin-top:19.8pt;margin-left:55.04pt;mso-position-horizontal-relative:page;mso-position-vertical-relative:page;position:absolute;z-index:-251655168"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1.45pt;height:12.6pt;margin-top:60.6pt;margin-left:433.11pt;mso-position-horizontal-relative:page;mso-position-vertical-relative:page;position:absolute;z-index:-251656192"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91.45pt;height:12.6pt;margin-top:19.8pt;margin-left:55.04pt;mso-position-horizontal-relative:page;mso-position-vertical-relative:page;position:absolute;z-index:-251653120"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1.45pt;height:12.6pt;margin-top:60.6pt;margin-left:433.11pt;mso-position-horizontal-relative:page;mso-position-vertical-relative:page;position:absolute;z-index:-251654144"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91.45pt;height:12.6pt;margin-top:19.8pt;margin-left:55.04pt;mso-position-horizontal-relative:page;mso-position-vertical-relative:page;position:absolute;z-index:-251652096"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1.45pt;height:12.6pt;margin-top:60.6pt;margin-left:433.11pt;mso-position-horizontal-relative:page;mso-position-vertical-relative:page;position:absolute;z-index:-251651072"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91.45pt;height:12.6pt;margin-top:19.8pt;margin-left:55.04pt;mso-position-horizontal-relative:page;mso-position-vertical-relative:page;position:absolute;z-index:-251650048"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91.45pt;height:12.6pt;margin-top:60.6pt;margin-left:433.11pt;mso-position-horizontal-relative:page;mso-position-vertical-relative:page;position:absolute;z-index:-251649024"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91.45pt;height:12.6pt;margin-top:19.8pt;margin-left:55.04pt;mso-position-horizontal-relative:page;mso-position-vertical-relative:page;position:absolute;z-index:-251648000"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91.45pt;height:12.6pt;margin-top:60.6pt;margin-left:433.11pt;mso-position-horizontal-relative:page;mso-position-vertical-relative:page;position:absolute;z-index:-251646976"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91.45pt;height:12.6pt;margin-top:19.8pt;margin-left:55.04pt;mso-position-horizontal-relative:page;mso-position-vertical-relative:page;position:absolute;z-index:-251645952"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91.45pt;height:12.6pt;margin-top:60.6pt;margin-left:433.11pt;mso-position-horizontal-relative:page;mso-position-vertical-relative:page;position:absolute;z-index:-251644928"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91.45pt;height:12.6pt;margin-top:19.8pt;margin-left:55.04pt;mso-position-horizontal-relative:page;mso-position-vertical-relative:page;position:absolute;z-index:-251643904"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91.45pt;height:12.6pt;margin-top:60.6pt;margin-left:433.11pt;mso-position-horizontal-relative:page;mso-position-vertical-relative:page;position:absolute;z-index:-251642880"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91.45pt;height:12.6pt;margin-top:19.8pt;margin-left:55.04pt;mso-position-horizontal-relative:page;mso-position-vertical-relative:page;position:absolute;z-index:-251641856"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91.45pt;height:12.6pt;margin-top:60.6pt;margin-left:433.11pt;mso-position-horizontal-relative:page;mso-position-vertical-relative:page;position:absolute;z-index:-251640832"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91.45pt;height:12.6pt;margin-top:19.8pt;margin-left:55.04pt;mso-position-horizontal-relative:page;mso-position-vertical-relative:page;position:absolute;z-index:-251639808"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91.45pt;height:12.6pt;margin-top:60.6pt;margin-left:433.11pt;mso-position-horizontal-relative:page;mso-position-vertical-relative:page;position:absolute;z-index:-251638784"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91.45pt;height:12.6pt;margin-top:19.8pt;margin-left:55.04pt;mso-position-horizontal-relative:page;mso-position-vertical-relative:page;position:absolute;z-index:-251637760"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91.45pt;height:12.6pt;margin-top:60.6pt;margin-left:433.11pt;mso-position-horizontal-relative:page;mso-position-vertical-relative:page;position:absolute;z-index:-251636736"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91.45pt;height:12.6pt;margin-top:19.8pt;margin-left:55.04pt;mso-position-horizontal-relative:page;mso-position-vertical-relative:page;position:absolute;z-index:-251635712"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91.45pt;height:12.6pt;margin-top:60.6pt;margin-left:433.11pt;mso-position-horizontal-relative:page;mso-position-vertical-relative:page;position:absolute;z-index:-251634688"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91.45pt;height:12.6pt;margin-top:19.8pt;margin-left:55.04pt;mso-position-horizontal-relative:page;mso-position-vertical-relative:page;position:absolute;z-index:-251633664"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91.45pt;height:12.6pt;margin-top:60.6pt;margin-left:433.11pt;mso-position-horizontal-relative:page;mso-position-vertical-relative:page;position:absolute;z-index:-251632640"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91.45pt;height:12.6pt;margin-top:19.8pt;margin-left:55.04pt;mso-position-horizontal-relative:page;mso-position-vertical-relative:page;position:absolute;z-index:-251631616"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91.45pt;height:12.6pt;margin-top:60.6pt;margin-left:433.11pt;mso-position-horizontal-relative:page;mso-position-vertical-relative:page;position:absolute;z-index:-251630592" filled="f" stroked="f">
          <v:textbox inset="0,0,0,0">
            <w:txbxContent>
              <w:p>
                <w:pPr>
                  <w:pStyle w:val="BodyText"/>
                  <w:spacing w:line="251" w:lineRule="exact"/>
                  <w:ind w:left="20"/>
                  <w:rPr>
                    <w:rFonts w:ascii="黑体" w:hAnsi="黑体"/>
                  </w:rPr>
                </w:pPr>
                <w:r>
                  <w:rPr>
                    <w:rFonts w:ascii="黑体" w:hAnsi="黑体"/>
                  </w:rPr>
                  <w:t>DB14/T 2983—2024</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EE6C4"/>
    <w:multiLevelType w:val="hybridMultilevel"/>
    <w:tmpl w:val="00000000"/>
    <w:lvl w:ilvl="0">
      <w:start w:val="1"/>
      <w:numFmt w:val="decimal"/>
      <w:lvlText w:val="%1"/>
      <w:lvlJc w:val="left"/>
      <w:pPr>
        <w:ind w:left="558" w:hanging="318"/>
        <w:jc w:val="left"/>
      </w:pPr>
      <w:rPr>
        <w:rFonts w:ascii="宋体" w:eastAsia="宋体" w:hAnsi="宋体" w:cs="宋体" w:hint="default"/>
        <w:w w:val="100"/>
        <w:sz w:val="21"/>
        <w:szCs w:val="21"/>
        <w:lang w:val="en-US" w:eastAsia="zh-CN" w:bidi="ar-SA"/>
      </w:rPr>
    </w:lvl>
    <w:lvl w:ilvl="1">
      <w:start w:val="0"/>
      <w:numFmt w:val="bullet"/>
      <w:lvlText w:val="•"/>
      <w:lvlJc w:val="left"/>
      <w:pPr>
        <w:ind w:left="1563" w:hanging="318"/>
      </w:pPr>
      <w:rPr>
        <w:rFonts w:hint="default"/>
        <w:lang w:val="en-US" w:eastAsia="zh-CN" w:bidi="ar-SA"/>
      </w:rPr>
    </w:lvl>
    <w:lvl w:ilvl="2">
      <w:start w:val="0"/>
      <w:numFmt w:val="bullet"/>
      <w:lvlText w:val="•"/>
      <w:lvlJc w:val="left"/>
      <w:pPr>
        <w:ind w:left="2566" w:hanging="318"/>
      </w:pPr>
      <w:rPr>
        <w:rFonts w:hint="default"/>
        <w:lang w:val="en-US" w:eastAsia="zh-CN" w:bidi="ar-SA"/>
      </w:rPr>
    </w:lvl>
    <w:lvl w:ilvl="3">
      <w:start w:val="0"/>
      <w:numFmt w:val="bullet"/>
      <w:lvlText w:val="•"/>
      <w:lvlJc w:val="left"/>
      <w:pPr>
        <w:ind w:left="3569" w:hanging="318"/>
      </w:pPr>
      <w:rPr>
        <w:rFonts w:hint="default"/>
        <w:lang w:val="en-US" w:eastAsia="zh-CN" w:bidi="ar-SA"/>
      </w:rPr>
    </w:lvl>
    <w:lvl w:ilvl="4">
      <w:start w:val="0"/>
      <w:numFmt w:val="bullet"/>
      <w:lvlText w:val="•"/>
      <w:lvlJc w:val="left"/>
      <w:pPr>
        <w:ind w:left="4572" w:hanging="318"/>
      </w:pPr>
      <w:rPr>
        <w:rFonts w:hint="default"/>
        <w:lang w:val="en-US" w:eastAsia="zh-CN" w:bidi="ar-SA"/>
      </w:rPr>
    </w:lvl>
    <w:lvl w:ilvl="5">
      <w:start w:val="0"/>
      <w:numFmt w:val="bullet"/>
      <w:lvlText w:val="•"/>
      <w:lvlJc w:val="left"/>
      <w:pPr>
        <w:ind w:left="5575" w:hanging="318"/>
      </w:pPr>
      <w:rPr>
        <w:rFonts w:hint="default"/>
        <w:lang w:val="en-US" w:eastAsia="zh-CN" w:bidi="ar-SA"/>
      </w:rPr>
    </w:lvl>
    <w:lvl w:ilvl="6">
      <w:start w:val="0"/>
      <w:numFmt w:val="bullet"/>
      <w:lvlText w:val="•"/>
      <w:lvlJc w:val="left"/>
      <w:pPr>
        <w:ind w:left="6578" w:hanging="318"/>
      </w:pPr>
      <w:rPr>
        <w:rFonts w:hint="default"/>
        <w:lang w:val="en-US" w:eastAsia="zh-CN" w:bidi="ar-SA"/>
      </w:rPr>
    </w:lvl>
    <w:lvl w:ilvl="7">
      <w:start w:val="0"/>
      <w:numFmt w:val="bullet"/>
      <w:lvlText w:val="•"/>
      <w:lvlJc w:val="left"/>
      <w:pPr>
        <w:ind w:left="7581" w:hanging="318"/>
      </w:pPr>
      <w:rPr>
        <w:rFonts w:hint="default"/>
        <w:lang w:val="en-US" w:eastAsia="zh-CN" w:bidi="ar-SA"/>
      </w:rPr>
    </w:lvl>
    <w:lvl w:ilvl="8">
      <w:start w:val="0"/>
      <w:numFmt w:val="bullet"/>
      <w:lvlText w:val="•"/>
      <w:lvlJc w:val="left"/>
      <w:pPr>
        <w:ind w:left="8584" w:hanging="318"/>
      </w:pPr>
      <w:rPr>
        <w:rFonts w:hint="default"/>
        <w:lang w:val="en-US" w:eastAsia="zh-CN" w:bidi="ar-SA"/>
      </w:rPr>
    </w:lvl>
  </w:abstractNum>
  <w:abstractNum w:abstractNumId="1">
    <w:nsid w:val="0CF065A9"/>
    <w:multiLevelType w:val="hybridMultilevel"/>
    <w:tmpl w:val="00000000"/>
    <w:lvl w:ilvl="0">
      <w:start w:val="0"/>
      <w:numFmt w:val="bullet"/>
      <w:lvlText w:val=""/>
      <w:lvlJc w:val="left"/>
      <w:pPr>
        <w:ind w:left="1510" w:hanging="418"/>
      </w:pPr>
      <w:rPr>
        <w:rFonts w:ascii="Wingdings 3" w:eastAsia="Wingdings 3" w:hAnsi="Wingdings 3" w:cs="Wingdings 3" w:hint="default"/>
        <w:w w:val="100"/>
        <w:sz w:val="21"/>
        <w:szCs w:val="21"/>
        <w:lang w:val="en-US" w:eastAsia="zh-CN" w:bidi="ar-SA"/>
      </w:rPr>
    </w:lvl>
    <w:lvl w:ilvl="1">
      <w:start w:val="0"/>
      <w:numFmt w:val="bullet"/>
      <w:lvlText w:val="•"/>
      <w:lvlJc w:val="left"/>
      <w:pPr>
        <w:ind w:left="2427" w:hanging="418"/>
      </w:pPr>
      <w:rPr>
        <w:rFonts w:hint="default"/>
        <w:lang w:val="en-US" w:eastAsia="zh-CN" w:bidi="ar-SA"/>
      </w:rPr>
    </w:lvl>
    <w:lvl w:ilvl="2">
      <w:start w:val="0"/>
      <w:numFmt w:val="bullet"/>
      <w:lvlText w:val="•"/>
      <w:lvlJc w:val="left"/>
      <w:pPr>
        <w:ind w:left="3334" w:hanging="418"/>
      </w:pPr>
      <w:rPr>
        <w:rFonts w:hint="default"/>
        <w:lang w:val="en-US" w:eastAsia="zh-CN" w:bidi="ar-SA"/>
      </w:rPr>
    </w:lvl>
    <w:lvl w:ilvl="3">
      <w:start w:val="0"/>
      <w:numFmt w:val="bullet"/>
      <w:lvlText w:val="•"/>
      <w:lvlJc w:val="left"/>
      <w:pPr>
        <w:ind w:left="4241" w:hanging="418"/>
      </w:pPr>
      <w:rPr>
        <w:rFonts w:hint="default"/>
        <w:lang w:val="en-US" w:eastAsia="zh-CN" w:bidi="ar-SA"/>
      </w:rPr>
    </w:lvl>
    <w:lvl w:ilvl="4">
      <w:start w:val="0"/>
      <w:numFmt w:val="bullet"/>
      <w:lvlText w:val="•"/>
      <w:lvlJc w:val="left"/>
      <w:pPr>
        <w:ind w:left="5148" w:hanging="418"/>
      </w:pPr>
      <w:rPr>
        <w:rFonts w:hint="default"/>
        <w:lang w:val="en-US" w:eastAsia="zh-CN" w:bidi="ar-SA"/>
      </w:rPr>
    </w:lvl>
    <w:lvl w:ilvl="5">
      <w:start w:val="0"/>
      <w:numFmt w:val="bullet"/>
      <w:lvlText w:val="•"/>
      <w:lvlJc w:val="left"/>
      <w:pPr>
        <w:ind w:left="6055" w:hanging="418"/>
      </w:pPr>
      <w:rPr>
        <w:rFonts w:hint="default"/>
        <w:lang w:val="en-US" w:eastAsia="zh-CN" w:bidi="ar-SA"/>
      </w:rPr>
    </w:lvl>
    <w:lvl w:ilvl="6">
      <w:start w:val="0"/>
      <w:numFmt w:val="bullet"/>
      <w:lvlText w:val="•"/>
      <w:lvlJc w:val="left"/>
      <w:pPr>
        <w:ind w:left="6962" w:hanging="418"/>
      </w:pPr>
      <w:rPr>
        <w:rFonts w:hint="default"/>
        <w:lang w:val="en-US" w:eastAsia="zh-CN" w:bidi="ar-SA"/>
      </w:rPr>
    </w:lvl>
    <w:lvl w:ilvl="7">
      <w:start w:val="0"/>
      <w:numFmt w:val="bullet"/>
      <w:lvlText w:val="•"/>
      <w:lvlJc w:val="left"/>
      <w:pPr>
        <w:ind w:left="7869" w:hanging="418"/>
      </w:pPr>
      <w:rPr>
        <w:rFonts w:hint="default"/>
        <w:lang w:val="en-US" w:eastAsia="zh-CN" w:bidi="ar-SA"/>
      </w:rPr>
    </w:lvl>
    <w:lvl w:ilvl="8">
      <w:start w:val="0"/>
      <w:numFmt w:val="bullet"/>
      <w:lvlText w:val="•"/>
      <w:lvlJc w:val="left"/>
      <w:pPr>
        <w:ind w:left="8776" w:hanging="418"/>
      </w:pPr>
      <w:rPr>
        <w:rFonts w:hint="default"/>
        <w:lang w:val="en-US" w:eastAsia="zh-CN" w:bidi="ar-SA"/>
      </w:rPr>
    </w:lvl>
  </w:abstractNum>
  <w:abstractNum w:abstractNumId="2">
    <w:nsid w:val="1E6159D8"/>
    <w:multiLevelType w:val="hybridMultilevel"/>
    <w:tmpl w:val="00000000"/>
    <w:lvl w:ilvl="0">
      <w:start w:val="6"/>
      <w:numFmt w:val="decimal"/>
      <w:lvlText w:val="%1"/>
      <w:lvlJc w:val="left"/>
      <w:pPr>
        <w:ind w:left="740" w:hanging="500"/>
        <w:jc w:val="left"/>
      </w:pPr>
      <w:rPr>
        <w:rFonts w:hint="default"/>
        <w:lang w:val="en-US" w:eastAsia="zh-CN" w:bidi="ar-SA"/>
      </w:rPr>
    </w:lvl>
    <w:lvl w:ilvl="1">
      <w:start w:val="4"/>
      <w:numFmt w:val="decimal"/>
      <w:lvlText w:val="%1.%2"/>
      <w:lvlJc w:val="left"/>
      <w:pPr>
        <w:ind w:left="740" w:hanging="500"/>
        <w:jc w:val="left"/>
      </w:pPr>
      <w:rPr>
        <w:rFonts w:ascii="黑体" w:eastAsia="黑体" w:hAnsi="黑体" w:cs="黑体" w:hint="default"/>
        <w:spacing w:val="0"/>
        <w:w w:val="99"/>
        <w:sz w:val="20"/>
        <w:szCs w:val="20"/>
        <w:lang w:val="en-US" w:eastAsia="zh-CN" w:bidi="ar-SA"/>
      </w:rPr>
    </w:lvl>
    <w:lvl w:ilvl="2">
      <w:start w:val="1"/>
      <w:numFmt w:val="decimal"/>
      <w:lvlText w:val="%1.%2.%3"/>
      <w:lvlJc w:val="left"/>
      <w:pPr>
        <w:ind w:left="942" w:hanging="702"/>
        <w:jc w:val="left"/>
      </w:pPr>
      <w:rPr>
        <w:rFonts w:ascii="黑体" w:eastAsia="黑体" w:hAnsi="黑体" w:cs="黑体" w:hint="default"/>
        <w:spacing w:val="-2"/>
        <w:w w:val="99"/>
        <w:sz w:val="20"/>
        <w:szCs w:val="20"/>
        <w:lang w:val="en-US" w:eastAsia="zh-CN" w:bidi="ar-SA"/>
      </w:rPr>
    </w:lvl>
    <w:lvl w:ilvl="3">
      <w:start w:val="1"/>
      <w:numFmt w:val="decimal"/>
      <w:lvlText w:val="%1.%2.%3.%4"/>
      <w:lvlJc w:val="left"/>
      <w:pPr>
        <w:ind w:left="1141" w:hanging="901"/>
        <w:jc w:val="left"/>
      </w:pPr>
      <w:rPr>
        <w:rFonts w:ascii="黑体" w:eastAsia="黑体" w:hAnsi="黑体" w:cs="黑体" w:hint="default"/>
        <w:spacing w:val="-2"/>
        <w:w w:val="99"/>
        <w:sz w:val="20"/>
        <w:szCs w:val="20"/>
        <w:lang w:val="en-US" w:eastAsia="zh-CN" w:bidi="ar-SA"/>
      </w:rPr>
    </w:lvl>
    <w:lvl w:ilvl="4">
      <w:start w:val="0"/>
      <w:numFmt w:val="bullet"/>
      <w:lvlText w:val="•"/>
      <w:lvlJc w:val="left"/>
      <w:pPr>
        <w:ind w:left="3502" w:hanging="901"/>
      </w:pPr>
      <w:rPr>
        <w:rFonts w:hint="default"/>
        <w:lang w:val="en-US" w:eastAsia="zh-CN" w:bidi="ar-SA"/>
      </w:rPr>
    </w:lvl>
    <w:lvl w:ilvl="5">
      <w:start w:val="0"/>
      <w:numFmt w:val="bullet"/>
      <w:lvlText w:val="•"/>
      <w:lvlJc w:val="left"/>
      <w:pPr>
        <w:ind w:left="4684" w:hanging="901"/>
      </w:pPr>
      <w:rPr>
        <w:rFonts w:hint="default"/>
        <w:lang w:val="en-US" w:eastAsia="zh-CN" w:bidi="ar-SA"/>
      </w:rPr>
    </w:lvl>
    <w:lvl w:ilvl="6">
      <w:start w:val="0"/>
      <w:numFmt w:val="bullet"/>
      <w:lvlText w:val="•"/>
      <w:lvlJc w:val="left"/>
      <w:pPr>
        <w:ind w:left="5865" w:hanging="901"/>
      </w:pPr>
      <w:rPr>
        <w:rFonts w:hint="default"/>
        <w:lang w:val="en-US" w:eastAsia="zh-CN" w:bidi="ar-SA"/>
      </w:rPr>
    </w:lvl>
    <w:lvl w:ilvl="7">
      <w:start w:val="0"/>
      <w:numFmt w:val="bullet"/>
      <w:lvlText w:val="•"/>
      <w:lvlJc w:val="left"/>
      <w:pPr>
        <w:ind w:left="7047" w:hanging="901"/>
      </w:pPr>
      <w:rPr>
        <w:rFonts w:hint="default"/>
        <w:lang w:val="en-US" w:eastAsia="zh-CN" w:bidi="ar-SA"/>
      </w:rPr>
    </w:lvl>
    <w:lvl w:ilvl="8">
      <w:start w:val="0"/>
      <w:numFmt w:val="bullet"/>
      <w:lvlText w:val="•"/>
      <w:lvlJc w:val="left"/>
      <w:pPr>
        <w:ind w:left="8228" w:hanging="901"/>
      </w:pPr>
      <w:rPr>
        <w:rFonts w:hint="default"/>
        <w:lang w:val="en-US" w:eastAsia="zh-CN" w:bidi="ar-SA"/>
      </w:rPr>
    </w:lvl>
  </w:abstractNum>
  <w:abstractNum w:abstractNumId="3">
    <w:nsid w:val="276B96A1"/>
    <w:multiLevelType w:val="hybridMultilevel"/>
    <w:tmpl w:val="00000000"/>
    <w:lvl w:ilvl="0">
      <w:start w:val="5"/>
      <w:numFmt w:val="decimal"/>
      <w:lvlText w:val="%1"/>
      <w:lvlJc w:val="left"/>
      <w:pPr>
        <w:ind w:left="942" w:hanging="702"/>
        <w:jc w:val="left"/>
      </w:pPr>
      <w:rPr>
        <w:rFonts w:hint="default"/>
        <w:lang w:val="en-US" w:eastAsia="zh-CN" w:bidi="ar-SA"/>
      </w:rPr>
    </w:lvl>
    <w:lvl w:ilvl="1">
      <w:start w:val="2"/>
      <w:numFmt w:val="decimal"/>
      <w:lvlText w:val="%1.%2"/>
      <w:lvlJc w:val="left"/>
      <w:pPr>
        <w:ind w:left="942" w:hanging="702"/>
        <w:jc w:val="left"/>
      </w:pPr>
      <w:rPr>
        <w:rFonts w:hint="default"/>
        <w:lang w:val="en-US" w:eastAsia="zh-CN" w:bidi="ar-SA"/>
      </w:rPr>
    </w:lvl>
    <w:lvl w:ilvl="2">
      <w:start w:val="3"/>
      <w:numFmt w:val="decimal"/>
      <w:lvlText w:val="%1.%2.%3"/>
      <w:lvlJc w:val="left"/>
      <w:pPr>
        <w:ind w:left="942" w:hanging="702"/>
        <w:jc w:val="left"/>
      </w:pPr>
      <w:rPr>
        <w:rFonts w:ascii="黑体" w:eastAsia="黑体" w:hAnsi="黑体" w:cs="黑体" w:hint="default"/>
        <w:spacing w:val="-2"/>
        <w:w w:val="99"/>
        <w:sz w:val="20"/>
        <w:szCs w:val="20"/>
        <w:lang w:val="en-US" w:eastAsia="zh-CN" w:bidi="ar-SA"/>
      </w:rPr>
    </w:lvl>
    <w:lvl w:ilvl="3">
      <w:start w:val="1"/>
      <w:numFmt w:val="decimal"/>
      <w:lvlText w:val="%1.%2.%3.%4"/>
      <w:lvlJc w:val="left"/>
      <w:pPr>
        <w:ind w:left="1141" w:hanging="901"/>
        <w:jc w:val="left"/>
      </w:pPr>
      <w:rPr>
        <w:rFonts w:ascii="黑体" w:eastAsia="黑体" w:hAnsi="黑体" w:cs="黑体" w:hint="default"/>
        <w:spacing w:val="-2"/>
        <w:w w:val="99"/>
        <w:sz w:val="20"/>
        <w:szCs w:val="20"/>
        <w:lang w:val="en-US" w:eastAsia="zh-CN" w:bidi="ar-SA"/>
      </w:rPr>
    </w:lvl>
    <w:lvl w:ilvl="4">
      <w:start w:val="1"/>
      <w:numFmt w:val="decimal"/>
      <w:lvlText w:val="%1.%2.%3.%4.%5"/>
      <w:lvlJc w:val="left"/>
      <w:pPr>
        <w:ind w:left="240" w:hanging="1100"/>
        <w:jc w:val="left"/>
      </w:pPr>
      <w:rPr>
        <w:rFonts w:ascii="黑体" w:eastAsia="黑体" w:hAnsi="黑体" w:cs="黑体" w:hint="default"/>
        <w:spacing w:val="-2"/>
        <w:w w:val="99"/>
        <w:sz w:val="20"/>
        <w:szCs w:val="20"/>
        <w:lang w:val="en-US" w:eastAsia="zh-CN" w:bidi="ar-SA"/>
      </w:rPr>
    </w:lvl>
    <w:lvl w:ilvl="5">
      <w:start w:val="0"/>
      <w:numFmt w:val="bullet"/>
      <w:lvlText w:val="•"/>
      <w:lvlJc w:val="left"/>
      <w:pPr>
        <w:ind w:left="4684" w:hanging="1100"/>
      </w:pPr>
      <w:rPr>
        <w:rFonts w:hint="default"/>
        <w:lang w:val="en-US" w:eastAsia="zh-CN" w:bidi="ar-SA"/>
      </w:rPr>
    </w:lvl>
    <w:lvl w:ilvl="6">
      <w:start w:val="0"/>
      <w:numFmt w:val="bullet"/>
      <w:lvlText w:val="•"/>
      <w:lvlJc w:val="left"/>
      <w:pPr>
        <w:ind w:left="5865" w:hanging="1100"/>
      </w:pPr>
      <w:rPr>
        <w:rFonts w:hint="default"/>
        <w:lang w:val="en-US" w:eastAsia="zh-CN" w:bidi="ar-SA"/>
      </w:rPr>
    </w:lvl>
    <w:lvl w:ilvl="7">
      <w:start w:val="0"/>
      <w:numFmt w:val="bullet"/>
      <w:lvlText w:val="•"/>
      <w:lvlJc w:val="left"/>
      <w:pPr>
        <w:ind w:left="7047" w:hanging="1100"/>
      </w:pPr>
      <w:rPr>
        <w:rFonts w:hint="default"/>
        <w:lang w:val="en-US" w:eastAsia="zh-CN" w:bidi="ar-SA"/>
      </w:rPr>
    </w:lvl>
    <w:lvl w:ilvl="8">
      <w:start w:val="0"/>
      <w:numFmt w:val="bullet"/>
      <w:lvlText w:val="•"/>
      <w:lvlJc w:val="left"/>
      <w:pPr>
        <w:ind w:left="8228" w:hanging="1100"/>
      </w:pPr>
      <w:rPr>
        <w:rFonts w:hint="default"/>
        <w:lang w:val="en-US" w:eastAsia="zh-CN" w:bidi="ar-SA"/>
      </w:rPr>
    </w:lvl>
  </w:abstractNum>
  <w:abstractNum w:abstractNumId="4">
    <w:nsid w:val="4428163E"/>
    <w:multiLevelType w:val="hybridMultilevel"/>
    <w:tmpl w:val="00000000"/>
    <w:lvl w:ilvl="0">
      <w:start w:val="0"/>
      <w:numFmt w:val="bullet"/>
      <w:lvlText w:val=""/>
      <w:lvlJc w:val="left"/>
      <w:pPr>
        <w:ind w:left="1510" w:hanging="418"/>
      </w:pPr>
      <w:rPr>
        <w:rFonts w:ascii="Wingdings 3" w:eastAsia="Wingdings 3" w:hAnsi="Wingdings 3" w:cs="Wingdings 3" w:hint="default"/>
        <w:w w:val="100"/>
        <w:sz w:val="21"/>
        <w:szCs w:val="21"/>
        <w:lang w:val="en-US" w:eastAsia="zh-CN" w:bidi="ar-SA"/>
      </w:rPr>
    </w:lvl>
    <w:lvl w:ilvl="1">
      <w:start w:val="0"/>
      <w:numFmt w:val="bullet"/>
      <w:lvlText w:val="•"/>
      <w:lvlJc w:val="left"/>
      <w:pPr>
        <w:ind w:left="2427" w:hanging="418"/>
      </w:pPr>
      <w:rPr>
        <w:rFonts w:hint="default"/>
        <w:lang w:val="en-US" w:eastAsia="zh-CN" w:bidi="ar-SA"/>
      </w:rPr>
    </w:lvl>
    <w:lvl w:ilvl="2">
      <w:start w:val="0"/>
      <w:numFmt w:val="bullet"/>
      <w:lvlText w:val="•"/>
      <w:lvlJc w:val="left"/>
      <w:pPr>
        <w:ind w:left="3334" w:hanging="418"/>
      </w:pPr>
      <w:rPr>
        <w:rFonts w:hint="default"/>
        <w:lang w:val="en-US" w:eastAsia="zh-CN" w:bidi="ar-SA"/>
      </w:rPr>
    </w:lvl>
    <w:lvl w:ilvl="3">
      <w:start w:val="0"/>
      <w:numFmt w:val="bullet"/>
      <w:lvlText w:val="•"/>
      <w:lvlJc w:val="left"/>
      <w:pPr>
        <w:ind w:left="4241" w:hanging="418"/>
      </w:pPr>
      <w:rPr>
        <w:rFonts w:hint="default"/>
        <w:lang w:val="en-US" w:eastAsia="zh-CN" w:bidi="ar-SA"/>
      </w:rPr>
    </w:lvl>
    <w:lvl w:ilvl="4">
      <w:start w:val="0"/>
      <w:numFmt w:val="bullet"/>
      <w:lvlText w:val="•"/>
      <w:lvlJc w:val="left"/>
      <w:pPr>
        <w:ind w:left="5148" w:hanging="418"/>
      </w:pPr>
      <w:rPr>
        <w:rFonts w:hint="default"/>
        <w:lang w:val="en-US" w:eastAsia="zh-CN" w:bidi="ar-SA"/>
      </w:rPr>
    </w:lvl>
    <w:lvl w:ilvl="5">
      <w:start w:val="0"/>
      <w:numFmt w:val="bullet"/>
      <w:lvlText w:val="•"/>
      <w:lvlJc w:val="left"/>
      <w:pPr>
        <w:ind w:left="6055" w:hanging="418"/>
      </w:pPr>
      <w:rPr>
        <w:rFonts w:hint="default"/>
        <w:lang w:val="en-US" w:eastAsia="zh-CN" w:bidi="ar-SA"/>
      </w:rPr>
    </w:lvl>
    <w:lvl w:ilvl="6">
      <w:start w:val="0"/>
      <w:numFmt w:val="bullet"/>
      <w:lvlText w:val="•"/>
      <w:lvlJc w:val="left"/>
      <w:pPr>
        <w:ind w:left="6962" w:hanging="418"/>
      </w:pPr>
      <w:rPr>
        <w:rFonts w:hint="default"/>
        <w:lang w:val="en-US" w:eastAsia="zh-CN" w:bidi="ar-SA"/>
      </w:rPr>
    </w:lvl>
    <w:lvl w:ilvl="7">
      <w:start w:val="0"/>
      <w:numFmt w:val="bullet"/>
      <w:lvlText w:val="•"/>
      <w:lvlJc w:val="left"/>
      <w:pPr>
        <w:ind w:left="7869" w:hanging="418"/>
      </w:pPr>
      <w:rPr>
        <w:rFonts w:hint="default"/>
        <w:lang w:val="en-US" w:eastAsia="zh-CN" w:bidi="ar-SA"/>
      </w:rPr>
    </w:lvl>
    <w:lvl w:ilvl="8">
      <w:start w:val="0"/>
      <w:numFmt w:val="bullet"/>
      <w:lvlText w:val="•"/>
      <w:lvlJc w:val="left"/>
      <w:pPr>
        <w:ind w:left="8776" w:hanging="418"/>
      </w:pPr>
      <w:rPr>
        <w:rFonts w:hint="default"/>
        <w:lang w:val="en-US" w:eastAsia="zh-CN" w:bidi="ar-SA"/>
      </w:rPr>
    </w:lvl>
  </w:abstractNum>
  <w:abstractNum w:abstractNumId="5">
    <w:nsid w:val="5E461AD5"/>
    <w:multiLevelType w:val="hybridMultilevel"/>
    <w:tmpl w:val="00000000"/>
    <w:lvl w:ilvl="0">
      <w:start w:val="1"/>
      <w:numFmt w:val="decimal"/>
      <w:lvlText w:val="%1"/>
      <w:lvlJc w:val="left"/>
      <w:pPr>
        <w:ind w:left="541" w:hanging="301"/>
        <w:jc w:val="left"/>
      </w:pPr>
      <w:rPr>
        <w:rFonts w:ascii="黑体" w:eastAsia="黑体" w:hAnsi="黑体" w:cs="黑体" w:hint="default"/>
        <w:w w:val="99"/>
        <w:sz w:val="20"/>
        <w:szCs w:val="20"/>
        <w:lang w:val="en-US" w:eastAsia="zh-CN" w:bidi="ar-SA"/>
      </w:rPr>
    </w:lvl>
    <w:lvl w:ilvl="1">
      <w:start w:val="1"/>
      <w:numFmt w:val="decimal"/>
      <w:lvlText w:val="%1.%2"/>
      <w:lvlJc w:val="left"/>
      <w:pPr>
        <w:ind w:left="543" w:hanging="303"/>
        <w:jc w:val="left"/>
      </w:pPr>
      <w:rPr>
        <w:rFonts w:ascii="黑体" w:eastAsia="黑体" w:hAnsi="黑体" w:cs="黑体" w:hint="default"/>
        <w:spacing w:val="1"/>
        <w:w w:val="99"/>
        <w:sz w:val="18"/>
        <w:szCs w:val="18"/>
        <w:lang w:val="en-US" w:eastAsia="zh-CN" w:bidi="ar-SA"/>
      </w:rPr>
    </w:lvl>
    <w:lvl w:ilvl="2">
      <w:start w:val="1"/>
      <w:numFmt w:val="decimal"/>
      <w:lvlText w:val="%1.%2.%3"/>
      <w:lvlJc w:val="left"/>
      <w:pPr>
        <w:ind w:left="942" w:hanging="702"/>
        <w:jc w:val="left"/>
      </w:pPr>
      <w:rPr>
        <w:rFonts w:ascii="黑体" w:eastAsia="黑体" w:hAnsi="黑体" w:cs="黑体" w:hint="default"/>
        <w:spacing w:val="-2"/>
        <w:w w:val="99"/>
        <w:sz w:val="20"/>
        <w:szCs w:val="20"/>
        <w:lang w:val="en-US" w:eastAsia="zh-CN" w:bidi="ar-SA"/>
      </w:rPr>
    </w:lvl>
    <w:lvl w:ilvl="3">
      <w:start w:val="1"/>
      <w:numFmt w:val="decimal"/>
      <w:lvlText w:val="%1.%2.%3.%4"/>
      <w:lvlJc w:val="left"/>
      <w:pPr>
        <w:ind w:left="1141" w:hanging="901"/>
        <w:jc w:val="left"/>
      </w:pPr>
      <w:rPr>
        <w:rFonts w:ascii="黑体" w:eastAsia="黑体" w:hAnsi="黑体" w:cs="黑体" w:hint="default"/>
        <w:spacing w:val="-2"/>
        <w:w w:val="99"/>
        <w:sz w:val="20"/>
        <w:szCs w:val="20"/>
        <w:lang w:val="en-US" w:eastAsia="zh-CN" w:bidi="ar-SA"/>
      </w:rPr>
    </w:lvl>
    <w:lvl w:ilvl="4">
      <w:start w:val="1"/>
      <w:numFmt w:val="decimal"/>
      <w:lvlText w:val="%1.%2.%3.%4.%5"/>
      <w:lvlJc w:val="left"/>
      <w:pPr>
        <w:ind w:left="240" w:hanging="1100"/>
        <w:jc w:val="left"/>
      </w:pPr>
      <w:rPr>
        <w:rFonts w:ascii="黑体" w:eastAsia="黑体" w:hAnsi="黑体" w:cs="黑体" w:hint="default"/>
        <w:spacing w:val="-2"/>
        <w:w w:val="99"/>
        <w:sz w:val="20"/>
        <w:szCs w:val="20"/>
        <w:lang w:val="en-US" w:eastAsia="zh-CN" w:bidi="ar-SA"/>
      </w:rPr>
    </w:lvl>
    <w:lvl w:ilvl="5">
      <w:start w:val="0"/>
      <w:numFmt w:val="bullet"/>
      <w:lvlText w:val=""/>
      <w:lvlJc w:val="left"/>
      <w:pPr>
        <w:ind w:left="1510" w:hanging="418"/>
      </w:pPr>
      <w:rPr>
        <w:rFonts w:ascii="Wingdings 3" w:eastAsia="Wingdings 3" w:hAnsi="Wingdings 3" w:cs="Wingdings 3" w:hint="default"/>
        <w:w w:val="100"/>
        <w:sz w:val="21"/>
        <w:szCs w:val="21"/>
        <w:lang w:val="en-US" w:eastAsia="zh-CN" w:bidi="ar-SA"/>
      </w:rPr>
    </w:lvl>
    <w:lvl w:ilvl="6">
      <w:start w:val="0"/>
      <w:numFmt w:val="bullet"/>
      <w:lvlText w:val="•"/>
      <w:lvlJc w:val="left"/>
      <w:pPr>
        <w:ind w:left="3334" w:hanging="418"/>
      </w:pPr>
      <w:rPr>
        <w:rFonts w:hint="default"/>
        <w:lang w:val="en-US" w:eastAsia="zh-CN" w:bidi="ar-SA"/>
      </w:rPr>
    </w:lvl>
    <w:lvl w:ilvl="7">
      <w:start w:val="0"/>
      <w:numFmt w:val="bullet"/>
      <w:lvlText w:val="•"/>
      <w:lvlJc w:val="left"/>
      <w:pPr>
        <w:ind w:left="5148" w:hanging="418"/>
      </w:pPr>
      <w:rPr>
        <w:rFonts w:hint="default"/>
        <w:lang w:val="en-US" w:eastAsia="zh-CN" w:bidi="ar-SA"/>
      </w:rPr>
    </w:lvl>
    <w:lvl w:ilvl="8">
      <w:start w:val="0"/>
      <w:numFmt w:val="bullet"/>
      <w:lvlText w:val="•"/>
      <w:lvlJc w:val="left"/>
      <w:pPr>
        <w:ind w:left="6962" w:hanging="418"/>
      </w:pPr>
      <w:rPr>
        <w:rFonts w:hint="default"/>
        <w:lang w:val="en-US" w:eastAsia="zh-CN" w:bidi="ar-SA"/>
      </w:rPr>
    </w:lvl>
  </w:abstractNum>
  <w:abstractNum w:abstractNumId="6">
    <w:nsid w:val="617FBE41"/>
    <w:multiLevelType w:val="hybridMultilevel"/>
    <w:tmpl w:val="00000000"/>
    <w:lvl w:ilvl="0">
      <w:start w:val="5"/>
      <w:numFmt w:val="decimal"/>
      <w:lvlText w:val="%1"/>
      <w:lvlJc w:val="left"/>
      <w:pPr>
        <w:ind w:left="740" w:hanging="500"/>
        <w:jc w:val="left"/>
      </w:pPr>
      <w:rPr>
        <w:rFonts w:hint="default"/>
        <w:lang w:val="en-US" w:eastAsia="zh-CN" w:bidi="ar-SA"/>
      </w:rPr>
    </w:lvl>
    <w:lvl w:ilvl="1">
      <w:start w:val="3"/>
      <w:numFmt w:val="decimal"/>
      <w:lvlText w:val="%1.%2"/>
      <w:lvlJc w:val="left"/>
      <w:pPr>
        <w:ind w:left="740" w:hanging="500"/>
        <w:jc w:val="left"/>
      </w:pPr>
      <w:rPr>
        <w:rFonts w:ascii="黑体" w:eastAsia="黑体" w:hAnsi="黑体" w:cs="黑体" w:hint="default"/>
        <w:spacing w:val="0"/>
        <w:w w:val="99"/>
        <w:sz w:val="20"/>
        <w:szCs w:val="20"/>
        <w:lang w:val="en-US" w:eastAsia="zh-CN" w:bidi="ar-SA"/>
      </w:rPr>
    </w:lvl>
    <w:lvl w:ilvl="2">
      <w:start w:val="1"/>
      <w:numFmt w:val="decimal"/>
      <w:lvlText w:val="%1.%2.%3"/>
      <w:lvlJc w:val="left"/>
      <w:pPr>
        <w:ind w:left="240" w:hanging="702"/>
        <w:jc w:val="left"/>
      </w:pPr>
      <w:rPr>
        <w:rFonts w:ascii="黑体" w:eastAsia="黑体" w:hAnsi="黑体" w:cs="黑体" w:hint="default"/>
        <w:spacing w:val="-2"/>
        <w:w w:val="99"/>
        <w:sz w:val="20"/>
        <w:szCs w:val="20"/>
        <w:lang w:val="en-US" w:eastAsia="zh-CN" w:bidi="ar-SA"/>
      </w:rPr>
    </w:lvl>
    <w:lvl w:ilvl="3">
      <w:start w:val="0"/>
      <w:numFmt w:val="bullet"/>
      <w:lvlText w:val="•"/>
      <w:lvlJc w:val="left"/>
      <w:pPr>
        <w:ind w:left="2929" w:hanging="702"/>
      </w:pPr>
      <w:rPr>
        <w:rFonts w:hint="default"/>
        <w:lang w:val="en-US" w:eastAsia="zh-CN" w:bidi="ar-SA"/>
      </w:rPr>
    </w:lvl>
    <w:lvl w:ilvl="4">
      <w:start w:val="0"/>
      <w:numFmt w:val="bullet"/>
      <w:lvlText w:val="•"/>
      <w:lvlJc w:val="left"/>
      <w:pPr>
        <w:ind w:left="4023" w:hanging="702"/>
      </w:pPr>
      <w:rPr>
        <w:rFonts w:hint="default"/>
        <w:lang w:val="en-US" w:eastAsia="zh-CN" w:bidi="ar-SA"/>
      </w:rPr>
    </w:lvl>
    <w:lvl w:ilvl="5">
      <w:start w:val="0"/>
      <w:numFmt w:val="bullet"/>
      <w:lvlText w:val="•"/>
      <w:lvlJc w:val="left"/>
      <w:pPr>
        <w:ind w:left="5118" w:hanging="702"/>
      </w:pPr>
      <w:rPr>
        <w:rFonts w:hint="default"/>
        <w:lang w:val="en-US" w:eastAsia="zh-CN" w:bidi="ar-SA"/>
      </w:rPr>
    </w:lvl>
    <w:lvl w:ilvl="6">
      <w:start w:val="0"/>
      <w:numFmt w:val="bullet"/>
      <w:lvlText w:val="•"/>
      <w:lvlJc w:val="left"/>
      <w:pPr>
        <w:ind w:left="6212" w:hanging="702"/>
      </w:pPr>
      <w:rPr>
        <w:rFonts w:hint="default"/>
        <w:lang w:val="en-US" w:eastAsia="zh-CN" w:bidi="ar-SA"/>
      </w:rPr>
    </w:lvl>
    <w:lvl w:ilvl="7">
      <w:start w:val="0"/>
      <w:numFmt w:val="bullet"/>
      <w:lvlText w:val="•"/>
      <w:lvlJc w:val="left"/>
      <w:pPr>
        <w:ind w:left="7307" w:hanging="702"/>
      </w:pPr>
      <w:rPr>
        <w:rFonts w:hint="default"/>
        <w:lang w:val="en-US" w:eastAsia="zh-CN" w:bidi="ar-SA"/>
      </w:rPr>
    </w:lvl>
    <w:lvl w:ilvl="8">
      <w:start w:val="0"/>
      <w:numFmt w:val="bullet"/>
      <w:lvlText w:val="•"/>
      <w:lvlJc w:val="left"/>
      <w:pPr>
        <w:ind w:left="8402" w:hanging="702"/>
      </w:pPr>
      <w:rPr>
        <w:rFonts w:hint="default"/>
        <w:lang w:val="en-US" w:eastAsia="zh-CN" w:bidi="ar-SA"/>
      </w:rPr>
    </w:lvl>
  </w:abstractNum>
  <w:abstractNum w:abstractNumId="7">
    <w:nsid w:val="639931FB"/>
    <w:multiLevelType w:val="hybridMultilevel"/>
    <w:tmpl w:val="00000000"/>
    <w:lvl w:ilvl="0">
      <w:start w:val="1"/>
      <w:numFmt w:val="decimal"/>
      <w:lvlText w:val="%1"/>
      <w:lvlJc w:val="left"/>
      <w:pPr>
        <w:ind w:left="541" w:hanging="301"/>
        <w:jc w:val="left"/>
      </w:pPr>
      <w:rPr>
        <w:rFonts w:ascii="黑体" w:eastAsia="黑体" w:hAnsi="黑体" w:cs="黑体" w:hint="default"/>
        <w:w w:val="99"/>
        <w:sz w:val="20"/>
        <w:szCs w:val="20"/>
        <w:lang w:val="en-US" w:eastAsia="zh-CN" w:bidi="ar-SA"/>
      </w:rPr>
    </w:lvl>
    <w:lvl w:ilvl="1">
      <w:start w:val="1"/>
      <w:numFmt w:val="decimal"/>
      <w:lvlText w:val="%1.%2"/>
      <w:lvlJc w:val="left"/>
      <w:pPr>
        <w:ind w:left="543" w:hanging="303"/>
        <w:jc w:val="left"/>
      </w:pPr>
      <w:rPr>
        <w:rFonts w:ascii="黑体" w:eastAsia="黑体" w:hAnsi="黑体" w:cs="黑体" w:hint="default"/>
        <w:spacing w:val="1"/>
        <w:w w:val="99"/>
        <w:sz w:val="18"/>
        <w:szCs w:val="18"/>
        <w:lang w:val="en-US" w:eastAsia="zh-CN" w:bidi="ar-SA"/>
      </w:rPr>
    </w:lvl>
    <w:lvl w:ilvl="2">
      <w:start w:val="1"/>
      <w:numFmt w:val="decimal"/>
      <w:lvlText w:val="%1.%2.%3"/>
      <w:lvlJc w:val="left"/>
      <w:pPr>
        <w:ind w:left="942" w:hanging="702"/>
        <w:jc w:val="left"/>
      </w:pPr>
      <w:rPr>
        <w:rFonts w:ascii="黑体" w:eastAsia="黑体" w:hAnsi="黑体" w:cs="黑体" w:hint="default"/>
        <w:spacing w:val="-2"/>
        <w:w w:val="99"/>
        <w:sz w:val="20"/>
        <w:szCs w:val="20"/>
        <w:lang w:val="en-US" w:eastAsia="zh-CN" w:bidi="ar-SA"/>
      </w:rPr>
    </w:lvl>
    <w:lvl w:ilvl="3">
      <w:start w:val="1"/>
      <w:numFmt w:val="decimal"/>
      <w:lvlText w:val="%1.%2.%3.%4"/>
      <w:lvlJc w:val="left"/>
      <w:pPr>
        <w:ind w:left="1141" w:hanging="901"/>
        <w:jc w:val="left"/>
      </w:pPr>
      <w:rPr>
        <w:rFonts w:ascii="黑体" w:eastAsia="黑体" w:hAnsi="黑体" w:cs="黑体" w:hint="default"/>
        <w:spacing w:val="-2"/>
        <w:w w:val="99"/>
        <w:sz w:val="20"/>
        <w:szCs w:val="20"/>
        <w:lang w:val="en-US" w:eastAsia="zh-CN" w:bidi="ar-SA"/>
      </w:rPr>
    </w:lvl>
    <w:lvl w:ilvl="4">
      <w:start w:val="1"/>
      <w:numFmt w:val="decimal"/>
      <w:lvlText w:val="%1.%2.%3.%4.%5"/>
      <w:lvlJc w:val="left"/>
      <w:pPr>
        <w:ind w:left="240" w:hanging="1100"/>
        <w:jc w:val="left"/>
      </w:pPr>
      <w:rPr>
        <w:rFonts w:ascii="黑体" w:eastAsia="黑体" w:hAnsi="黑体" w:cs="黑体" w:hint="default"/>
        <w:spacing w:val="-2"/>
        <w:w w:val="99"/>
        <w:sz w:val="20"/>
        <w:szCs w:val="20"/>
        <w:lang w:val="en-US" w:eastAsia="zh-CN" w:bidi="ar-SA"/>
      </w:rPr>
    </w:lvl>
    <w:lvl w:ilvl="5">
      <w:start w:val="0"/>
      <w:numFmt w:val="bullet"/>
      <w:lvlText w:val=""/>
      <w:lvlJc w:val="left"/>
      <w:pPr>
        <w:ind w:left="1510" w:hanging="418"/>
      </w:pPr>
      <w:rPr>
        <w:rFonts w:ascii="Wingdings 3" w:eastAsia="Wingdings 3" w:hAnsi="Wingdings 3" w:cs="Wingdings 3" w:hint="default"/>
        <w:w w:val="100"/>
        <w:sz w:val="21"/>
        <w:szCs w:val="21"/>
        <w:lang w:val="en-US" w:eastAsia="zh-CN" w:bidi="ar-SA"/>
      </w:rPr>
    </w:lvl>
    <w:lvl w:ilvl="6">
      <w:start w:val="0"/>
      <w:numFmt w:val="bullet"/>
      <w:lvlText w:val="•"/>
      <w:lvlJc w:val="left"/>
      <w:pPr>
        <w:ind w:left="3334" w:hanging="418"/>
      </w:pPr>
      <w:rPr>
        <w:rFonts w:hint="default"/>
        <w:lang w:val="en-US" w:eastAsia="zh-CN" w:bidi="ar-SA"/>
      </w:rPr>
    </w:lvl>
    <w:lvl w:ilvl="7">
      <w:start w:val="0"/>
      <w:numFmt w:val="bullet"/>
      <w:lvlText w:val="•"/>
      <w:lvlJc w:val="left"/>
      <w:pPr>
        <w:ind w:left="5148" w:hanging="418"/>
      </w:pPr>
      <w:rPr>
        <w:rFonts w:hint="default"/>
        <w:lang w:val="en-US" w:eastAsia="zh-CN" w:bidi="ar-SA"/>
      </w:rPr>
    </w:lvl>
    <w:lvl w:ilvl="8">
      <w:start w:val="0"/>
      <w:numFmt w:val="bullet"/>
      <w:lvlText w:val="•"/>
      <w:lvlJc w:val="left"/>
      <w:pPr>
        <w:ind w:left="6962" w:hanging="418"/>
      </w:pPr>
      <w:rPr>
        <w:rFonts w:hint="default"/>
        <w:lang w:val="en-US" w:eastAsia="zh-CN" w:bidi="ar-SA"/>
      </w:rPr>
    </w:lvl>
  </w:abstractNum>
  <w:abstractNum w:abstractNumId="8">
    <w:nsid w:val="7ADC5E57"/>
    <w:multiLevelType w:val="hybridMultilevel"/>
    <w:tmpl w:val="00000000"/>
    <w:lvl w:ilvl="0">
      <w:start w:val="0"/>
      <w:numFmt w:val="bullet"/>
      <w:lvlText w:val=""/>
      <w:lvlJc w:val="left"/>
      <w:pPr>
        <w:ind w:left="1510" w:hanging="418"/>
      </w:pPr>
      <w:rPr>
        <w:rFonts w:ascii="Wingdings 3" w:eastAsia="Wingdings 3" w:hAnsi="Wingdings 3" w:cs="Wingdings 3" w:hint="default"/>
        <w:w w:val="100"/>
        <w:sz w:val="21"/>
        <w:szCs w:val="21"/>
        <w:lang w:val="en-US" w:eastAsia="zh-CN" w:bidi="ar-SA"/>
      </w:rPr>
    </w:lvl>
    <w:lvl w:ilvl="1">
      <w:start w:val="0"/>
      <w:numFmt w:val="bullet"/>
      <w:lvlText w:val="•"/>
      <w:lvlJc w:val="left"/>
      <w:pPr>
        <w:ind w:left="2427" w:hanging="418"/>
      </w:pPr>
      <w:rPr>
        <w:rFonts w:hint="default"/>
        <w:lang w:val="en-US" w:eastAsia="zh-CN" w:bidi="ar-SA"/>
      </w:rPr>
    </w:lvl>
    <w:lvl w:ilvl="2">
      <w:start w:val="0"/>
      <w:numFmt w:val="bullet"/>
      <w:lvlText w:val="•"/>
      <w:lvlJc w:val="left"/>
      <w:pPr>
        <w:ind w:left="3334" w:hanging="418"/>
      </w:pPr>
      <w:rPr>
        <w:rFonts w:hint="default"/>
        <w:lang w:val="en-US" w:eastAsia="zh-CN" w:bidi="ar-SA"/>
      </w:rPr>
    </w:lvl>
    <w:lvl w:ilvl="3">
      <w:start w:val="0"/>
      <w:numFmt w:val="bullet"/>
      <w:lvlText w:val="•"/>
      <w:lvlJc w:val="left"/>
      <w:pPr>
        <w:ind w:left="4241" w:hanging="418"/>
      </w:pPr>
      <w:rPr>
        <w:rFonts w:hint="default"/>
        <w:lang w:val="en-US" w:eastAsia="zh-CN" w:bidi="ar-SA"/>
      </w:rPr>
    </w:lvl>
    <w:lvl w:ilvl="4">
      <w:start w:val="0"/>
      <w:numFmt w:val="bullet"/>
      <w:lvlText w:val="•"/>
      <w:lvlJc w:val="left"/>
      <w:pPr>
        <w:ind w:left="5148" w:hanging="418"/>
      </w:pPr>
      <w:rPr>
        <w:rFonts w:hint="default"/>
        <w:lang w:val="en-US" w:eastAsia="zh-CN" w:bidi="ar-SA"/>
      </w:rPr>
    </w:lvl>
    <w:lvl w:ilvl="5">
      <w:start w:val="0"/>
      <w:numFmt w:val="bullet"/>
      <w:lvlText w:val="•"/>
      <w:lvlJc w:val="left"/>
      <w:pPr>
        <w:ind w:left="6055" w:hanging="418"/>
      </w:pPr>
      <w:rPr>
        <w:rFonts w:hint="default"/>
        <w:lang w:val="en-US" w:eastAsia="zh-CN" w:bidi="ar-SA"/>
      </w:rPr>
    </w:lvl>
    <w:lvl w:ilvl="6">
      <w:start w:val="0"/>
      <w:numFmt w:val="bullet"/>
      <w:lvlText w:val="•"/>
      <w:lvlJc w:val="left"/>
      <w:pPr>
        <w:ind w:left="6962" w:hanging="418"/>
      </w:pPr>
      <w:rPr>
        <w:rFonts w:hint="default"/>
        <w:lang w:val="en-US" w:eastAsia="zh-CN" w:bidi="ar-SA"/>
      </w:rPr>
    </w:lvl>
    <w:lvl w:ilvl="7">
      <w:start w:val="0"/>
      <w:numFmt w:val="bullet"/>
      <w:lvlText w:val="•"/>
      <w:lvlJc w:val="left"/>
      <w:pPr>
        <w:ind w:left="7869" w:hanging="418"/>
      </w:pPr>
      <w:rPr>
        <w:rFonts w:hint="default"/>
        <w:lang w:val="en-US" w:eastAsia="zh-CN" w:bidi="ar-SA"/>
      </w:rPr>
    </w:lvl>
    <w:lvl w:ilvl="8">
      <w:start w:val="0"/>
      <w:numFmt w:val="bullet"/>
      <w:lvlText w:val="•"/>
      <w:lvlJc w:val="left"/>
      <w:pPr>
        <w:ind w:left="8776" w:hanging="418"/>
      </w:pPr>
      <w:rPr>
        <w:rFonts w:hint="default"/>
        <w:lang w:val="en-US" w:eastAsia="zh-CN" w:bidi="ar-SA"/>
      </w:rPr>
    </w:lvl>
  </w:abstractNum>
  <w:abstractNum w:abstractNumId="9">
    <w:nsid w:val="7B94EE34"/>
    <w:multiLevelType w:val="hybridMultilevel"/>
    <w:tmpl w:val="00000000"/>
    <w:lvl w:ilvl="0">
      <w:start w:val="1"/>
      <w:numFmt w:val="decimal"/>
      <w:lvlText w:val="%1."/>
      <w:lvlJc w:val="left"/>
      <w:pPr>
        <w:ind w:left="873" w:hanging="213"/>
        <w:jc w:val="left"/>
      </w:pPr>
      <w:rPr>
        <w:rFonts w:ascii="宋体" w:eastAsia="宋体" w:hAnsi="宋体" w:cs="宋体" w:hint="default"/>
        <w:spacing w:val="-3"/>
        <w:w w:val="100"/>
        <w:sz w:val="19"/>
        <w:szCs w:val="19"/>
        <w:lang w:val="en-US" w:eastAsia="zh-CN" w:bidi="ar-SA"/>
      </w:rPr>
    </w:lvl>
    <w:lvl w:ilvl="1">
      <w:start w:val="0"/>
      <w:numFmt w:val="bullet"/>
      <w:lvlText w:val="•"/>
      <w:lvlJc w:val="left"/>
      <w:pPr>
        <w:ind w:left="1851" w:hanging="213"/>
      </w:pPr>
      <w:rPr>
        <w:rFonts w:hint="default"/>
        <w:lang w:val="en-US" w:eastAsia="zh-CN" w:bidi="ar-SA"/>
      </w:rPr>
    </w:lvl>
    <w:lvl w:ilvl="2">
      <w:start w:val="0"/>
      <w:numFmt w:val="bullet"/>
      <w:lvlText w:val="•"/>
      <w:lvlJc w:val="left"/>
      <w:pPr>
        <w:ind w:left="2822" w:hanging="213"/>
      </w:pPr>
      <w:rPr>
        <w:rFonts w:hint="default"/>
        <w:lang w:val="en-US" w:eastAsia="zh-CN" w:bidi="ar-SA"/>
      </w:rPr>
    </w:lvl>
    <w:lvl w:ilvl="3">
      <w:start w:val="0"/>
      <w:numFmt w:val="bullet"/>
      <w:lvlText w:val="•"/>
      <w:lvlJc w:val="left"/>
      <w:pPr>
        <w:ind w:left="3793" w:hanging="213"/>
      </w:pPr>
      <w:rPr>
        <w:rFonts w:hint="default"/>
        <w:lang w:val="en-US" w:eastAsia="zh-CN" w:bidi="ar-SA"/>
      </w:rPr>
    </w:lvl>
    <w:lvl w:ilvl="4">
      <w:start w:val="0"/>
      <w:numFmt w:val="bullet"/>
      <w:lvlText w:val="•"/>
      <w:lvlJc w:val="left"/>
      <w:pPr>
        <w:ind w:left="4764" w:hanging="213"/>
      </w:pPr>
      <w:rPr>
        <w:rFonts w:hint="default"/>
        <w:lang w:val="en-US" w:eastAsia="zh-CN" w:bidi="ar-SA"/>
      </w:rPr>
    </w:lvl>
    <w:lvl w:ilvl="5">
      <w:start w:val="0"/>
      <w:numFmt w:val="bullet"/>
      <w:lvlText w:val="•"/>
      <w:lvlJc w:val="left"/>
      <w:pPr>
        <w:ind w:left="5735" w:hanging="213"/>
      </w:pPr>
      <w:rPr>
        <w:rFonts w:hint="default"/>
        <w:lang w:val="en-US" w:eastAsia="zh-CN" w:bidi="ar-SA"/>
      </w:rPr>
    </w:lvl>
    <w:lvl w:ilvl="6">
      <w:start w:val="0"/>
      <w:numFmt w:val="bullet"/>
      <w:lvlText w:val="•"/>
      <w:lvlJc w:val="left"/>
      <w:pPr>
        <w:ind w:left="6706" w:hanging="213"/>
      </w:pPr>
      <w:rPr>
        <w:rFonts w:hint="default"/>
        <w:lang w:val="en-US" w:eastAsia="zh-CN" w:bidi="ar-SA"/>
      </w:rPr>
    </w:lvl>
    <w:lvl w:ilvl="7">
      <w:start w:val="0"/>
      <w:numFmt w:val="bullet"/>
      <w:lvlText w:val="•"/>
      <w:lvlJc w:val="left"/>
      <w:pPr>
        <w:ind w:left="7677" w:hanging="213"/>
      </w:pPr>
      <w:rPr>
        <w:rFonts w:hint="default"/>
        <w:lang w:val="en-US" w:eastAsia="zh-CN" w:bidi="ar-SA"/>
      </w:rPr>
    </w:lvl>
    <w:lvl w:ilvl="8">
      <w:start w:val="0"/>
      <w:numFmt w:val="bullet"/>
      <w:lvlText w:val="•"/>
      <w:lvlJc w:val="left"/>
      <w:pPr>
        <w:ind w:left="8648" w:hanging="213"/>
      </w:pPr>
      <w:rPr>
        <w:rFonts w:hint="default"/>
        <w:lang w:val="en-US" w:eastAsia="zh-CN" w:bidi="ar-SA"/>
      </w:rPr>
    </w:lvl>
  </w:abstractNum>
  <w:num w:numId="1">
    <w:abstractNumId w:val="9"/>
  </w:num>
  <w:num w:numId="2">
    <w:abstractNumId w:val="2"/>
  </w:num>
  <w:num w:numId="3">
    <w:abstractNumId w:val="1"/>
  </w:num>
  <w:num w:numId="4">
    <w:abstractNumId w:val="4"/>
  </w:num>
  <w:num w:numId="5">
    <w:abstractNumId w:val="6"/>
  </w:num>
  <w:num w:numId="6">
    <w:abstractNumId w:val="3"/>
  </w:num>
  <w:num w:numId="7">
    <w:abstractNumId w:val="8"/>
  </w:num>
  <w:num w:numId="8">
    <w:abstractNumId w:val="7"/>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28"/>
      <w:ind w:left="283"/>
      <w:outlineLvl w:val="0"/>
    </w:pPr>
    <w:rPr>
      <w:rFonts w:ascii="黑体" w:eastAsia="黑体" w:hAnsi="黑体" w:cs="黑体"/>
      <w:sz w:val="52"/>
      <w:szCs w:val="52"/>
      <w:lang w:val="en-US" w:eastAsia="zh-CN" w:bidi="ar-SA"/>
    </w:rPr>
  </w:style>
  <w:style w:type="paragraph" w:styleId="Heading2">
    <w:name w:val="heading 2"/>
    <w:basedOn w:val="Normal"/>
    <w:uiPriority w:val="1"/>
    <w:qFormat/>
    <w:pPr>
      <w:ind w:left="96" w:right="382"/>
      <w:jc w:val="center"/>
      <w:outlineLvl w:val="1"/>
    </w:pPr>
    <w:rPr>
      <w:rFonts w:ascii="宋体" w:eastAsia="宋体" w:hAnsi="宋体" w:cs="宋体"/>
      <w:sz w:val="44"/>
      <w:szCs w:val="44"/>
      <w:lang w:val="en-US" w:eastAsia="zh-CN" w:bidi="ar-SA"/>
    </w:rPr>
  </w:style>
  <w:style w:type="paragraph" w:styleId="Heading3">
    <w:name w:val="heading 3"/>
    <w:basedOn w:val="Normal"/>
    <w:uiPriority w:val="1"/>
    <w:qFormat/>
    <w:pPr>
      <w:outlineLvl w:val="2"/>
    </w:pPr>
    <w:rPr>
      <w:rFonts w:ascii="Arial Unicode MS" w:eastAsia="Arial Unicode MS" w:hAnsi="Arial Unicode MS" w:cs="Arial Unicode MS"/>
      <w:sz w:val="32"/>
      <w:szCs w:val="32"/>
      <w:lang w:val="en-US" w:eastAsia="zh-CN" w:bidi="ar-SA"/>
    </w:rPr>
  </w:style>
  <w:style w:type="paragraph" w:styleId="Heading4">
    <w:name w:val="heading 4"/>
    <w:basedOn w:val="Normal"/>
    <w:uiPriority w:val="1"/>
    <w:qFormat/>
    <w:pPr>
      <w:ind w:left="663"/>
      <w:outlineLvl w:val="3"/>
    </w:pPr>
    <w:rPr>
      <w:rFonts w:ascii="宋体" w:eastAsia="宋体" w:hAnsi="宋体" w:cs="宋体"/>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ListParagraph">
    <w:name w:val="List Paragraph"/>
    <w:basedOn w:val="Normal"/>
    <w:uiPriority w:val="1"/>
    <w:qFormat/>
    <w:pPr>
      <w:ind w:left="240"/>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header" Target="header3.xml" /><Relationship Id="rId14" Type="http://schemas.openxmlformats.org/officeDocument/2006/relationships/header" Target="header4.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header" Target="header5.xml" /><Relationship Id="rId18" Type="http://schemas.openxmlformats.org/officeDocument/2006/relationships/header" Target="header6.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10.xml" /><Relationship Id="rId24" Type="http://schemas.openxmlformats.org/officeDocument/2006/relationships/footer" Target="footer11.xml" /><Relationship Id="rId25" Type="http://schemas.openxmlformats.org/officeDocument/2006/relationships/header" Target="header9.xml" /><Relationship Id="rId26" Type="http://schemas.openxmlformats.org/officeDocument/2006/relationships/header" Target="header10.xml" /><Relationship Id="rId27" Type="http://schemas.openxmlformats.org/officeDocument/2006/relationships/footer" Target="footer12.xml" /><Relationship Id="rId28" Type="http://schemas.openxmlformats.org/officeDocument/2006/relationships/footer" Target="footer13.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4.xml" /><Relationship Id="rId32" Type="http://schemas.openxmlformats.org/officeDocument/2006/relationships/footer" Target="footer15.xml" /><Relationship Id="rId33" Type="http://schemas.openxmlformats.org/officeDocument/2006/relationships/header" Target="header13.xml" /><Relationship Id="rId34" Type="http://schemas.openxmlformats.org/officeDocument/2006/relationships/header" Target="header14.xml" /><Relationship Id="rId35" Type="http://schemas.openxmlformats.org/officeDocument/2006/relationships/footer" Target="footer16.xml" /><Relationship Id="rId36" Type="http://schemas.openxmlformats.org/officeDocument/2006/relationships/footer" Target="footer17.xml" /><Relationship Id="rId37" Type="http://schemas.openxmlformats.org/officeDocument/2006/relationships/header" Target="header15.xml" /><Relationship Id="rId38" Type="http://schemas.openxmlformats.org/officeDocument/2006/relationships/header" Target="header16.xml" /><Relationship Id="rId39" Type="http://schemas.openxmlformats.org/officeDocument/2006/relationships/footer" Target="footer18.xml" /><Relationship Id="rId4" Type="http://schemas.openxmlformats.org/officeDocument/2006/relationships/image" Target="media/image1.jpeg" /><Relationship Id="rId40" Type="http://schemas.openxmlformats.org/officeDocument/2006/relationships/footer" Target="footer19.xml" /><Relationship Id="rId41" Type="http://schemas.openxmlformats.org/officeDocument/2006/relationships/header" Target="header17.xml" /><Relationship Id="rId42" Type="http://schemas.openxmlformats.org/officeDocument/2006/relationships/header" Target="header18.xml" /><Relationship Id="rId43" Type="http://schemas.openxmlformats.org/officeDocument/2006/relationships/footer" Target="footer20.xml" /><Relationship Id="rId44" Type="http://schemas.openxmlformats.org/officeDocument/2006/relationships/footer" Target="footer21.xml" /><Relationship Id="rId45" Type="http://schemas.openxmlformats.org/officeDocument/2006/relationships/header" Target="header19.xml" /><Relationship Id="rId46" Type="http://schemas.openxmlformats.org/officeDocument/2006/relationships/header" Target="header20.xml" /><Relationship Id="rId47" Type="http://schemas.openxmlformats.org/officeDocument/2006/relationships/footer" Target="footer22.xml" /><Relationship Id="rId48" Type="http://schemas.openxmlformats.org/officeDocument/2006/relationships/footer" Target="footer23.xml" /><Relationship Id="rId49" Type="http://schemas.openxmlformats.org/officeDocument/2006/relationships/header" Target="header21.xml" /><Relationship Id="rId5" Type="http://schemas.openxmlformats.org/officeDocument/2006/relationships/footer" Target="footer1.xml" /><Relationship Id="rId50" Type="http://schemas.openxmlformats.org/officeDocument/2006/relationships/header" Target="header22.xml" /><Relationship Id="rId51" Type="http://schemas.openxmlformats.org/officeDocument/2006/relationships/footer" Target="footer24.xml" /><Relationship Id="rId52" Type="http://schemas.openxmlformats.org/officeDocument/2006/relationships/footer" Target="footer25.xml" /><Relationship Id="rId53" Type="http://schemas.openxmlformats.org/officeDocument/2006/relationships/header" Target="header23.xml" /><Relationship Id="rId54" Type="http://schemas.openxmlformats.org/officeDocument/2006/relationships/header" Target="header24.xml" /><Relationship Id="rId55" Type="http://schemas.openxmlformats.org/officeDocument/2006/relationships/footer" Target="footer26.xml" /><Relationship Id="rId56" Type="http://schemas.openxmlformats.org/officeDocument/2006/relationships/footer" Target="footer27.xml" /><Relationship Id="rId57" Type="http://schemas.openxmlformats.org/officeDocument/2006/relationships/header" Target="header25.xml" /><Relationship Id="rId58" Type="http://schemas.openxmlformats.org/officeDocument/2006/relationships/header" Target="header26.xml" /><Relationship Id="rId59" Type="http://schemas.openxmlformats.org/officeDocument/2006/relationships/footer" Target="footer28.xml" /><Relationship Id="rId6" Type="http://schemas.openxmlformats.org/officeDocument/2006/relationships/image" Target="media/image2.png" /><Relationship Id="rId60" Type="http://schemas.openxmlformats.org/officeDocument/2006/relationships/footer" Target="footer29.xml" /><Relationship Id="rId61" Type="http://schemas.openxmlformats.org/officeDocument/2006/relationships/hyperlink" Target="https://d.book118.com/588036010114006036" TargetMode="External" /><Relationship Id="rId62" Type="http://schemas.openxmlformats.org/officeDocument/2006/relationships/header" Target="header27.xml" /><Relationship Id="rId63" Type="http://schemas.openxmlformats.org/officeDocument/2006/relationships/header" Target="header28.xml" /><Relationship Id="rId64" Type="http://schemas.openxmlformats.org/officeDocument/2006/relationships/footer" Target="footer30.xml" /><Relationship Id="rId65" Type="http://schemas.openxmlformats.org/officeDocument/2006/relationships/footer" Target="footer31.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ring</dc:creator>
  <cp:revision>0</cp:revision>
  <dcterms:created xsi:type="dcterms:W3CDTF">2024-02-19T09:05:13Z</dcterms:created>
  <dcterms:modified xsi:type="dcterms:W3CDTF">2024-02-19T09:05:13Z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2024-02-08T00:00:00Z</vt:filetime>
  </property>
  <property fmtid="{D5CDD505-2E9C-101B-9397-08002B2CF9AE}" pid="3" name="Creator">
    <vt:lpwstr>Microsoft® Word 2013</vt:lpwstr>
  </property>
  <property fmtid="{D5CDD505-2E9C-101B-9397-08002B2CF9AE}" pid="4" name="LastSaved">
    <vt:filetime>2024-02-19T00:00:00Z</vt:filetime>
  </property>
</Properties>
</file>