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691EB88"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2705826C"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5A1B9518"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6F33ACE2" w14:textId="77777777">
                          <w:pPr>
                            <w:pStyle w:val="NoSpacing"/>
                            <w:jc w:val="right"/>
                            <w:rPr>
                              <w:color w:val="595959" w:themeColor="text1" w:themeTint="A6"/>
                              <w:sz w:val="32"/>
                              <w:szCs w:val="32"/>
                            </w:rPr>
                          </w:pPr>
                          <w:sdt>
                            <w:sdtPr>
                              <w:rPr>
                                <w:color w:val="595959" w:themeColor="text1" w:themeTint="A6"/>
                                <w:sz w:val="32"/>
                                <w:szCs w:val="32"/>
                              </w:rPr>
                              <w:alias w:val="摘要"/>
                              <w:id w:val="104714066"/>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202036699"/>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34ECCA32"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7B15B9ED"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090085288"/>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61AEEAD7"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969292F"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25DB03F"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F3F63FA"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DEB2C17"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2071FA9"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36565DCD"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A595F49"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1A936E1"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3AB3AE5"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AFF1EE9"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851A192"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0EB0181D"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499BB3F"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8B127E4"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F544505"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EE8BFF0"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2181C0D"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1F8EB99"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573345D"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FAC76DA"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06586357"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153594906"/>
        <w:docPartObj>
          <w:docPartGallery w:val="Table of Contents"/>
          <w:docPartUnique/>
        </w:docPartObj>
      </w:sdtPr>
      <w:sdtEndPr>
        <w:rPr>
          <w:b/>
          <w:bCs/>
        </w:rPr>
      </w:sdtEndPr>
      <w:sdtContent>
        <w:p w:rsidR="00483551" w:rsidRPr="00913CD1" w:rsidP="00457322" w14:paraId="07E7A16E"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C289B80"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CE27397"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36792586"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0A14BF6"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6EC04BF"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77EC7D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5C53C46"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AA639F8"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60AD88E"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92283EB"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C2BC163"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5A6C5D6"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A007888"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F1CF8C8"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158108C5"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23A27A4"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C0F6949"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564703E3"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7D6D0AA8"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5B3EBE26"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111A008"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05034167"/>
        <w:docPartObj>
          <w:docPartGallery w:val="Table of Contents"/>
          <w:docPartUnique/>
        </w:docPartObj>
      </w:sdtPr>
      <w:sdtEndPr>
        <w:rPr>
          <w:b/>
          <w:bCs/>
        </w:rPr>
      </w:sdtEndPr>
      <w:sdtContent>
        <w:p w:rsidR="00483551" w:rsidRPr="00913CD1" w:rsidP="00457322" w14:paraId="6C351FC8"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D11236E"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58922D5"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90A0020"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FB38EB0"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675BF38"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E35938C"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86A3149"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CF185AE"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28A2149E"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CFDB1E9"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5B9F208B"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2B059B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26EF742"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36106BC8"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F03A91B"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A7B354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3B858D6"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234D45E"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FC4170D"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50B54622"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5505C4B"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26797026"/>
        <w:docPartObj>
          <w:docPartGallery w:val="Table of Contents"/>
          <w:docPartUnique/>
        </w:docPartObj>
      </w:sdtPr>
      <w:sdtEndPr>
        <w:rPr>
          <w:b/>
          <w:bCs/>
        </w:rPr>
      </w:sdtEndPr>
      <w:sdtContent>
        <w:p w:rsidR="00483551" w:rsidRPr="00913CD1" w:rsidP="00457322" w14:paraId="06F19034"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C35BE07"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4C81A04"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B9ACE83"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CF1673B"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4123526"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98DD03D"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307AA168"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6B8EE62D"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4212C8E"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7B7261D"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783E2144"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28F1BC7"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7294E53"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6AEA65E"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53110F5"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6645250"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51B6693B"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DEFCFAD"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7000F3" w14:paraId="53FF187B" w14:textId="2AF35796">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NOXNO2</w:t>
      </w:r>
      <w:r>
        <w:rPr>
          <w:rFonts w:ascii="仿宋" w:eastAsia="仿宋" w:hAnsi="仿宋"/>
          <w:sz w:val="28"/>
        </w:rPr>
        <w:t>自动采样器及测定仪项目可行性分析报告编制的目的在于通过对项目的详细分析和评估，确定该项目在技术、经济、市场、社会等方面的可行性和潜在效益。通过这一过程，可以为国家、企业和投资者提供决策依据，确保项目在实施前经过充分的论证和优化，从而提高项目的成功率和投资回报率。</w:t>
      </w:r>
      <w:r>
        <w:rPr>
          <w:rFonts w:ascii="仿宋" w:eastAsia="仿宋" w:hAnsi="仿宋"/>
          <w:sz w:val="28"/>
        </w:rPr>
        <w:br/>
      </w:r>
      <w:r>
        <w:rPr>
          <w:rFonts w:ascii="仿宋" w:eastAsia="仿宋" w:hAnsi="仿宋"/>
          <w:sz w:val="28"/>
        </w:rPr>
        <w:t>具体来说，编制可行性分析报告的意义体现在以下几个方面：</w:t>
      </w:r>
      <w:r>
        <w:rPr>
          <w:rFonts w:ascii="仿宋" w:eastAsia="仿宋" w:hAnsi="仿宋"/>
          <w:sz w:val="28"/>
        </w:rPr>
        <w:br/>
        <w:t xml:space="preserve">    1.</w:t>
      </w:r>
      <w:r>
        <w:rPr>
          <w:rFonts w:ascii="仿宋" w:eastAsia="仿宋" w:hAnsi="仿宋"/>
          <w:sz w:val="28"/>
        </w:rPr>
        <w:t>技术可行性</w:t>
      </w:r>
      <w:r>
        <w:rPr>
          <w:rFonts w:ascii="仿宋" w:eastAsia="仿宋" w:hAnsi="仿宋"/>
          <w:sz w:val="28"/>
        </w:rPr>
        <w:t>：评估项目所采用的技术是否成熟，是否能够满足预期的性能指标，以及是否存在潜在的技术风险。</w:t>
      </w:r>
      <w:r>
        <w:rPr>
          <w:rFonts w:ascii="仿宋" w:eastAsia="仿宋" w:hAnsi="仿宋"/>
          <w:sz w:val="28"/>
        </w:rPr>
        <w:br/>
        <w:t xml:space="preserve">    2.</w:t>
      </w:r>
      <w:r>
        <w:rPr>
          <w:rFonts w:ascii="仿宋" w:eastAsia="仿宋" w:hAnsi="仿宋"/>
          <w:sz w:val="28"/>
        </w:rPr>
        <w:t>经济可行性</w:t>
      </w:r>
      <w:r>
        <w:rPr>
          <w:rFonts w:ascii="仿宋" w:eastAsia="仿宋" w:hAnsi="仿宋"/>
          <w:sz w:val="28"/>
        </w:rPr>
        <w:t>：分析项目的预期成本和收益，评估项目的财务状况，确保项目在经济上是可行的，能够为投资者带来预期的回报。</w:t>
      </w:r>
      <w:r>
        <w:rPr>
          <w:rFonts w:ascii="仿宋" w:eastAsia="仿宋" w:hAnsi="仿宋"/>
          <w:sz w:val="28"/>
        </w:rPr>
        <w:br/>
        <w:t xml:space="preserve">    3.</w:t>
      </w:r>
      <w:r>
        <w:rPr>
          <w:rFonts w:ascii="仿宋" w:eastAsia="仿宋" w:hAnsi="仿宋"/>
          <w:sz w:val="28"/>
        </w:rPr>
        <w:t>市场可行性</w:t>
      </w:r>
      <w:r>
        <w:rPr>
          <w:rFonts w:ascii="仿宋" w:eastAsia="仿宋" w:hAnsi="仿宋"/>
          <w:sz w:val="28"/>
        </w:rPr>
        <w:t>：研究目标市场的需求状况、竞争态势和潜在客户，确保产品或服务有足够的市场空间和竞争力。</w:t>
      </w:r>
      <w:r>
        <w:rPr>
          <w:rFonts w:ascii="仿宋" w:eastAsia="仿宋" w:hAnsi="仿宋"/>
          <w:sz w:val="28"/>
        </w:rPr>
        <w:br/>
        <w:t xml:space="preserve">    4.</w:t>
      </w:r>
      <w:r>
        <w:rPr>
          <w:rFonts w:ascii="仿宋" w:eastAsia="仿宋" w:hAnsi="仿宋"/>
          <w:sz w:val="28"/>
        </w:rPr>
        <w:t>社会可行性</w:t>
      </w:r>
      <w:r>
        <w:rPr>
          <w:rFonts w:ascii="仿宋" w:eastAsia="仿宋" w:hAnsi="仿宋"/>
          <w:sz w:val="28"/>
        </w:rPr>
        <w:t>：考虑项目对当地社会环境的影响，包括就业机会的创造、社区关系的维护、环境保护等方面。</w:t>
      </w:r>
      <w:r>
        <w:rPr>
          <w:rFonts w:ascii="仿宋" w:eastAsia="仿宋" w:hAnsi="仿宋"/>
          <w:sz w:val="28"/>
        </w:rPr>
        <w:br/>
        <w:t xml:space="preserve">    5.</w:t>
      </w:r>
      <w:r>
        <w:rPr>
          <w:rFonts w:ascii="仿宋" w:eastAsia="仿宋" w:hAnsi="仿宋"/>
          <w:sz w:val="28"/>
        </w:rPr>
        <w:t>风险评估</w:t>
      </w:r>
      <w:r>
        <w:rPr>
          <w:rFonts w:ascii="仿宋" w:eastAsia="仿宋" w:hAnsi="仿宋"/>
          <w:sz w:val="28"/>
        </w:rPr>
        <w:t>：识别项目可能面临的各种风险，并提出相应的风险管理措施，降低项目的整体风险水平。</w:t>
      </w:r>
      <w:r>
        <w:rPr>
          <w:rFonts w:ascii="仿宋" w:eastAsia="仿宋" w:hAnsi="仿宋"/>
          <w:sz w:val="28"/>
        </w:rPr>
        <w:br/>
        <w:t xml:space="preserve">    6.</w:t>
      </w:r>
      <w:r>
        <w:rPr>
          <w:rFonts w:ascii="仿宋" w:eastAsia="仿宋" w:hAnsi="仿宋"/>
          <w:sz w:val="28"/>
        </w:rPr>
        <w:t>政策合规性</w:t>
      </w:r>
    </w:p>
    <w:p w:rsidR="007000F3" w14:textId="2AF35796">
      <w:pPr>
        <w:ind w:firstLine="561"/>
      </w:pPr>
      <w:r>
        <w:rPr>
          <w:rFonts w:ascii="仿宋" w:eastAsia="仿宋" w:hAnsi="仿宋"/>
          <w:sz w:val="28"/>
        </w:rPr>
        <w:t>：确保项目符合国家和地方的相关法律法规和政策要求，避免政策风险。</w:t>
      </w:r>
      <w:r>
        <w:rPr>
          <w:rFonts w:ascii="仿宋" w:eastAsia="仿宋" w:hAnsi="仿宋"/>
          <w:sz w:val="28"/>
        </w:rPr>
        <w:br/>
        <w:t xml:space="preserve">    7.</w:t>
      </w:r>
      <w:r>
        <w:rPr>
          <w:rFonts w:ascii="仿宋" w:eastAsia="仿宋" w:hAnsi="仿宋"/>
          <w:sz w:val="28"/>
        </w:rPr>
        <w:t>优化决策</w:t>
      </w:r>
      <w:r>
        <w:rPr>
          <w:rFonts w:ascii="仿宋" w:eastAsia="仿宋" w:hAnsi="仿宋"/>
          <w:sz w:val="28"/>
        </w:rPr>
        <w:t>：通过可行性分析，可以对项目方案进行优化，确保资源的有效配置和利用，提高项目的效率和效益。</w:t>
      </w:r>
      <w:r>
        <w:rPr>
          <w:rFonts w:ascii="仿宋" w:eastAsia="仿宋" w:hAnsi="仿宋"/>
          <w:sz w:val="28"/>
        </w:rPr>
        <w:br/>
        <w:t xml:space="preserve">    8.</w:t>
      </w:r>
      <w:r>
        <w:rPr>
          <w:rFonts w:ascii="仿宋" w:eastAsia="仿宋" w:hAnsi="仿宋"/>
          <w:sz w:val="28"/>
        </w:rPr>
        <w:t>提高透明度</w:t>
      </w:r>
      <w:r>
        <w:rPr>
          <w:rFonts w:ascii="仿宋" w:eastAsia="仿宋" w:hAnsi="仿宋"/>
          <w:sz w:val="28"/>
        </w:rPr>
        <w:t>：可行性分析报告为各方提供了公开透明的信息，有助于提高决策过程的透明度和公正性。</w:t>
      </w:r>
      <w:r>
        <w:rPr>
          <w:rFonts w:ascii="仿宋" w:eastAsia="仿宋" w:hAnsi="仿宋"/>
          <w:sz w:val="28"/>
        </w:rPr>
        <w:br/>
        <w:t xml:space="preserve">    9.</w:t>
      </w:r>
      <w:r>
        <w:rPr>
          <w:rFonts w:ascii="仿宋" w:eastAsia="仿宋" w:hAnsi="仿宋"/>
          <w:sz w:val="28"/>
        </w:rPr>
        <w:t>长期规划</w:t>
      </w:r>
      <w:r>
        <w:rPr>
          <w:rFonts w:ascii="仿宋" w:eastAsia="仿宋" w:hAnsi="仿宋"/>
          <w:sz w:val="28"/>
        </w:rPr>
        <w:t>：为项目的长期发展和持续运营提供战略规划，确保项目在实施后能够持续为投资者创造价值。</w:t>
      </w:r>
      <w:r>
        <w:rPr>
          <w:rFonts w:ascii="仿宋" w:eastAsia="仿宋" w:hAnsi="仿宋"/>
          <w:sz w:val="28"/>
        </w:rPr>
        <w:br/>
      </w:r>
      <w:r>
        <w:rPr>
          <w:rFonts w:ascii="仿宋" w:eastAsia="仿宋" w:hAnsi="仿宋"/>
          <w:sz w:val="28"/>
        </w:rPr>
        <w:t>综上所述，编制</w:t>
      </w:r>
      <w:r>
        <w:rPr>
          <w:rFonts w:ascii="仿宋" w:eastAsia="仿宋" w:hAnsi="仿宋"/>
          <w:sz w:val="28"/>
        </w:rPr>
        <w:t>NOXNO2</w:t>
      </w:r>
      <w:r>
        <w:rPr>
          <w:rFonts w:ascii="仿宋" w:eastAsia="仿宋" w:hAnsi="仿宋"/>
          <w:sz w:val="28"/>
        </w:rPr>
        <w:t>自动采样器及测定仪项目可行性分析报告的目的和意义在于确保项目在启动前经过全面、系统的分析和评估，提高项目的成功率，降低投资风险，并为项目实施提供科学合理的指导和依据。</w:t>
      </w:r>
    </w:p>
    <w:p w:rsidR="009D1637" w:rsidRPr="00913CD1" w:rsidP="00457322" w14:paraId="7C5B1174"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4CB98920"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04CE5F61"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7C2DBC0A"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0193C7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1D58E9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71578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0DADB06A"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5B55937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7D074EF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1C6C400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FE21E1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0A963B9"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1D63845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0DD949D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3F35C9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0A347E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1AE2E6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DAFB53A"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8C837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40CDE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1CB67D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1FF3286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E61E1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1C0CC6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313A18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1CC2ED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NOXNO2自动采样器及测定仪</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NOXNO2自动采样器及测定仪</w:t>
      </w:r>
      <w:r w:rsidRPr="00913CD1">
        <w:rPr>
          <w:rFonts w:ascii="仿宋" w:eastAsia="仿宋" w:hAnsi="仿宋" w:cs="宋体"/>
          <w:kern w:val="0"/>
          <w:sz w:val="28"/>
          <w:szCs w:val="28"/>
          <w14:ligatures w14:val="none"/>
        </w:rPr>
        <w:t>项目建设。</w:t>
      </w:r>
    </w:p>
    <w:p w:rsidR="009D1637" w:rsidRPr="00913CD1" w:rsidP="00457322" w14:paraId="7D15BC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NOXNO2自动采样器及测定仪</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NOXNO2自动采样器及测定仪</w:t>
      </w:r>
      <w:r w:rsidRPr="00913CD1">
        <w:rPr>
          <w:rFonts w:ascii="仿宋" w:eastAsia="仿宋" w:hAnsi="仿宋" w:cs="宋体"/>
          <w:kern w:val="0"/>
          <w:sz w:val="28"/>
          <w:szCs w:val="28"/>
          <w14:ligatures w14:val="none"/>
        </w:rPr>
        <w:t>项目。</w:t>
      </w:r>
    </w:p>
    <w:p w:rsidR="009D1637" w:rsidRPr="00913CD1" w:rsidP="00457322" w14:paraId="45EF15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0008B8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69A443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5DB927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2333AD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108B54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C3C99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14:ligatures w14:val="none"/>
          </w:rPr>
          <w:t>https://d.book118.com/588054050052006033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26"/>
      <w:footerReference w:type="default" r:id="rId27"/>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33245B37" w14:textId="77777777">
    <w:pPr>
      <w:pStyle w:val="Footer"/>
      <w:jc w:val="center"/>
    </w:pPr>
  </w:p>
  <w:p w:rsidR="008D6901" w14:paraId="14CC0E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6F77DF2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paraId="64B992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9012041"/>
      <w:docPartObj>
        <w:docPartGallery w:val="Page Numbers (Bottom of Page)"/>
        <w:docPartUnique/>
      </w:docPartObj>
    </w:sdtPr>
    <w:sdtContent>
      <w:sdt>
        <w:sdtPr>
          <w:id w:val="9046468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7469188"/>
      <w:docPartObj>
        <w:docPartGallery w:val="Page Numbers (Bottom of Page)"/>
        <w:docPartUnique/>
      </w:docPartObj>
    </w:sdtPr>
    <w:sdtContent>
      <w:sdt>
        <w:sdtPr>
          <w:id w:val="5583430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6070986"/>
      <w:docPartObj>
        <w:docPartGallery w:val="Page Numbers (Bottom of Page)"/>
        <w:docPartUnique/>
      </w:docPartObj>
    </w:sdtPr>
    <w:sdtContent>
      <w:sdt>
        <w:sdtPr>
          <w:id w:val="7182888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1267533"/>
      <w:docPartObj>
        <w:docPartGallery w:val="Page Numbers (Bottom of Page)"/>
        <w:docPartUnique/>
      </w:docPartObj>
    </w:sdtPr>
    <w:sdtContent>
      <w:sdt>
        <w:sdtPr>
          <w:id w:val="5254760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7FD62A70" w14:textId="77777777">
    <w:pPr>
      <w:pStyle w:val="Header"/>
      <w:pBdr>
        <w:bottom w:val="single" w:sz="4" w:space="1" w:color="auto"/>
      </w:pBdr>
      <w:jc w:val="right"/>
    </w:pPr>
    <w:r>
      <w:t>2024年NOXNO2自动采样器及测定仪项目可行性分析报告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2024年NOXNO2自动采样器及测定仪项目可行性分析报告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2024年NOXNO2自动采样器及测定仪项目可行性分析报告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2024年NOXNO2自动采样器及测定仪项目可行性分析报告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2024年NOXNO2自动采样器及测定仪项目可行性分析报告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09B81EA4" w14:textId="77777777">
    <w:pPr>
      <w:pStyle w:val="Header"/>
      <w:pBdr>
        <w:bottom w:val="single" w:sz="4" w:space="1" w:color="auto"/>
      </w:pBdr>
      <w:jc w:val="right"/>
      <w:rPr>
        <w:sz w:val="24"/>
        <w:szCs w:val="24"/>
      </w:rPr>
    </w:pPr>
    <w:r>
      <w:t>2024年NOXNO2自动采样器及测定仪项目可行性分析报告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2024年NOXNO2自动采样器及测定仪项目可行性分析报告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2024年NOXNO2自动采样器及测定仪项目可行性分析报告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2024年NOXNO2自动采样器及测定仪项目可行性分析报告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2024年NOXNO2自动采样器及测定仪项目可行性分析报告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000F3"/>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457B5"/>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4198F"/>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58805405005200603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11</Pages>
  <Words>7682</Words>
  <Characters>43793</Characters>
  <Application>Microsoft Office Word</Application>
  <DocSecurity>0</DocSecurity>
  <Lines>364</Lines>
  <Paragraphs>102</Paragraphs>
  <ScaleCrop>false</ScaleCrop>
  <Company/>
  <LinksUpToDate>false</LinksUpToDate>
  <CharactersWithSpaces>51373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2024-02-02T01:03:00Z</dcterms:modified>
</cp:coreProperties>
</file>