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1"/>
        </w:rPr>
      </w:pPr>
    </w:p>
    <w:p>
      <w:pPr>
        <w:pStyle w:val="Title"/>
      </w:pPr>
      <w:r>
        <w:t>济青高速铁路工程 JQGTSG-11 标五分部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p>
    <w:p>
      <w:pPr>
        <w:pStyle w:val="Title"/>
        <w:spacing w:before="25"/>
        <w:ind w:right="458"/>
      </w:pPr>
      <w:r>
        <w:t>三电及管线迁改方案</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1"/>
        </w:rPr>
      </w:pPr>
      <w:r>
        <w:drawing>
          <wp:anchor distT="0" distB="0" distL="0" distR="0" simplePos="0" relativeHeight="251658240" behindDoc="0" locked="0" layoutInCell="1" allowOverlap="1">
            <wp:simplePos x="0" y="0"/>
            <wp:positionH relativeFrom="page">
              <wp:posOffset>4970145</wp:posOffset>
            </wp:positionH>
            <wp:positionV relativeFrom="paragraph">
              <wp:posOffset>117594</wp:posOffset>
            </wp:positionV>
            <wp:extent cx="1691669" cy="1659921"/>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691669" cy="1659921"/>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9"/>
        </w:rPr>
      </w:pPr>
    </w:p>
    <w:p>
      <w:pPr>
        <w:pStyle w:val="BodyText"/>
        <w:spacing w:before="42" w:line="417" w:lineRule="auto"/>
        <w:ind w:left="2567" w:right="10745"/>
        <w:jc w:val="both"/>
      </w:pPr>
      <w:r>
        <w:t>编制人： 审核人： 审批人：</w:t>
      </w:r>
    </w:p>
    <w:p>
      <w:pPr>
        <w:spacing w:after="0" w:line="417" w:lineRule="auto"/>
        <w:jc w:val="both"/>
        <w:sectPr>
          <w:footerReference w:type="default" r:id="rId5"/>
          <w:type w:val="continuous"/>
          <w:pgSz w:w="17860" w:h="25260"/>
          <w:pgMar w:top="2420" w:right="1200" w:bottom="2080" w:left="1660" w:header="708" w:footer="1884"/>
          <w:pgNumType w:start="1"/>
          <w:cols w:space="708"/>
        </w:sectPr>
      </w:pPr>
    </w:p>
    <w:p>
      <w:pPr>
        <w:spacing w:before="37"/>
        <w:ind w:left="0" w:right="458" w:firstLine="0"/>
        <w:jc w:val="center"/>
        <w:rPr>
          <w:b/>
          <w:sz w:val="30"/>
        </w:rPr>
      </w:pPr>
      <w:r>
        <w:rPr>
          <w:b/>
          <w:sz w:val="30"/>
        </w:rPr>
        <w:t>目录</w:t>
      </w:r>
    </w:p>
    <w:p>
      <w:pPr>
        <w:tabs>
          <w:tab w:val="left" w:leader="dot" w:pos="10891"/>
        </w:tabs>
        <w:spacing w:before="264"/>
        <w:ind w:left="0" w:right="467" w:firstLine="0"/>
        <w:jc w:val="center"/>
        <w:rPr>
          <w:sz w:val="30"/>
        </w:rPr>
      </w:pPr>
      <w:r>
        <w:rPr>
          <w:b/>
          <w:sz w:val="30"/>
        </w:rPr>
        <w:t>一．编制依据和原则</w:t>
        <w:tab/>
      </w:r>
      <w:r>
        <w:rPr>
          <w:w w:val="95"/>
          <w:sz w:val="30"/>
        </w:rPr>
        <w:t>错误！未定义书签。</w:t>
      </w:r>
    </w:p>
    <w:p>
      <w:pPr>
        <w:pStyle w:val="ListParagraph"/>
        <w:numPr>
          <w:ilvl w:val="1"/>
          <w:numId w:val="28"/>
        </w:numPr>
        <w:tabs>
          <w:tab w:val="left" w:pos="1239"/>
          <w:tab w:val="left" w:leader="dot" w:pos="11348"/>
        </w:tabs>
        <w:spacing w:before="263" w:after="0" w:line="240" w:lineRule="auto"/>
        <w:ind w:left="1238" w:right="0" w:hanging="454"/>
        <w:jc w:val="left"/>
        <w:rPr>
          <w:b/>
          <w:sz w:val="30"/>
        </w:rPr>
      </w:pPr>
      <w:r>
        <w:rPr>
          <w:sz w:val="30"/>
        </w:rPr>
        <w:t>编制依据</w:t>
        <w:tab/>
      </w:r>
      <w:r>
        <w:rPr>
          <w:b/>
          <w:spacing w:val="3"/>
          <w:w w:val="95"/>
          <w:sz w:val="30"/>
        </w:rPr>
        <w:t>错</w:t>
      </w:r>
      <w:r>
        <w:rPr>
          <w:b/>
          <w:w w:val="95"/>
          <w:sz w:val="30"/>
        </w:rPr>
        <w:t>误！未定义书签。</w:t>
      </w:r>
    </w:p>
    <w:p>
      <w:pPr>
        <w:pStyle w:val="ListParagraph"/>
        <w:numPr>
          <w:ilvl w:val="1"/>
          <w:numId w:val="28"/>
        </w:numPr>
        <w:tabs>
          <w:tab w:val="left" w:pos="1239"/>
          <w:tab w:val="left" w:leader="dot" w:pos="11348"/>
        </w:tabs>
        <w:spacing w:before="84" w:after="0" w:line="240" w:lineRule="auto"/>
        <w:ind w:left="1238" w:right="0" w:hanging="454"/>
        <w:jc w:val="left"/>
        <w:rPr>
          <w:b/>
          <w:sz w:val="30"/>
        </w:rPr>
      </w:pPr>
      <w:r>
        <w:rPr>
          <w:sz w:val="30"/>
        </w:rPr>
        <w:t>编制原则</w:t>
        <w:tab/>
      </w:r>
      <w:r>
        <w:rPr>
          <w:b/>
          <w:spacing w:val="3"/>
          <w:w w:val="95"/>
          <w:sz w:val="30"/>
        </w:rPr>
        <w:t>错</w:t>
      </w:r>
      <w:r>
        <w:rPr>
          <w:b/>
          <w:w w:val="95"/>
          <w:sz w:val="30"/>
        </w:rPr>
        <w:t>误！未定义书签。</w:t>
      </w:r>
    </w:p>
    <w:p>
      <w:pPr>
        <w:tabs>
          <w:tab w:val="left" w:leader="dot" w:pos="10891"/>
        </w:tabs>
        <w:spacing w:before="263"/>
        <w:ind w:left="0" w:right="467" w:firstLine="0"/>
        <w:jc w:val="center"/>
        <w:rPr>
          <w:sz w:val="30"/>
        </w:rPr>
      </w:pPr>
      <w:r>
        <w:rPr>
          <w:b/>
          <w:sz w:val="30"/>
        </w:rPr>
        <w:t>二．工程概况</w:t>
        <w:tab/>
      </w:r>
      <w:r>
        <w:rPr>
          <w:w w:val="95"/>
          <w:sz w:val="30"/>
        </w:rPr>
        <w:t>错误！未定义书签。</w:t>
      </w:r>
    </w:p>
    <w:p>
      <w:pPr>
        <w:pStyle w:val="ListParagraph"/>
        <w:numPr>
          <w:ilvl w:val="1"/>
          <w:numId w:val="26"/>
        </w:numPr>
        <w:tabs>
          <w:tab w:val="left" w:pos="1239"/>
          <w:tab w:val="left" w:leader="dot" w:pos="11348"/>
        </w:tabs>
        <w:spacing w:before="264" w:after="0" w:line="240" w:lineRule="auto"/>
        <w:ind w:left="1238" w:right="0" w:hanging="454"/>
        <w:jc w:val="left"/>
        <w:rPr>
          <w:b/>
          <w:sz w:val="30"/>
        </w:rPr>
      </w:pPr>
      <w:r>
        <w:rPr>
          <w:sz w:val="30"/>
        </w:rPr>
        <w:t>线路概况</w:t>
        <w:tab/>
      </w:r>
      <w:r>
        <w:rPr>
          <w:b/>
          <w:spacing w:val="3"/>
          <w:w w:val="95"/>
          <w:sz w:val="30"/>
        </w:rPr>
        <w:t>错</w:t>
      </w:r>
      <w:r>
        <w:rPr>
          <w:b/>
          <w:w w:val="95"/>
          <w:sz w:val="30"/>
        </w:rPr>
        <w:t>误！未定义书签。</w:t>
      </w:r>
    </w:p>
    <w:p>
      <w:pPr>
        <w:pStyle w:val="ListParagraph"/>
        <w:numPr>
          <w:ilvl w:val="1"/>
          <w:numId w:val="26"/>
        </w:numPr>
        <w:tabs>
          <w:tab w:val="left" w:pos="1239"/>
          <w:tab w:val="left" w:leader="dot" w:pos="11348"/>
        </w:tabs>
        <w:spacing w:before="84" w:after="0" w:line="240" w:lineRule="auto"/>
        <w:ind w:left="1238" w:right="0" w:hanging="454"/>
        <w:jc w:val="left"/>
        <w:rPr>
          <w:b/>
          <w:sz w:val="30"/>
        </w:rPr>
      </w:pPr>
      <w:r>
        <w:rPr>
          <w:sz w:val="30"/>
        </w:rPr>
        <w:t>工程数量</w:t>
        <w:tab/>
      </w:r>
      <w:r>
        <w:rPr>
          <w:b/>
          <w:spacing w:val="3"/>
          <w:w w:val="95"/>
          <w:sz w:val="30"/>
        </w:rPr>
        <w:t>错</w:t>
      </w:r>
      <w:r>
        <w:rPr>
          <w:b/>
          <w:w w:val="95"/>
          <w:sz w:val="30"/>
        </w:rPr>
        <w:t>误！未定义书签。</w:t>
      </w:r>
    </w:p>
    <w:p>
      <w:pPr>
        <w:spacing w:before="83"/>
        <w:ind w:left="1165" w:right="0" w:firstLine="0"/>
        <w:jc w:val="left"/>
        <w:rPr>
          <w:b/>
          <w:sz w:val="30"/>
        </w:rPr>
      </w:pPr>
      <w:r>
        <w:rPr>
          <w:rFonts w:ascii="Calibri" w:eastAsia="Calibri"/>
          <w:sz w:val="30"/>
        </w:rPr>
        <w:t>.......................................................................................................................................</w:t>
      </w:r>
      <w:r>
        <w:rPr>
          <w:b/>
          <w:sz w:val="30"/>
        </w:rPr>
        <w:t>错误！未定义书签。</w:t>
      </w:r>
    </w:p>
    <w:p>
      <w:pPr>
        <w:pStyle w:val="ListParagraph"/>
        <w:numPr>
          <w:ilvl w:val="2"/>
          <w:numId w:val="26"/>
        </w:numPr>
        <w:tabs>
          <w:tab w:val="left" w:pos="1855"/>
          <w:tab w:val="left" w:leader="dot" w:pos="11348"/>
        </w:tabs>
        <w:spacing w:before="84" w:after="0" w:line="240" w:lineRule="auto"/>
        <w:ind w:left="1854" w:right="0" w:hanging="757"/>
        <w:jc w:val="left"/>
        <w:rPr>
          <w:b/>
          <w:sz w:val="30"/>
        </w:rPr>
      </w:pPr>
      <w:r>
        <w:rPr>
          <w:sz w:val="30"/>
        </w:rPr>
        <w:t>通信线改迁数量</w:t>
        <w:tab/>
      </w:r>
      <w:r>
        <w:rPr>
          <w:b/>
          <w:spacing w:val="3"/>
          <w:w w:val="95"/>
          <w:sz w:val="30"/>
        </w:rPr>
        <w:t>错</w:t>
      </w:r>
      <w:r>
        <w:rPr>
          <w:b/>
          <w:w w:val="95"/>
          <w:sz w:val="30"/>
        </w:rPr>
        <w:t>误！未定义书签。</w:t>
      </w:r>
    </w:p>
    <w:p>
      <w:pPr>
        <w:pStyle w:val="ListParagraph"/>
        <w:numPr>
          <w:ilvl w:val="2"/>
          <w:numId w:val="26"/>
        </w:numPr>
        <w:tabs>
          <w:tab w:val="left" w:pos="1855"/>
          <w:tab w:val="left" w:leader="dot" w:pos="11348"/>
        </w:tabs>
        <w:spacing w:before="84" w:after="0" w:line="240" w:lineRule="auto"/>
        <w:ind w:left="1854" w:right="0" w:hanging="757"/>
        <w:jc w:val="left"/>
        <w:rPr>
          <w:b/>
          <w:sz w:val="30"/>
        </w:rPr>
      </w:pPr>
      <w:r>
        <w:rPr>
          <w:sz w:val="30"/>
        </w:rPr>
        <w:t>地下管线改迁数量</w:t>
        <w:tab/>
      </w:r>
      <w:r>
        <w:rPr>
          <w:b/>
          <w:spacing w:val="3"/>
          <w:w w:val="95"/>
          <w:sz w:val="30"/>
        </w:rPr>
        <w:t>错</w:t>
      </w:r>
      <w:r>
        <w:rPr>
          <w:b/>
          <w:w w:val="95"/>
          <w:sz w:val="30"/>
        </w:rPr>
        <w:t>误！未定义书签。</w:t>
      </w:r>
    </w:p>
    <w:p>
      <w:pPr>
        <w:tabs>
          <w:tab w:val="left" w:leader="dot" w:pos="10891"/>
        </w:tabs>
        <w:spacing w:before="264"/>
        <w:ind w:left="0" w:right="467" w:firstLine="0"/>
        <w:jc w:val="center"/>
        <w:rPr>
          <w:sz w:val="30"/>
        </w:rPr>
      </w:pPr>
      <w:r>
        <w:rPr>
          <w:b/>
          <w:spacing w:val="3"/>
          <w:sz w:val="30"/>
        </w:rPr>
        <w:t>三</w:t>
      </w:r>
      <w:r>
        <w:rPr>
          <w:rFonts w:ascii="Calibri" w:eastAsia="Calibri"/>
          <w:b/>
          <w:sz w:val="30"/>
        </w:rPr>
        <w:t>.</w:t>
      </w:r>
      <w:r>
        <w:rPr>
          <w:b/>
          <w:sz w:val="30"/>
        </w:rPr>
        <w:t>工程重点及难点</w:t>
        <w:tab/>
      </w:r>
      <w:r>
        <w:rPr>
          <w:w w:val="95"/>
          <w:sz w:val="30"/>
        </w:rPr>
        <w:t>错误！未定义书签。</w:t>
      </w:r>
    </w:p>
    <w:p>
      <w:pPr>
        <w:tabs>
          <w:tab w:val="left" w:leader="dot" w:pos="10891"/>
        </w:tabs>
        <w:spacing w:before="264"/>
        <w:ind w:left="0" w:right="467" w:firstLine="0"/>
        <w:jc w:val="center"/>
        <w:rPr>
          <w:sz w:val="30"/>
        </w:rPr>
      </w:pPr>
      <w:r>
        <w:rPr>
          <w:b/>
          <w:spacing w:val="3"/>
          <w:sz w:val="30"/>
        </w:rPr>
        <w:t>四</w:t>
      </w:r>
      <w:r>
        <w:rPr>
          <w:rFonts w:ascii="Calibri" w:eastAsia="Calibri"/>
          <w:b/>
          <w:sz w:val="30"/>
        </w:rPr>
        <w:t>.</w:t>
      </w:r>
      <w:r>
        <w:rPr>
          <w:b/>
          <w:sz w:val="30"/>
        </w:rPr>
        <w:t>组织管理机构及劳动力配置</w:t>
        <w:tab/>
      </w:r>
      <w:r>
        <w:rPr>
          <w:w w:val="95"/>
          <w:sz w:val="30"/>
        </w:rPr>
        <w:t>错误！未定义书签。</w:t>
      </w:r>
    </w:p>
    <w:p>
      <w:pPr>
        <w:pStyle w:val="ListParagraph"/>
        <w:numPr>
          <w:ilvl w:val="1"/>
          <w:numId w:val="25"/>
        </w:numPr>
        <w:tabs>
          <w:tab w:val="left" w:pos="1239"/>
          <w:tab w:val="left" w:leader="dot" w:pos="11348"/>
        </w:tabs>
        <w:spacing w:before="263" w:after="0" w:line="240" w:lineRule="auto"/>
        <w:ind w:left="1238" w:right="0" w:hanging="454"/>
        <w:jc w:val="left"/>
        <w:rPr>
          <w:b/>
          <w:sz w:val="30"/>
        </w:rPr>
      </w:pPr>
      <w:r>
        <w:rPr>
          <w:sz w:val="30"/>
        </w:rPr>
        <w:t>项目组织机构图</w:t>
        <w:tab/>
      </w:r>
      <w:r>
        <w:rPr>
          <w:b/>
          <w:spacing w:val="3"/>
          <w:w w:val="95"/>
          <w:sz w:val="30"/>
        </w:rPr>
        <w:t>错</w:t>
      </w:r>
      <w:r>
        <w:rPr>
          <w:b/>
          <w:w w:val="95"/>
          <w:sz w:val="30"/>
        </w:rPr>
        <w:t>误！未定义书签。</w:t>
      </w:r>
    </w:p>
    <w:p>
      <w:pPr>
        <w:pStyle w:val="ListParagraph"/>
        <w:numPr>
          <w:ilvl w:val="1"/>
          <w:numId w:val="25"/>
        </w:numPr>
        <w:tabs>
          <w:tab w:val="left" w:pos="1239"/>
          <w:tab w:val="left" w:leader="dot" w:pos="11348"/>
        </w:tabs>
        <w:spacing w:before="84" w:after="0" w:line="240" w:lineRule="auto"/>
        <w:ind w:left="1238" w:right="0" w:hanging="454"/>
        <w:jc w:val="left"/>
        <w:rPr>
          <w:b/>
          <w:sz w:val="30"/>
        </w:rPr>
      </w:pPr>
      <w:r>
        <w:rPr>
          <w:sz w:val="30"/>
        </w:rPr>
        <w:t>劳动力配置</w:t>
        <w:tab/>
      </w:r>
      <w:r>
        <w:rPr>
          <w:b/>
          <w:spacing w:val="3"/>
          <w:w w:val="95"/>
          <w:sz w:val="30"/>
        </w:rPr>
        <w:t>错</w:t>
      </w:r>
      <w:r>
        <w:rPr>
          <w:b/>
          <w:w w:val="95"/>
          <w:sz w:val="30"/>
        </w:rPr>
        <w:t>误！未定义书签。</w:t>
      </w:r>
    </w:p>
    <w:p>
      <w:pPr>
        <w:tabs>
          <w:tab w:val="left" w:leader="dot" w:pos="10891"/>
        </w:tabs>
        <w:spacing w:before="263"/>
        <w:ind w:left="0" w:right="467" w:firstLine="0"/>
        <w:jc w:val="center"/>
        <w:rPr>
          <w:sz w:val="30"/>
        </w:rPr>
      </w:pPr>
      <w:r>
        <w:rPr>
          <w:b/>
          <w:spacing w:val="3"/>
          <w:sz w:val="30"/>
        </w:rPr>
        <w:t>五</w:t>
      </w:r>
      <w:r>
        <w:rPr>
          <w:rFonts w:ascii="Calibri" w:eastAsia="Calibri"/>
          <w:b/>
          <w:sz w:val="30"/>
        </w:rPr>
        <w:t>.</w:t>
      </w:r>
      <w:r>
        <w:rPr>
          <w:b/>
          <w:sz w:val="30"/>
        </w:rPr>
        <w:t>迁改施工进度计划</w:t>
        <w:tab/>
      </w:r>
      <w:r>
        <w:rPr>
          <w:w w:val="95"/>
          <w:sz w:val="30"/>
        </w:rPr>
        <w:t>错误！未定义书签。</w:t>
      </w:r>
    </w:p>
    <w:p>
      <w:pPr>
        <w:pStyle w:val="ListParagraph"/>
        <w:numPr>
          <w:ilvl w:val="1"/>
          <w:numId w:val="24"/>
        </w:numPr>
        <w:tabs>
          <w:tab w:val="left" w:pos="1239"/>
          <w:tab w:val="left" w:leader="dot" w:pos="11348"/>
        </w:tabs>
        <w:spacing w:before="264" w:after="0" w:line="240" w:lineRule="auto"/>
        <w:ind w:left="1238" w:right="0" w:hanging="454"/>
        <w:jc w:val="left"/>
        <w:rPr>
          <w:b/>
          <w:sz w:val="30"/>
        </w:rPr>
      </w:pPr>
      <w:r>
        <w:rPr>
          <w:sz w:val="30"/>
        </w:rPr>
        <w:t>迁改施工进度计划</w:t>
        <w:tab/>
      </w:r>
      <w:r>
        <w:rPr>
          <w:b/>
          <w:spacing w:val="3"/>
          <w:w w:val="95"/>
          <w:sz w:val="30"/>
        </w:rPr>
        <w:t>错</w:t>
      </w:r>
      <w:r>
        <w:rPr>
          <w:b/>
          <w:w w:val="95"/>
          <w:sz w:val="30"/>
        </w:rPr>
        <w:t>误！未定义书签。</w:t>
      </w:r>
    </w:p>
    <w:p>
      <w:pPr>
        <w:pStyle w:val="ListParagraph"/>
        <w:numPr>
          <w:ilvl w:val="1"/>
          <w:numId w:val="24"/>
        </w:numPr>
        <w:tabs>
          <w:tab w:val="left" w:pos="1239"/>
          <w:tab w:val="left" w:leader="dot" w:pos="11348"/>
        </w:tabs>
        <w:spacing w:before="84" w:after="0" w:line="240" w:lineRule="auto"/>
        <w:ind w:left="1238" w:right="0" w:hanging="454"/>
        <w:jc w:val="left"/>
        <w:rPr>
          <w:b/>
          <w:sz w:val="30"/>
        </w:rPr>
      </w:pPr>
      <w:r>
        <w:rPr>
          <w:sz w:val="30"/>
        </w:rPr>
        <w:t>迁改施工进度阶段划分</w:t>
        <w:tab/>
      </w:r>
      <w:r>
        <w:rPr>
          <w:b/>
          <w:spacing w:val="3"/>
          <w:w w:val="95"/>
          <w:sz w:val="30"/>
        </w:rPr>
        <w:t>错</w:t>
      </w:r>
      <w:r>
        <w:rPr>
          <w:b/>
          <w:w w:val="95"/>
          <w:sz w:val="30"/>
        </w:rPr>
        <w:t>误！未定义书签。</w:t>
      </w:r>
    </w:p>
    <w:p>
      <w:pPr>
        <w:tabs>
          <w:tab w:val="left" w:leader="dot" w:pos="10891"/>
        </w:tabs>
        <w:spacing w:before="263"/>
        <w:ind w:left="0" w:right="467" w:firstLine="0"/>
        <w:jc w:val="center"/>
        <w:rPr>
          <w:sz w:val="30"/>
        </w:rPr>
      </w:pPr>
      <w:r>
        <w:rPr>
          <w:b/>
          <w:spacing w:val="3"/>
          <w:sz w:val="30"/>
        </w:rPr>
        <w:t>六</w:t>
      </w:r>
      <w:r>
        <w:rPr>
          <w:rFonts w:ascii="Calibri" w:eastAsia="Calibri"/>
          <w:b/>
          <w:sz w:val="30"/>
        </w:rPr>
        <w:t>.</w:t>
      </w:r>
      <w:r>
        <w:rPr>
          <w:b/>
          <w:sz w:val="30"/>
        </w:rPr>
        <w:t>迁改施工方案</w:t>
        <w:tab/>
      </w:r>
      <w:r>
        <w:rPr>
          <w:w w:val="95"/>
          <w:sz w:val="30"/>
        </w:rPr>
        <w:t>错误！未定义书签。</w:t>
      </w:r>
    </w:p>
    <w:p>
      <w:pPr>
        <w:pStyle w:val="ListParagraph"/>
        <w:numPr>
          <w:ilvl w:val="1"/>
          <w:numId w:val="23"/>
        </w:numPr>
        <w:tabs>
          <w:tab w:val="left" w:pos="1239"/>
          <w:tab w:val="left" w:leader="dot" w:pos="11348"/>
        </w:tabs>
        <w:spacing w:before="264" w:after="0" w:line="240" w:lineRule="auto"/>
        <w:ind w:left="1238" w:right="0" w:hanging="454"/>
        <w:jc w:val="left"/>
        <w:rPr>
          <w:b/>
          <w:sz w:val="30"/>
        </w:rPr>
      </w:pPr>
      <w:r>
        <w:rPr>
          <w:sz w:val="30"/>
        </w:rPr>
        <w:t>电力迁改方案</w:t>
        <w:tab/>
      </w:r>
      <w:r>
        <w:rPr>
          <w:b/>
          <w:spacing w:val="3"/>
          <w:w w:val="95"/>
          <w:sz w:val="30"/>
        </w:rPr>
        <w:t>错</w:t>
      </w:r>
      <w:r>
        <w:rPr>
          <w:b/>
          <w:w w:val="95"/>
          <w:sz w:val="30"/>
        </w:rPr>
        <w:t>误！未定义书签。</w:t>
      </w:r>
    </w:p>
    <w:p>
      <w:pPr>
        <w:spacing w:before="84"/>
        <w:ind w:left="1165" w:right="0" w:firstLine="0"/>
        <w:jc w:val="left"/>
        <w:rPr>
          <w:b/>
          <w:sz w:val="30"/>
        </w:rPr>
      </w:pPr>
      <w:r>
        <w:rPr>
          <w:rFonts w:ascii="Calibri" w:eastAsia="Calibri"/>
          <w:spacing w:val="-1"/>
          <w:w w:val="95"/>
          <w:sz w:val="30"/>
        </w:rPr>
        <w:t>.......................................................................................................................................</w:t>
      </w:r>
      <w:r>
        <w:rPr>
          <w:b/>
          <w:w w:val="95"/>
          <w:sz w:val="30"/>
        </w:rPr>
        <w:t>错误！未定义书签。</w:t>
      </w:r>
    </w:p>
    <w:p>
      <w:pPr>
        <w:spacing w:before="84"/>
        <w:ind w:left="1165" w:right="0" w:firstLine="0"/>
        <w:jc w:val="left"/>
        <w:rPr>
          <w:b/>
          <w:sz w:val="30"/>
        </w:rPr>
      </w:pPr>
      <w:r>
        <w:rPr>
          <w:rFonts w:ascii="Calibri" w:eastAsia="Calibri"/>
          <w:spacing w:val="-1"/>
          <w:w w:val="95"/>
          <w:sz w:val="30"/>
        </w:rPr>
        <w:t>.......................................................................................................................................</w:t>
      </w:r>
      <w:r>
        <w:rPr>
          <w:b/>
          <w:w w:val="95"/>
          <w:sz w:val="30"/>
        </w:rPr>
        <w:t>错误！未定义书签。</w:t>
      </w:r>
    </w:p>
    <w:p>
      <w:pPr>
        <w:spacing w:before="83"/>
        <w:ind w:left="1165" w:right="0" w:firstLine="0"/>
        <w:jc w:val="left"/>
        <w:rPr>
          <w:b/>
          <w:sz w:val="30"/>
        </w:rPr>
      </w:pPr>
      <w:r>
        <w:rPr>
          <w:rFonts w:ascii="Calibri" w:eastAsia="Calibri"/>
          <w:spacing w:val="-1"/>
          <w:w w:val="95"/>
          <w:sz w:val="30"/>
        </w:rPr>
        <w:t>.......................................................................................................................................</w:t>
      </w:r>
      <w:r>
        <w:rPr>
          <w:b/>
          <w:w w:val="95"/>
          <w:sz w:val="30"/>
        </w:rPr>
        <w:t>错误！未定义书签。</w:t>
      </w:r>
    </w:p>
    <w:p>
      <w:pPr>
        <w:pStyle w:val="ListParagraph"/>
        <w:numPr>
          <w:ilvl w:val="1"/>
          <w:numId w:val="23"/>
        </w:numPr>
        <w:tabs>
          <w:tab w:val="left" w:pos="1239"/>
          <w:tab w:val="left" w:leader="dot" w:pos="11348"/>
        </w:tabs>
        <w:spacing w:before="84" w:after="0" w:line="240" w:lineRule="auto"/>
        <w:ind w:left="1238" w:right="0" w:hanging="454"/>
        <w:jc w:val="left"/>
        <w:rPr>
          <w:b/>
          <w:sz w:val="30"/>
        </w:rPr>
      </w:pPr>
      <w:r>
        <w:rPr>
          <w:sz w:val="30"/>
        </w:rPr>
        <w:t>通信迁改方案</w:t>
        <w:tab/>
      </w:r>
      <w:r>
        <w:rPr>
          <w:b/>
          <w:spacing w:val="3"/>
          <w:sz w:val="30"/>
        </w:rPr>
        <w:t>错</w:t>
      </w:r>
      <w:r>
        <w:rPr>
          <w:b/>
          <w:sz w:val="30"/>
        </w:rPr>
        <w:t>误！未定义书签。</w:t>
      </w:r>
    </w:p>
    <w:p>
      <w:pPr>
        <w:spacing w:before="84"/>
        <w:ind w:left="1165" w:right="0" w:firstLine="0"/>
        <w:jc w:val="left"/>
        <w:rPr>
          <w:b/>
          <w:sz w:val="30"/>
        </w:rPr>
      </w:pPr>
      <w:r>
        <w:rPr>
          <w:rFonts w:ascii="Calibri" w:eastAsia="Calibri"/>
          <w:spacing w:val="-1"/>
          <w:w w:val="95"/>
          <w:sz w:val="30"/>
        </w:rPr>
        <w:t>.......................................................................................................................................</w:t>
      </w:r>
      <w:r>
        <w:rPr>
          <w:b/>
          <w:w w:val="95"/>
          <w:sz w:val="30"/>
        </w:rPr>
        <w:t>错误！未定义书签。</w:t>
      </w:r>
    </w:p>
    <w:p>
      <w:pPr>
        <w:spacing w:before="83"/>
        <w:ind w:left="1165" w:right="0" w:firstLine="0"/>
        <w:jc w:val="left"/>
        <w:rPr>
          <w:b/>
          <w:sz w:val="30"/>
        </w:rPr>
      </w:pPr>
      <w:r>
        <w:rPr>
          <w:rFonts w:ascii="Calibri" w:eastAsia="Calibri"/>
          <w:spacing w:val="-1"/>
          <w:w w:val="95"/>
          <w:sz w:val="30"/>
        </w:rPr>
        <w:t>.......................................................................................................................................</w:t>
      </w:r>
      <w:r>
        <w:rPr>
          <w:b/>
          <w:w w:val="95"/>
          <w:sz w:val="30"/>
        </w:rPr>
        <w:t>错误！未定义书签。</w:t>
      </w:r>
    </w:p>
    <w:p>
      <w:pPr>
        <w:spacing w:before="84"/>
        <w:ind w:left="1165" w:right="0" w:firstLine="0"/>
        <w:jc w:val="left"/>
        <w:rPr>
          <w:b/>
          <w:sz w:val="30"/>
        </w:rPr>
      </w:pPr>
      <w:r>
        <w:rPr>
          <w:rFonts w:ascii="Calibri" w:eastAsia="Calibri"/>
          <w:spacing w:val="-1"/>
          <w:w w:val="95"/>
          <w:sz w:val="30"/>
        </w:rPr>
        <w:t>.......................................................................................................................................</w:t>
      </w:r>
      <w:r>
        <w:rPr>
          <w:b/>
          <w:w w:val="95"/>
          <w:sz w:val="30"/>
        </w:rPr>
        <w:t>错误！未定义书签。</w:t>
      </w:r>
    </w:p>
    <w:p>
      <w:pPr>
        <w:spacing w:before="84"/>
        <w:ind w:left="1165" w:right="0" w:firstLine="0"/>
        <w:jc w:val="left"/>
        <w:rPr>
          <w:b/>
          <w:sz w:val="30"/>
        </w:rPr>
      </w:pPr>
      <w:r>
        <w:rPr>
          <w:rFonts w:ascii="Calibri" w:eastAsia="Calibri"/>
          <w:spacing w:val="-1"/>
          <w:w w:val="95"/>
          <w:sz w:val="30"/>
        </w:rPr>
        <w:t>.......................................................................................................................................</w:t>
      </w:r>
      <w:r>
        <w:rPr>
          <w:b/>
          <w:w w:val="95"/>
          <w:sz w:val="30"/>
        </w:rPr>
        <w:t>错误！未定义书签。</w:t>
      </w:r>
    </w:p>
    <w:p>
      <w:pPr>
        <w:pStyle w:val="ListParagraph"/>
        <w:numPr>
          <w:ilvl w:val="1"/>
          <w:numId w:val="23"/>
        </w:numPr>
        <w:tabs>
          <w:tab w:val="left" w:pos="1239"/>
          <w:tab w:val="left" w:leader="dot" w:pos="11348"/>
        </w:tabs>
        <w:spacing w:before="83" w:after="0" w:line="240" w:lineRule="auto"/>
        <w:ind w:left="1238" w:right="0" w:hanging="454"/>
        <w:jc w:val="left"/>
        <w:rPr>
          <w:b/>
          <w:sz w:val="30"/>
        </w:rPr>
      </w:pPr>
      <w:r>
        <w:rPr>
          <w:sz w:val="30"/>
        </w:rPr>
        <w:t>石油管线迁改方案</w:t>
        <w:tab/>
      </w:r>
      <w:r>
        <w:rPr>
          <w:b/>
          <w:spacing w:val="3"/>
          <w:sz w:val="30"/>
        </w:rPr>
        <w:t>错</w:t>
      </w:r>
      <w:r>
        <w:rPr>
          <w:b/>
          <w:sz w:val="30"/>
        </w:rPr>
        <w:t>误！未定义书签。</w:t>
      </w:r>
    </w:p>
    <w:p>
      <w:pPr>
        <w:spacing w:before="84"/>
        <w:ind w:left="1165" w:right="0" w:firstLine="0"/>
        <w:jc w:val="left"/>
        <w:rPr>
          <w:b/>
          <w:sz w:val="30"/>
        </w:rPr>
      </w:pPr>
      <w:r>
        <w:rPr>
          <w:rFonts w:ascii="Calibri" w:eastAsia="Calibri"/>
          <w:spacing w:val="-1"/>
          <w:w w:val="95"/>
          <w:sz w:val="30"/>
        </w:rPr>
        <w:t>.......................................................................................................................................</w:t>
      </w:r>
      <w:r>
        <w:rPr>
          <w:b/>
          <w:w w:val="95"/>
          <w:sz w:val="30"/>
        </w:rPr>
        <w:t>错误！未定义书签。</w:t>
      </w:r>
    </w:p>
    <w:p>
      <w:pPr>
        <w:spacing w:before="83"/>
        <w:ind w:left="1165" w:right="0" w:firstLine="0"/>
        <w:jc w:val="left"/>
        <w:rPr>
          <w:b/>
          <w:sz w:val="30"/>
        </w:rPr>
      </w:pPr>
      <w:r>
        <w:rPr>
          <w:rFonts w:ascii="Calibri" w:eastAsia="Calibri"/>
          <w:spacing w:val="-1"/>
          <w:w w:val="95"/>
          <w:sz w:val="30"/>
        </w:rPr>
        <w:t>.......................................................................................................................................</w:t>
      </w:r>
      <w:r>
        <w:rPr>
          <w:b/>
          <w:w w:val="95"/>
          <w:sz w:val="30"/>
        </w:rPr>
        <w:t>错误！未定义书签。</w:t>
      </w:r>
    </w:p>
    <w:p>
      <w:pPr>
        <w:tabs>
          <w:tab w:val="left" w:leader="dot" w:pos="10891"/>
        </w:tabs>
        <w:spacing w:before="265"/>
        <w:ind w:left="0" w:right="467" w:firstLine="0"/>
        <w:jc w:val="center"/>
        <w:rPr>
          <w:sz w:val="30"/>
        </w:rPr>
      </w:pPr>
      <w:r>
        <w:rPr>
          <w:b/>
          <w:sz w:val="30"/>
        </w:rPr>
        <w:t>七、质量保证体系及措施</w:t>
        <w:tab/>
      </w:r>
      <w:r>
        <w:rPr>
          <w:w w:val="95"/>
          <w:sz w:val="30"/>
        </w:rPr>
        <w:t>错误！未定义书签。</w:t>
      </w:r>
    </w:p>
    <w:p>
      <w:pPr>
        <w:pStyle w:val="ListParagraph"/>
        <w:numPr>
          <w:ilvl w:val="1"/>
          <w:numId w:val="22"/>
        </w:numPr>
        <w:tabs>
          <w:tab w:val="left" w:pos="1239"/>
          <w:tab w:val="left" w:leader="dot" w:pos="11348"/>
        </w:tabs>
        <w:spacing w:before="264" w:after="0" w:line="240" w:lineRule="auto"/>
        <w:ind w:left="1238" w:right="0" w:hanging="454"/>
        <w:jc w:val="left"/>
        <w:rPr>
          <w:b/>
          <w:sz w:val="30"/>
        </w:rPr>
      </w:pPr>
      <w:r>
        <w:rPr>
          <w:sz w:val="30"/>
        </w:rPr>
        <w:t>质量保证体系</w:t>
        <w:tab/>
      </w:r>
      <w:r>
        <w:rPr>
          <w:b/>
          <w:spacing w:val="3"/>
          <w:w w:val="95"/>
          <w:sz w:val="30"/>
        </w:rPr>
        <w:t>错</w:t>
      </w:r>
      <w:r>
        <w:rPr>
          <w:b/>
          <w:w w:val="95"/>
          <w:sz w:val="30"/>
        </w:rPr>
        <w:t>误！未定义书签。</w:t>
      </w:r>
    </w:p>
    <w:p>
      <w:pPr>
        <w:spacing w:before="83"/>
        <w:ind w:left="1165" w:right="0" w:firstLine="0"/>
        <w:jc w:val="left"/>
        <w:rPr>
          <w:b/>
          <w:sz w:val="30"/>
        </w:rPr>
      </w:pPr>
      <w:r>
        <w:rPr>
          <w:rFonts w:ascii="Calibri" w:eastAsia="Calibri"/>
          <w:spacing w:val="-1"/>
          <w:w w:val="95"/>
          <w:sz w:val="30"/>
        </w:rPr>
        <w:t>.......................................................................................................................................</w:t>
      </w:r>
      <w:r>
        <w:rPr>
          <w:b/>
          <w:w w:val="95"/>
          <w:sz w:val="30"/>
        </w:rPr>
        <w:t>错误！未定义书签。</w:t>
      </w:r>
    </w:p>
    <w:p>
      <w:pPr>
        <w:spacing w:before="84"/>
        <w:ind w:left="1165" w:right="0" w:firstLine="0"/>
        <w:jc w:val="left"/>
        <w:rPr>
          <w:b/>
          <w:sz w:val="30"/>
        </w:rPr>
      </w:pPr>
      <w:r>
        <w:rPr>
          <w:rFonts w:ascii="Calibri" w:eastAsia="Calibri"/>
          <w:spacing w:val="-1"/>
          <w:w w:val="95"/>
          <w:sz w:val="30"/>
        </w:rPr>
        <w:t>.......................................................................................................................................</w:t>
      </w:r>
      <w:r>
        <w:rPr>
          <w:b/>
          <w:w w:val="95"/>
          <w:sz w:val="30"/>
        </w:rPr>
        <w:t>错误！未定义书签。</w:t>
      </w:r>
    </w:p>
    <w:p>
      <w:pPr>
        <w:pStyle w:val="ListParagraph"/>
        <w:numPr>
          <w:ilvl w:val="1"/>
          <w:numId w:val="22"/>
        </w:numPr>
        <w:tabs>
          <w:tab w:val="left" w:pos="1239"/>
          <w:tab w:val="left" w:leader="dot" w:pos="11348"/>
        </w:tabs>
        <w:spacing w:before="84" w:after="0" w:line="240" w:lineRule="auto"/>
        <w:ind w:left="1238" w:right="0" w:hanging="454"/>
        <w:jc w:val="left"/>
        <w:rPr>
          <w:b/>
          <w:sz w:val="30"/>
        </w:rPr>
      </w:pPr>
      <w:r>
        <w:rPr>
          <w:sz w:val="30"/>
        </w:rPr>
        <w:t>质量保证措施</w:t>
        <w:tab/>
      </w:r>
      <w:r>
        <w:rPr>
          <w:b/>
          <w:spacing w:val="3"/>
          <w:sz w:val="30"/>
        </w:rPr>
        <w:t>错</w:t>
      </w:r>
      <w:r>
        <w:rPr>
          <w:b/>
          <w:sz w:val="30"/>
        </w:rPr>
        <w:t>误！未定义书签。</w:t>
      </w:r>
    </w:p>
    <w:p>
      <w:pPr>
        <w:spacing w:before="83"/>
        <w:ind w:left="1165" w:right="0" w:firstLine="0"/>
        <w:jc w:val="left"/>
        <w:rPr>
          <w:b/>
          <w:sz w:val="30"/>
        </w:rPr>
      </w:pPr>
      <w:r>
        <w:rPr>
          <w:rFonts w:ascii="Calibri" w:eastAsia="Calibri"/>
          <w:spacing w:val="-1"/>
          <w:w w:val="95"/>
          <w:sz w:val="30"/>
        </w:rPr>
        <w:t>.......................................................................................................................................</w:t>
      </w:r>
      <w:r>
        <w:rPr>
          <w:b/>
          <w:w w:val="95"/>
          <w:sz w:val="30"/>
        </w:rPr>
        <w:t>错误！未定义书签。</w:t>
      </w:r>
    </w:p>
    <w:p>
      <w:pPr>
        <w:spacing w:before="84"/>
        <w:ind w:left="1165" w:right="0" w:firstLine="0"/>
        <w:jc w:val="left"/>
        <w:rPr>
          <w:b/>
          <w:sz w:val="30"/>
        </w:rPr>
      </w:pPr>
      <w:r>
        <w:rPr>
          <w:rFonts w:ascii="Calibri" w:eastAsia="Calibri"/>
          <w:spacing w:val="-1"/>
          <w:w w:val="95"/>
          <w:sz w:val="30"/>
        </w:rPr>
        <w:t>.......................................................................................................................................</w:t>
      </w:r>
      <w:r>
        <w:rPr>
          <w:b/>
          <w:w w:val="95"/>
          <w:sz w:val="30"/>
        </w:rPr>
        <w:t>错误！未定义书签。</w:t>
      </w:r>
    </w:p>
    <w:p>
      <w:pPr>
        <w:spacing w:before="83"/>
        <w:ind w:left="1165" w:right="0" w:firstLine="0"/>
        <w:jc w:val="left"/>
        <w:rPr>
          <w:b/>
          <w:sz w:val="30"/>
        </w:rPr>
      </w:pPr>
      <w:r>
        <w:rPr>
          <w:rFonts w:ascii="Calibri" w:eastAsia="Calibri"/>
          <w:spacing w:val="-1"/>
          <w:w w:val="95"/>
          <w:sz w:val="30"/>
        </w:rPr>
        <w:t>.......................................................................................................................................</w:t>
      </w:r>
      <w:r>
        <w:rPr>
          <w:b/>
          <w:w w:val="95"/>
          <w:sz w:val="30"/>
        </w:rPr>
        <w:t>错误！未定义书签。</w:t>
      </w:r>
    </w:p>
    <w:p>
      <w:pPr>
        <w:spacing w:after="0"/>
        <w:jc w:val="left"/>
        <w:rPr>
          <w:sz w:val="30"/>
        </w:rPr>
        <w:sectPr>
          <w:footerReference w:type="default" r:id="rId6"/>
          <w:pgSz w:w="17860" w:h="25260"/>
          <w:pgMar w:top="2280" w:right="1200" w:bottom="2080" w:left="1660" w:header="0" w:footer="1884"/>
          <w:pgNumType w:start="2"/>
          <w:cols w:space="708"/>
        </w:sectPr>
      </w:pPr>
    </w:p>
    <w:p>
      <w:pPr>
        <w:tabs>
          <w:tab w:val="left" w:leader="dot" w:pos="11366"/>
        </w:tabs>
        <w:spacing w:before="37"/>
        <w:ind w:left="475" w:right="0" w:firstLine="0"/>
        <w:jc w:val="left"/>
        <w:rPr>
          <w:sz w:val="30"/>
        </w:rPr>
      </w:pPr>
      <w:r>
        <w:rPr>
          <w:b/>
          <w:sz w:val="30"/>
        </w:rPr>
        <w:t>八、安全保证体系及措施</w:t>
        <w:tab/>
      </w:r>
      <w:r>
        <w:rPr>
          <w:w w:val="95"/>
          <w:sz w:val="30"/>
        </w:rPr>
        <w:t>错误！未定义书签。</w:t>
      </w:r>
    </w:p>
    <w:p>
      <w:pPr>
        <w:tabs>
          <w:tab w:val="left" w:leader="dot" w:pos="11348"/>
        </w:tabs>
        <w:spacing w:before="264"/>
        <w:ind w:left="785" w:right="0" w:firstLine="0"/>
        <w:jc w:val="left"/>
        <w:rPr>
          <w:b/>
          <w:sz w:val="30"/>
        </w:rPr>
      </w:pPr>
      <w:r>
        <w:rPr>
          <w:rFonts w:ascii="Calibri" w:eastAsia="Calibri"/>
          <w:sz w:val="30"/>
        </w:rPr>
        <w:t>8.1.</w:t>
      </w:r>
      <w:r>
        <w:rPr>
          <w:sz w:val="30"/>
        </w:rPr>
        <w:t>安全保证体系</w:t>
        <w:tab/>
      </w:r>
      <w:r>
        <w:rPr>
          <w:b/>
          <w:spacing w:val="3"/>
          <w:w w:val="95"/>
          <w:sz w:val="30"/>
        </w:rPr>
        <w:t>错</w:t>
      </w:r>
      <w:r>
        <w:rPr>
          <w:b/>
          <w:w w:val="95"/>
          <w:sz w:val="30"/>
        </w:rPr>
        <w:t>误！未定义书签。</w:t>
      </w:r>
    </w:p>
    <w:p>
      <w:pPr>
        <w:spacing w:before="83"/>
        <w:ind w:left="1165" w:right="0" w:firstLine="0"/>
        <w:jc w:val="left"/>
        <w:rPr>
          <w:b/>
          <w:sz w:val="30"/>
        </w:rPr>
      </w:pPr>
      <w:r>
        <w:rPr>
          <w:rFonts w:ascii="Calibri" w:eastAsia="Calibri"/>
          <w:spacing w:val="-1"/>
          <w:w w:val="95"/>
          <w:sz w:val="30"/>
        </w:rPr>
        <w:t>.......................................................................................................................................</w:t>
      </w:r>
      <w:r>
        <w:rPr>
          <w:b/>
          <w:w w:val="95"/>
          <w:sz w:val="30"/>
        </w:rPr>
        <w:t>错误！未定义书签。</w:t>
      </w:r>
    </w:p>
    <w:p>
      <w:pPr>
        <w:spacing w:before="84"/>
        <w:ind w:left="1165" w:right="0" w:firstLine="0"/>
        <w:jc w:val="left"/>
        <w:rPr>
          <w:b/>
          <w:sz w:val="30"/>
        </w:rPr>
      </w:pPr>
      <w:r>
        <w:rPr>
          <w:rFonts w:ascii="Calibri" w:eastAsia="Calibri"/>
          <w:spacing w:val="-1"/>
          <w:w w:val="95"/>
          <w:sz w:val="30"/>
        </w:rPr>
        <w:t>.......................................................................................................................................</w:t>
      </w:r>
      <w:r>
        <w:rPr>
          <w:b/>
          <w:w w:val="95"/>
          <w:sz w:val="30"/>
        </w:rPr>
        <w:t>错误！未定义书签。</w:t>
      </w:r>
    </w:p>
    <w:p>
      <w:pPr>
        <w:tabs>
          <w:tab w:val="left" w:leader="dot" w:pos="11348"/>
        </w:tabs>
        <w:spacing w:before="83"/>
        <w:ind w:left="785" w:right="0" w:firstLine="0"/>
        <w:jc w:val="left"/>
        <w:rPr>
          <w:b/>
          <w:sz w:val="30"/>
        </w:rPr>
      </w:pPr>
      <w:r>
        <w:rPr>
          <w:rFonts w:ascii="Calibri" w:eastAsia="Calibri"/>
          <w:sz w:val="30"/>
        </w:rPr>
        <w:t>8.2</w:t>
      </w:r>
      <w:r>
        <w:rPr>
          <w:rFonts w:ascii="Calibri" w:eastAsia="Calibri"/>
          <w:spacing w:val="46"/>
          <w:sz w:val="30"/>
        </w:rPr>
        <w:t xml:space="preserve"> </w:t>
      </w:r>
      <w:r>
        <w:rPr>
          <w:sz w:val="30"/>
        </w:rPr>
        <w:t>安全保证措施</w:t>
        <w:tab/>
      </w:r>
      <w:r>
        <w:rPr>
          <w:b/>
          <w:spacing w:val="3"/>
          <w:w w:val="95"/>
          <w:sz w:val="30"/>
        </w:rPr>
        <w:t>错</w:t>
      </w:r>
      <w:r>
        <w:rPr>
          <w:b/>
          <w:w w:val="95"/>
          <w:sz w:val="30"/>
        </w:rPr>
        <w:t>误！未定义书签。</w:t>
      </w:r>
    </w:p>
    <w:p>
      <w:pPr>
        <w:tabs>
          <w:tab w:val="left" w:leader="dot" w:pos="11366"/>
        </w:tabs>
        <w:spacing w:before="264"/>
        <w:ind w:left="475" w:right="0" w:firstLine="0"/>
        <w:jc w:val="left"/>
        <w:rPr>
          <w:sz w:val="30"/>
        </w:rPr>
      </w:pPr>
      <w:r>
        <w:rPr>
          <w:b/>
          <w:sz w:val="30"/>
        </w:rPr>
        <w:t>九、环保、水土保持措施</w:t>
        <w:tab/>
      </w:r>
      <w:r>
        <w:rPr>
          <w:w w:val="95"/>
          <w:sz w:val="30"/>
        </w:rPr>
        <w:t>错误！未定义书签。</w:t>
      </w:r>
    </w:p>
    <w:p>
      <w:pPr>
        <w:pStyle w:val="ListParagraph"/>
        <w:numPr>
          <w:ilvl w:val="1"/>
          <w:numId w:val="29"/>
        </w:numPr>
        <w:tabs>
          <w:tab w:val="left" w:pos="1239"/>
          <w:tab w:val="left" w:leader="dot" w:pos="11348"/>
        </w:tabs>
        <w:spacing w:before="264" w:after="0" w:line="240" w:lineRule="auto"/>
        <w:ind w:left="1238" w:right="0" w:hanging="454"/>
        <w:jc w:val="left"/>
        <w:rPr>
          <w:b/>
          <w:sz w:val="30"/>
        </w:rPr>
      </w:pPr>
      <w:r>
        <w:rPr>
          <w:sz w:val="30"/>
        </w:rPr>
        <w:t>环保措施</w:t>
        <w:tab/>
      </w:r>
      <w:r>
        <w:rPr>
          <w:b/>
          <w:spacing w:val="3"/>
          <w:w w:val="95"/>
          <w:sz w:val="30"/>
        </w:rPr>
        <w:t>错</w:t>
      </w:r>
      <w:r>
        <w:rPr>
          <w:b/>
          <w:w w:val="95"/>
          <w:sz w:val="30"/>
        </w:rPr>
        <w:t>误！未定义书签。</w:t>
      </w:r>
    </w:p>
    <w:p>
      <w:pPr>
        <w:pStyle w:val="ListParagraph"/>
        <w:numPr>
          <w:ilvl w:val="1"/>
          <w:numId w:val="29"/>
        </w:numPr>
        <w:tabs>
          <w:tab w:val="left" w:pos="1239"/>
          <w:tab w:val="left" w:leader="dot" w:pos="11348"/>
        </w:tabs>
        <w:spacing w:before="83" w:after="0" w:line="240" w:lineRule="auto"/>
        <w:ind w:left="1238" w:right="0" w:hanging="454"/>
        <w:jc w:val="left"/>
        <w:rPr>
          <w:b/>
          <w:sz w:val="30"/>
        </w:rPr>
      </w:pPr>
      <w:r>
        <w:rPr>
          <w:sz w:val="30"/>
        </w:rPr>
        <w:t>水土保持措施</w:t>
        <w:tab/>
      </w:r>
      <w:r>
        <w:rPr>
          <w:b/>
          <w:spacing w:val="3"/>
          <w:w w:val="95"/>
          <w:sz w:val="30"/>
        </w:rPr>
        <w:t>错</w:t>
      </w:r>
      <w:r>
        <w:rPr>
          <w:b/>
          <w:w w:val="95"/>
          <w:sz w:val="30"/>
        </w:rPr>
        <w:t>误！未定义书签。</w:t>
      </w:r>
    </w:p>
    <w:p>
      <w:pPr>
        <w:spacing w:after="0" w:line="240" w:lineRule="auto"/>
        <w:jc w:val="left"/>
        <w:rPr>
          <w:sz w:val="30"/>
        </w:rPr>
        <w:sectPr>
          <w:footerReference w:type="default" r:id="rId7"/>
          <w:pgSz w:w="17860" w:h="25260"/>
          <w:pgMar w:top="2280" w:right="1200" w:bottom="2080" w:left="1660" w:header="0" w:footer="1884"/>
          <w:pgNumType w:start="3"/>
          <w:cols w:space="708"/>
        </w:sectPr>
      </w:pPr>
    </w:p>
    <w:p>
      <w:pPr>
        <w:pStyle w:val="Heading1"/>
        <w:spacing w:before="15"/>
        <w:ind w:left="5102"/>
      </w:pPr>
      <w:r>
        <w:t>一．编制依据和原则</w:t>
      </w:r>
    </w:p>
    <w:p>
      <w:pPr>
        <w:pStyle w:val="Heading2"/>
        <w:numPr>
          <w:ilvl w:val="1"/>
          <w:numId w:val="20"/>
        </w:numPr>
        <w:tabs>
          <w:tab w:val="left" w:pos="1261"/>
        </w:tabs>
        <w:spacing w:before="127" w:after="0" w:line="240" w:lineRule="auto"/>
        <w:ind w:left="1260" w:right="0" w:hanging="793"/>
        <w:jc w:val="left"/>
      </w:pPr>
      <w:r>
        <w:t>编制依据</w:t>
      </w:r>
    </w:p>
    <w:p>
      <w:pPr>
        <w:pStyle w:val="BodyText"/>
        <w:spacing w:before="6"/>
        <w:rPr>
          <w:rFonts w:ascii="黑体"/>
          <w:b/>
          <w:sz w:val="26"/>
        </w:rPr>
      </w:pPr>
    </w:p>
    <w:p>
      <w:pPr>
        <w:spacing w:before="62"/>
        <w:ind w:left="0" w:right="451" w:firstLine="0"/>
        <w:jc w:val="center"/>
        <w:rPr>
          <w:b/>
          <w:sz w:val="31"/>
        </w:rPr>
      </w:pPr>
      <w:r>
        <w:rPr>
          <w:b/>
          <w:sz w:val="31"/>
        </w:rPr>
        <w:t>表 1.1 规范汇总表</w:t>
      </w:r>
    </w:p>
    <w:p>
      <w:pPr>
        <w:pStyle w:val="BodyText"/>
        <w:ind w:left="445"/>
        <w:rPr>
          <w:sz w:val="20"/>
        </w:rPr>
      </w:pPr>
      <w:r>
        <w:rPr>
          <w:sz w:val="20"/>
        </w:rPr>
        <w:pict>
          <v:group id="_x0000_i1025" style="width:683.75pt;height:381.9pt;mso-position-horizontal-relative:char;mso-position-vertical-relative:line" coordorigin="0,0" coordsize="13675,76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675;height:7638;position:absolute" stroked="f">
              <v:imagedata r:id="rId8" o:title=""/>
            </v:shape>
            <v:shapetype id="_x0000_t202" coordsize="21600,21600" o:spt="202" path="m,l,21600r21600,l21600,xe">
              <v:stroke joinstyle="miter"/>
              <v:path gradientshapeok="t" o:connecttype="rect"/>
            </v:shapetype>
            <v:shape id="_x0000_s1027" type="#_x0000_t202" style="width:654;height:317;left:347;position:absolute;top:366" filled="f" stroked="f">
              <v:textbox inset="0,0,0,0">
                <w:txbxContent>
                  <w:p>
                    <w:pPr>
                      <w:spacing w:before="0" w:line="317" w:lineRule="exact"/>
                      <w:ind w:left="0" w:right="0" w:firstLine="0"/>
                      <w:jc w:val="left"/>
                      <w:rPr>
                        <w:sz w:val="31"/>
                      </w:rPr>
                    </w:pPr>
                    <w:r>
                      <w:rPr>
                        <w:sz w:val="31"/>
                      </w:rPr>
                      <w:t>序号</w:t>
                    </w:r>
                  </w:p>
                </w:txbxContent>
              </v:textbox>
            </v:shape>
            <v:shape id="_x0000_s1028" type="#_x0000_t202" style="width:1288;height:317;left:5132;position:absolute;top:366" filled="f" stroked="f">
              <v:textbox inset="0,0,0,0">
                <w:txbxContent>
                  <w:p>
                    <w:pPr>
                      <w:spacing w:before="0" w:line="317" w:lineRule="exact"/>
                      <w:ind w:left="0" w:right="0" w:firstLine="0"/>
                      <w:jc w:val="left"/>
                      <w:rPr>
                        <w:sz w:val="31"/>
                      </w:rPr>
                    </w:pPr>
                    <w:r>
                      <w:rPr>
                        <w:sz w:val="31"/>
                      </w:rPr>
                      <w:t>规范名称</w:t>
                    </w:r>
                  </w:p>
                </w:txbxContent>
              </v:textbox>
            </v:shape>
            <v:shape id="_x0000_s1029" type="#_x0000_t202" style="width:654;height:317;left:11617;position:absolute;top:366" filled="f" stroked="f">
              <v:textbox inset="0,0,0,0">
                <w:txbxContent>
                  <w:p>
                    <w:pPr>
                      <w:spacing w:before="0" w:line="317" w:lineRule="exact"/>
                      <w:ind w:left="0" w:right="0" w:firstLine="0"/>
                      <w:jc w:val="left"/>
                      <w:rPr>
                        <w:sz w:val="31"/>
                      </w:rPr>
                    </w:pPr>
                    <w:r>
                      <w:rPr>
                        <w:sz w:val="31"/>
                      </w:rPr>
                      <w:t>备注</w:t>
                    </w:r>
                  </w:p>
                </w:txbxContent>
              </v:textbox>
            </v:shape>
            <v:shape id="_x0000_s1030" type="#_x0000_t202" style="width:179;height:317;left:581;position:absolute;top:1317" filled="f" stroked="f">
              <v:textbox inset="0,0,0,0">
                <w:txbxContent>
                  <w:p>
                    <w:pPr>
                      <w:spacing w:before="0" w:line="317" w:lineRule="exact"/>
                      <w:ind w:left="0" w:right="0" w:firstLine="0"/>
                      <w:jc w:val="left"/>
                      <w:rPr>
                        <w:sz w:val="31"/>
                      </w:rPr>
                    </w:pPr>
                    <w:r>
                      <w:rPr>
                        <w:w w:val="102"/>
                        <w:sz w:val="31"/>
                      </w:rPr>
                      <w:t>1</w:t>
                    </w:r>
                  </w:p>
                </w:txbxContent>
              </v:textbox>
            </v:shape>
            <v:shape id="_x0000_s1031" type="#_x0000_t202" style="width:5537;height:317;left:3004;position:absolute;top:1317" filled="f" stroked="f">
              <v:textbox inset="0,0,0,0">
                <w:txbxContent>
                  <w:p>
                    <w:pPr>
                      <w:spacing w:before="0" w:line="317" w:lineRule="exact"/>
                      <w:ind w:left="0" w:right="0" w:firstLine="0"/>
                      <w:jc w:val="left"/>
                      <w:rPr>
                        <w:sz w:val="31"/>
                      </w:rPr>
                    </w:pPr>
                    <w:r>
                      <w:rPr>
                        <w:sz w:val="31"/>
                      </w:rPr>
                      <w:t>《铁路电力设计规范</w:t>
                    </w:r>
                    <w:r>
                      <w:rPr>
                        <w:spacing w:val="-173"/>
                        <w:sz w:val="31"/>
                      </w:rPr>
                      <w:t>》</w:t>
                    </w:r>
                    <w:r>
                      <w:rPr>
                        <w:sz w:val="31"/>
                      </w:rPr>
                      <w:t>（TB10008-2006）</w:t>
                    </w:r>
                  </w:p>
                </w:txbxContent>
              </v:textbox>
            </v:shape>
            <v:shape id="_x0000_s1032" type="#_x0000_t202" style="width:179;height:317;left:581;position:absolute;top:2271" filled="f" stroked="f">
              <v:textbox inset="0,0,0,0">
                <w:txbxContent>
                  <w:p>
                    <w:pPr>
                      <w:spacing w:before="0" w:line="317" w:lineRule="exact"/>
                      <w:ind w:left="0" w:right="0" w:firstLine="0"/>
                      <w:jc w:val="left"/>
                      <w:rPr>
                        <w:sz w:val="31"/>
                      </w:rPr>
                    </w:pPr>
                    <w:r>
                      <w:rPr>
                        <w:w w:val="102"/>
                        <w:sz w:val="31"/>
                      </w:rPr>
                      <w:t>2</w:t>
                    </w:r>
                  </w:p>
                </w:txbxContent>
              </v:textbox>
            </v:shape>
            <v:shape id="_x0000_s1033" type="#_x0000_t202" style="width:8136;height:317;left:1704;position:absolute;top:2271" filled="f" stroked="f">
              <v:textbox inset="0,0,0,0">
                <w:txbxContent>
                  <w:p>
                    <w:pPr>
                      <w:spacing w:before="0" w:line="317" w:lineRule="exact"/>
                      <w:ind w:left="0" w:right="0" w:firstLine="0"/>
                      <w:jc w:val="left"/>
                      <w:rPr>
                        <w:sz w:val="31"/>
                      </w:rPr>
                    </w:pPr>
                    <w:r>
                      <w:rPr>
                        <w:sz w:val="31"/>
                      </w:rPr>
                      <w:t>《110kV～750kV 架空输电线路设计规范</w:t>
                    </w:r>
                    <w:r>
                      <w:rPr>
                        <w:spacing w:val="-180"/>
                        <w:sz w:val="31"/>
                      </w:rPr>
                      <w:t>》</w:t>
                    </w:r>
                    <w:r>
                      <w:rPr>
                        <w:sz w:val="31"/>
                      </w:rPr>
                      <w:t>（GB50545-2010）</w:t>
                    </w:r>
                  </w:p>
                </w:txbxContent>
              </v:textbox>
            </v:shape>
            <v:shape id="_x0000_s1034" type="#_x0000_t202" style="width:179;height:317;left:581;position:absolute;top:3222" filled="f" stroked="f">
              <v:textbox inset="0,0,0,0">
                <w:txbxContent>
                  <w:p>
                    <w:pPr>
                      <w:spacing w:before="0" w:line="317" w:lineRule="exact"/>
                      <w:ind w:left="0" w:right="0" w:firstLine="0"/>
                      <w:jc w:val="left"/>
                      <w:rPr>
                        <w:sz w:val="31"/>
                      </w:rPr>
                    </w:pPr>
                    <w:r>
                      <w:rPr>
                        <w:w w:val="102"/>
                        <w:sz w:val="31"/>
                      </w:rPr>
                      <w:t>3</w:t>
                    </w:r>
                  </w:p>
                </w:txbxContent>
              </v:textbox>
            </v:shape>
            <v:shape id="_x0000_s1035" type="#_x0000_t202" style="width:7820;height:317;left:1862;position:absolute;top:3222" filled="f" stroked="f">
              <v:textbox inset="0,0,0,0">
                <w:txbxContent>
                  <w:p>
                    <w:pPr>
                      <w:spacing w:before="0" w:line="317" w:lineRule="exact"/>
                      <w:ind w:left="0" w:right="0" w:firstLine="0"/>
                      <w:jc w:val="left"/>
                      <w:rPr>
                        <w:sz w:val="31"/>
                      </w:rPr>
                    </w:pPr>
                    <w:r>
                      <w:rPr>
                        <w:sz w:val="31"/>
                      </w:rPr>
                      <w:t>《66kV 及以下架空电力线路设计规范</w:t>
                    </w:r>
                    <w:r>
                      <w:rPr>
                        <w:spacing w:val="-183"/>
                        <w:sz w:val="31"/>
                      </w:rPr>
                      <w:t>》</w:t>
                    </w:r>
                    <w:r>
                      <w:rPr>
                        <w:sz w:val="31"/>
                      </w:rPr>
                      <w:t>（GB50061-2010）</w:t>
                    </w:r>
                  </w:p>
                </w:txbxContent>
              </v:textbox>
            </v:shape>
            <v:shape id="_x0000_s1036" type="#_x0000_t202" style="width:179;height:317;left:581;position:absolute;top:4173" filled="f" stroked="f">
              <v:textbox inset="0,0,0,0">
                <w:txbxContent>
                  <w:p>
                    <w:pPr>
                      <w:spacing w:before="0" w:line="317" w:lineRule="exact"/>
                      <w:ind w:left="0" w:right="0" w:firstLine="0"/>
                      <w:jc w:val="left"/>
                      <w:rPr>
                        <w:sz w:val="31"/>
                      </w:rPr>
                    </w:pPr>
                    <w:r>
                      <w:rPr>
                        <w:w w:val="102"/>
                        <w:sz w:val="31"/>
                      </w:rPr>
                      <w:t>4</w:t>
                    </w:r>
                  </w:p>
                </w:txbxContent>
              </v:textbox>
            </v:shape>
            <v:shape id="_x0000_s1037" type="#_x0000_t202" style="width:5224;height:317;left:3162;position:absolute;top:4173" filled="f" stroked="f">
              <v:textbox inset="0,0,0,0">
                <w:txbxContent>
                  <w:p>
                    <w:pPr>
                      <w:spacing w:before="0" w:line="317" w:lineRule="exact"/>
                      <w:ind w:left="0" w:right="0" w:firstLine="0"/>
                      <w:jc w:val="left"/>
                      <w:rPr>
                        <w:sz w:val="31"/>
                      </w:rPr>
                    </w:pPr>
                    <w:r>
                      <w:rPr>
                        <w:sz w:val="31"/>
                      </w:rPr>
                      <w:t>《铁路技术管理规程</w:t>
                    </w:r>
                    <w:r>
                      <w:rPr>
                        <w:spacing w:val="-173"/>
                        <w:sz w:val="31"/>
                      </w:rPr>
                      <w:t>》</w:t>
                    </w:r>
                    <w:r>
                      <w:rPr>
                        <w:sz w:val="31"/>
                      </w:rPr>
                      <w:t>（TB/01-2014）</w:t>
                    </w:r>
                  </w:p>
                </w:txbxContent>
              </v:textbox>
            </v:shape>
            <v:shape id="_x0000_s1038" type="#_x0000_t202" style="width:179;height:317;left:581;position:absolute;top:5123" filled="f" stroked="f">
              <v:textbox inset="0,0,0,0">
                <w:txbxContent>
                  <w:p>
                    <w:pPr>
                      <w:spacing w:before="0" w:line="317" w:lineRule="exact"/>
                      <w:ind w:left="0" w:right="0" w:firstLine="0"/>
                      <w:jc w:val="left"/>
                      <w:rPr>
                        <w:sz w:val="31"/>
                      </w:rPr>
                    </w:pPr>
                    <w:r>
                      <w:rPr>
                        <w:w w:val="102"/>
                        <w:sz w:val="31"/>
                      </w:rPr>
                      <w:t>5</w:t>
                    </w:r>
                  </w:p>
                </w:txbxContent>
              </v:textbox>
            </v:shape>
            <v:shape id="_x0000_s1039" type="#_x0000_t202" style="width:6167;height:317;left:2690;position:absolute;top:5123" filled="f" stroked="f">
              <v:textbox inset="0,0,0,0">
                <w:txbxContent>
                  <w:p>
                    <w:pPr>
                      <w:spacing w:before="0" w:line="317" w:lineRule="exact"/>
                      <w:ind w:left="0" w:right="0" w:firstLine="0"/>
                      <w:jc w:val="left"/>
                      <w:rPr>
                        <w:sz w:val="31"/>
                      </w:rPr>
                    </w:pPr>
                    <w:r>
                      <w:rPr>
                        <w:sz w:val="31"/>
                      </w:rPr>
                      <w:t>《电力工程电缆设计规范</w:t>
                    </w:r>
                    <w:r>
                      <w:rPr>
                        <w:spacing w:val="-180"/>
                        <w:sz w:val="31"/>
                      </w:rPr>
                      <w:t>》</w:t>
                    </w:r>
                    <w:r>
                      <w:rPr>
                        <w:sz w:val="31"/>
                      </w:rPr>
                      <w:t>（GB50217-2007）</w:t>
                    </w:r>
                  </w:p>
                </w:txbxContent>
              </v:textbox>
            </v:shape>
            <v:shape id="_x0000_s1040" type="#_x0000_t202" style="width:179;height:317;left:581;position:absolute;top:6073" filled="f" stroked="f">
              <v:textbox inset="0,0,0,0">
                <w:txbxContent>
                  <w:p>
                    <w:pPr>
                      <w:spacing w:before="0" w:line="317" w:lineRule="exact"/>
                      <w:ind w:left="0" w:right="0" w:firstLine="0"/>
                      <w:jc w:val="left"/>
                      <w:rPr>
                        <w:sz w:val="31"/>
                      </w:rPr>
                    </w:pPr>
                    <w:r>
                      <w:rPr>
                        <w:w w:val="102"/>
                        <w:sz w:val="31"/>
                      </w:rPr>
                      <w:t>6</w:t>
                    </w:r>
                  </w:p>
                </w:txbxContent>
              </v:textbox>
            </v:shape>
            <v:shape id="_x0000_s1041" type="#_x0000_t202" style="width:8633;height:785;left:1466;position:absolute;top:5839" filled="f" stroked="f">
              <v:textbox inset="0,0,0,0">
                <w:txbxContent>
                  <w:p>
                    <w:pPr>
                      <w:spacing w:before="0" w:line="359" w:lineRule="exact"/>
                      <w:ind w:left="25" w:right="43" w:firstLine="0"/>
                      <w:jc w:val="center"/>
                      <w:rPr>
                        <w:sz w:val="31"/>
                      </w:rPr>
                    </w:pPr>
                    <w:r>
                      <w:rPr>
                        <w:sz w:val="31"/>
                      </w:rPr>
                      <w:t>国家电网特（2008）1234 号《关于特高压交、直流输电线路跨</w:t>
                    </w:r>
                  </w:p>
                  <w:p>
                    <w:pPr>
                      <w:spacing w:before="71" w:line="355" w:lineRule="exact"/>
                      <w:ind w:left="19" w:right="43" w:firstLine="0"/>
                      <w:jc w:val="center"/>
                      <w:rPr>
                        <w:sz w:val="31"/>
                      </w:rPr>
                    </w:pPr>
                    <w:r>
                      <w:rPr>
                        <w:sz w:val="31"/>
                      </w:rPr>
                      <w:t>越铁路有关标准的函》</w:t>
                    </w:r>
                  </w:p>
                </w:txbxContent>
              </v:textbox>
            </v:shape>
            <v:shape id="_x0000_s1042" type="#_x0000_t202" style="width:179;height:317;left:581;position:absolute;top:7024" filled="f" stroked="f">
              <v:textbox inset="0,0,0,0">
                <w:txbxContent>
                  <w:p>
                    <w:pPr>
                      <w:spacing w:before="0" w:line="317" w:lineRule="exact"/>
                      <w:ind w:left="0" w:right="0" w:firstLine="0"/>
                      <w:jc w:val="left"/>
                      <w:rPr>
                        <w:sz w:val="31"/>
                      </w:rPr>
                    </w:pPr>
                    <w:r>
                      <w:rPr>
                        <w:w w:val="102"/>
                        <w:sz w:val="31"/>
                      </w:rPr>
                      <w:t>7</w:t>
                    </w:r>
                  </w:p>
                </w:txbxContent>
              </v:textbox>
            </v:shape>
            <v:shape id="_x0000_s1043" type="#_x0000_t202" style="width:5706;height:317;left:2924;position:absolute;top:7024" filled="f" stroked="f">
              <v:textbox inset="0,0,0,0">
                <w:txbxContent>
                  <w:p>
                    <w:pPr>
                      <w:spacing w:before="0" w:line="317" w:lineRule="exact"/>
                      <w:ind w:left="0" w:right="0" w:firstLine="0"/>
                      <w:jc w:val="left"/>
                      <w:rPr>
                        <w:sz w:val="31"/>
                      </w:rPr>
                    </w:pPr>
                    <w:r>
                      <w:rPr>
                        <w:sz w:val="31"/>
                      </w:rPr>
                      <w:t>《输油管道工程设计规范》GB50253-2014</w:t>
                    </w:r>
                  </w:p>
                </w:txbxContent>
              </v:textbox>
            </v:shape>
            <w10:wrap type="none"/>
          </v:group>
        </w:pict>
      </w:r>
    </w:p>
    <w:p>
      <w:pPr>
        <w:pStyle w:val="BodyText"/>
        <w:rPr>
          <w:b/>
          <w:sz w:val="20"/>
        </w:rPr>
      </w:pPr>
    </w:p>
    <w:p>
      <w:pPr>
        <w:pStyle w:val="BodyText"/>
        <w:rPr>
          <w:b/>
          <w:sz w:val="20"/>
        </w:rPr>
      </w:pPr>
    </w:p>
    <w:p>
      <w:pPr>
        <w:pStyle w:val="Heading2"/>
        <w:numPr>
          <w:ilvl w:val="1"/>
          <w:numId w:val="20"/>
        </w:numPr>
        <w:tabs>
          <w:tab w:val="left" w:pos="1261"/>
        </w:tabs>
        <w:spacing w:before="172" w:after="0" w:line="240" w:lineRule="auto"/>
        <w:ind w:left="1260" w:right="0" w:hanging="793"/>
        <w:jc w:val="left"/>
      </w:pPr>
      <w:r>
        <w:t>编制原则</w:t>
      </w:r>
    </w:p>
    <w:p>
      <w:pPr>
        <w:pStyle w:val="BodyText"/>
        <w:spacing w:before="237" w:line="417" w:lineRule="auto"/>
        <w:ind w:left="518" w:right="691" w:firstLine="824"/>
      </w:pPr>
      <w:r>
        <w:rPr>
          <w:rFonts w:ascii="仿宋" w:eastAsia="仿宋" w:hint="eastAsia"/>
        </w:rPr>
        <w:t>1</w:t>
      </w:r>
      <w:r>
        <w:rPr>
          <w:spacing w:val="-20"/>
        </w:rPr>
        <w:t xml:space="preserve">、切实贯彻工程指挥部的各项要求，配备足够的施工人员和机械设备， </w:t>
      </w:r>
      <w:r>
        <w:t>确保施工工期和工程质量。</w:t>
      </w:r>
    </w:p>
    <w:p>
      <w:pPr>
        <w:pStyle w:val="BodyText"/>
        <w:spacing w:line="417" w:lineRule="auto"/>
        <w:ind w:left="518" w:right="809" w:firstLine="820"/>
      </w:pPr>
      <w:r>
        <w:rPr>
          <w:rFonts w:ascii="仿宋" w:eastAsia="仿宋" w:hint="eastAsia"/>
        </w:rPr>
        <w:t>2</w:t>
      </w:r>
      <w:r>
        <w:t>、积极与建设、设计、监理、咨询等其它施工单位、产权单位及当地政府等相关部门联系，搞好施工协调配合。</w:t>
      </w:r>
    </w:p>
    <w:p>
      <w:pPr>
        <w:pStyle w:val="BodyText"/>
        <w:spacing w:line="417" w:lineRule="auto"/>
        <w:ind w:left="518" w:right="809" w:firstLine="820"/>
      </w:pPr>
      <w:r>
        <w:rPr>
          <w:rFonts w:ascii="仿宋" w:eastAsia="仿宋" w:hint="eastAsia"/>
        </w:rPr>
        <w:t>3</w:t>
      </w:r>
      <w:r>
        <w:t>、建立完善的质量保证体系，严格按照设计文件和资料及国家、铁道部现行的有关技术规范、标准施工，保证工程质量，以优良的工程质量和优质的服务满足全线创优规划的要求。</w:t>
      </w:r>
    </w:p>
    <w:p>
      <w:pPr>
        <w:pStyle w:val="BodyText"/>
        <w:spacing w:before="53" w:line="415" w:lineRule="auto"/>
        <w:ind w:left="673" w:right="980" w:firstLine="917"/>
      </w:pPr>
      <w:r>
        <w:rPr>
          <w:rFonts w:ascii="仿宋" w:eastAsia="仿宋" w:hint="eastAsia"/>
        </w:rPr>
        <w:t>4</w:t>
      </w:r>
      <w:r>
        <w:t>、建立完善的安全保证体系，推行安全标准工地建设，保证施工全过程的安全。</w:t>
      </w:r>
    </w:p>
    <w:p>
      <w:pPr>
        <w:spacing w:after="0" w:line="415" w:lineRule="auto"/>
        <w:sectPr>
          <w:footerReference w:type="default" r:id="rId9"/>
          <w:pgSz w:w="17860" w:h="25260"/>
          <w:pgMar w:top="2180" w:right="1200" w:bottom="2080" w:left="1660" w:header="0" w:footer="1884"/>
          <w:pgNumType w:start="4"/>
          <w:cols w:space="708"/>
        </w:sectPr>
      </w:pPr>
    </w:p>
    <w:p>
      <w:pPr>
        <w:pStyle w:val="Heading1"/>
        <w:spacing w:before="15"/>
        <w:ind w:left="5826"/>
      </w:pPr>
      <w:r>
        <w:t>二．工程概况</w:t>
      </w:r>
    </w:p>
    <w:p>
      <w:pPr>
        <w:pStyle w:val="Heading2"/>
        <w:numPr>
          <w:ilvl w:val="1"/>
          <w:numId w:val="19"/>
        </w:numPr>
        <w:tabs>
          <w:tab w:val="left" w:pos="1261"/>
        </w:tabs>
        <w:spacing w:before="127" w:after="0" w:line="240" w:lineRule="auto"/>
        <w:ind w:left="1260" w:right="0" w:hanging="793"/>
        <w:jc w:val="left"/>
      </w:pPr>
      <w:r>
        <w:t>线路概况</w:t>
      </w:r>
    </w:p>
    <w:p>
      <w:pPr>
        <w:pStyle w:val="BodyText"/>
        <w:spacing w:before="12"/>
        <w:rPr>
          <w:rFonts w:ascii="黑体"/>
          <w:b/>
          <w:sz w:val="9"/>
        </w:rPr>
      </w:pPr>
    </w:p>
    <w:p>
      <w:pPr>
        <w:pStyle w:val="BodyText"/>
        <w:spacing w:before="42" w:line="307" w:lineRule="auto"/>
        <w:ind w:left="468" w:right="842" w:firstLine="838"/>
      </w:pPr>
      <w:r>
        <w:rPr>
          <w:spacing w:val="-21"/>
        </w:rPr>
        <w:t>我单位施工标段红岛站电力、通信及管线迁改，里程范围：</w:t>
      </w:r>
      <w:r>
        <w:rPr>
          <w:rFonts w:ascii="仿宋" w:eastAsia="仿宋" w:hint="eastAsia"/>
          <w:spacing w:val="-16"/>
        </w:rPr>
        <w:t>JDK20+400</w:t>
      </w:r>
      <w:r>
        <w:rPr>
          <w:spacing w:val="-16"/>
        </w:rPr>
        <w:t xml:space="preserve">～ </w:t>
      </w:r>
      <w:r>
        <w:rPr>
          <w:rFonts w:ascii="仿宋" w:eastAsia="仿宋" w:hint="eastAsia"/>
        </w:rPr>
        <w:t>JDK24+050</w:t>
      </w:r>
      <w:r>
        <w:rPr>
          <w:spacing w:val="-1"/>
        </w:rPr>
        <w:t>。本线技术标准较高，绕避地物比较困难，沿线企业较多，与多</w:t>
      </w:r>
      <w:r>
        <w:t>家企事业单位有干扰，需要整体拆迁或局部拆迁，还需要迁改一些高压电线、通讯线、通讯铁搭、石油管道、电缆管、公（道）路、沟渠等。</w:t>
      </w:r>
    </w:p>
    <w:p>
      <w:pPr>
        <w:pStyle w:val="BodyText"/>
        <w:spacing w:before="74"/>
        <w:ind w:left="1292"/>
      </w:pPr>
      <w:r>
        <w:t>主要对本标段的高低压架空和电缆线路、以及</w:t>
      </w:r>
      <w:r>
        <w:rPr>
          <w:rFonts w:ascii="仿宋" w:eastAsia="仿宋" w:hint="eastAsia"/>
        </w:rPr>
        <w:t>10KV</w:t>
      </w:r>
      <w:r>
        <w:t>、</w:t>
      </w:r>
      <w:r>
        <w:rPr>
          <w:rFonts w:ascii="仿宋" w:eastAsia="仿宋" w:hint="eastAsia"/>
        </w:rPr>
        <w:t>35KV</w:t>
      </w:r>
      <w:r>
        <w:t>、</w:t>
      </w:r>
      <w:r>
        <w:rPr>
          <w:rFonts w:ascii="仿宋" w:eastAsia="仿宋" w:hint="eastAsia"/>
        </w:rPr>
        <w:t>110KV</w:t>
      </w:r>
      <w:r>
        <w:t>、高</w:t>
      </w:r>
    </w:p>
    <w:p>
      <w:pPr>
        <w:pStyle w:val="BodyText"/>
        <w:spacing w:before="2"/>
        <w:rPr>
          <w:sz w:val="31"/>
        </w:rPr>
      </w:pPr>
    </w:p>
    <w:p>
      <w:pPr>
        <w:pStyle w:val="BodyText"/>
        <w:spacing w:line="417" w:lineRule="auto"/>
        <w:ind w:left="468" w:right="629"/>
      </w:pPr>
      <w:r>
        <w:t>（超）</w:t>
      </w:r>
      <w:r>
        <w:rPr>
          <w:spacing w:val="-2"/>
        </w:rPr>
        <w:t xml:space="preserve">压架空线路的迁移施工。通信迁改：本标段有 </w:t>
      </w:r>
      <w:r>
        <w:rPr>
          <w:rFonts w:ascii="仿宋" w:eastAsia="仿宋" w:hint="eastAsia"/>
        </w:rPr>
        <w:t>38</w:t>
      </w:r>
      <w:r>
        <w:rPr>
          <w:rFonts w:ascii="仿宋" w:eastAsia="仿宋" w:hint="eastAsia"/>
          <w:spacing w:val="-6"/>
        </w:rPr>
        <w:t xml:space="preserve"> </w:t>
      </w:r>
      <w:r>
        <w:t>处架空、直埋光、电缆需要进行迁移，产权单位主要是中国移动、中国联通、中国电信、中 国网通、中国铁通、青岛市有线电视及军用光缆。其中，光、电缆拆迁（</w:t>
      </w:r>
      <w:r>
        <w:rPr>
          <w:spacing w:val="-18"/>
        </w:rPr>
        <w:t>与</w:t>
      </w:r>
      <w:r>
        <w:t>线路交叉）</w:t>
      </w:r>
      <w:r>
        <w:rPr>
          <w:rFonts w:ascii="仿宋" w:eastAsia="仿宋" w:hint="eastAsia"/>
        </w:rPr>
        <w:t>21</w:t>
      </w:r>
      <w:r>
        <w:rPr>
          <w:rFonts w:ascii="仿宋" w:eastAsia="仿宋" w:hint="eastAsia"/>
          <w:spacing w:val="-106"/>
        </w:rPr>
        <w:t xml:space="preserve"> </w:t>
      </w:r>
      <w:r>
        <w:rPr>
          <w:spacing w:val="-4"/>
        </w:rPr>
        <w:t>处</w:t>
      </w:r>
      <w:r>
        <w:rPr>
          <w:rFonts w:ascii="仿宋" w:eastAsia="仿宋" w:hint="eastAsia"/>
        </w:rPr>
        <w:t>,</w:t>
      </w:r>
      <w:r>
        <w:t>光缆拆迁（与线路平行</w:t>
      </w:r>
      <w:r>
        <w:rPr>
          <w:spacing w:val="-5"/>
        </w:rPr>
        <w:t>）</w:t>
      </w:r>
      <w:r>
        <w:rPr>
          <w:rFonts w:ascii="仿宋" w:eastAsia="仿宋" w:hint="eastAsia"/>
          <w:spacing w:val="-5"/>
        </w:rPr>
        <w:t>17</w:t>
      </w:r>
      <w:r>
        <w:rPr>
          <w:rFonts w:ascii="仿宋" w:eastAsia="仿宋" w:hint="eastAsia"/>
          <w:spacing w:val="-105"/>
        </w:rPr>
        <w:t xml:space="preserve"> </w:t>
      </w:r>
      <w:r>
        <w:t>处。</w:t>
      </w:r>
    </w:p>
    <w:p>
      <w:pPr>
        <w:pStyle w:val="BodyText"/>
        <w:spacing w:line="468" w:lineRule="exact"/>
        <w:ind w:left="1307"/>
      </w:pPr>
      <w:r>
        <w:t>迁改涉及影响面大技术复杂，迁改工程量大、难度大，需要及时与产</w:t>
      </w:r>
    </w:p>
    <w:p>
      <w:pPr>
        <w:pStyle w:val="BodyText"/>
        <w:spacing w:before="149"/>
        <w:ind w:left="468"/>
      </w:pPr>
      <w:r>
        <w:t>权单位接触安排迁改，为主体工程顺利实施创造必要条件。</w:t>
      </w:r>
    </w:p>
    <w:p>
      <w:pPr>
        <w:pStyle w:val="Heading2"/>
        <w:numPr>
          <w:ilvl w:val="1"/>
          <w:numId w:val="19"/>
        </w:numPr>
        <w:tabs>
          <w:tab w:val="left" w:pos="1261"/>
        </w:tabs>
        <w:spacing w:before="99" w:after="0" w:line="240" w:lineRule="auto"/>
        <w:ind w:left="1260" w:right="0" w:hanging="793"/>
        <w:jc w:val="left"/>
      </w:pPr>
      <w:r>
        <w:drawing>
          <wp:anchor distT="0" distB="0" distL="0" distR="0" simplePos="0" relativeHeight="251659264" behindDoc="1" locked="0" layoutInCell="1" allowOverlap="1">
            <wp:simplePos x="0" y="0"/>
            <wp:positionH relativeFrom="page">
              <wp:posOffset>1371600</wp:posOffset>
            </wp:positionH>
            <wp:positionV relativeFrom="paragraph">
              <wp:posOffset>1366520</wp:posOffset>
            </wp:positionV>
            <wp:extent cx="8589073" cy="4471892"/>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10" cstate="print"/>
                    <a:stretch>
                      <a:fillRect/>
                    </a:stretch>
                  </pic:blipFill>
                  <pic:spPr>
                    <a:xfrm>
                      <a:off x="0" y="0"/>
                      <a:ext cx="8589073" cy="4471892"/>
                    </a:xfrm>
                    <a:prstGeom prst="rect">
                      <a:avLst/>
                    </a:prstGeom>
                  </pic:spPr>
                </pic:pic>
              </a:graphicData>
            </a:graphic>
          </wp:anchor>
        </w:drawing>
      </w:r>
      <w:r>
        <w:t>工程数量</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8"/>
        </w:rPr>
      </w:pPr>
    </w:p>
    <w:tbl>
      <w:tblPr>
        <w:tblStyle w:val="TableNormal0"/>
        <w:tblW w:w="0" w:type="auto"/>
        <w:jc w:val="left"/>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24"/>
        <w:gridCol w:w="7274"/>
        <w:gridCol w:w="2930"/>
        <w:gridCol w:w="1396"/>
      </w:tblGrid>
      <w:tr>
        <w:tblPrEx>
          <w:tblW w:w="0" w:type="auto"/>
          <w:jc w:val="left"/>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182"/>
          <w:jc w:val="left"/>
        </w:trPr>
        <w:tc>
          <w:tcPr>
            <w:tcW w:w="1224" w:type="dxa"/>
          </w:tcPr>
          <w:p>
            <w:pPr>
              <w:pStyle w:val="TableParagraph"/>
              <w:spacing w:before="6"/>
              <w:rPr>
                <w:rFonts w:ascii="黑体"/>
                <w:b/>
                <w:sz w:val="46"/>
              </w:rPr>
            </w:pPr>
          </w:p>
          <w:p>
            <w:pPr>
              <w:pStyle w:val="TableParagraph"/>
              <w:ind w:right="95"/>
              <w:jc w:val="right"/>
              <w:rPr>
                <w:sz w:val="31"/>
              </w:rPr>
            </w:pPr>
            <w:r>
              <w:rPr>
                <w:sz w:val="31"/>
              </w:rPr>
              <w:t>序号</w:t>
            </w:r>
          </w:p>
        </w:tc>
        <w:tc>
          <w:tcPr>
            <w:tcW w:w="7274" w:type="dxa"/>
          </w:tcPr>
          <w:p>
            <w:pPr>
              <w:pStyle w:val="TableParagraph"/>
              <w:spacing w:line="359" w:lineRule="exact"/>
              <w:ind w:left="3967" w:right="-29"/>
              <w:rPr>
                <w:b/>
                <w:sz w:val="31"/>
              </w:rPr>
            </w:pPr>
            <w:r>
              <w:rPr>
                <w:b/>
                <w:spacing w:val="1"/>
                <w:sz w:val="31"/>
              </w:rPr>
              <w:t>表 改迁电线数量汇总表</w:t>
            </w:r>
          </w:p>
          <w:p>
            <w:pPr>
              <w:pStyle w:val="TableParagraph"/>
              <w:tabs>
                <w:tab w:val="left" w:pos="5454"/>
              </w:tabs>
              <w:spacing w:before="236"/>
              <w:ind w:left="2263"/>
              <w:rPr>
                <w:sz w:val="31"/>
              </w:rPr>
            </w:pPr>
            <w:r>
              <w:rPr>
                <w:sz w:val="31"/>
              </w:rPr>
              <w:t>位置</w:t>
              <w:tab/>
              <w:t>种类</w:t>
            </w:r>
          </w:p>
        </w:tc>
        <w:tc>
          <w:tcPr>
            <w:tcW w:w="2930" w:type="dxa"/>
          </w:tcPr>
          <w:p>
            <w:pPr>
              <w:pStyle w:val="TableParagraph"/>
              <w:spacing w:before="6"/>
              <w:rPr>
                <w:rFonts w:ascii="黑体"/>
                <w:b/>
                <w:sz w:val="46"/>
              </w:rPr>
            </w:pPr>
          </w:p>
          <w:p>
            <w:pPr>
              <w:pStyle w:val="TableParagraph"/>
              <w:ind w:left="5" w:right="726"/>
              <w:jc w:val="center"/>
              <w:rPr>
                <w:sz w:val="31"/>
              </w:rPr>
            </w:pPr>
            <w:r>
              <w:rPr>
                <w:sz w:val="31"/>
              </w:rPr>
              <w:t>所属单位</w:t>
            </w:r>
          </w:p>
        </w:tc>
        <w:tc>
          <w:tcPr>
            <w:tcW w:w="1396" w:type="dxa"/>
          </w:tcPr>
          <w:p>
            <w:pPr>
              <w:pStyle w:val="TableParagraph"/>
              <w:spacing w:before="6"/>
              <w:rPr>
                <w:rFonts w:ascii="黑体"/>
                <w:b/>
                <w:sz w:val="46"/>
              </w:rPr>
            </w:pPr>
          </w:p>
          <w:p>
            <w:pPr>
              <w:pStyle w:val="TableParagraph"/>
              <w:ind w:left="709"/>
              <w:rPr>
                <w:sz w:val="31"/>
              </w:rPr>
            </w:pPr>
            <w:r>
              <w:rPr>
                <w:sz w:val="31"/>
              </w:rPr>
              <w:t>备注</w:t>
            </w:r>
          </w:p>
        </w:tc>
      </w:tr>
      <w:tr>
        <w:tblPrEx>
          <w:tblW w:w="0" w:type="auto"/>
          <w:jc w:val="left"/>
          <w:tblInd w:w="425" w:type="dxa"/>
          <w:tblLayout w:type="fixed"/>
          <w:tblCellMar>
            <w:top w:w="0" w:type="dxa"/>
            <w:left w:w="0" w:type="dxa"/>
            <w:bottom w:w="0" w:type="dxa"/>
            <w:right w:w="0" w:type="dxa"/>
          </w:tblCellMar>
          <w:tblLook w:val="01E0"/>
        </w:tblPrEx>
        <w:trPr>
          <w:trHeight w:val="781"/>
          <w:jc w:val="left"/>
        </w:trPr>
        <w:tc>
          <w:tcPr>
            <w:tcW w:w="1224" w:type="dxa"/>
          </w:tcPr>
          <w:p>
            <w:pPr>
              <w:pStyle w:val="TableParagraph"/>
              <w:spacing w:before="194"/>
              <w:ind w:left="726"/>
              <w:rPr>
                <w:sz w:val="31"/>
              </w:rPr>
            </w:pPr>
            <w:r>
              <w:rPr>
                <w:w w:val="102"/>
                <w:sz w:val="31"/>
              </w:rPr>
              <w:t>1</w:t>
            </w:r>
          </w:p>
        </w:tc>
        <w:tc>
          <w:tcPr>
            <w:tcW w:w="7274" w:type="dxa"/>
          </w:tcPr>
          <w:p>
            <w:pPr>
              <w:pStyle w:val="TableParagraph"/>
              <w:tabs>
                <w:tab w:val="left" w:pos="3899"/>
              </w:tabs>
              <w:spacing w:before="194"/>
              <w:ind w:right="1184"/>
              <w:jc w:val="right"/>
              <w:rPr>
                <w:sz w:val="31"/>
              </w:rPr>
            </w:pPr>
            <w:r>
              <w:rPr>
                <w:sz w:val="31"/>
              </w:rPr>
              <w:t>JDK20+487.104</w:t>
              <w:tab/>
              <w:t>220V</w:t>
            </w:r>
          </w:p>
        </w:tc>
        <w:tc>
          <w:tcPr>
            <w:tcW w:w="2930" w:type="dxa"/>
          </w:tcPr>
          <w:p>
            <w:pPr>
              <w:pStyle w:val="TableParagraph"/>
              <w:spacing w:before="194"/>
              <w:ind w:left="14" w:right="726"/>
              <w:jc w:val="center"/>
              <w:rPr>
                <w:sz w:val="31"/>
              </w:rPr>
            </w:pPr>
            <w:r>
              <w:rPr>
                <w:spacing w:val="-3"/>
                <w:sz w:val="31"/>
              </w:rPr>
              <w:t>城阳区供电公司</w:t>
            </w:r>
          </w:p>
        </w:tc>
        <w:tc>
          <w:tcPr>
            <w:tcW w:w="1396" w:type="dxa"/>
          </w:tcPr>
          <w:p>
            <w:pPr>
              <w:pStyle w:val="TableParagraph"/>
              <w:rPr>
                <w:rFonts w:ascii="Times New Roman"/>
                <w:sz w:val="38"/>
              </w:rPr>
            </w:pPr>
          </w:p>
        </w:tc>
      </w:tr>
      <w:tr>
        <w:tblPrEx>
          <w:tblW w:w="0" w:type="auto"/>
          <w:jc w:val="left"/>
          <w:tblInd w:w="425" w:type="dxa"/>
          <w:tblLayout w:type="fixed"/>
          <w:tblCellMar>
            <w:top w:w="0" w:type="dxa"/>
            <w:left w:w="0" w:type="dxa"/>
            <w:bottom w:w="0" w:type="dxa"/>
            <w:right w:w="0" w:type="dxa"/>
          </w:tblCellMar>
          <w:tblLook w:val="01E0"/>
        </w:tblPrEx>
        <w:trPr>
          <w:trHeight w:val="781"/>
          <w:jc w:val="left"/>
        </w:trPr>
        <w:tc>
          <w:tcPr>
            <w:tcW w:w="1224" w:type="dxa"/>
          </w:tcPr>
          <w:p>
            <w:pPr>
              <w:pStyle w:val="TableParagraph"/>
              <w:spacing w:before="194"/>
              <w:ind w:left="726"/>
              <w:rPr>
                <w:sz w:val="31"/>
              </w:rPr>
            </w:pPr>
            <w:r>
              <w:rPr>
                <w:w w:val="102"/>
                <w:sz w:val="31"/>
              </w:rPr>
              <w:t>2</w:t>
            </w:r>
          </w:p>
        </w:tc>
        <w:tc>
          <w:tcPr>
            <w:tcW w:w="7274" w:type="dxa"/>
          </w:tcPr>
          <w:p>
            <w:pPr>
              <w:pStyle w:val="TableParagraph"/>
              <w:tabs>
                <w:tab w:val="left" w:pos="4922"/>
              </w:tabs>
              <w:spacing w:before="194"/>
              <w:ind w:right="1104"/>
              <w:jc w:val="right"/>
              <w:rPr>
                <w:sz w:val="31"/>
              </w:rPr>
            </w:pPr>
            <w:r>
              <w:rPr>
                <w:sz w:val="31"/>
              </w:rPr>
              <w:t>JDK21+102.713-JDK21+585.849</w:t>
              <w:tab/>
              <w:t>110KV</w:t>
            </w:r>
          </w:p>
        </w:tc>
        <w:tc>
          <w:tcPr>
            <w:tcW w:w="2930" w:type="dxa"/>
          </w:tcPr>
          <w:p>
            <w:pPr>
              <w:pStyle w:val="TableParagraph"/>
              <w:spacing w:before="194"/>
              <w:ind w:left="14" w:right="726"/>
              <w:jc w:val="center"/>
              <w:rPr>
                <w:sz w:val="31"/>
              </w:rPr>
            </w:pPr>
            <w:r>
              <w:rPr>
                <w:sz w:val="31"/>
              </w:rPr>
              <w:t>青岛供电公司</w:t>
            </w:r>
          </w:p>
        </w:tc>
        <w:tc>
          <w:tcPr>
            <w:tcW w:w="1396" w:type="dxa"/>
          </w:tcPr>
          <w:p>
            <w:pPr>
              <w:pStyle w:val="TableParagraph"/>
              <w:rPr>
                <w:rFonts w:ascii="Times New Roman"/>
                <w:sz w:val="38"/>
              </w:rPr>
            </w:pPr>
          </w:p>
        </w:tc>
      </w:tr>
      <w:tr>
        <w:tblPrEx>
          <w:tblW w:w="0" w:type="auto"/>
          <w:jc w:val="left"/>
          <w:tblInd w:w="425" w:type="dxa"/>
          <w:tblLayout w:type="fixed"/>
          <w:tblCellMar>
            <w:top w:w="0" w:type="dxa"/>
            <w:left w:w="0" w:type="dxa"/>
            <w:bottom w:w="0" w:type="dxa"/>
            <w:right w:w="0" w:type="dxa"/>
          </w:tblCellMar>
          <w:tblLook w:val="01E0"/>
        </w:tblPrEx>
        <w:trPr>
          <w:trHeight w:val="781"/>
          <w:jc w:val="left"/>
        </w:trPr>
        <w:tc>
          <w:tcPr>
            <w:tcW w:w="1224" w:type="dxa"/>
          </w:tcPr>
          <w:p>
            <w:pPr>
              <w:pStyle w:val="TableParagraph"/>
              <w:spacing w:before="194"/>
              <w:ind w:left="726"/>
              <w:rPr>
                <w:sz w:val="31"/>
              </w:rPr>
            </w:pPr>
            <w:r>
              <w:rPr>
                <w:w w:val="102"/>
                <w:sz w:val="31"/>
              </w:rPr>
              <w:t>3</w:t>
            </w:r>
          </w:p>
        </w:tc>
        <w:tc>
          <w:tcPr>
            <w:tcW w:w="7274" w:type="dxa"/>
          </w:tcPr>
          <w:p>
            <w:pPr>
              <w:pStyle w:val="TableParagraph"/>
              <w:tabs>
                <w:tab w:val="left" w:pos="3899"/>
              </w:tabs>
              <w:spacing w:before="194"/>
              <w:ind w:right="1184"/>
              <w:jc w:val="right"/>
              <w:rPr>
                <w:sz w:val="31"/>
              </w:rPr>
            </w:pPr>
            <w:r>
              <w:rPr>
                <w:sz w:val="31"/>
              </w:rPr>
              <w:t>JDK21+227.344</w:t>
              <w:tab/>
              <w:t>10KV</w:t>
            </w:r>
          </w:p>
        </w:tc>
        <w:tc>
          <w:tcPr>
            <w:tcW w:w="2930" w:type="dxa"/>
          </w:tcPr>
          <w:p>
            <w:pPr>
              <w:pStyle w:val="TableParagraph"/>
              <w:spacing w:before="194"/>
              <w:ind w:left="14" w:right="726"/>
              <w:jc w:val="center"/>
              <w:rPr>
                <w:sz w:val="31"/>
              </w:rPr>
            </w:pPr>
            <w:r>
              <w:rPr>
                <w:spacing w:val="-3"/>
                <w:sz w:val="31"/>
              </w:rPr>
              <w:t>城阳区供电公司</w:t>
            </w:r>
          </w:p>
        </w:tc>
        <w:tc>
          <w:tcPr>
            <w:tcW w:w="1396" w:type="dxa"/>
          </w:tcPr>
          <w:p>
            <w:pPr>
              <w:pStyle w:val="TableParagraph"/>
              <w:rPr>
                <w:rFonts w:ascii="Times New Roman"/>
                <w:sz w:val="38"/>
              </w:rPr>
            </w:pPr>
          </w:p>
        </w:tc>
      </w:tr>
      <w:tr>
        <w:tblPrEx>
          <w:tblW w:w="0" w:type="auto"/>
          <w:jc w:val="left"/>
          <w:tblInd w:w="425" w:type="dxa"/>
          <w:tblLayout w:type="fixed"/>
          <w:tblCellMar>
            <w:top w:w="0" w:type="dxa"/>
            <w:left w:w="0" w:type="dxa"/>
            <w:bottom w:w="0" w:type="dxa"/>
            <w:right w:w="0" w:type="dxa"/>
          </w:tblCellMar>
          <w:tblLook w:val="01E0"/>
        </w:tblPrEx>
        <w:trPr>
          <w:trHeight w:val="781"/>
          <w:jc w:val="left"/>
        </w:trPr>
        <w:tc>
          <w:tcPr>
            <w:tcW w:w="1224" w:type="dxa"/>
          </w:tcPr>
          <w:p>
            <w:pPr>
              <w:pStyle w:val="TableParagraph"/>
              <w:spacing w:before="194"/>
              <w:ind w:left="726"/>
              <w:rPr>
                <w:sz w:val="31"/>
              </w:rPr>
            </w:pPr>
            <w:r>
              <w:rPr>
                <w:w w:val="102"/>
                <w:sz w:val="31"/>
              </w:rPr>
              <w:t>4</w:t>
            </w:r>
          </w:p>
        </w:tc>
        <w:tc>
          <w:tcPr>
            <w:tcW w:w="7274" w:type="dxa"/>
          </w:tcPr>
          <w:p>
            <w:pPr>
              <w:pStyle w:val="TableParagraph"/>
              <w:tabs>
                <w:tab w:val="left" w:pos="5454"/>
              </w:tabs>
              <w:spacing w:before="194"/>
              <w:ind w:left="453"/>
              <w:rPr>
                <w:sz w:val="31"/>
              </w:rPr>
            </w:pPr>
            <w:r>
              <w:rPr>
                <w:sz w:val="31"/>
              </w:rPr>
              <w:t>JDK21+896.522-JDK22+113.464</w:t>
              <w:tab/>
              <w:t>220V</w:t>
            </w:r>
          </w:p>
        </w:tc>
        <w:tc>
          <w:tcPr>
            <w:tcW w:w="2930" w:type="dxa"/>
          </w:tcPr>
          <w:p>
            <w:pPr>
              <w:pStyle w:val="TableParagraph"/>
              <w:spacing w:before="194"/>
              <w:ind w:left="14" w:right="726"/>
              <w:jc w:val="center"/>
              <w:rPr>
                <w:sz w:val="31"/>
              </w:rPr>
            </w:pPr>
            <w:r>
              <w:rPr>
                <w:spacing w:val="-3"/>
                <w:sz w:val="31"/>
              </w:rPr>
              <w:t>城阳区供电公司</w:t>
            </w:r>
          </w:p>
        </w:tc>
        <w:tc>
          <w:tcPr>
            <w:tcW w:w="1396" w:type="dxa"/>
          </w:tcPr>
          <w:p>
            <w:pPr>
              <w:pStyle w:val="TableParagraph"/>
              <w:rPr>
                <w:rFonts w:ascii="Times New Roman"/>
                <w:sz w:val="38"/>
              </w:rPr>
            </w:pPr>
          </w:p>
        </w:tc>
      </w:tr>
      <w:tr>
        <w:tblPrEx>
          <w:tblW w:w="0" w:type="auto"/>
          <w:jc w:val="left"/>
          <w:tblInd w:w="425" w:type="dxa"/>
          <w:tblLayout w:type="fixed"/>
          <w:tblCellMar>
            <w:top w:w="0" w:type="dxa"/>
            <w:left w:w="0" w:type="dxa"/>
            <w:bottom w:w="0" w:type="dxa"/>
            <w:right w:w="0" w:type="dxa"/>
          </w:tblCellMar>
          <w:tblLook w:val="01E0"/>
        </w:tblPrEx>
        <w:trPr>
          <w:trHeight w:val="783"/>
          <w:jc w:val="left"/>
        </w:trPr>
        <w:tc>
          <w:tcPr>
            <w:tcW w:w="1224" w:type="dxa"/>
          </w:tcPr>
          <w:p>
            <w:pPr>
              <w:pStyle w:val="TableParagraph"/>
              <w:spacing w:before="195"/>
              <w:ind w:left="726"/>
              <w:rPr>
                <w:sz w:val="31"/>
              </w:rPr>
            </w:pPr>
            <w:r>
              <w:rPr>
                <w:w w:val="102"/>
                <w:sz w:val="31"/>
              </w:rPr>
              <w:t>5</w:t>
            </w:r>
          </w:p>
        </w:tc>
        <w:tc>
          <w:tcPr>
            <w:tcW w:w="7274" w:type="dxa"/>
          </w:tcPr>
          <w:p>
            <w:pPr>
              <w:pStyle w:val="TableParagraph"/>
              <w:tabs>
                <w:tab w:val="left" w:pos="3899"/>
              </w:tabs>
              <w:spacing w:before="195"/>
              <w:ind w:right="1184"/>
              <w:jc w:val="right"/>
              <w:rPr>
                <w:sz w:val="31"/>
              </w:rPr>
            </w:pPr>
            <w:r>
              <w:rPr>
                <w:sz w:val="31"/>
              </w:rPr>
              <w:t>JDK22+264.451</w:t>
              <w:tab/>
              <w:t>220V</w:t>
            </w:r>
          </w:p>
        </w:tc>
        <w:tc>
          <w:tcPr>
            <w:tcW w:w="2930" w:type="dxa"/>
          </w:tcPr>
          <w:p>
            <w:pPr>
              <w:pStyle w:val="TableParagraph"/>
              <w:spacing w:before="195"/>
              <w:ind w:left="14" w:right="726"/>
              <w:jc w:val="center"/>
              <w:rPr>
                <w:sz w:val="31"/>
              </w:rPr>
            </w:pPr>
            <w:r>
              <w:rPr>
                <w:spacing w:val="-3"/>
                <w:sz w:val="31"/>
              </w:rPr>
              <w:t>城阳区供电公司</w:t>
            </w:r>
          </w:p>
        </w:tc>
        <w:tc>
          <w:tcPr>
            <w:tcW w:w="1396" w:type="dxa"/>
          </w:tcPr>
          <w:p>
            <w:pPr>
              <w:pStyle w:val="TableParagraph"/>
              <w:rPr>
                <w:rFonts w:ascii="Times New Roman"/>
                <w:sz w:val="38"/>
              </w:rPr>
            </w:pPr>
          </w:p>
        </w:tc>
      </w:tr>
      <w:tr>
        <w:tblPrEx>
          <w:tblW w:w="0" w:type="auto"/>
          <w:jc w:val="left"/>
          <w:tblInd w:w="425" w:type="dxa"/>
          <w:tblLayout w:type="fixed"/>
          <w:tblCellMar>
            <w:top w:w="0" w:type="dxa"/>
            <w:left w:w="0" w:type="dxa"/>
            <w:bottom w:w="0" w:type="dxa"/>
            <w:right w:w="0" w:type="dxa"/>
          </w:tblCellMar>
          <w:tblLook w:val="01E0"/>
        </w:tblPrEx>
        <w:trPr>
          <w:trHeight w:val="782"/>
          <w:jc w:val="left"/>
        </w:trPr>
        <w:tc>
          <w:tcPr>
            <w:tcW w:w="1224" w:type="dxa"/>
          </w:tcPr>
          <w:p>
            <w:pPr>
              <w:pStyle w:val="TableParagraph"/>
              <w:spacing w:before="196"/>
              <w:ind w:left="726"/>
              <w:rPr>
                <w:sz w:val="31"/>
              </w:rPr>
            </w:pPr>
            <w:r>
              <w:rPr>
                <w:w w:val="102"/>
                <w:sz w:val="31"/>
              </w:rPr>
              <w:t>6</w:t>
            </w:r>
          </w:p>
        </w:tc>
        <w:tc>
          <w:tcPr>
            <w:tcW w:w="7274" w:type="dxa"/>
          </w:tcPr>
          <w:p>
            <w:pPr>
              <w:pStyle w:val="TableParagraph"/>
              <w:tabs>
                <w:tab w:val="left" w:pos="3899"/>
              </w:tabs>
              <w:spacing w:before="196"/>
              <w:ind w:right="1184"/>
              <w:jc w:val="right"/>
              <w:rPr>
                <w:sz w:val="31"/>
              </w:rPr>
            </w:pPr>
            <w:r>
              <w:rPr>
                <w:sz w:val="31"/>
              </w:rPr>
              <w:t>JDK22+551.514</w:t>
              <w:tab/>
              <w:t>220V</w:t>
            </w:r>
          </w:p>
        </w:tc>
        <w:tc>
          <w:tcPr>
            <w:tcW w:w="2930" w:type="dxa"/>
          </w:tcPr>
          <w:p>
            <w:pPr>
              <w:pStyle w:val="TableParagraph"/>
              <w:spacing w:before="196"/>
              <w:ind w:left="14" w:right="726"/>
              <w:jc w:val="center"/>
              <w:rPr>
                <w:sz w:val="31"/>
              </w:rPr>
            </w:pPr>
            <w:r>
              <w:rPr>
                <w:spacing w:val="-3"/>
                <w:sz w:val="31"/>
              </w:rPr>
              <w:t>城阳区供电公司</w:t>
            </w:r>
          </w:p>
        </w:tc>
        <w:tc>
          <w:tcPr>
            <w:tcW w:w="1396" w:type="dxa"/>
          </w:tcPr>
          <w:p>
            <w:pPr>
              <w:pStyle w:val="TableParagraph"/>
              <w:rPr>
                <w:rFonts w:ascii="Times New Roman"/>
                <w:sz w:val="38"/>
              </w:rPr>
            </w:pPr>
          </w:p>
        </w:tc>
      </w:tr>
      <w:tr>
        <w:tblPrEx>
          <w:tblW w:w="0" w:type="auto"/>
          <w:jc w:val="left"/>
          <w:tblInd w:w="425" w:type="dxa"/>
          <w:tblLayout w:type="fixed"/>
          <w:tblCellMar>
            <w:top w:w="0" w:type="dxa"/>
            <w:left w:w="0" w:type="dxa"/>
            <w:bottom w:w="0" w:type="dxa"/>
            <w:right w:w="0" w:type="dxa"/>
          </w:tblCellMar>
          <w:tblLook w:val="01E0"/>
        </w:tblPrEx>
        <w:trPr>
          <w:trHeight w:val="781"/>
          <w:jc w:val="left"/>
        </w:trPr>
        <w:tc>
          <w:tcPr>
            <w:tcW w:w="1224" w:type="dxa"/>
          </w:tcPr>
          <w:p>
            <w:pPr>
              <w:pStyle w:val="TableParagraph"/>
              <w:spacing w:before="194"/>
              <w:ind w:left="726"/>
              <w:rPr>
                <w:sz w:val="31"/>
              </w:rPr>
            </w:pPr>
            <w:r>
              <w:rPr>
                <w:w w:val="102"/>
                <w:sz w:val="31"/>
              </w:rPr>
              <w:t>7</w:t>
            </w:r>
          </w:p>
        </w:tc>
        <w:tc>
          <w:tcPr>
            <w:tcW w:w="7274" w:type="dxa"/>
          </w:tcPr>
          <w:p>
            <w:pPr>
              <w:pStyle w:val="TableParagraph"/>
              <w:tabs>
                <w:tab w:val="left" w:pos="3741"/>
              </w:tabs>
              <w:spacing w:before="194"/>
              <w:ind w:right="1184"/>
              <w:jc w:val="right"/>
              <w:rPr>
                <w:sz w:val="31"/>
              </w:rPr>
            </w:pPr>
            <w:r>
              <w:rPr>
                <w:sz w:val="31"/>
              </w:rPr>
              <w:t>JDK23+740.0</w:t>
              <w:tab/>
              <w:t>35KV</w:t>
            </w:r>
          </w:p>
        </w:tc>
        <w:tc>
          <w:tcPr>
            <w:tcW w:w="2930" w:type="dxa"/>
          </w:tcPr>
          <w:p>
            <w:pPr>
              <w:pStyle w:val="TableParagraph"/>
              <w:spacing w:before="194"/>
              <w:ind w:left="14" w:right="726"/>
              <w:jc w:val="center"/>
              <w:rPr>
                <w:sz w:val="31"/>
              </w:rPr>
            </w:pPr>
            <w:r>
              <w:rPr>
                <w:sz w:val="31"/>
              </w:rPr>
              <w:t>青岛供电公司</w:t>
            </w:r>
          </w:p>
        </w:tc>
        <w:tc>
          <w:tcPr>
            <w:tcW w:w="1396" w:type="dxa"/>
          </w:tcPr>
          <w:p>
            <w:pPr>
              <w:pStyle w:val="TableParagraph"/>
              <w:rPr>
                <w:rFonts w:ascii="Times New Roman"/>
                <w:sz w:val="38"/>
              </w:rPr>
            </w:pPr>
          </w:p>
        </w:tc>
      </w:tr>
      <w:tr>
        <w:tblPrEx>
          <w:tblW w:w="0" w:type="auto"/>
          <w:jc w:val="left"/>
          <w:tblInd w:w="425" w:type="dxa"/>
          <w:tblLayout w:type="fixed"/>
          <w:tblCellMar>
            <w:top w:w="0" w:type="dxa"/>
            <w:left w:w="0" w:type="dxa"/>
            <w:bottom w:w="0" w:type="dxa"/>
            <w:right w:w="0" w:type="dxa"/>
          </w:tblCellMar>
          <w:tblLook w:val="01E0"/>
        </w:tblPrEx>
        <w:trPr>
          <w:trHeight w:val="716"/>
          <w:jc w:val="left"/>
        </w:trPr>
        <w:tc>
          <w:tcPr>
            <w:tcW w:w="1224" w:type="dxa"/>
          </w:tcPr>
          <w:p>
            <w:pPr>
              <w:pStyle w:val="TableParagraph"/>
              <w:spacing w:before="194"/>
              <w:ind w:left="726"/>
              <w:rPr>
                <w:sz w:val="31"/>
              </w:rPr>
            </w:pPr>
            <w:r>
              <w:rPr>
                <w:w w:val="102"/>
                <w:sz w:val="31"/>
              </w:rPr>
              <w:t>8</w:t>
            </w:r>
          </w:p>
        </w:tc>
        <w:tc>
          <w:tcPr>
            <w:tcW w:w="7274" w:type="dxa"/>
          </w:tcPr>
          <w:p>
            <w:pPr>
              <w:pStyle w:val="TableParagraph"/>
              <w:tabs>
                <w:tab w:val="left" w:pos="3741"/>
              </w:tabs>
              <w:spacing w:before="194"/>
              <w:ind w:right="1184"/>
              <w:jc w:val="right"/>
              <w:rPr>
                <w:sz w:val="31"/>
              </w:rPr>
            </w:pPr>
            <w:r>
              <w:rPr>
                <w:sz w:val="31"/>
              </w:rPr>
              <w:t>JDK23+806.7</w:t>
              <w:tab/>
              <w:t>10KV</w:t>
            </w:r>
          </w:p>
        </w:tc>
        <w:tc>
          <w:tcPr>
            <w:tcW w:w="2930" w:type="dxa"/>
          </w:tcPr>
          <w:p>
            <w:pPr>
              <w:pStyle w:val="TableParagraph"/>
              <w:spacing w:before="194"/>
              <w:ind w:left="14" w:right="726"/>
              <w:jc w:val="center"/>
              <w:rPr>
                <w:sz w:val="31"/>
              </w:rPr>
            </w:pPr>
            <w:r>
              <w:rPr>
                <w:spacing w:val="-3"/>
                <w:sz w:val="31"/>
              </w:rPr>
              <w:t>城阳区供电公司</w:t>
            </w:r>
          </w:p>
        </w:tc>
        <w:tc>
          <w:tcPr>
            <w:tcW w:w="1396" w:type="dxa"/>
          </w:tcPr>
          <w:p>
            <w:pPr>
              <w:pStyle w:val="TableParagraph"/>
              <w:rPr>
                <w:rFonts w:ascii="Times New Roman"/>
                <w:sz w:val="38"/>
              </w:rPr>
            </w:pPr>
          </w:p>
        </w:tc>
      </w:tr>
      <w:tr>
        <w:tblPrEx>
          <w:tblW w:w="0" w:type="auto"/>
          <w:jc w:val="left"/>
          <w:tblInd w:w="425" w:type="dxa"/>
          <w:tblLayout w:type="fixed"/>
          <w:tblCellMar>
            <w:top w:w="0" w:type="dxa"/>
            <w:left w:w="0" w:type="dxa"/>
            <w:bottom w:w="0" w:type="dxa"/>
            <w:right w:w="0" w:type="dxa"/>
          </w:tblCellMar>
          <w:tblLook w:val="01E0"/>
        </w:tblPrEx>
        <w:trPr>
          <w:trHeight w:val="588"/>
          <w:jc w:val="left"/>
        </w:trPr>
        <w:tc>
          <w:tcPr>
            <w:tcW w:w="1224" w:type="dxa"/>
          </w:tcPr>
          <w:p>
            <w:pPr>
              <w:pStyle w:val="TableParagraph"/>
              <w:spacing w:before="109" w:line="459" w:lineRule="exact"/>
              <w:ind w:right="120"/>
              <w:jc w:val="right"/>
              <w:rPr>
                <w:b/>
                <w:sz w:val="42"/>
              </w:rPr>
            </w:pPr>
            <w:r>
              <w:rPr>
                <w:b/>
                <w:w w:val="95"/>
                <w:sz w:val="42"/>
              </w:rPr>
              <w:t>2.2.2</w:t>
            </w:r>
          </w:p>
        </w:tc>
        <w:tc>
          <w:tcPr>
            <w:tcW w:w="7274" w:type="dxa"/>
          </w:tcPr>
          <w:p>
            <w:pPr>
              <w:pStyle w:val="TableParagraph"/>
              <w:spacing w:before="109" w:line="459" w:lineRule="exact"/>
              <w:ind w:left="96"/>
              <w:rPr>
                <w:rFonts w:ascii="黑体" w:eastAsia="黑体" w:hint="eastAsia"/>
                <w:b/>
                <w:sz w:val="42"/>
              </w:rPr>
            </w:pPr>
            <w:r>
              <w:rPr>
                <w:rFonts w:ascii="黑体" w:eastAsia="黑体" w:hint="eastAsia"/>
                <w:b/>
                <w:sz w:val="42"/>
              </w:rPr>
              <w:t>通信线改迁数量</w:t>
            </w:r>
          </w:p>
        </w:tc>
        <w:tc>
          <w:tcPr>
            <w:tcW w:w="2930" w:type="dxa"/>
          </w:tcPr>
          <w:p>
            <w:pPr>
              <w:pStyle w:val="TableParagraph"/>
              <w:rPr>
                <w:rFonts w:ascii="Times New Roman"/>
                <w:sz w:val="38"/>
              </w:rPr>
            </w:pPr>
          </w:p>
        </w:tc>
        <w:tc>
          <w:tcPr>
            <w:tcW w:w="1396" w:type="dxa"/>
          </w:tcPr>
          <w:p>
            <w:pPr>
              <w:pStyle w:val="TableParagraph"/>
              <w:rPr>
                <w:rFonts w:ascii="Times New Roman"/>
                <w:sz w:val="38"/>
              </w:rPr>
            </w:pPr>
          </w:p>
        </w:tc>
      </w:tr>
    </w:tbl>
    <w:p>
      <w:pPr>
        <w:spacing w:after="0"/>
        <w:rPr>
          <w:rFonts w:ascii="Times New Roman"/>
          <w:sz w:val="38"/>
        </w:rPr>
        <w:sectPr>
          <w:footerReference w:type="default" r:id="rId11"/>
          <w:pgSz w:w="17860" w:h="25260"/>
          <w:pgMar w:top="2180" w:right="1200" w:bottom="2080" w:left="1660" w:header="0" w:footer="1884"/>
          <w:pgNumType w:start="5"/>
          <w:cols w:space="708"/>
        </w:sectPr>
      </w:pPr>
    </w:p>
    <w:p>
      <w:pPr>
        <w:pStyle w:val="BodyText"/>
        <w:spacing w:before="24" w:after="60" w:line="307" w:lineRule="auto"/>
        <w:ind w:left="468" w:right="849" w:firstLine="838"/>
      </w:pPr>
      <w:r>
        <w:pict>
          <v:group id="_x0000_s1044" style="width:670pt;height:281pt;margin-top:135.35pt;margin-left:112pt;mso-position-horizontal-relative:page;position:absolute;z-index:-251656192" coordorigin="2240,2707" coordsize="13400,5620">
            <v:shape id="_x0000_s1045" type="#_x0000_t75" style="width:13400;height:5620;left:2240;position:absolute;top:2707" stroked="f">
              <v:imagedata r:id="rId12" o:title=""/>
            </v:shape>
            <v:shape id="_x0000_s1046" type="#_x0000_t202" style="width:1684;height:317;left:4025;position:absolute;top:7944" filled="f" stroked="f">
              <v:textbox inset="0,0,0,0">
                <w:txbxContent>
                  <w:p>
                    <w:pPr>
                      <w:spacing w:before="0" w:line="317" w:lineRule="exact"/>
                      <w:ind w:left="0" w:right="0" w:firstLine="0"/>
                      <w:jc w:val="left"/>
                      <w:rPr>
                        <w:sz w:val="31"/>
                      </w:rPr>
                    </w:pPr>
                    <w:r>
                      <w:rPr>
                        <w:spacing w:val="-25"/>
                        <w:sz w:val="31"/>
                      </w:rPr>
                      <w:t xml:space="preserve">改 </w:t>
                    </w:r>
                    <w:r>
                      <w:rPr>
                        <w:sz w:val="31"/>
                      </w:rPr>
                      <w:t>DK21+200</w:t>
                    </w:r>
                  </w:p>
                </w:txbxContent>
              </v:textbox>
            </v:shape>
          </v:group>
        </w:pict>
      </w:r>
      <w:r>
        <w:rPr>
          <w:spacing w:val="-19"/>
        </w:rPr>
        <w:t xml:space="preserve">本标段有 </w:t>
      </w:r>
      <w:r>
        <w:t>38</w:t>
      </w:r>
      <w:r>
        <w:rPr>
          <w:spacing w:val="-11"/>
        </w:rPr>
        <w:t xml:space="preserve"> 处架空、直埋光、电缆需要进行迁移，其中，光、电缆拆</w:t>
      </w:r>
      <w:r>
        <w:t>迁（与线路交叉</w:t>
      </w:r>
      <w:r>
        <w:rPr>
          <w:spacing w:val="-3"/>
        </w:rPr>
        <w:t>）21</w:t>
      </w:r>
      <w:r>
        <w:rPr>
          <w:spacing w:val="-17"/>
        </w:rPr>
        <w:t xml:space="preserve"> 处,光缆拆迁</w:t>
      </w:r>
      <w:r>
        <w:t>（与线路平行</w:t>
      </w:r>
      <w:r>
        <w:rPr>
          <w:spacing w:val="-4"/>
        </w:rPr>
        <w:t>）17</w:t>
      </w:r>
      <w:r>
        <w:rPr>
          <w:spacing w:val="-36"/>
        </w:rPr>
        <w:t xml:space="preserve"> 处。</w:t>
      </w:r>
    </w:p>
    <w:tbl>
      <w:tblPr>
        <w:tblStyle w:val="TableNormal1"/>
        <w:tblW w:w="0" w:type="auto"/>
        <w:jc w:val="left"/>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12"/>
        <w:gridCol w:w="3481"/>
        <w:gridCol w:w="1635"/>
        <w:gridCol w:w="1041"/>
        <w:gridCol w:w="2449"/>
        <w:gridCol w:w="2141"/>
      </w:tblGrid>
      <w:tr>
        <w:tblPrEx>
          <w:tblW w:w="0" w:type="auto"/>
          <w:jc w:val="left"/>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2"/>
          <w:jc w:val="left"/>
        </w:trPr>
        <w:tc>
          <w:tcPr>
            <w:tcW w:w="1212" w:type="dxa"/>
          </w:tcPr>
          <w:p>
            <w:pPr>
              <w:pStyle w:val="TableParagraph"/>
              <w:spacing w:line="480" w:lineRule="exact"/>
              <w:ind w:right="108"/>
              <w:jc w:val="right"/>
              <w:rPr>
                <w:b/>
                <w:sz w:val="42"/>
              </w:rPr>
            </w:pPr>
            <w:r>
              <w:rPr>
                <w:b/>
                <w:w w:val="95"/>
                <w:sz w:val="42"/>
              </w:rPr>
              <w:t>2.2.3</w:t>
            </w:r>
          </w:p>
        </w:tc>
        <w:tc>
          <w:tcPr>
            <w:tcW w:w="3481" w:type="dxa"/>
          </w:tcPr>
          <w:p>
            <w:pPr>
              <w:pStyle w:val="TableParagraph"/>
              <w:spacing w:line="480" w:lineRule="exact"/>
              <w:ind w:left="108"/>
              <w:rPr>
                <w:rFonts w:ascii="黑体" w:eastAsia="黑体" w:hint="eastAsia"/>
                <w:b/>
                <w:sz w:val="42"/>
              </w:rPr>
            </w:pPr>
            <w:r>
              <w:rPr>
                <w:rFonts w:ascii="黑体" w:eastAsia="黑体" w:hint="eastAsia"/>
                <w:b/>
                <w:spacing w:val="-3"/>
                <w:sz w:val="42"/>
              </w:rPr>
              <w:t>地下管线改迁数量</w:t>
            </w:r>
          </w:p>
        </w:tc>
        <w:tc>
          <w:tcPr>
            <w:tcW w:w="1635" w:type="dxa"/>
          </w:tcPr>
          <w:p>
            <w:pPr>
              <w:pStyle w:val="TableParagraph"/>
              <w:rPr>
                <w:rFonts w:ascii="Times New Roman"/>
                <w:sz w:val="38"/>
              </w:rPr>
            </w:pPr>
          </w:p>
        </w:tc>
        <w:tc>
          <w:tcPr>
            <w:tcW w:w="1041" w:type="dxa"/>
          </w:tcPr>
          <w:p>
            <w:pPr>
              <w:pStyle w:val="TableParagraph"/>
              <w:rPr>
                <w:rFonts w:ascii="Times New Roman"/>
                <w:sz w:val="38"/>
              </w:rPr>
            </w:pPr>
          </w:p>
        </w:tc>
        <w:tc>
          <w:tcPr>
            <w:tcW w:w="4590" w:type="dxa"/>
            <w:gridSpan w:val="2"/>
            <w:vMerge w:val="restart"/>
          </w:tcPr>
          <w:p>
            <w:pPr>
              <w:pStyle w:val="TableParagraph"/>
              <w:rPr>
                <w:rFonts w:ascii="Times New Roman"/>
                <w:sz w:val="38"/>
              </w:rPr>
            </w:pPr>
          </w:p>
        </w:tc>
      </w:tr>
      <w:tr>
        <w:tblPrEx>
          <w:tblW w:w="0" w:type="auto"/>
          <w:jc w:val="left"/>
          <w:tblInd w:w="425" w:type="dxa"/>
          <w:tblLayout w:type="fixed"/>
          <w:tblCellMar>
            <w:top w:w="0" w:type="dxa"/>
            <w:left w:w="0" w:type="dxa"/>
            <w:bottom w:w="0" w:type="dxa"/>
            <w:right w:w="0" w:type="dxa"/>
          </w:tblCellMar>
          <w:tblLook w:val="01E0"/>
        </w:tblPrEx>
        <w:trPr>
          <w:trHeight w:val="710"/>
          <w:jc w:val="left"/>
        </w:trPr>
        <w:tc>
          <w:tcPr>
            <w:tcW w:w="1212" w:type="dxa"/>
          </w:tcPr>
          <w:p>
            <w:pPr>
              <w:pStyle w:val="TableParagraph"/>
              <w:rPr>
                <w:rFonts w:ascii="Times New Roman"/>
                <w:sz w:val="38"/>
              </w:rPr>
            </w:pPr>
          </w:p>
        </w:tc>
        <w:tc>
          <w:tcPr>
            <w:tcW w:w="3481" w:type="dxa"/>
          </w:tcPr>
          <w:p>
            <w:pPr>
              <w:pStyle w:val="TableParagraph"/>
              <w:rPr>
                <w:rFonts w:ascii="Times New Roman"/>
                <w:sz w:val="38"/>
              </w:rPr>
            </w:pPr>
          </w:p>
        </w:tc>
        <w:tc>
          <w:tcPr>
            <w:tcW w:w="1635" w:type="dxa"/>
          </w:tcPr>
          <w:p>
            <w:pPr>
              <w:pStyle w:val="TableParagraph"/>
              <w:rPr>
                <w:rFonts w:ascii="Times New Roman"/>
                <w:sz w:val="38"/>
              </w:rPr>
            </w:pPr>
          </w:p>
        </w:tc>
        <w:tc>
          <w:tcPr>
            <w:tcW w:w="1041" w:type="dxa"/>
          </w:tcPr>
          <w:p>
            <w:pPr>
              <w:pStyle w:val="TableParagraph"/>
              <w:spacing w:before="203"/>
              <w:ind w:left="5"/>
              <w:jc w:val="center"/>
              <w:rPr>
                <w:b/>
                <w:sz w:val="31"/>
              </w:rPr>
            </w:pPr>
            <w:r>
              <w:rPr>
                <w:b/>
                <w:w w:val="101"/>
                <w:sz w:val="31"/>
              </w:rPr>
              <w:t>表</w:t>
            </w:r>
          </w:p>
        </w:tc>
        <w:tc>
          <w:tcPr>
            <w:tcW w:w="4590" w:type="dxa"/>
            <w:gridSpan w:val="2"/>
            <w:vMerge/>
            <w:tcBorders>
              <w:top w:val="nil"/>
            </w:tcBorders>
          </w:tcPr>
          <w:p>
            <w:pPr>
              <w:rPr>
                <w:sz w:val="2"/>
                <w:szCs w:val="2"/>
              </w:rPr>
            </w:pPr>
          </w:p>
        </w:tc>
      </w:tr>
      <w:tr>
        <w:tblPrEx>
          <w:tblW w:w="0" w:type="auto"/>
          <w:jc w:val="left"/>
          <w:tblInd w:w="425" w:type="dxa"/>
          <w:tblLayout w:type="fixed"/>
          <w:tblCellMar>
            <w:top w:w="0" w:type="dxa"/>
            <w:left w:w="0" w:type="dxa"/>
            <w:bottom w:w="0" w:type="dxa"/>
            <w:right w:w="0" w:type="dxa"/>
          </w:tblCellMar>
          <w:tblLook w:val="01E0"/>
        </w:tblPrEx>
        <w:trPr>
          <w:trHeight w:val="694"/>
          <w:jc w:val="left"/>
        </w:trPr>
        <w:tc>
          <w:tcPr>
            <w:tcW w:w="1212" w:type="dxa"/>
          </w:tcPr>
          <w:p>
            <w:pPr>
              <w:pStyle w:val="TableParagraph"/>
              <w:spacing w:before="115"/>
              <w:ind w:right="135"/>
              <w:jc w:val="right"/>
              <w:rPr>
                <w:sz w:val="31"/>
              </w:rPr>
            </w:pPr>
            <w:r>
              <w:rPr>
                <w:sz w:val="31"/>
              </w:rPr>
              <w:t>序号</w:t>
            </w:r>
          </w:p>
        </w:tc>
        <w:tc>
          <w:tcPr>
            <w:tcW w:w="3481" w:type="dxa"/>
          </w:tcPr>
          <w:p>
            <w:pPr>
              <w:pStyle w:val="TableParagraph"/>
              <w:spacing w:before="115"/>
              <w:ind w:left="929"/>
              <w:rPr>
                <w:sz w:val="31"/>
              </w:rPr>
            </w:pPr>
            <w:r>
              <w:rPr>
                <w:sz w:val="31"/>
              </w:rPr>
              <w:t>里程位置</w:t>
            </w:r>
          </w:p>
        </w:tc>
        <w:tc>
          <w:tcPr>
            <w:tcW w:w="1635" w:type="dxa"/>
          </w:tcPr>
          <w:p>
            <w:pPr>
              <w:pStyle w:val="TableParagraph"/>
              <w:spacing w:before="115"/>
              <w:ind w:right="362"/>
              <w:jc w:val="center"/>
              <w:rPr>
                <w:sz w:val="31"/>
              </w:rPr>
            </w:pPr>
            <w:r>
              <w:rPr>
                <w:sz w:val="31"/>
              </w:rPr>
              <w:t>管线种类</w:t>
            </w:r>
          </w:p>
        </w:tc>
        <w:tc>
          <w:tcPr>
            <w:tcW w:w="1041" w:type="dxa"/>
          </w:tcPr>
          <w:p>
            <w:pPr>
              <w:pStyle w:val="TableParagraph"/>
              <w:rPr>
                <w:rFonts w:ascii="Times New Roman"/>
                <w:sz w:val="38"/>
              </w:rPr>
            </w:pPr>
          </w:p>
        </w:tc>
        <w:tc>
          <w:tcPr>
            <w:tcW w:w="2449" w:type="dxa"/>
          </w:tcPr>
          <w:p>
            <w:pPr>
              <w:pStyle w:val="TableParagraph"/>
              <w:spacing w:before="115"/>
              <w:ind w:left="357"/>
              <w:rPr>
                <w:sz w:val="31"/>
              </w:rPr>
            </w:pPr>
            <w:r>
              <w:rPr>
                <w:sz w:val="31"/>
              </w:rPr>
              <w:t>埋深</w:t>
            </w:r>
          </w:p>
        </w:tc>
        <w:tc>
          <w:tcPr>
            <w:tcW w:w="2141" w:type="dxa"/>
          </w:tcPr>
          <w:p>
            <w:pPr>
              <w:pStyle w:val="TableParagraph"/>
              <w:spacing w:before="115"/>
              <w:ind w:right="51"/>
              <w:jc w:val="right"/>
              <w:rPr>
                <w:sz w:val="31"/>
              </w:rPr>
            </w:pPr>
            <w:r>
              <w:rPr>
                <w:sz w:val="31"/>
              </w:rPr>
              <w:t>管径</w:t>
            </w:r>
          </w:p>
        </w:tc>
      </w:tr>
      <w:tr>
        <w:tblPrEx>
          <w:tblW w:w="0" w:type="auto"/>
          <w:jc w:val="left"/>
          <w:tblInd w:w="425" w:type="dxa"/>
          <w:tblLayout w:type="fixed"/>
          <w:tblCellMar>
            <w:top w:w="0" w:type="dxa"/>
            <w:left w:w="0" w:type="dxa"/>
            <w:bottom w:w="0" w:type="dxa"/>
            <w:right w:w="0" w:type="dxa"/>
          </w:tblCellMar>
          <w:tblLook w:val="01E0"/>
        </w:tblPrEx>
        <w:trPr>
          <w:trHeight w:val="765"/>
          <w:jc w:val="left"/>
        </w:trPr>
        <w:tc>
          <w:tcPr>
            <w:tcW w:w="1212" w:type="dxa"/>
          </w:tcPr>
          <w:p>
            <w:pPr>
              <w:pStyle w:val="TableParagraph"/>
              <w:spacing w:before="187"/>
              <w:ind w:left="676"/>
              <w:rPr>
                <w:sz w:val="31"/>
              </w:rPr>
            </w:pPr>
            <w:r>
              <w:rPr>
                <w:w w:val="102"/>
                <w:sz w:val="31"/>
              </w:rPr>
              <w:t>1</w:t>
            </w:r>
          </w:p>
        </w:tc>
        <w:tc>
          <w:tcPr>
            <w:tcW w:w="3481" w:type="dxa"/>
          </w:tcPr>
          <w:p>
            <w:pPr>
              <w:pStyle w:val="TableParagraph"/>
              <w:spacing w:before="187"/>
              <w:ind w:left="418"/>
              <w:rPr>
                <w:sz w:val="31"/>
              </w:rPr>
            </w:pPr>
            <w:r>
              <w:rPr>
                <w:sz w:val="31"/>
              </w:rPr>
              <w:t>右改 DK21+213.9</w:t>
            </w:r>
          </w:p>
        </w:tc>
        <w:tc>
          <w:tcPr>
            <w:tcW w:w="1635" w:type="dxa"/>
          </w:tcPr>
          <w:p>
            <w:pPr>
              <w:pStyle w:val="TableParagraph"/>
              <w:spacing w:before="187"/>
              <w:ind w:right="369"/>
              <w:jc w:val="center"/>
              <w:rPr>
                <w:sz w:val="31"/>
              </w:rPr>
            </w:pPr>
            <w:r>
              <w:rPr>
                <w:sz w:val="31"/>
              </w:rPr>
              <w:t>路灯</w:t>
            </w:r>
          </w:p>
        </w:tc>
        <w:tc>
          <w:tcPr>
            <w:tcW w:w="1041" w:type="dxa"/>
          </w:tcPr>
          <w:p>
            <w:pPr>
              <w:pStyle w:val="TableParagraph"/>
              <w:rPr>
                <w:rFonts w:ascii="Times New Roman"/>
                <w:sz w:val="38"/>
              </w:rPr>
            </w:pPr>
          </w:p>
        </w:tc>
        <w:tc>
          <w:tcPr>
            <w:tcW w:w="2449" w:type="dxa"/>
          </w:tcPr>
          <w:p>
            <w:pPr>
              <w:pStyle w:val="TableParagraph"/>
              <w:spacing w:before="187"/>
              <w:ind w:left="436"/>
              <w:rPr>
                <w:sz w:val="31"/>
              </w:rPr>
            </w:pPr>
            <w:r>
              <w:rPr>
                <w:sz w:val="31"/>
              </w:rPr>
              <w:t>0.5</w:t>
            </w:r>
          </w:p>
        </w:tc>
        <w:tc>
          <w:tcPr>
            <w:tcW w:w="2141" w:type="dxa"/>
          </w:tcPr>
          <w:p>
            <w:pPr>
              <w:pStyle w:val="TableParagraph"/>
              <w:spacing w:before="187"/>
              <w:ind w:right="129"/>
              <w:jc w:val="right"/>
              <w:rPr>
                <w:sz w:val="31"/>
              </w:rPr>
            </w:pPr>
            <w:r>
              <w:rPr>
                <w:sz w:val="31"/>
              </w:rPr>
              <w:t>100</w:t>
            </w:r>
          </w:p>
        </w:tc>
      </w:tr>
      <w:tr>
        <w:tblPrEx>
          <w:tblW w:w="0" w:type="auto"/>
          <w:jc w:val="left"/>
          <w:tblInd w:w="425" w:type="dxa"/>
          <w:tblLayout w:type="fixed"/>
          <w:tblCellMar>
            <w:top w:w="0" w:type="dxa"/>
            <w:left w:w="0" w:type="dxa"/>
            <w:bottom w:w="0" w:type="dxa"/>
            <w:right w:w="0" w:type="dxa"/>
          </w:tblCellMar>
          <w:tblLook w:val="01E0"/>
        </w:tblPrEx>
        <w:trPr>
          <w:trHeight w:val="765"/>
          <w:jc w:val="left"/>
        </w:trPr>
        <w:tc>
          <w:tcPr>
            <w:tcW w:w="1212" w:type="dxa"/>
          </w:tcPr>
          <w:p>
            <w:pPr>
              <w:pStyle w:val="TableParagraph"/>
              <w:spacing w:before="185"/>
              <w:ind w:left="676"/>
              <w:rPr>
                <w:sz w:val="31"/>
              </w:rPr>
            </w:pPr>
            <w:r>
              <w:rPr>
                <w:w w:val="102"/>
                <w:sz w:val="31"/>
              </w:rPr>
              <w:t>2</w:t>
            </w:r>
          </w:p>
        </w:tc>
        <w:tc>
          <w:tcPr>
            <w:tcW w:w="3481" w:type="dxa"/>
          </w:tcPr>
          <w:p>
            <w:pPr>
              <w:pStyle w:val="TableParagraph"/>
              <w:spacing w:before="185"/>
              <w:ind w:left="338"/>
              <w:rPr>
                <w:sz w:val="31"/>
              </w:rPr>
            </w:pPr>
            <w:r>
              <w:rPr>
                <w:sz w:val="31"/>
              </w:rPr>
              <w:t>右改 DK21+557.96</w:t>
            </w:r>
          </w:p>
        </w:tc>
        <w:tc>
          <w:tcPr>
            <w:tcW w:w="1635" w:type="dxa"/>
          </w:tcPr>
          <w:p>
            <w:pPr>
              <w:pStyle w:val="TableParagraph"/>
              <w:spacing w:before="185"/>
              <w:ind w:right="369"/>
              <w:jc w:val="center"/>
              <w:rPr>
                <w:sz w:val="31"/>
              </w:rPr>
            </w:pPr>
            <w:r>
              <w:rPr>
                <w:sz w:val="31"/>
              </w:rPr>
              <w:t>路灯</w:t>
            </w:r>
          </w:p>
        </w:tc>
        <w:tc>
          <w:tcPr>
            <w:tcW w:w="1041" w:type="dxa"/>
          </w:tcPr>
          <w:p>
            <w:pPr>
              <w:pStyle w:val="TableParagraph"/>
              <w:rPr>
                <w:rFonts w:ascii="Times New Roman"/>
                <w:sz w:val="38"/>
              </w:rPr>
            </w:pPr>
          </w:p>
        </w:tc>
        <w:tc>
          <w:tcPr>
            <w:tcW w:w="2449" w:type="dxa"/>
          </w:tcPr>
          <w:p>
            <w:pPr>
              <w:pStyle w:val="TableParagraph"/>
              <w:spacing w:before="185"/>
              <w:ind w:left="436"/>
              <w:rPr>
                <w:sz w:val="31"/>
              </w:rPr>
            </w:pPr>
            <w:r>
              <w:rPr>
                <w:sz w:val="31"/>
              </w:rPr>
              <w:t>0.5</w:t>
            </w:r>
          </w:p>
        </w:tc>
        <w:tc>
          <w:tcPr>
            <w:tcW w:w="2141" w:type="dxa"/>
          </w:tcPr>
          <w:p>
            <w:pPr>
              <w:pStyle w:val="TableParagraph"/>
              <w:spacing w:before="185"/>
              <w:ind w:right="129"/>
              <w:jc w:val="right"/>
              <w:rPr>
                <w:sz w:val="31"/>
              </w:rPr>
            </w:pPr>
            <w:r>
              <w:rPr>
                <w:sz w:val="31"/>
              </w:rPr>
              <w:t>100</w:t>
            </w:r>
          </w:p>
        </w:tc>
      </w:tr>
      <w:tr>
        <w:tblPrEx>
          <w:tblW w:w="0" w:type="auto"/>
          <w:jc w:val="left"/>
          <w:tblInd w:w="425" w:type="dxa"/>
          <w:tblLayout w:type="fixed"/>
          <w:tblCellMar>
            <w:top w:w="0" w:type="dxa"/>
            <w:left w:w="0" w:type="dxa"/>
            <w:bottom w:w="0" w:type="dxa"/>
            <w:right w:w="0" w:type="dxa"/>
          </w:tblCellMar>
          <w:tblLook w:val="01E0"/>
        </w:tblPrEx>
        <w:trPr>
          <w:trHeight w:val="542"/>
          <w:jc w:val="left"/>
        </w:trPr>
        <w:tc>
          <w:tcPr>
            <w:tcW w:w="1212" w:type="dxa"/>
          </w:tcPr>
          <w:p>
            <w:pPr>
              <w:pStyle w:val="TableParagraph"/>
              <w:spacing w:before="187" w:line="335" w:lineRule="exact"/>
              <w:ind w:left="676"/>
              <w:rPr>
                <w:sz w:val="31"/>
              </w:rPr>
            </w:pPr>
            <w:r>
              <w:rPr>
                <w:w w:val="102"/>
                <w:sz w:val="31"/>
              </w:rPr>
              <w:t>3</w:t>
            </w:r>
          </w:p>
        </w:tc>
        <w:tc>
          <w:tcPr>
            <w:tcW w:w="3481" w:type="dxa"/>
          </w:tcPr>
          <w:p>
            <w:pPr>
              <w:pStyle w:val="TableParagraph"/>
              <w:spacing w:before="187" w:line="335" w:lineRule="exact"/>
              <w:ind w:left="497"/>
              <w:rPr>
                <w:sz w:val="31"/>
              </w:rPr>
            </w:pPr>
            <w:r>
              <w:rPr>
                <w:sz w:val="31"/>
              </w:rPr>
              <w:t>改 DK21+213.96</w:t>
            </w:r>
          </w:p>
        </w:tc>
        <w:tc>
          <w:tcPr>
            <w:tcW w:w="1635" w:type="dxa"/>
          </w:tcPr>
          <w:p>
            <w:pPr>
              <w:pStyle w:val="TableParagraph"/>
              <w:spacing w:before="187" w:line="335" w:lineRule="exact"/>
              <w:ind w:right="369"/>
              <w:jc w:val="center"/>
              <w:rPr>
                <w:sz w:val="31"/>
              </w:rPr>
            </w:pPr>
            <w:r>
              <w:rPr>
                <w:sz w:val="31"/>
              </w:rPr>
              <w:t>路灯</w:t>
            </w:r>
          </w:p>
        </w:tc>
        <w:tc>
          <w:tcPr>
            <w:tcW w:w="1041" w:type="dxa"/>
          </w:tcPr>
          <w:p>
            <w:pPr>
              <w:pStyle w:val="TableParagraph"/>
              <w:rPr>
                <w:rFonts w:ascii="Times New Roman"/>
                <w:sz w:val="38"/>
              </w:rPr>
            </w:pPr>
          </w:p>
        </w:tc>
        <w:tc>
          <w:tcPr>
            <w:tcW w:w="2449" w:type="dxa"/>
          </w:tcPr>
          <w:p>
            <w:pPr>
              <w:pStyle w:val="TableParagraph"/>
              <w:spacing w:before="187" w:line="335" w:lineRule="exact"/>
              <w:ind w:left="436"/>
              <w:rPr>
                <w:sz w:val="31"/>
              </w:rPr>
            </w:pPr>
            <w:r>
              <w:rPr>
                <w:sz w:val="31"/>
              </w:rPr>
              <w:t>0.5</w:t>
            </w:r>
          </w:p>
        </w:tc>
        <w:tc>
          <w:tcPr>
            <w:tcW w:w="2141" w:type="dxa"/>
          </w:tcPr>
          <w:p>
            <w:pPr>
              <w:pStyle w:val="TableParagraph"/>
              <w:spacing w:before="187" w:line="335" w:lineRule="exact"/>
              <w:ind w:right="129"/>
              <w:jc w:val="right"/>
              <w:rPr>
                <w:sz w:val="31"/>
              </w:rPr>
            </w:pPr>
            <w:r>
              <w:rPr>
                <w:sz w:val="31"/>
              </w:rPr>
              <w:t>100</w:t>
            </w:r>
          </w:p>
        </w:tc>
      </w:tr>
      <w:tr>
        <w:tblPrEx>
          <w:tblW w:w="0" w:type="auto"/>
          <w:jc w:val="left"/>
          <w:tblInd w:w="425" w:type="dxa"/>
          <w:tblLayout w:type="fixed"/>
          <w:tblCellMar>
            <w:top w:w="0" w:type="dxa"/>
            <w:left w:w="0" w:type="dxa"/>
            <w:bottom w:w="0" w:type="dxa"/>
            <w:right w:w="0" w:type="dxa"/>
          </w:tblCellMar>
          <w:tblLook w:val="01E0"/>
        </w:tblPrEx>
        <w:trPr>
          <w:trHeight w:val="774"/>
          <w:jc w:val="left"/>
        </w:trPr>
        <w:tc>
          <w:tcPr>
            <w:tcW w:w="1212" w:type="dxa"/>
          </w:tcPr>
          <w:p>
            <w:pPr>
              <w:pStyle w:val="TableParagraph"/>
              <w:spacing w:before="11"/>
              <w:rPr>
                <w:sz w:val="38"/>
              </w:rPr>
            </w:pPr>
          </w:p>
          <w:p>
            <w:pPr>
              <w:pStyle w:val="TableParagraph"/>
              <w:spacing w:line="255" w:lineRule="exact"/>
              <w:ind w:left="676"/>
              <w:rPr>
                <w:sz w:val="31"/>
              </w:rPr>
            </w:pPr>
            <w:r>
              <w:rPr>
                <w:w w:val="102"/>
                <w:sz w:val="31"/>
              </w:rPr>
              <w:t>4</w:t>
            </w:r>
          </w:p>
        </w:tc>
        <w:tc>
          <w:tcPr>
            <w:tcW w:w="3481" w:type="dxa"/>
          </w:tcPr>
          <w:p>
            <w:pPr>
              <w:pStyle w:val="TableParagraph"/>
              <w:spacing w:before="268"/>
              <w:ind w:left="497"/>
              <w:rPr>
                <w:sz w:val="31"/>
              </w:rPr>
            </w:pPr>
            <w:r>
              <w:rPr>
                <w:sz w:val="31"/>
              </w:rPr>
              <w:t>改 DK21+214-改</w:t>
            </w:r>
          </w:p>
        </w:tc>
        <w:tc>
          <w:tcPr>
            <w:tcW w:w="1635" w:type="dxa"/>
          </w:tcPr>
          <w:p>
            <w:pPr>
              <w:pStyle w:val="TableParagraph"/>
              <w:spacing w:before="11"/>
              <w:rPr>
                <w:sz w:val="38"/>
              </w:rPr>
            </w:pPr>
          </w:p>
          <w:p>
            <w:pPr>
              <w:pStyle w:val="TableParagraph"/>
              <w:spacing w:line="255" w:lineRule="exact"/>
              <w:ind w:right="369"/>
              <w:jc w:val="center"/>
              <w:rPr>
                <w:sz w:val="31"/>
              </w:rPr>
            </w:pPr>
            <w:r>
              <w:rPr>
                <w:sz w:val="31"/>
              </w:rPr>
              <w:t>路灯</w:t>
            </w:r>
          </w:p>
        </w:tc>
        <w:tc>
          <w:tcPr>
            <w:tcW w:w="1041" w:type="dxa"/>
          </w:tcPr>
          <w:p>
            <w:pPr>
              <w:pStyle w:val="TableParagraph"/>
              <w:rPr>
                <w:rFonts w:ascii="Times New Roman"/>
                <w:sz w:val="38"/>
              </w:rPr>
            </w:pPr>
          </w:p>
        </w:tc>
        <w:tc>
          <w:tcPr>
            <w:tcW w:w="2449" w:type="dxa"/>
          </w:tcPr>
          <w:p>
            <w:pPr>
              <w:pStyle w:val="TableParagraph"/>
              <w:spacing w:before="11"/>
              <w:rPr>
                <w:sz w:val="38"/>
              </w:rPr>
            </w:pPr>
          </w:p>
          <w:p>
            <w:pPr>
              <w:pStyle w:val="TableParagraph"/>
              <w:spacing w:line="255" w:lineRule="exact"/>
              <w:ind w:left="357"/>
              <w:rPr>
                <w:sz w:val="31"/>
              </w:rPr>
            </w:pPr>
            <w:r>
              <w:rPr>
                <w:sz w:val="31"/>
              </w:rPr>
              <w:t>0.45</w:t>
            </w:r>
          </w:p>
        </w:tc>
        <w:tc>
          <w:tcPr>
            <w:tcW w:w="2141" w:type="dxa"/>
          </w:tcPr>
          <w:p>
            <w:pPr>
              <w:pStyle w:val="TableParagraph"/>
              <w:spacing w:before="11"/>
              <w:rPr>
                <w:sz w:val="38"/>
              </w:rPr>
            </w:pPr>
          </w:p>
          <w:p>
            <w:pPr>
              <w:pStyle w:val="TableParagraph"/>
              <w:spacing w:line="255" w:lineRule="exact"/>
              <w:ind w:right="129"/>
              <w:jc w:val="right"/>
              <w:rPr>
                <w:sz w:val="31"/>
              </w:rPr>
            </w:pPr>
            <w:r>
              <w:rPr>
                <w:sz w:val="31"/>
              </w:rPr>
              <w:t>100</w:t>
            </w:r>
          </w:p>
        </w:tc>
      </w:tr>
      <w:tr>
        <w:tblPrEx>
          <w:tblW w:w="0" w:type="auto"/>
          <w:jc w:val="left"/>
          <w:tblInd w:w="425" w:type="dxa"/>
          <w:tblLayout w:type="fixed"/>
          <w:tblCellMar>
            <w:top w:w="0" w:type="dxa"/>
            <w:left w:w="0" w:type="dxa"/>
            <w:bottom w:w="0" w:type="dxa"/>
            <w:right w:w="0" w:type="dxa"/>
          </w:tblCellMar>
          <w:tblLook w:val="01E0"/>
        </w:tblPrEx>
        <w:trPr>
          <w:trHeight w:val="432"/>
          <w:jc w:val="left"/>
        </w:trPr>
        <w:tc>
          <w:tcPr>
            <w:tcW w:w="1212" w:type="dxa"/>
          </w:tcPr>
          <w:p>
            <w:pPr>
              <w:pStyle w:val="TableParagraph"/>
              <w:rPr>
                <w:rFonts w:ascii="Times New Roman"/>
                <w:sz w:val="34"/>
              </w:rPr>
            </w:pPr>
          </w:p>
        </w:tc>
        <w:tc>
          <w:tcPr>
            <w:tcW w:w="3481" w:type="dxa"/>
          </w:tcPr>
          <w:p>
            <w:pPr>
              <w:pStyle w:val="TableParagraph"/>
              <w:spacing w:line="359" w:lineRule="exact"/>
              <w:ind w:left="929"/>
              <w:rPr>
                <w:sz w:val="31"/>
              </w:rPr>
            </w:pPr>
            <w:r>
              <w:rPr>
                <w:sz w:val="31"/>
              </w:rPr>
              <w:t>DK21+566</w:t>
            </w:r>
          </w:p>
        </w:tc>
        <w:tc>
          <w:tcPr>
            <w:tcW w:w="1635" w:type="dxa"/>
          </w:tcPr>
          <w:p>
            <w:pPr>
              <w:pStyle w:val="TableParagraph"/>
              <w:rPr>
                <w:rFonts w:ascii="Times New Roman"/>
                <w:sz w:val="34"/>
              </w:rPr>
            </w:pPr>
          </w:p>
        </w:tc>
        <w:tc>
          <w:tcPr>
            <w:tcW w:w="3490" w:type="dxa"/>
            <w:gridSpan w:val="2"/>
          </w:tcPr>
          <w:p>
            <w:pPr>
              <w:pStyle w:val="TableParagraph"/>
              <w:rPr>
                <w:rFonts w:ascii="Times New Roman"/>
                <w:sz w:val="34"/>
              </w:rPr>
            </w:pPr>
          </w:p>
        </w:tc>
        <w:tc>
          <w:tcPr>
            <w:tcW w:w="2141" w:type="dxa"/>
          </w:tcPr>
          <w:p>
            <w:pPr>
              <w:pStyle w:val="TableParagraph"/>
              <w:rPr>
                <w:rFonts w:ascii="Times New Roman"/>
                <w:sz w:val="34"/>
              </w:rPr>
            </w:pPr>
          </w:p>
        </w:tc>
      </w:tr>
      <w:tr>
        <w:tblPrEx>
          <w:tblW w:w="0" w:type="auto"/>
          <w:jc w:val="left"/>
          <w:tblInd w:w="425" w:type="dxa"/>
          <w:tblLayout w:type="fixed"/>
          <w:tblCellMar>
            <w:top w:w="0" w:type="dxa"/>
            <w:left w:w="0" w:type="dxa"/>
            <w:bottom w:w="0" w:type="dxa"/>
            <w:right w:w="0" w:type="dxa"/>
          </w:tblCellMar>
          <w:tblLook w:val="01E0"/>
        </w:tblPrEx>
        <w:trPr>
          <w:trHeight w:val="431"/>
          <w:jc w:val="left"/>
        </w:trPr>
        <w:tc>
          <w:tcPr>
            <w:tcW w:w="1212" w:type="dxa"/>
          </w:tcPr>
          <w:p>
            <w:pPr>
              <w:pStyle w:val="TableParagraph"/>
              <w:spacing w:before="77" w:line="335" w:lineRule="exact"/>
              <w:ind w:left="676"/>
              <w:rPr>
                <w:sz w:val="31"/>
              </w:rPr>
            </w:pPr>
            <w:r>
              <w:rPr>
                <w:w w:val="102"/>
                <w:sz w:val="31"/>
              </w:rPr>
              <w:t>5</w:t>
            </w:r>
          </w:p>
        </w:tc>
        <w:tc>
          <w:tcPr>
            <w:tcW w:w="3481" w:type="dxa"/>
          </w:tcPr>
          <w:p>
            <w:pPr>
              <w:pStyle w:val="TableParagraph"/>
              <w:spacing w:before="77" w:line="335" w:lineRule="exact"/>
              <w:ind w:left="576"/>
              <w:rPr>
                <w:sz w:val="31"/>
              </w:rPr>
            </w:pPr>
            <w:r>
              <w:rPr>
                <w:sz w:val="31"/>
              </w:rPr>
              <w:t>改 DK21+566.6</w:t>
            </w:r>
          </w:p>
        </w:tc>
        <w:tc>
          <w:tcPr>
            <w:tcW w:w="1635" w:type="dxa"/>
          </w:tcPr>
          <w:p>
            <w:pPr>
              <w:pStyle w:val="TableParagraph"/>
              <w:spacing w:before="77" w:line="335" w:lineRule="exact"/>
              <w:ind w:right="369"/>
              <w:jc w:val="center"/>
              <w:rPr>
                <w:sz w:val="31"/>
              </w:rPr>
            </w:pPr>
            <w:r>
              <w:rPr>
                <w:sz w:val="31"/>
              </w:rPr>
              <w:t>路灯</w:t>
            </w:r>
          </w:p>
        </w:tc>
        <w:tc>
          <w:tcPr>
            <w:tcW w:w="3490" w:type="dxa"/>
            <w:gridSpan w:val="2"/>
          </w:tcPr>
          <w:p>
            <w:pPr>
              <w:pStyle w:val="TableParagraph"/>
              <w:spacing w:before="77" w:line="335" w:lineRule="exact"/>
              <w:ind w:left="1386" w:right="1443"/>
              <w:jc w:val="center"/>
              <w:rPr>
                <w:sz w:val="31"/>
              </w:rPr>
            </w:pPr>
            <w:r>
              <w:rPr>
                <w:sz w:val="31"/>
              </w:rPr>
              <w:t>0.45</w:t>
            </w:r>
          </w:p>
        </w:tc>
        <w:tc>
          <w:tcPr>
            <w:tcW w:w="2141" w:type="dxa"/>
          </w:tcPr>
          <w:p>
            <w:pPr>
              <w:pStyle w:val="TableParagraph"/>
              <w:spacing w:before="77" w:line="335" w:lineRule="exact"/>
              <w:ind w:right="129"/>
              <w:jc w:val="right"/>
              <w:rPr>
                <w:sz w:val="31"/>
              </w:rPr>
            </w:pPr>
            <w:r>
              <w:rPr>
                <w:sz w:val="31"/>
              </w:rPr>
              <w:t>100</w:t>
            </w:r>
          </w:p>
        </w:tc>
      </w:tr>
      <w:tr>
        <w:tblPrEx>
          <w:tblW w:w="0" w:type="auto"/>
          <w:jc w:val="left"/>
          <w:tblInd w:w="425" w:type="dxa"/>
          <w:tblLayout w:type="fixed"/>
          <w:tblCellMar>
            <w:top w:w="0" w:type="dxa"/>
            <w:left w:w="0" w:type="dxa"/>
            <w:bottom w:w="0" w:type="dxa"/>
            <w:right w:w="0" w:type="dxa"/>
          </w:tblCellMar>
          <w:tblLook w:val="01E0"/>
        </w:tblPrEx>
        <w:trPr>
          <w:trHeight w:val="471"/>
          <w:jc w:val="left"/>
        </w:trPr>
        <w:tc>
          <w:tcPr>
            <w:tcW w:w="1212" w:type="dxa"/>
          </w:tcPr>
          <w:p>
            <w:pPr>
              <w:pStyle w:val="TableParagraph"/>
              <w:rPr>
                <w:rFonts w:ascii="Times New Roman"/>
                <w:sz w:val="36"/>
              </w:rPr>
            </w:pPr>
          </w:p>
        </w:tc>
        <w:tc>
          <w:tcPr>
            <w:tcW w:w="3481" w:type="dxa"/>
          </w:tcPr>
          <w:p>
            <w:pPr>
              <w:pStyle w:val="TableParagraph"/>
              <w:spacing w:before="200" w:line="252" w:lineRule="exact"/>
              <w:ind w:left="338"/>
              <w:rPr>
                <w:sz w:val="31"/>
              </w:rPr>
            </w:pPr>
            <w:r>
              <w:rPr>
                <w:sz w:val="31"/>
              </w:rPr>
              <w:t>右改 DK20+667+右</w:t>
            </w:r>
          </w:p>
        </w:tc>
        <w:tc>
          <w:tcPr>
            <w:tcW w:w="1635" w:type="dxa"/>
          </w:tcPr>
          <w:p>
            <w:pPr>
              <w:pStyle w:val="TableParagraph"/>
              <w:rPr>
                <w:rFonts w:ascii="Times New Roman"/>
                <w:sz w:val="36"/>
              </w:rPr>
            </w:pPr>
          </w:p>
        </w:tc>
        <w:tc>
          <w:tcPr>
            <w:tcW w:w="1041" w:type="dxa"/>
          </w:tcPr>
          <w:p>
            <w:pPr>
              <w:pStyle w:val="TableParagraph"/>
              <w:rPr>
                <w:rFonts w:ascii="Times New Roman"/>
                <w:sz w:val="36"/>
              </w:rPr>
            </w:pPr>
          </w:p>
        </w:tc>
        <w:tc>
          <w:tcPr>
            <w:tcW w:w="2449" w:type="dxa"/>
          </w:tcPr>
          <w:p>
            <w:pPr>
              <w:pStyle w:val="TableParagraph"/>
              <w:rPr>
                <w:rFonts w:ascii="Times New Roman"/>
                <w:sz w:val="36"/>
              </w:rPr>
            </w:pPr>
          </w:p>
        </w:tc>
        <w:tc>
          <w:tcPr>
            <w:tcW w:w="2141" w:type="dxa"/>
          </w:tcPr>
          <w:p>
            <w:pPr>
              <w:pStyle w:val="TableParagraph"/>
              <w:rPr>
                <w:rFonts w:ascii="Times New Roman"/>
                <w:sz w:val="36"/>
              </w:rPr>
            </w:pPr>
          </w:p>
        </w:tc>
      </w:tr>
      <w:tr>
        <w:tblPrEx>
          <w:tblW w:w="0" w:type="auto"/>
          <w:jc w:val="left"/>
          <w:tblInd w:w="425" w:type="dxa"/>
          <w:tblLayout w:type="fixed"/>
          <w:tblCellMar>
            <w:top w:w="0" w:type="dxa"/>
            <w:left w:w="0" w:type="dxa"/>
            <w:bottom w:w="0" w:type="dxa"/>
            <w:right w:w="0" w:type="dxa"/>
          </w:tblCellMar>
          <w:tblLook w:val="01E0"/>
        </w:tblPrEx>
        <w:trPr>
          <w:trHeight w:val="316"/>
          <w:jc w:val="left"/>
        </w:trPr>
        <w:tc>
          <w:tcPr>
            <w:tcW w:w="6328" w:type="dxa"/>
            <w:gridSpan w:val="3"/>
          </w:tcPr>
          <w:p>
            <w:pPr>
              <w:pStyle w:val="TableParagraph"/>
              <w:tabs>
                <w:tab w:val="left" w:pos="4694"/>
              </w:tabs>
              <w:spacing w:line="297" w:lineRule="exact"/>
              <w:ind w:left="676"/>
              <w:rPr>
                <w:sz w:val="31"/>
              </w:rPr>
            </w:pPr>
            <w:r>
              <w:rPr>
                <w:sz w:val="31"/>
              </w:rPr>
              <w:t>6</w:t>
              <w:tab/>
              <w:t>石油管线</w:t>
            </w:r>
          </w:p>
        </w:tc>
        <w:tc>
          <w:tcPr>
            <w:tcW w:w="1041" w:type="dxa"/>
          </w:tcPr>
          <w:p>
            <w:pPr>
              <w:pStyle w:val="TableParagraph"/>
              <w:rPr>
                <w:rFonts w:ascii="Times New Roman"/>
                <w:sz w:val="24"/>
              </w:rPr>
            </w:pPr>
          </w:p>
        </w:tc>
        <w:tc>
          <w:tcPr>
            <w:tcW w:w="2449" w:type="dxa"/>
          </w:tcPr>
          <w:p>
            <w:pPr>
              <w:pStyle w:val="TableParagraph"/>
              <w:spacing w:line="297" w:lineRule="exact"/>
              <w:ind w:left="436"/>
              <w:rPr>
                <w:sz w:val="31"/>
              </w:rPr>
            </w:pPr>
            <w:r>
              <w:rPr>
                <w:sz w:val="31"/>
              </w:rPr>
              <w:t>2.5</w:t>
            </w:r>
          </w:p>
        </w:tc>
        <w:tc>
          <w:tcPr>
            <w:tcW w:w="2141" w:type="dxa"/>
          </w:tcPr>
          <w:p>
            <w:pPr>
              <w:pStyle w:val="TableParagraph"/>
              <w:spacing w:line="297" w:lineRule="exact"/>
              <w:ind w:right="129"/>
              <w:jc w:val="right"/>
              <w:rPr>
                <w:sz w:val="31"/>
              </w:rPr>
            </w:pPr>
            <w:r>
              <w:rPr>
                <w:sz w:val="31"/>
              </w:rPr>
              <w:t>377</w:t>
            </w:r>
          </w:p>
        </w:tc>
      </w:tr>
    </w:tbl>
    <w:p>
      <w:pPr>
        <w:pStyle w:val="Heading1"/>
        <w:spacing w:before="254"/>
        <w:ind w:right="480"/>
        <w:jc w:val="center"/>
      </w:pPr>
      <w:r>
        <w:t>三</w:t>
      </w:r>
      <w:r>
        <w:rPr>
          <w:rFonts w:ascii="宋体" w:eastAsia="宋体" w:hint="eastAsia"/>
        </w:rPr>
        <w:t>.</w:t>
      </w:r>
      <w:r>
        <w:t>工程重点及难点</w:t>
      </w:r>
    </w:p>
    <w:p>
      <w:pPr>
        <w:pStyle w:val="BodyText"/>
        <w:spacing w:before="186" w:line="307" w:lineRule="auto"/>
        <w:ind w:left="468" w:right="851" w:firstLine="838"/>
      </w:pPr>
      <w:r>
        <w:t>由于低压线路迁改停电施工影响范围小，而10KV 及以上电力线路停电施工影响的范围相对较大， 35KV、110KV 及以上线路迁改，高压干线涉及范围大，覆盖区域广，停电影响面宽，施工中与产权单位的协调、谈判及施工方案的制订难度较大，本工程工作难点为 35KV、110KV 线路的迁改。</w:t>
      </w:r>
    </w:p>
    <w:p>
      <w:pPr>
        <w:pStyle w:val="BodyText"/>
        <w:spacing w:before="6" w:line="307" w:lineRule="auto"/>
        <w:ind w:left="468" w:right="910" w:firstLine="838"/>
      </w:pPr>
      <w:r>
        <w:rPr>
          <w:spacing w:val="-9"/>
        </w:rPr>
        <w:t xml:space="preserve">除此之外，位于右改 </w:t>
      </w:r>
      <w:r>
        <w:t>DK20+667</w:t>
      </w:r>
      <w:r>
        <w:rPr>
          <w:spacing w:val="-20"/>
        </w:rPr>
        <w:t xml:space="preserve">+右改 </w:t>
      </w:r>
      <w:r>
        <w:t>DK21+200</w:t>
      </w:r>
      <w:r>
        <w:rPr>
          <w:spacing w:val="-10"/>
        </w:rPr>
        <w:t xml:space="preserve"> 段石油管线的改迁也是</w:t>
      </w:r>
      <w:r>
        <w:t>重、难点之一。</w:t>
      </w:r>
    </w:p>
    <w:p>
      <w:pPr>
        <w:pStyle w:val="Heading1"/>
        <w:spacing w:line="507" w:lineRule="exact"/>
        <w:ind w:left="4018"/>
      </w:pPr>
      <w:r>
        <w:t>四</w:t>
      </w:r>
      <w:r>
        <w:rPr>
          <w:rFonts w:ascii="宋体" w:eastAsia="宋体" w:hint="eastAsia"/>
        </w:rPr>
        <w:t>.</w:t>
      </w:r>
      <w:r>
        <w:t>组织管理机构及劳动力配置</w:t>
      </w:r>
    </w:p>
    <w:p>
      <w:pPr>
        <w:pStyle w:val="Heading2"/>
        <w:numPr>
          <w:ilvl w:val="1"/>
          <w:numId w:val="18"/>
        </w:numPr>
        <w:tabs>
          <w:tab w:val="left" w:pos="1261"/>
        </w:tabs>
        <w:spacing w:before="131" w:after="0" w:line="240" w:lineRule="auto"/>
        <w:ind w:left="1260" w:right="0" w:hanging="793"/>
        <w:jc w:val="left"/>
      </w:pPr>
      <w:r>
        <w:t>项目组织机构图</w:t>
      </w:r>
    </w:p>
    <w:p>
      <w:pPr>
        <w:pStyle w:val="BodyText"/>
        <w:spacing w:before="165" w:line="307" w:lineRule="auto"/>
        <w:ind w:left="468" w:right="914" w:firstLine="838"/>
      </w:pPr>
      <w:r>
        <w:rPr>
          <w:spacing w:val="-2"/>
        </w:rPr>
        <w:t xml:space="preserve">针对该工程，我单位组建了“新建济南至青岛高速铁路 </w:t>
      </w:r>
      <w:r>
        <w:t>JQGTSG-11</w:t>
      </w:r>
      <w:r>
        <w:rPr>
          <w:spacing w:val="-3"/>
        </w:rPr>
        <w:t xml:space="preserve"> 标</w:t>
      </w:r>
      <w:r>
        <w:rPr>
          <w:spacing w:val="-30"/>
        </w:rPr>
        <w:t>段五分部三电迁改组”，在现场行使指挥职能，对建设单位负责，全面管理、</w:t>
      </w:r>
      <w:r>
        <w:t>履行施工合同，确保快速、有序和高质量的完成迁改任务。为保证施工工期和施工质量，我单位抽调了精干的技术人员和对外协调人员，成立了迁改小组，在项目经理的领导下开展工作，负责本工程的对外协调和工程管理，并由工程部和综合信息部组成对外谈判小组负责与产权单位的谈判。以保证迁改顺利进行，组织机构框图如下：</w:t>
      </w:r>
    </w:p>
    <w:p>
      <w:pPr>
        <w:spacing w:after="0" w:line="307" w:lineRule="auto"/>
        <w:sectPr>
          <w:footerReference w:type="default" r:id="rId13"/>
          <w:pgSz w:w="17860" w:h="25260"/>
          <w:pgMar w:top="2280" w:right="1200" w:bottom="2080" w:left="1660" w:header="0" w:footer="1884"/>
          <w:pgNumType w:start="6"/>
          <w:cols w:space="708"/>
        </w:sectPr>
      </w:pPr>
    </w:p>
    <w:p>
      <w:pPr>
        <w:pStyle w:val="BodyText"/>
        <w:rPr>
          <w:sz w:val="20"/>
        </w:rPr>
      </w:pPr>
      <w:r>
        <w:pict>
          <v:group id="_x0000_s1047" style="width:738pt;height:240pt;margin-top:180pt;margin-left:109pt;mso-position-horizontal-relative:page;mso-position-vertical-relative:page;position:absolute;z-index:251661312" coordorigin="2180,3600" coordsize="14760,4800">
            <v:shape id="_x0000_s1048" type="#_x0000_t75" style="width:14760;height:4800;left:2180;position:absolute;top:3600" stroked="f">
              <v:imagedata r:id="rId14" o:title=""/>
            </v:shape>
            <v:shape id="_x0000_s1049" type="#_x0000_t202" style="width:1460;height:360;left:8764;position:absolute;top:3694" filled="f" stroked="f">
              <v:textbox inset="0,0,0,0">
                <w:txbxContent>
                  <w:p>
                    <w:pPr>
                      <w:spacing w:before="0" w:line="360" w:lineRule="exact"/>
                      <w:ind w:left="0" w:right="0" w:firstLine="0"/>
                      <w:jc w:val="left"/>
                      <w:rPr>
                        <w:sz w:val="36"/>
                      </w:rPr>
                    </w:pPr>
                    <w:r>
                      <w:rPr>
                        <w:sz w:val="36"/>
                      </w:rPr>
                      <w:t>项目经理</w:t>
                    </w:r>
                  </w:p>
                </w:txbxContent>
              </v:textbox>
            </v:shape>
            <v:shape id="_x0000_s1050" type="#_x0000_t202" style="width:1820;height:360;left:5512;position:absolute;top:5052" filled="f" stroked="f">
              <v:textbox inset="0,0,0,0">
                <w:txbxContent>
                  <w:p>
                    <w:pPr>
                      <w:spacing w:before="0" w:line="360" w:lineRule="exact"/>
                      <w:ind w:left="0" w:right="0" w:firstLine="0"/>
                      <w:jc w:val="left"/>
                      <w:rPr>
                        <w:sz w:val="36"/>
                      </w:rPr>
                    </w:pPr>
                    <w:r>
                      <w:rPr>
                        <w:sz w:val="36"/>
                      </w:rPr>
                      <w:t>项目副经理</w:t>
                    </w:r>
                  </w:p>
                </w:txbxContent>
              </v:textbox>
            </v:shape>
            <v:shape id="_x0000_s1051" type="#_x0000_t202" style="width:1460;height:360;left:11691;position:absolute;top:5052" filled="f" stroked="f">
              <v:textbox inset="0,0,0,0">
                <w:txbxContent>
                  <w:p>
                    <w:pPr>
                      <w:spacing w:before="0" w:line="360" w:lineRule="exact"/>
                      <w:ind w:left="0" w:right="0" w:firstLine="0"/>
                      <w:jc w:val="left"/>
                      <w:rPr>
                        <w:sz w:val="36"/>
                      </w:rPr>
                    </w:pPr>
                    <w:r>
                      <w:rPr>
                        <w:sz w:val="36"/>
                      </w:rPr>
                      <w:t>总工程师</w:t>
                    </w:r>
                  </w:p>
                </w:txbxContent>
              </v:textbox>
            </v:shape>
            <v:shape id="_x0000_s1052" type="#_x0000_t202" style="width:1604;height:317;left:2412;position:absolute;top:6713" filled="f" stroked="f">
              <v:textbox inset="0,0,0,0">
                <w:txbxContent>
                  <w:p>
                    <w:pPr>
                      <w:spacing w:before="0" w:line="317" w:lineRule="exact"/>
                      <w:ind w:left="0" w:right="0" w:firstLine="0"/>
                      <w:jc w:val="left"/>
                      <w:rPr>
                        <w:sz w:val="31"/>
                      </w:rPr>
                    </w:pPr>
                    <w:r>
                      <w:rPr>
                        <w:sz w:val="31"/>
                      </w:rPr>
                      <w:t>工程技术部</w:t>
                    </w:r>
                  </w:p>
                </w:txbxContent>
              </v:textbox>
            </v:shape>
            <v:shape id="_x0000_s1053" type="#_x0000_t202" style="width:1604;height:317;left:4954;position:absolute;top:6713" filled="f" stroked="f">
              <v:textbox inset="0,0,0,0">
                <w:txbxContent>
                  <w:p>
                    <w:pPr>
                      <w:spacing w:before="0" w:line="317" w:lineRule="exact"/>
                      <w:ind w:left="0" w:right="0" w:firstLine="0"/>
                      <w:jc w:val="left"/>
                      <w:rPr>
                        <w:sz w:val="31"/>
                      </w:rPr>
                    </w:pPr>
                    <w:r>
                      <w:rPr>
                        <w:sz w:val="31"/>
                      </w:rPr>
                      <w:t>质量安全部</w:t>
                    </w:r>
                  </w:p>
                </w:txbxContent>
              </v:textbox>
            </v:shape>
            <v:shape id="_x0000_s1054" type="#_x0000_t202" style="width:1604;height:317;left:7507;position:absolute;top:6728" filled="f" stroked="f">
              <v:textbox inset="0,0,0,0">
                <w:txbxContent>
                  <w:p>
                    <w:pPr>
                      <w:spacing w:before="0" w:line="317" w:lineRule="exact"/>
                      <w:ind w:left="0" w:right="0" w:firstLine="0"/>
                      <w:jc w:val="left"/>
                      <w:rPr>
                        <w:sz w:val="31"/>
                      </w:rPr>
                    </w:pPr>
                    <w:r>
                      <w:rPr>
                        <w:sz w:val="31"/>
                      </w:rPr>
                      <w:t>物资设备部</w:t>
                    </w:r>
                  </w:p>
                </w:txbxContent>
              </v:textbox>
            </v:shape>
            <v:shape id="_x0000_s1055" type="#_x0000_t202" style="width:1604;height:317;left:10031;position:absolute;top:6713" filled="f" stroked="f">
              <v:textbox inset="0,0,0,0">
                <w:txbxContent>
                  <w:p>
                    <w:pPr>
                      <w:spacing w:before="0" w:line="317" w:lineRule="exact"/>
                      <w:ind w:left="0" w:right="0" w:firstLine="0"/>
                      <w:jc w:val="left"/>
                      <w:rPr>
                        <w:sz w:val="31"/>
                      </w:rPr>
                    </w:pPr>
                    <w:r>
                      <w:rPr>
                        <w:sz w:val="31"/>
                      </w:rPr>
                      <w:t>综合办公室</w:t>
                    </w:r>
                  </w:p>
                </w:txbxContent>
              </v:textbox>
            </v:shape>
            <v:shape id="_x0000_s1056" type="#_x0000_t202" style="width:1604;height:317;left:12569;position:absolute;top:6713" filled="f" stroked="f">
              <v:textbox inset="0,0,0,0">
                <w:txbxContent>
                  <w:p>
                    <w:pPr>
                      <w:spacing w:before="0" w:line="317" w:lineRule="exact"/>
                      <w:ind w:left="0" w:right="0" w:firstLine="0"/>
                      <w:jc w:val="left"/>
                      <w:rPr>
                        <w:sz w:val="31"/>
                      </w:rPr>
                    </w:pPr>
                    <w:r>
                      <w:rPr>
                        <w:sz w:val="31"/>
                      </w:rPr>
                      <w:t>计划财务部</w:t>
                    </w:r>
                  </w:p>
                </w:txbxContent>
              </v:textbox>
            </v:shape>
            <v:shape id="_x0000_s1057" type="#_x0000_t202" style="width:1288;height:317;left:15267;position:absolute;top:6713" filled="f" stroked="f">
              <v:textbox inset="0,0,0,0">
                <w:txbxContent>
                  <w:p>
                    <w:pPr>
                      <w:spacing w:before="0" w:line="317" w:lineRule="exact"/>
                      <w:ind w:left="0" w:right="0" w:firstLine="0"/>
                      <w:jc w:val="left"/>
                      <w:rPr>
                        <w:sz w:val="31"/>
                      </w:rPr>
                    </w:pPr>
                    <w:r>
                      <w:rPr>
                        <w:sz w:val="31"/>
                      </w:rPr>
                      <w:t>试供电部</w:t>
                    </w:r>
                  </w:p>
                </w:txbxContent>
              </v:textbox>
            </v:shape>
            <v:shape id="_x0000_s1058" type="#_x0000_t202" style="width:1100;height:360;left:8965;position:absolute;top:7889" filled="f" stroked="f">
              <v:textbox inset="0,0,0,0">
                <w:txbxContent>
                  <w:p>
                    <w:pPr>
                      <w:spacing w:before="0" w:line="360" w:lineRule="exact"/>
                      <w:ind w:left="0" w:right="0" w:firstLine="0"/>
                      <w:jc w:val="left"/>
                      <w:rPr>
                        <w:sz w:val="36"/>
                      </w:rPr>
                    </w:pPr>
                    <w:r>
                      <w:rPr>
                        <w:sz w:val="36"/>
                      </w:rPr>
                      <w:t>谈判组</w:t>
                    </w:r>
                  </w:p>
                </w:txbxContent>
              </v:textbox>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199"/>
        <w:ind w:left="0" w:right="451" w:firstLine="0"/>
        <w:jc w:val="center"/>
        <w:rPr>
          <w:b/>
          <w:sz w:val="31"/>
        </w:rPr>
      </w:pPr>
      <w:r>
        <w:rPr>
          <w:b/>
          <w:sz w:val="31"/>
        </w:rPr>
        <w:t>图 4.1 组织机构图</w:t>
      </w:r>
    </w:p>
    <w:p>
      <w:pPr>
        <w:pStyle w:val="BodyText"/>
        <w:rPr>
          <w:b/>
          <w:sz w:val="20"/>
        </w:rPr>
      </w:pPr>
    </w:p>
    <w:p>
      <w:pPr>
        <w:pStyle w:val="BodyText"/>
        <w:rPr>
          <w:b/>
          <w:sz w:val="20"/>
        </w:rPr>
      </w:pPr>
    </w:p>
    <w:p>
      <w:pPr>
        <w:pStyle w:val="BodyText"/>
        <w:rPr>
          <w:b/>
          <w:sz w:val="20"/>
        </w:rPr>
      </w:pPr>
    </w:p>
    <w:p>
      <w:pPr>
        <w:pStyle w:val="Heading2"/>
        <w:numPr>
          <w:ilvl w:val="1"/>
          <w:numId w:val="30"/>
        </w:numPr>
        <w:tabs>
          <w:tab w:val="left" w:pos="1261"/>
        </w:tabs>
        <w:spacing w:before="171" w:after="0" w:line="240" w:lineRule="auto"/>
        <w:ind w:left="1260" w:right="0" w:hanging="793"/>
        <w:jc w:val="left"/>
        <w:rPr>
          <w:rFonts w:ascii="幼圆" w:eastAsia="幼圆" w:hint="eastAsia"/>
        </w:rPr>
      </w:pPr>
      <w:r>
        <w:rPr>
          <w:rFonts w:ascii="幼圆" w:eastAsia="幼圆" w:hint="eastAsia"/>
        </w:rPr>
        <w:t>劳动力配置</w:t>
      </w:r>
    </w:p>
    <w:p>
      <w:pPr>
        <w:pStyle w:val="BodyText"/>
        <w:spacing w:before="169" w:line="307" w:lineRule="auto"/>
        <w:ind w:left="468" w:right="915" w:firstLine="838"/>
      </w:pPr>
      <w:r>
        <w:t>2016</w:t>
      </w:r>
      <w:r>
        <w:rPr>
          <w:spacing w:val="-56"/>
        </w:rPr>
        <w:t xml:space="preserve"> 年 </w:t>
      </w:r>
      <w:r>
        <w:t>1</w:t>
      </w:r>
      <w:r>
        <w:rPr>
          <w:spacing w:val="-11"/>
        </w:rPr>
        <w:t xml:space="preserve"> 月，人员陆续进场，做好施工准备。</w:t>
      </w:r>
      <w:r>
        <w:t>2016</w:t>
      </w:r>
      <w:r>
        <w:rPr>
          <w:spacing w:val="-55"/>
        </w:rPr>
        <w:t xml:space="preserve"> 年 </w:t>
      </w:r>
      <w:r>
        <w:t>1</w:t>
      </w:r>
      <w:r>
        <w:rPr>
          <w:spacing w:val="-54"/>
        </w:rPr>
        <w:t xml:space="preserve"> 月 </w:t>
      </w:r>
      <w:r>
        <w:t>20</w:t>
      </w:r>
      <w:r>
        <w:rPr>
          <w:spacing w:val="-24"/>
        </w:rPr>
        <w:t xml:space="preserve"> 日，项</w:t>
      </w:r>
      <w:r>
        <w:t>目部人员全部到场就位。及时组织技术人员，会同站前施工单位，沿线做详细调查，落实产权单位，和产权单位联系，制定迁改方案。及时与产权单位谈判达成协议。</w:t>
      </w:r>
    </w:p>
    <w:p>
      <w:pPr>
        <w:pStyle w:val="BodyText"/>
        <w:spacing w:before="7" w:line="307" w:lineRule="auto"/>
        <w:ind w:left="468" w:right="1050" w:firstLine="838"/>
        <w:jc w:val="both"/>
      </w:pPr>
      <w:r>
        <w:t>先完成急需迁改的项目，施工本着条件成熟一处，迁改一处，移交一处的原则进行。根据本标段工程特点，工程指挥部下设六个作业队，每个作业队的人员可灵活调配，由工程指挥部根据需要调整。</w:t>
      </w:r>
    </w:p>
    <w:p>
      <w:pPr>
        <w:spacing w:before="236"/>
        <w:ind w:left="0" w:right="458" w:firstLine="0"/>
        <w:jc w:val="center"/>
        <w:rPr>
          <w:b/>
          <w:sz w:val="31"/>
        </w:rPr>
      </w:pPr>
      <w:r>
        <w:pict>
          <v:group id="_x0000_s1059" style="width:9in;height:271pt;margin-top:30.92pt;margin-left:123pt;mso-position-horizontal-relative:page;position:absolute;z-index:-251654144" coordorigin="2460,618" coordsize="12960,5420">
            <v:shape id="_x0000_s1060" type="#_x0000_t75" style="width:12960;height:5420;left:2460;position:absolute;top:618" stroked="f">
              <v:imagedata r:id="rId15" o:title=""/>
            </v:shape>
            <v:shape id="_x0000_s1061" type="#_x0000_t202" style="width:337;height:317;left:8961;position:absolute;top:864" filled="f" stroked="f">
              <v:textbox inset="0,0,0,0">
                <w:txbxContent>
                  <w:p>
                    <w:pPr>
                      <w:spacing w:before="0" w:line="317" w:lineRule="exact"/>
                      <w:ind w:left="0" w:right="0" w:firstLine="0"/>
                      <w:jc w:val="left"/>
                      <w:rPr>
                        <w:sz w:val="31"/>
                      </w:rPr>
                    </w:pPr>
                    <w:r>
                      <w:rPr>
                        <w:w w:val="102"/>
                        <w:sz w:val="31"/>
                      </w:rPr>
                      <w:t>人</w:t>
                    </w:r>
                  </w:p>
                </w:txbxContent>
              </v:textbox>
            </v:shape>
            <v:shape id="_x0000_s1062" type="#_x0000_t202" style="width:337;height:317;left:9909;position:absolute;top:864" filled="f" stroked="f">
              <v:textbox inset="0,0,0,0">
                <w:txbxContent>
                  <w:p>
                    <w:pPr>
                      <w:spacing w:before="0" w:line="317" w:lineRule="exact"/>
                      <w:ind w:left="0" w:right="0" w:firstLine="0"/>
                      <w:jc w:val="left"/>
                      <w:rPr>
                        <w:sz w:val="31"/>
                      </w:rPr>
                    </w:pPr>
                    <w:r>
                      <w:rPr>
                        <w:w w:val="102"/>
                        <w:sz w:val="31"/>
                      </w:rPr>
                      <w:t>员</w:t>
                    </w:r>
                  </w:p>
                </w:txbxContent>
              </v:textbox>
            </v:shape>
            <v:shape id="_x0000_s1063" type="#_x0000_t202" style="width:971;height:317;left:3640;position:absolute;top:1184" filled="f" stroked="f">
              <v:textbox inset="0,0,0,0">
                <w:txbxContent>
                  <w:p>
                    <w:pPr>
                      <w:tabs>
                        <w:tab w:val="left" w:pos="633"/>
                      </w:tabs>
                      <w:spacing w:before="0" w:line="317" w:lineRule="exact"/>
                      <w:ind w:left="0" w:right="0" w:firstLine="0"/>
                      <w:jc w:val="left"/>
                      <w:rPr>
                        <w:sz w:val="31"/>
                      </w:rPr>
                    </w:pPr>
                    <w:r>
                      <w:rPr>
                        <w:sz w:val="31"/>
                      </w:rPr>
                      <w:t>名</w:t>
                      <w:tab/>
                      <w:t>称</w:t>
                    </w:r>
                  </w:p>
                </w:txbxContent>
              </v:textbox>
            </v:shape>
            <v:shape id="_x0000_s1064" type="#_x0000_t202" style="width:654;height:317;left:14093;position:absolute;top:1184" filled="f" stroked="f">
              <v:textbox inset="0,0,0,0">
                <w:txbxContent>
                  <w:p>
                    <w:pPr>
                      <w:spacing w:before="0" w:line="317" w:lineRule="exact"/>
                      <w:ind w:left="0" w:right="0" w:firstLine="0"/>
                      <w:jc w:val="left"/>
                      <w:rPr>
                        <w:sz w:val="31"/>
                      </w:rPr>
                    </w:pPr>
                    <w:r>
                      <w:rPr>
                        <w:sz w:val="31"/>
                      </w:rPr>
                      <w:t>备注</w:t>
                    </w:r>
                  </w:p>
                </w:txbxContent>
              </v:textbox>
            </v:shape>
          </v:group>
        </w:pict>
      </w:r>
      <w:r>
        <w:rPr>
          <w:b/>
          <w:w w:val="101"/>
          <w:sz w:val="31"/>
        </w:rPr>
        <w:t>表</w:t>
      </w:r>
    </w:p>
    <w:p>
      <w:pPr>
        <w:pStyle w:val="BodyText"/>
        <w:rPr>
          <w:b/>
          <w:sz w:val="20"/>
        </w:rPr>
      </w:pPr>
    </w:p>
    <w:p>
      <w:pPr>
        <w:pStyle w:val="BodyText"/>
        <w:rPr>
          <w:b/>
          <w:sz w:val="20"/>
        </w:rPr>
      </w:pPr>
    </w:p>
    <w:p>
      <w:pPr>
        <w:pStyle w:val="BodyText"/>
        <w:rPr>
          <w:b/>
          <w:sz w:val="20"/>
        </w:rPr>
      </w:pPr>
    </w:p>
    <w:p>
      <w:pPr>
        <w:pStyle w:val="BodyText"/>
        <w:spacing w:before="3" w:after="1"/>
        <w:rPr>
          <w:b/>
          <w:sz w:val="10"/>
        </w:rPr>
      </w:pPr>
    </w:p>
    <w:tbl>
      <w:tblPr>
        <w:tblStyle w:val="TableNormal2"/>
        <w:tblW w:w="0" w:type="auto"/>
        <w:jc w:val="left"/>
        <w:tblInd w:w="11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17"/>
        <w:gridCol w:w="2465"/>
        <w:gridCol w:w="2868"/>
        <w:gridCol w:w="1560"/>
      </w:tblGrid>
      <w:tr>
        <w:tblPrEx>
          <w:tblW w:w="0" w:type="auto"/>
          <w:jc w:val="left"/>
          <w:tblInd w:w="11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7"/>
          <w:jc w:val="left"/>
        </w:trPr>
        <w:tc>
          <w:tcPr>
            <w:tcW w:w="3217" w:type="dxa"/>
          </w:tcPr>
          <w:p>
            <w:pPr>
              <w:pStyle w:val="TableParagraph"/>
              <w:rPr>
                <w:rFonts w:ascii="Times New Roman"/>
                <w:sz w:val="36"/>
              </w:rPr>
            </w:pPr>
          </w:p>
        </w:tc>
        <w:tc>
          <w:tcPr>
            <w:tcW w:w="2465" w:type="dxa"/>
          </w:tcPr>
          <w:p>
            <w:pPr>
              <w:pStyle w:val="TableParagraph"/>
              <w:spacing w:line="359" w:lineRule="exact"/>
              <w:ind w:left="623" w:right="872"/>
              <w:jc w:val="center"/>
              <w:rPr>
                <w:sz w:val="31"/>
              </w:rPr>
            </w:pPr>
            <w:r>
              <w:rPr>
                <w:sz w:val="31"/>
              </w:rPr>
              <w:t>技术员</w:t>
            </w:r>
          </w:p>
        </w:tc>
        <w:tc>
          <w:tcPr>
            <w:tcW w:w="2868" w:type="dxa"/>
          </w:tcPr>
          <w:p>
            <w:pPr>
              <w:pStyle w:val="TableParagraph"/>
              <w:spacing w:line="359" w:lineRule="exact"/>
              <w:ind w:left="874" w:right="713"/>
              <w:jc w:val="center"/>
              <w:rPr>
                <w:sz w:val="31"/>
              </w:rPr>
            </w:pPr>
            <w:r>
              <w:rPr>
                <w:sz w:val="31"/>
              </w:rPr>
              <w:t>技术工人</w:t>
            </w:r>
          </w:p>
        </w:tc>
        <w:tc>
          <w:tcPr>
            <w:tcW w:w="1560" w:type="dxa"/>
          </w:tcPr>
          <w:p>
            <w:pPr>
              <w:pStyle w:val="TableParagraph"/>
              <w:spacing w:line="359" w:lineRule="exact"/>
              <w:ind w:left="705" w:right="39"/>
              <w:jc w:val="center"/>
              <w:rPr>
                <w:sz w:val="31"/>
              </w:rPr>
            </w:pPr>
            <w:r>
              <w:rPr>
                <w:sz w:val="31"/>
              </w:rPr>
              <w:t>合 计</w:t>
            </w:r>
          </w:p>
        </w:tc>
      </w:tr>
      <w:tr>
        <w:tblPrEx>
          <w:tblW w:w="0" w:type="auto"/>
          <w:jc w:val="left"/>
          <w:tblInd w:w="1149" w:type="dxa"/>
          <w:tblLayout w:type="fixed"/>
          <w:tblCellMar>
            <w:top w:w="0" w:type="dxa"/>
            <w:left w:w="0" w:type="dxa"/>
            <w:bottom w:w="0" w:type="dxa"/>
            <w:right w:w="0" w:type="dxa"/>
          </w:tblCellMar>
          <w:tblLook w:val="01E0"/>
        </w:tblPrEx>
        <w:trPr>
          <w:trHeight w:val="740"/>
          <w:jc w:val="left"/>
        </w:trPr>
        <w:tc>
          <w:tcPr>
            <w:tcW w:w="3217" w:type="dxa"/>
          </w:tcPr>
          <w:p>
            <w:pPr>
              <w:pStyle w:val="TableParagraph"/>
              <w:spacing w:before="173"/>
              <w:ind w:right="582"/>
              <w:jc w:val="center"/>
              <w:rPr>
                <w:sz w:val="31"/>
              </w:rPr>
            </w:pPr>
            <w:r>
              <w:rPr>
                <w:sz w:val="31"/>
              </w:rPr>
              <w:t>电力作业一队</w:t>
            </w:r>
          </w:p>
        </w:tc>
        <w:tc>
          <w:tcPr>
            <w:tcW w:w="2465" w:type="dxa"/>
          </w:tcPr>
          <w:p>
            <w:pPr>
              <w:pStyle w:val="TableParagraph"/>
              <w:spacing w:before="173"/>
              <w:ind w:right="249"/>
              <w:jc w:val="center"/>
              <w:rPr>
                <w:sz w:val="31"/>
              </w:rPr>
            </w:pPr>
            <w:r>
              <w:rPr>
                <w:w w:val="102"/>
                <w:sz w:val="31"/>
              </w:rPr>
              <w:t>3</w:t>
            </w:r>
          </w:p>
        </w:tc>
        <w:tc>
          <w:tcPr>
            <w:tcW w:w="2868" w:type="dxa"/>
          </w:tcPr>
          <w:p>
            <w:pPr>
              <w:pStyle w:val="TableParagraph"/>
              <w:spacing w:before="173"/>
              <w:ind w:left="868" w:right="713"/>
              <w:jc w:val="center"/>
              <w:rPr>
                <w:sz w:val="31"/>
              </w:rPr>
            </w:pPr>
            <w:r>
              <w:rPr>
                <w:sz w:val="31"/>
              </w:rPr>
              <w:t>12</w:t>
            </w:r>
          </w:p>
        </w:tc>
        <w:tc>
          <w:tcPr>
            <w:tcW w:w="1560" w:type="dxa"/>
          </w:tcPr>
          <w:p>
            <w:pPr>
              <w:pStyle w:val="TableParagraph"/>
              <w:spacing w:before="173"/>
              <w:ind w:left="705" w:right="39"/>
              <w:jc w:val="center"/>
              <w:rPr>
                <w:sz w:val="31"/>
              </w:rPr>
            </w:pPr>
            <w:r>
              <w:rPr>
                <w:sz w:val="31"/>
              </w:rPr>
              <w:t>15</w:t>
            </w:r>
          </w:p>
        </w:tc>
      </w:tr>
      <w:tr>
        <w:tblPrEx>
          <w:tblW w:w="0" w:type="auto"/>
          <w:jc w:val="left"/>
          <w:tblInd w:w="1149" w:type="dxa"/>
          <w:tblLayout w:type="fixed"/>
          <w:tblCellMar>
            <w:top w:w="0" w:type="dxa"/>
            <w:left w:w="0" w:type="dxa"/>
            <w:bottom w:w="0" w:type="dxa"/>
            <w:right w:w="0" w:type="dxa"/>
          </w:tblCellMar>
          <w:tblLook w:val="01E0"/>
        </w:tblPrEx>
        <w:trPr>
          <w:trHeight w:val="693"/>
          <w:jc w:val="left"/>
        </w:trPr>
        <w:tc>
          <w:tcPr>
            <w:tcW w:w="3217" w:type="dxa"/>
          </w:tcPr>
          <w:p>
            <w:pPr>
              <w:pStyle w:val="TableParagraph"/>
              <w:spacing w:before="175"/>
              <w:ind w:right="582"/>
              <w:jc w:val="center"/>
              <w:rPr>
                <w:sz w:val="31"/>
              </w:rPr>
            </w:pPr>
            <w:r>
              <w:rPr>
                <w:sz w:val="31"/>
              </w:rPr>
              <w:t>电力作业二队</w:t>
            </w:r>
          </w:p>
        </w:tc>
        <w:tc>
          <w:tcPr>
            <w:tcW w:w="2465" w:type="dxa"/>
          </w:tcPr>
          <w:p>
            <w:pPr>
              <w:pStyle w:val="TableParagraph"/>
              <w:spacing w:before="175"/>
              <w:ind w:right="249"/>
              <w:jc w:val="center"/>
              <w:rPr>
                <w:sz w:val="31"/>
              </w:rPr>
            </w:pPr>
            <w:r>
              <w:rPr>
                <w:w w:val="102"/>
                <w:sz w:val="31"/>
              </w:rPr>
              <w:t>3</w:t>
            </w:r>
          </w:p>
        </w:tc>
        <w:tc>
          <w:tcPr>
            <w:tcW w:w="2868" w:type="dxa"/>
          </w:tcPr>
          <w:p>
            <w:pPr>
              <w:pStyle w:val="TableParagraph"/>
              <w:spacing w:before="175"/>
              <w:ind w:left="868" w:right="713"/>
              <w:jc w:val="center"/>
              <w:rPr>
                <w:sz w:val="31"/>
              </w:rPr>
            </w:pPr>
            <w:r>
              <w:rPr>
                <w:sz w:val="31"/>
              </w:rPr>
              <w:t>12</w:t>
            </w:r>
          </w:p>
        </w:tc>
        <w:tc>
          <w:tcPr>
            <w:tcW w:w="1560" w:type="dxa"/>
          </w:tcPr>
          <w:p>
            <w:pPr>
              <w:pStyle w:val="TableParagraph"/>
              <w:spacing w:before="175"/>
              <w:ind w:left="705" w:right="39"/>
              <w:jc w:val="center"/>
              <w:rPr>
                <w:sz w:val="31"/>
              </w:rPr>
            </w:pPr>
            <w:r>
              <w:rPr>
                <w:sz w:val="31"/>
              </w:rPr>
              <w:t>15</w:t>
            </w:r>
          </w:p>
        </w:tc>
      </w:tr>
      <w:tr>
        <w:tblPrEx>
          <w:tblW w:w="0" w:type="auto"/>
          <w:jc w:val="left"/>
          <w:tblInd w:w="1149" w:type="dxa"/>
          <w:tblLayout w:type="fixed"/>
          <w:tblCellMar>
            <w:top w:w="0" w:type="dxa"/>
            <w:left w:w="0" w:type="dxa"/>
            <w:bottom w:w="0" w:type="dxa"/>
            <w:right w:w="0" w:type="dxa"/>
          </w:tblCellMar>
          <w:tblLook w:val="01E0"/>
        </w:tblPrEx>
        <w:trPr>
          <w:trHeight w:val="642"/>
          <w:jc w:val="left"/>
        </w:trPr>
        <w:tc>
          <w:tcPr>
            <w:tcW w:w="3217" w:type="dxa"/>
          </w:tcPr>
          <w:p>
            <w:pPr>
              <w:pStyle w:val="TableParagraph"/>
              <w:spacing w:before="54"/>
              <w:ind w:right="580"/>
              <w:jc w:val="center"/>
              <w:rPr>
                <w:sz w:val="31"/>
              </w:rPr>
            </w:pPr>
            <w:r>
              <w:rPr>
                <w:sz w:val="31"/>
              </w:rPr>
              <w:t>通信迁改作业一队</w:t>
            </w:r>
          </w:p>
        </w:tc>
        <w:tc>
          <w:tcPr>
            <w:tcW w:w="2465" w:type="dxa"/>
          </w:tcPr>
          <w:p>
            <w:pPr>
              <w:pStyle w:val="TableParagraph"/>
              <w:spacing w:before="126"/>
              <w:ind w:right="249"/>
              <w:jc w:val="center"/>
              <w:rPr>
                <w:sz w:val="31"/>
              </w:rPr>
            </w:pPr>
            <w:r>
              <w:rPr>
                <w:w w:val="102"/>
                <w:sz w:val="31"/>
              </w:rPr>
              <w:t>3</w:t>
            </w:r>
          </w:p>
        </w:tc>
        <w:tc>
          <w:tcPr>
            <w:tcW w:w="2868" w:type="dxa"/>
          </w:tcPr>
          <w:p>
            <w:pPr>
              <w:pStyle w:val="TableParagraph"/>
              <w:spacing w:before="126"/>
              <w:ind w:left="155"/>
              <w:jc w:val="center"/>
              <w:rPr>
                <w:sz w:val="31"/>
              </w:rPr>
            </w:pPr>
            <w:r>
              <w:rPr>
                <w:w w:val="102"/>
                <w:sz w:val="31"/>
              </w:rPr>
              <w:t>8</w:t>
            </w:r>
          </w:p>
        </w:tc>
        <w:tc>
          <w:tcPr>
            <w:tcW w:w="1560" w:type="dxa"/>
          </w:tcPr>
          <w:p>
            <w:pPr>
              <w:pStyle w:val="TableParagraph"/>
              <w:spacing w:before="126"/>
              <w:ind w:left="705" w:right="39"/>
              <w:jc w:val="center"/>
              <w:rPr>
                <w:sz w:val="31"/>
              </w:rPr>
            </w:pPr>
            <w:r>
              <w:rPr>
                <w:sz w:val="31"/>
              </w:rPr>
              <w:t>11</w:t>
            </w:r>
          </w:p>
        </w:tc>
      </w:tr>
      <w:tr>
        <w:tblPrEx>
          <w:tblW w:w="0" w:type="auto"/>
          <w:jc w:val="left"/>
          <w:tblInd w:w="1149" w:type="dxa"/>
          <w:tblLayout w:type="fixed"/>
          <w:tblCellMar>
            <w:top w:w="0" w:type="dxa"/>
            <w:left w:w="0" w:type="dxa"/>
            <w:bottom w:w="0" w:type="dxa"/>
            <w:right w:w="0" w:type="dxa"/>
          </w:tblCellMar>
          <w:tblLook w:val="01E0"/>
        </w:tblPrEx>
        <w:trPr>
          <w:trHeight w:val="642"/>
          <w:jc w:val="left"/>
        </w:trPr>
        <w:tc>
          <w:tcPr>
            <w:tcW w:w="3217" w:type="dxa"/>
          </w:tcPr>
          <w:p>
            <w:pPr>
              <w:pStyle w:val="TableParagraph"/>
              <w:spacing w:before="124"/>
              <w:ind w:right="580"/>
              <w:jc w:val="center"/>
              <w:rPr>
                <w:sz w:val="31"/>
              </w:rPr>
            </w:pPr>
            <w:r>
              <w:rPr>
                <w:sz w:val="31"/>
              </w:rPr>
              <w:t>通信迁改作业二队</w:t>
            </w:r>
          </w:p>
        </w:tc>
        <w:tc>
          <w:tcPr>
            <w:tcW w:w="2465" w:type="dxa"/>
          </w:tcPr>
          <w:p>
            <w:pPr>
              <w:pStyle w:val="TableParagraph"/>
              <w:spacing w:before="124"/>
              <w:ind w:right="249"/>
              <w:jc w:val="center"/>
              <w:rPr>
                <w:sz w:val="31"/>
              </w:rPr>
            </w:pPr>
            <w:r>
              <w:rPr>
                <w:w w:val="102"/>
                <w:sz w:val="31"/>
              </w:rPr>
              <w:t>3</w:t>
            </w:r>
          </w:p>
        </w:tc>
        <w:tc>
          <w:tcPr>
            <w:tcW w:w="2868" w:type="dxa"/>
          </w:tcPr>
          <w:p>
            <w:pPr>
              <w:pStyle w:val="TableParagraph"/>
              <w:spacing w:before="124"/>
              <w:ind w:left="155"/>
              <w:jc w:val="center"/>
              <w:rPr>
                <w:sz w:val="31"/>
              </w:rPr>
            </w:pPr>
            <w:r>
              <w:rPr>
                <w:w w:val="102"/>
                <w:sz w:val="31"/>
              </w:rPr>
              <w:t>8</w:t>
            </w:r>
          </w:p>
        </w:tc>
        <w:tc>
          <w:tcPr>
            <w:tcW w:w="1560" w:type="dxa"/>
          </w:tcPr>
          <w:p>
            <w:pPr>
              <w:pStyle w:val="TableParagraph"/>
              <w:spacing w:before="124"/>
              <w:ind w:left="705" w:right="39"/>
              <w:jc w:val="center"/>
              <w:rPr>
                <w:sz w:val="31"/>
              </w:rPr>
            </w:pPr>
            <w:r>
              <w:rPr>
                <w:sz w:val="31"/>
              </w:rPr>
              <w:t>11</w:t>
            </w:r>
          </w:p>
        </w:tc>
      </w:tr>
      <w:tr>
        <w:tblPrEx>
          <w:tblW w:w="0" w:type="auto"/>
          <w:jc w:val="left"/>
          <w:tblInd w:w="1149" w:type="dxa"/>
          <w:tblLayout w:type="fixed"/>
          <w:tblCellMar>
            <w:top w:w="0" w:type="dxa"/>
            <w:left w:w="0" w:type="dxa"/>
            <w:bottom w:w="0" w:type="dxa"/>
            <w:right w:w="0" w:type="dxa"/>
          </w:tblCellMar>
          <w:tblLook w:val="01E0"/>
        </w:tblPrEx>
        <w:trPr>
          <w:trHeight w:val="642"/>
          <w:jc w:val="left"/>
        </w:trPr>
        <w:tc>
          <w:tcPr>
            <w:tcW w:w="3217" w:type="dxa"/>
          </w:tcPr>
          <w:p>
            <w:pPr>
              <w:pStyle w:val="TableParagraph"/>
              <w:spacing w:before="126"/>
              <w:ind w:right="582"/>
              <w:jc w:val="center"/>
              <w:rPr>
                <w:sz w:val="31"/>
              </w:rPr>
            </w:pPr>
            <w:r>
              <w:rPr>
                <w:sz w:val="31"/>
              </w:rPr>
              <w:t>管道迁改作业队</w:t>
            </w:r>
          </w:p>
        </w:tc>
        <w:tc>
          <w:tcPr>
            <w:tcW w:w="2465" w:type="dxa"/>
          </w:tcPr>
          <w:p>
            <w:pPr>
              <w:pStyle w:val="TableParagraph"/>
              <w:spacing w:before="126"/>
              <w:ind w:right="249"/>
              <w:jc w:val="center"/>
              <w:rPr>
                <w:sz w:val="31"/>
              </w:rPr>
            </w:pPr>
            <w:r>
              <w:rPr>
                <w:w w:val="102"/>
                <w:sz w:val="31"/>
              </w:rPr>
              <w:t>3</w:t>
            </w:r>
          </w:p>
        </w:tc>
        <w:tc>
          <w:tcPr>
            <w:tcW w:w="2868" w:type="dxa"/>
          </w:tcPr>
          <w:p>
            <w:pPr>
              <w:pStyle w:val="TableParagraph"/>
              <w:spacing w:before="126"/>
              <w:ind w:left="868" w:right="713"/>
              <w:jc w:val="center"/>
              <w:rPr>
                <w:sz w:val="31"/>
              </w:rPr>
            </w:pPr>
            <w:r>
              <w:rPr>
                <w:sz w:val="31"/>
              </w:rPr>
              <w:t>15</w:t>
            </w:r>
          </w:p>
        </w:tc>
        <w:tc>
          <w:tcPr>
            <w:tcW w:w="1560" w:type="dxa"/>
          </w:tcPr>
          <w:p>
            <w:pPr>
              <w:pStyle w:val="TableParagraph"/>
              <w:spacing w:before="126"/>
              <w:ind w:left="705" w:right="39"/>
              <w:jc w:val="center"/>
              <w:rPr>
                <w:sz w:val="31"/>
              </w:rPr>
            </w:pPr>
            <w:r>
              <w:rPr>
                <w:sz w:val="31"/>
              </w:rPr>
              <w:t>18</w:t>
            </w:r>
          </w:p>
        </w:tc>
      </w:tr>
      <w:tr>
        <w:tblPrEx>
          <w:tblW w:w="0" w:type="auto"/>
          <w:jc w:val="left"/>
          <w:tblInd w:w="1149" w:type="dxa"/>
          <w:tblLayout w:type="fixed"/>
          <w:tblCellMar>
            <w:top w:w="0" w:type="dxa"/>
            <w:left w:w="0" w:type="dxa"/>
            <w:bottom w:w="0" w:type="dxa"/>
            <w:right w:w="0" w:type="dxa"/>
          </w:tblCellMar>
          <w:tblLook w:val="01E0"/>
        </w:tblPrEx>
        <w:trPr>
          <w:trHeight w:val="478"/>
          <w:jc w:val="left"/>
        </w:trPr>
        <w:tc>
          <w:tcPr>
            <w:tcW w:w="3217" w:type="dxa"/>
          </w:tcPr>
          <w:p>
            <w:pPr>
              <w:pStyle w:val="TableParagraph"/>
              <w:tabs>
                <w:tab w:val="left" w:pos="633"/>
              </w:tabs>
              <w:spacing w:before="124" w:line="335" w:lineRule="exact"/>
              <w:ind w:right="588"/>
              <w:jc w:val="center"/>
              <w:rPr>
                <w:sz w:val="31"/>
              </w:rPr>
            </w:pPr>
            <w:r>
              <w:rPr>
                <w:sz w:val="31"/>
              </w:rPr>
              <w:t>总</w:t>
              <w:tab/>
              <w:t>计</w:t>
            </w:r>
          </w:p>
        </w:tc>
        <w:tc>
          <w:tcPr>
            <w:tcW w:w="2465" w:type="dxa"/>
          </w:tcPr>
          <w:p>
            <w:pPr>
              <w:pStyle w:val="TableParagraph"/>
              <w:spacing w:before="124" w:line="335" w:lineRule="exact"/>
              <w:ind w:left="622" w:right="872"/>
              <w:jc w:val="center"/>
              <w:rPr>
                <w:sz w:val="31"/>
              </w:rPr>
            </w:pPr>
            <w:r>
              <w:rPr>
                <w:sz w:val="31"/>
              </w:rPr>
              <w:t>15</w:t>
            </w:r>
          </w:p>
        </w:tc>
        <w:tc>
          <w:tcPr>
            <w:tcW w:w="2868" w:type="dxa"/>
          </w:tcPr>
          <w:p>
            <w:pPr>
              <w:pStyle w:val="TableParagraph"/>
              <w:spacing w:before="124" w:line="335" w:lineRule="exact"/>
              <w:ind w:left="868" w:right="713"/>
              <w:jc w:val="center"/>
              <w:rPr>
                <w:sz w:val="31"/>
              </w:rPr>
            </w:pPr>
            <w:r>
              <w:rPr>
                <w:sz w:val="31"/>
              </w:rPr>
              <w:t>35</w:t>
            </w:r>
          </w:p>
        </w:tc>
        <w:tc>
          <w:tcPr>
            <w:tcW w:w="1560" w:type="dxa"/>
          </w:tcPr>
          <w:p>
            <w:pPr>
              <w:pStyle w:val="TableParagraph"/>
              <w:spacing w:before="124" w:line="335" w:lineRule="exact"/>
              <w:ind w:left="705" w:right="39"/>
              <w:jc w:val="center"/>
              <w:rPr>
                <w:sz w:val="31"/>
              </w:rPr>
            </w:pPr>
            <w:r>
              <w:rPr>
                <w:sz w:val="31"/>
              </w:rPr>
              <w:t>50</w:t>
            </w:r>
          </w:p>
        </w:tc>
      </w:tr>
    </w:tbl>
    <w:p>
      <w:pPr>
        <w:pStyle w:val="BodyText"/>
        <w:spacing w:before="7"/>
        <w:rPr>
          <w:b/>
          <w:sz w:val="29"/>
        </w:rPr>
      </w:pPr>
    </w:p>
    <w:p>
      <w:pPr>
        <w:spacing w:before="62"/>
        <w:ind w:left="0" w:right="451" w:firstLine="0"/>
        <w:jc w:val="center"/>
        <w:rPr>
          <w:b/>
          <w:sz w:val="31"/>
        </w:rPr>
      </w:pPr>
      <w:r>
        <w:rPr>
          <w:b/>
          <w:sz w:val="31"/>
        </w:rPr>
        <w:t>表 4.2 劳动力配置表</w:t>
      </w:r>
    </w:p>
    <w:p>
      <w:pPr>
        <w:spacing w:after="0"/>
        <w:jc w:val="center"/>
        <w:rPr>
          <w:sz w:val="31"/>
        </w:rPr>
        <w:sectPr>
          <w:footerReference w:type="default" r:id="rId16"/>
          <w:pgSz w:w="17860" w:h="25260"/>
          <w:pgMar w:top="2420" w:right="1200" w:bottom="2080" w:left="1660" w:header="0" w:footer="1884"/>
          <w:pgNumType w:start="7"/>
          <w:cols w:space="708"/>
        </w:sectPr>
      </w:pPr>
    </w:p>
    <w:p>
      <w:pPr>
        <w:pStyle w:val="BodyText"/>
        <w:rPr>
          <w:b/>
          <w:sz w:val="20"/>
        </w:rPr>
      </w:pPr>
    </w:p>
    <w:p>
      <w:pPr>
        <w:pStyle w:val="BodyText"/>
        <w:rPr>
          <w:b/>
          <w:sz w:val="20"/>
        </w:rPr>
      </w:pPr>
    </w:p>
    <w:p>
      <w:pPr>
        <w:pStyle w:val="Heading1"/>
        <w:spacing w:before="198"/>
        <w:ind w:left="4979"/>
      </w:pPr>
      <w:r>
        <w:t>五</w:t>
      </w:r>
      <w:r>
        <w:rPr>
          <w:rFonts w:ascii="宋体" w:eastAsia="宋体" w:hint="eastAsia"/>
        </w:rPr>
        <w:t>.</w:t>
      </w:r>
      <w:r>
        <w:t>迁改施工进度计划</w:t>
      </w:r>
    </w:p>
    <w:p>
      <w:pPr>
        <w:pStyle w:val="Heading2"/>
        <w:numPr>
          <w:ilvl w:val="1"/>
          <w:numId w:val="17"/>
        </w:numPr>
        <w:tabs>
          <w:tab w:val="left" w:pos="1261"/>
        </w:tabs>
        <w:spacing w:before="127" w:after="0" w:line="240" w:lineRule="auto"/>
        <w:ind w:left="1260" w:right="0" w:hanging="793"/>
        <w:jc w:val="left"/>
      </w:pPr>
      <w:r>
        <w:t>迁改施工进度计划</w:t>
      </w:r>
    </w:p>
    <w:p>
      <w:pPr>
        <w:pStyle w:val="BodyText"/>
        <w:rPr>
          <w:rFonts w:ascii="黑体"/>
          <w:b/>
          <w:sz w:val="10"/>
        </w:rPr>
      </w:pPr>
    </w:p>
    <w:p>
      <w:pPr>
        <w:pStyle w:val="BodyText"/>
        <w:spacing w:before="42" w:line="307" w:lineRule="auto"/>
        <w:ind w:left="468" w:right="633" w:firstLine="838"/>
      </w:pPr>
      <w:r>
        <w:rPr>
          <w:spacing w:val="-1"/>
        </w:rPr>
        <w:t xml:space="preserve">结合站前单位的工期安排，对各站前工程施工标段内的线路依次迁改， </w:t>
      </w:r>
      <w:r>
        <w:rPr>
          <w:spacing w:val="-12"/>
        </w:rPr>
        <w:t xml:space="preserve">并于站前单位施工前 </w:t>
      </w:r>
      <w:r>
        <w:t>10</w:t>
      </w:r>
      <w:r>
        <w:rPr>
          <w:spacing w:val="-67"/>
        </w:rPr>
        <w:t xml:space="preserve"> 至 </w:t>
      </w:r>
      <w:r>
        <w:t>30</w:t>
      </w:r>
      <w:r>
        <w:rPr>
          <w:spacing w:val="-22"/>
        </w:rPr>
        <w:t xml:space="preserve"> 天，完成迁改任务，确保其它单位顺利施工。</w:t>
      </w:r>
      <w:r>
        <w:rPr>
          <w:spacing w:val="-26"/>
        </w:rPr>
        <w:t xml:space="preserve">为了保证开工后能顺利进行施工，计划于 </w:t>
      </w:r>
      <w:r>
        <w:t>2015</w:t>
      </w:r>
      <w:r>
        <w:rPr>
          <w:spacing w:val="-39"/>
        </w:rPr>
        <w:t xml:space="preserve"> 年 </w:t>
      </w:r>
      <w:r>
        <w:t>12</w:t>
      </w:r>
      <w:r>
        <w:rPr>
          <w:spacing w:val="-8"/>
        </w:rPr>
        <w:t xml:space="preserve"> 月进入施工现场，进行施工前期的驻地建设、技术准备、人员准备、物资准备、施工机具、仪 器、仪表准备、递交开工报告和提前熟悉施工现场情况。</w:t>
      </w:r>
    </w:p>
    <w:p>
      <w:pPr>
        <w:pStyle w:val="BodyText"/>
        <w:spacing w:before="5" w:line="307" w:lineRule="auto"/>
        <w:ind w:left="468" w:right="1050" w:firstLine="838"/>
        <w:jc w:val="both"/>
      </w:pPr>
      <w:r>
        <w:rPr>
          <w:spacing w:val="-1"/>
        </w:rPr>
        <w:t>首先对影响重点工程施工的地段进行迁改，然后根据站前单位的施工安排对剩余的迁改任务进行统筹安排，保证不影响站前单位的正常施工。在迁改工程开工以后，电务分部的各部门充分发挥职能作用，分头出击， 多方联系迁改设施的产权单位或管理部门，制订详细的迁改方案，在尽量短的时间内解决已影响施工的项目，全面为站前单位及其他工程的施工扫</w:t>
      </w:r>
      <w:r>
        <w:t>清障碍，保证各项工程的顺利实施。</w:t>
      </w:r>
    </w:p>
    <w:p>
      <w:pPr>
        <w:pStyle w:val="Heading2"/>
        <w:numPr>
          <w:ilvl w:val="1"/>
          <w:numId w:val="17"/>
        </w:numPr>
        <w:tabs>
          <w:tab w:val="left" w:pos="1261"/>
        </w:tabs>
        <w:spacing w:before="0" w:after="0" w:line="529" w:lineRule="exact"/>
        <w:ind w:left="1260" w:right="0" w:hanging="793"/>
        <w:jc w:val="left"/>
      </w:pPr>
      <w:r>
        <w:rPr>
          <w:w w:val="95"/>
        </w:rPr>
        <w:t>迁改施工进度阶段划分</w:t>
      </w:r>
    </w:p>
    <w:p>
      <w:pPr>
        <w:pStyle w:val="BodyText"/>
        <w:spacing w:before="170" w:line="307" w:lineRule="auto"/>
        <w:ind w:left="468" w:right="883" w:firstLine="838"/>
      </w:pPr>
      <w:r>
        <w:rPr>
          <w:spacing w:val="49"/>
        </w:rPr>
        <w:t xml:space="preserve">新建济南至青岛高速铁路 </w:t>
      </w:r>
      <w:r>
        <w:t>JQGTSG-11</w:t>
      </w:r>
      <w:r>
        <w:rPr>
          <w:spacing w:val="48"/>
        </w:rPr>
        <w:t xml:space="preserve"> 标段五分部，里程范围： JDK20+400～JDK24+050</w:t>
      </w:r>
      <w:r>
        <w:rPr>
          <w:spacing w:val="-4"/>
        </w:rPr>
        <w:t xml:space="preserve"> 的电力、通信及管线迁改，经现场调查显示，本标</w:t>
      </w:r>
      <w:r>
        <w:rPr>
          <w:spacing w:val="-17"/>
        </w:rPr>
        <w:t xml:space="preserve">段电力迁改项目 </w:t>
      </w:r>
      <w:r>
        <w:t>8</w:t>
      </w:r>
      <w:r>
        <w:rPr>
          <w:spacing w:val="-5"/>
        </w:rPr>
        <w:t xml:space="preserve"> 处；通信迁改本标段有</w:t>
      </w:r>
      <w:r>
        <w:t>38</w:t>
      </w:r>
      <w:r>
        <w:rPr>
          <w:spacing w:val="-12"/>
        </w:rPr>
        <w:t xml:space="preserve"> 处，为满足本标段站前施工要</w:t>
      </w:r>
      <w:r>
        <w:t>求，及时规范完成标段内迁改任务，决定在项目部内成立由工程部长任组长的迁改工作谈判组，及时与产权单位进行谈判及协商，确保迁改施工顺利进行，2015</w:t>
      </w:r>
      <w:r>
        <w:rPr>
          <w:spacing w:val="-60"/>
        </w:rPr>
        <w:t xml:space="preserve"> 年 </w:t>
      </w:r>
      <w:r>
        <w:t>12</w:t>
      </w:r>
      <w:r>
        <w:rPr>
          <w:spacing w:val="-59"/>
        </w:rPr>
        <w:t xml:space="preserve"> 月 </w:t>
      </w:r>
      <w:r>
        <w:t>31</w:t>
      </w:r>
      <w:r>
        <w:rPr>
          <w:spacing w:val="-10"/>
        </w:rPr>
        <w:t xml:space="preserve"> 日迁改作业全面展开，首先解决各站前标段急需迁改项目，然后以全线控制工程和重点工程区段内迁改项目为主，优质高</w:t>
      </w:r>
      <w:r>
        <w:rPr>
          <w:spacing w:val="-23"/>
        </w:rPr>
        <w:t xml:space="preserve">效组织迁改，到 </w:t>
      </w:r>
      <w:r>
        <w:t>2016</w:t>
      </w:r>
      <w:r>
        <w:rPr>
          <w:spacing w:val="-70"/>
        </w:rPr>
        <w:t xml:space="preserve"> 年 </w:t>
      </w:r>
      <w:r>
        <w:t>6</w:t>
      </w:r>
      <w:r>
        <w:rPr>
          <w:spacing w:val="-11"/>
        </w:rPr>
        <w:t xml:space="preserve"> 月份完成本标段全部项目的迁改工作。</w:t>
      </w:r>
    </w:p>
    <w:p>
      <w:pPr>
        <w:pStyle w:val="BodyText"/>
        <w:spacing w:before="10"/>
        <w:ind w:left="1307"/>
      </w:pPr>
      <w:r>
        <w:t>迁改工作共分为五个阶段进行：</w:t>
      </w:r>
    </w:p>
    <w:p>
      <w:pPr>
        <w:pStyle w:val="BodyText"/>
        <w:spacing w:before="153" w:line="307" w:lineRule="auto"/>
        <w:ind w:left="468" w:right="696" w:firstLine="838"/>
      </w:pPr>
      <w:r>
        <w:rPr>
          <w:spacing w:val="-6"/>
        </w:rPr>
        <w:t>第一阶段,先进行现场调查，落实产权单位,掌握既有被迁改线路状况、</w:t>
      </w:r>
      <w:r>
        <w:t>产权单位执行的技术标准、站前工程的施工进度、范围、步骤、方法等基</w:t>
      </w:r>
      <w:r>
        <w:rPr>
          <w:spacing w:val="-15"/>
        </w:rPr>
        <w:t xml:space="preserve">本情况，计划在 </w:t>
      </w:r>
      <w:r>
        <w:t>2015</w:t>
      </w:r>
      <w:r>
        <w:rPr>
          <w:spacing w:val="-71"/>
        </w:rPr>
        <w:t xml:space="preserve"> 年 </w:t>
      </w:r>
      <w:r>
        <w:t>12</w:t>
      </w:r>
      <w:r>
        <w:rPr>
          <w:spacing w:val="-72"/>
        </w:rPr>
        <w:t xml:space="preserve"> 月 </w:t>
      </w:r>
      <w:r>
        <w:t>31</w:t>
      </w:r>
      <w:r>
        <w:rPr>
          <w:spacing w:val="-18"/>
        </w:rPr>
        <w:t xml:space="preserve"> 日前完成。</w:t>
      </w:r>
    </w:p>
    <w:p>
      <w:pPr>
        <w:pStyle w:val="BodyText"/>
        <w:spacing w:before="3"/>
        <w:ind w:left="1307"/>
      </w:pPr>
      <w:r>
        <w:t>第二阶段，会同产权单位、站前施工单位就每一条需迁改线路，协商</w:t>
      </w:r>
    </w:p>
    <w:p>
      <w:pPr>
        <w:spacing w:after="0"/>
        <w:sectPr>
          <w:footerReference w:type="default" r:id="rId17"/>
          <w:pgSz w:w="17860" w:h="25260"/>
          <w:pgMar w:top="2420" w:right="1200" w:bottom="2080" w:left="1660" w:header="0" w:footer="1884"/>
          <w:pgNumType w:start="8"/>
          <w:cols w:space="708"/>
        </w:sectPr>
      </w:pPr>
    </w:p>
    <w:p>
      <w:pPr>
        <w:pStyle w:val="BodyText"/>
        <w:spacing w:before="24"/>
        <w:ind w:left="468"/>
      </w:pPr>
      <w:r>
        <w:rPr>
          <w:spacing w:val="-7"/>
        </w:rPr>
        <w:t xml:space="preserve">并落实具体迁改方案及其它事项，计划在 </w:t>
      </w:r>
      <w:r>
        <w:t>2016</w:t>
      </w:r>
      <w:r>
        <w:rPr>
          <w:spacing w:val="-72"/>
        </w:rPr>
        <w:t xml:space="preserve"> 年 </w:t>
      </w:r>
      <w:r>
        <w:t>1</w:t>
      </w:r>
      <w:r>
        <w:rPr>
          <w:spacing w:val="-69"/>
        </w:rPr>
        <w:t xml:space="preserve"> 月 </w:t>
      </w:r>
      <w:r>
        <w:t>15</w:t>
      </w:r>
      <w:r>
        <w:rPr>
          <w:spacing w:val="-19"/>
        </w:rPr>
        <w:t xml:space="preserve"> 日前完成。</w:t>
      </w:r>
    </w:p>
    <w:p>
      <w:pPr>
        <w:pStyle w:val="BodyText"/>
        <w:spacing w:before="150" w:line="307" w:lineRule="auto"/>
        <w:ind w:left="468" w:right="862" w:firstLine="838"/>
      </w:pPr>
      <w:r>
        <w:rPr>
          <w:spacing w:val="-18"/>
        </w:rPr>
        <w:t xml:space="preserve">第三阶段, </w:t>
      </w:r>
      <w:r>
        <w:t>2016</w:t>
      </w:r>
      <w:r>
        <w:rPr>
          <w:spacing w:val="-70"/>
        </w:rPr>
        <w:t xml:space="preserve"> 年 </w:t>
      </w:r>
      <w:r>
        <w:t>1</w:t>
      </w:r>
      <w:r>
        <w:rPr>
          <w:spacing w:val="-69"/>
        </w:rPr>
        <w:t xml:space="preserve"> 月 </w:t>
      </w:r>
      <w:r>
        <w:t>15</w:t>
      </w:r>
      <w:r>
        <w:rPr>
          <w:spacing w:val="-53"/>
        </w:rPr>
        <w:t xml:space="preserve"> 日到 </w:t>
      </w:r>
      <w:r>
        <w:t>2016</w:t>
      </w:r>
      <w:r>
        <w:rPr>
          <w:spacing w:val="-71"/>
        </w:rPr>
        <w:t xml:space="preserve"> 年 </w:t>
      </w:r>
      <w:r>
        <w:t>6</w:t>
      </w:r>
      <w:r>
        <w:rPr>
          <w:spacing w:val="-69"/>
        </w:rPr>
        <w:t xml:space="preserve"> 月 </w:t>
      </w:r>
      <w:r>
        <w:t>15</w:t>
      </w:r>
      <w:r>
        <w:rPr>
          <w:spacing w:val="-13"/>
        </w:rPr>
        <w:t xml:space="preserve"> 日，迁改工程进入具体</w:t>
      </w:r>
      <w:r>
        <w:rPr>
          <w:spacing w:val="-19"/>
        </w:rPr>
        <w:t>实施阶段，在施工过程中，严格执行双方协定的安全、质量、技术、工期、环保等标准，加强施工监督力度，确保工程一次成优。同时，与具有相应</w:t>
      </w:r>
      <w:r>
        <w:rPr>
          <w:spacing w:val="-29"/>
        </w:rPr>
        <w:t xml:space="preserve">资质的产权单位协商 </w:t>
      </w:r>
      <w:r>
        <w:t>110KV</w:t>
      </w:r>
      <w:r>
        <w:rPr>
          <w:spacing w:val="-17"/>
        </w:rPr>
        <w:t xml:space="preserve"> 电路的施工。</w:t>
      </w:r>
    </w:p>
    <w:p>
      <w:pPr>
        <w:pStyle w:val="BodyText"/>
        <w:spacing w:before="6" w:line="307" w:lineRule="auto"/>
        <w:ind w:left="468" w:right="920" w:firstLine="838"/>
        <w:jc w:val="both"/>
      </w:pPr>
      <w:r>
        <w:rPr>
          <w:spacing w:val="-1"/>
        </w:rPr>
        <w:t>第四阶段</w:t>
      </w:r>
      <w:r>
        <w:t>,2016</w:t>
      </w:r>
      <w:r>
        <w:rPr>
          <w:spacing w:val="-69"/>
        </w:rPr>
        <w:t xml:space="preserve"> 年 </w:t>
      </w:r>
      <w:r>
        <w:t>6</w:t>
      </w:r>
      <w:r>
        <w:rPr>
          <w:spacing w:val="-69"/>
        </w:rPr>
        <w:t xml:space="preserve"> 月 </w:t>
      </w:r>
      <w:r>
        <w:t>15</w:t>
      </w:r>
      <w:r>
        <w:rPr>
          <w:spacing w:val="-52"/>
        </w:rPr>
        <w:t xml:space="preserve"> 日到 </w:t>
      </w:r>
      <w:r>
        <w:t>7</w:t>
      </w:r>
      <w:r>
        <w:rPr>
          <w:spacing w:val="-69"/>
        </w:rPr>
        <w:t xml:space="preserve"> 月 </w:t>
      </w:r>
      <w:r>
        <w:t>15</w:t>
      </w:r>
      <w:r>
        <w:rPr>
          <w:spacing w:val="-22"/>
        </w:rPr>
        <w:t xml:space="preserve"> 日为自检验收及整改阶段，对迁</w:t>
      </w:r>
      <w:r>
        <w:t>改完的项目，由项目组织产权单位、站前工程施工单位及其它有关单位按照预定方案和技术标准进行现场验收，并对工程缺陷进行整改，确保满足各方面的要求。</w:t>
      </w:r>
    </w:p>
    <w:p>
      <w:pPr>
        <w:pStyle w:val="BodyText"/>
        <w:spacing w:before="7" w:line="307" w:lineRule="auto"/>
        <w:ind w:left="468" w:right="905" w:firstLine="838"/>
        <w:jc w:val="both"/>
      </w:pPr>
      <w:r>
        <w:t>第五阶段，2016</w:t>
      </w:r>
      <w:r>
        <w:rPr>
          <w:spacing w:val="-67"/>
        </w:rPr>
        <w:t xml:space="preserve"> 年 </w:t>
      </w:r>
      <w:r>
        <w:t>7</w:t>
      </w:r>
      <w:r>
        <w:rPr>
          <w:spacing w:val="-65"/>
        </w:rPr>
        <w:t xml:space="preserve"> 月 </w:t>
      </w:r>
      <w:r>
        <w:t>15</w:t>
      </w:r>
      <w:r>
        <w:rPr>
          <w:spacing w:val="-49"/>
        </w:rPr>
        <w:t xml:space="preserve"> 日到 </w:t>
      </w:r>
      <w:r>
        <w:t>8</w:t>
      </w:r>
      <w:r>
        <w:rPr>
          <w:spacing w:val="-63"/>
        </w:rPr>
        <w:t xml:space="preserve"> 月 </w:t>
      </w:r>
      <w:r>
        <w:t>15</w:t>
      </w:r>
      <w:r>
        <w:rPr>
          <w:spacing w:val="-12"/>
        </w:rPr>
        <w:t xml:space="preserve"> 日，清理和恢复施工现场，对</w:t>
      </w:r>
      <w:r>
        <w:t>施工前移开的草皮或其他植被恢复原貌。</w:t>
      </w:r>
    </w:p>
    <w:p>
      <w:pPr>
        <w:pStyle w:val="BodyText"/>
        <w:spacing w:before="1" w:line="307" w:lineRule="auto"/>
        <w:ind w:left="468" w:right="847" w:firstLine="838"/>
      </w:pPr>
      <w:r>
        <w:t>重点地段的迁改工作能否及时到位，直接影响到新建济南至青岛高速铁路 JQGTSG-11 标段整体建设速度，因此应加强重点地段的领导工作，确保重点地段迁改工作按期完成。</w:t>
      </w:r>
    </w:p>
    <w:p>
      <w:pPr>
        <w:pStyle w:val="BodyText"/>
        <w:spacing w:before="3" w:line="307" w:lineRule="auto"/>
        <w:ind w:left="468" w:right="1050" w:firstLine="838"/>
        <w:jc w:val="both"/>
      </w:pPr>
      <w:r>
        <w:t>迁改工程施工中，为了协调好与产权单位的协作关系，照顾产权单位的利益，减少外界干扰，确保总进度目标，对于大部分线路，在完全满足“迁改原则及技术要求”的情况下，与具有相应施工能力和资质的产权单位协商施工。</w:t>
      </w:r>
    </w:p>
    <w:p>
      <w:pPr>
        <w:pStyle w:val="Heading1"/>
        <w:spacing w:line="513" w:lineRule="exact"/>
        <w:ind w:left="5462"/>
      </w:pPr>
      <w:r>
        <w:t>六</w:t>
      </w:r>
      <w:r>
        <w:rPr>
          <w:rFonts w:ascii="宋体" w:eastAsia="宋体" w:hint="eastAsia"/>
        </w:rPr>
        <w:t>.</w:t>
      </w:r>
      <w:r>
        <w:t>迁改施工方案</w:t>
      </w:r>
    </w:p>
    <w:p>
      <w:pPr>
        <w:pStyle w:val="Heading2"/>
        <w:numPr>
          <w:ilvl w:val="1"/>
          <w:numId w:val="16"/>
        </w:numPr>
        <w:tabs>
          <w:tab w:val="left" w:pos="1261"/>
        </w:tabs>
        <w:spacing w:before="127" w:after="0" w:line="240" w:lineRule="auto"/>
        <w:ind w:left="1260" w:right="0" w:hanging="793"/>
        <w:jc w:val="left"/>
      </w:pPr>
      <w:r>
        <w:t>电力迁改方案</w:t>
      </w:r>
    </w:p>
    <w:p>
      <w:pPr>
        <w:pStyle w:val="BodyText"/>
        <w:rPr>
          <w:rFonts w:ascii="黑体"/>
          <w:b/>
          <w:sz w:val="20"/>
        </w:rPr>
      </w:pPr>
    </w:p>
    <w:p>
      <w:pPr>
        <w:pStyle w:val="BodyText"/>
        <w:rPr>
          <w:rFonts w:ascii="黑体"/>
          <w:b/>
          <w:sz w:val="20"/>
        </w:rPr>
      </w:pPr>
    </w:p>
    <w:p>
      <w:pPr>
        <w:pStyle w:val="BodyText"/>
        <w:spacing w:before="11"/>
        <w:rPr>
          <w:rFonts w:ascii="黑体"/>
          <w:b/>
          <w:sz w:val="23"/>
        </w:rPr>
      </w:pPr>
    </w:p>
    <w:p>
      <w:pPr>
        <w:pStyle w:val="ListParagraph"/>
        <w:numPr>
          <w:ilvl w:val="2"/>
          <w:numId w:val="16"/>
        </w:numPr>
        <w:tabs>
          <w:tab w:val="left" w:pos="1736"/>
        </w:tabs>
        <w:spacing w:before="42" w:after="0" w:line="307" w:lineRule="auto"/>
        <w:ind w:left="468" w:right="1047" w:firstLine="838"/>
        <w:jc w:val="both"/>
        <w:rPr>
          <w:sz w:val="42"/>
        </w:rPr>
      </w:pPr>
      <w:r>
        <w:rPr>
          <w:spacing w:val="-1"/>
          <w:sz w:val="42"/>
        </w:rPr>
        <w:t>在符合国家和行业标准的前提下，严格限制、把握相关方利益导致的标准或造价提高，原则上按电力线路现状技术标准进行迁改，同时可注</w:t>
      </w:r>
      <w:r>
        <w:rPr>
          <w:sz w:val="42"/>
        </w:rPr>
        <w:t>意了解产权部门已列入近期（五年内）</w:t>
      </w:r>
      <w:r>
        <w:rPr>
          <w:spacing w:val="-1"/>
          <w:sz w:val="42"/>
        </w:rPr>
        <w:t>规划改造线路的标准，以及当地有</w:t>
      </w:r>
      <w:r>
        <w:rPr>
          <w:sz w:val="42"/>
        </w:rPr>
        <w:t>关要求和规定。</w:t>
      </w:r>
    </w:p>
    <w:p>
      <w:pPr>
        <w:pStyle w:val="ListParagraph"/>
        <w:numPr>
          <w:ilvl w:val="2"/>
          <w:numId w:val="16"/>
        </w:numPr>
        <w:tabs>
          <w:tab w:val="left" w:pos="1730"/>
        </w:tabs>
        <w:spacing w:before="4" w:after="0" w:line="307" w:lineRule="auto"/>
        <w:ind w:left="468" w:right="855" w:firstLine="838"/>
        <w:jc w:val="left"/>
        <w:rPr>
          <w:sz w:val="42"/>
        </w:rPr>
      </w:pPr>
      <w:r>
        <w:rPr>
          <w:spacing w:val="-12"/>
          <w:sz w:val="42"/>
        </w:rPr>
        <w:t xml:space="preserve">与新建线路交叉的 </w:t>
      </w:r>
      <w:r>
        <w:rPr>
          <w:sz w:val="42"/>
        </w:rPr>
        <w:t>35kV</w:t>
      </w:r>
      <w:r>
        <w:rPr>
          <w:spacing w:val="-10"/>
          <w:sz w:val="42"/>
        </w:rPr>
        <w:t xml:space="preserve"> 及以下电力线路，均应按电缆穿管</w:t>
      </w:r>
      <w:r>
        <w:rPr>
          <w:sz w:val="42"/>
        </w:rPr>
        <w:t>（涵）</w:t>
      </w:r>
      <w:r>
        <w:rPr>
          <w:spacing w:val="-15"/>
          <w:sz w:val="42"/>
        </w:rPr>
        <w:t>过</w:t>
      </w:r>
      <w:r>
        <w:rPr>
          <w:sz w:val="42"/>
        </w:rPr>
        <w:t>轨方式处理。</w:t>
      </w:r>
    </w:p>
    <w:p>
      <w:pPr>
        <w:pStyle w:val="ListParagraph"/>
        <w:numPr>
          <w:ilvl w:val="2"/>
          <w:numId w:val="16"/>
        </w:numPr>
        <w:tabs>
          <w:tab w:val="left" w:pos="1730"/>
        </w:tabs>
        <w:spacing w:before="5" w:after="0" w:line="307" w:lineRule="auto"/>
        <w:ind w:left="468" w:right="853" w:firstLine="838"/>
        <w:jc w:val="left"/>
        <w:rPr>
          <w:sz w:val="42"/>
        </w:rPr>
      </w:pPr>
      <w:r>
        <w:rPr>
          <w:spacing w:val="-13"/>
          <w:sz w:val="42"/>
        </w:rPr>
        <w:t xml:space="preserve">对于需要迁改的 </w:t>
      </w:r>
      <w:r>
        <w:rPr>
          <w:sz w:val="42"/>
        </w:rPr>
        <w:t>35kV</w:t>
      </w:r>
      <w:r>
        <w:rPr>
          <w:spacing w:val="-11"/>
          <w:sz w:val="42"/>
        </w:rPr>
        <w:t xml:space="preserve"> 以上架空线路，均采用升高跨越方式，技术经</w:t>
      </w:r>
      <w:r>
        <w:rPr>
          <w:spacing w:val="-2"/>
          <w:sz w:val="42"/>
        </w:rPr>
        <w:t>济极不合理时，</w:t>
      </w:r>
      <w:r>
        <w:rPr>
          <w:spacing w:val="-14"/>
          <w:sz w:val="42"/>
        </w:rPr>
        <w:t>110kV</w:t>
      </w:r>
      <w:r>
        <w:rPr>
          <w:spacing w:val="-15"/>
          <w:sz w:val="42"/>
        </w:rPr>
        <w:t xml:space="preserve"> 线路可考虑电缆穿越的可能性。跨越杆优先采用独立</w:t>
      </w:r>
    </w:p>
    <w:p>
      <w:pPr>
        <w:spacing w:after="0" w:line="307" w:lineRule="auto"/>
        <w:jc w:val="left"/>
        <w:rPr>
          <w:sz w:val="42"/>
        </w:rPr>
        <w:sectPr>
          <w:footerReference w:type="default" r:id="rId18"/>
          <w:pgSz w:w="17860" w:h="25260"/>
          <w:pgMar w:top="2280" w:right="1200" w:bottom="2080" w:left="1660" w:header="0" w:footer="1884"/>
          <w:pgNumType w:start="9"/>
          <w:cols w:space="708"/>
        </w:sectPr>
      </w:pPr>
    </w:p>
    <w:p>
      <w:pPr>
        <w:pStyle w:val="BodyText"/>
        <w:spacing w:before="24" w:line="307" w:lineRule="auto"/>
        <w:ind w:left="468" w:right="1050"/>
        <w:jc w:val="both"/>
      </w:pPr>
      <w:r>
        <w:t>型铁搭，设独立耐张段。交叉跨越的电力线路最下方道题距轨顶现状高度满足要求时，非独立耐张段的，应改为独立耐张段。如果杆塔形式或绝缘子形式不满足相关规范，原则上要加以改造，以满足规范要求。</w:t>
      </w:r>
    </w:p>
    <w:p>
      <w:pPr>
        <w:pStyle w:val="ListParagraph"/>
        <w:numPr>
          <w:ilvl w:val="2"/>
          <w:numId w:val="31"/>
        </w:numPr>
        <w:tabs>
          <w:tab w:val="left" w:pos="1730"/>
        </w:tabs>
        <w:spacing w:before="4" w:after="0" w:line="240" w:lineRule="auto"/>
        <w:ind w:left="1729" w:right="0" w:hanging="423"/>
        <w:jc w:val="left"/>
        <w:rPr>
          <w:sz w:val="42"/>
        </w:rPr>
      </w:pPr>
      <w:r>
        <w:rPr>
          <w:sz w:val="42"/>
        </w:rPr>
        <w:t>架空光缆迁改原则上按架空线路处理。</w:t>
      </w:r>
    </w:p>
    <w:p>
      <w:pPr>
        <w:pStyle w:val="ListParagraph"/>
        <w:numPr>
          <w:ilvl w:val="2"/>
          <w:numId w:val="31"/>
        </w:numPr>
        <w:tabs>
          <w:tab w:val="left" w:pos="1730"/>
        </w:tabs>
        <w:spacing w:before="149" w:after="0" w:line="307" w:lineRule="auto"/>
        <w:ind w:left="468" w:right="919" w:firstLine="838"/>
        <w:jc w:val="left"/>
        <w:rPr>
          <w:sz w:val="42"/>
        </w:rPr>
      </w:pPr>
      <w:r>
        <w:rPr>
          <w:spacing w:val="-1"/>
          <w:sz w:val="42"/>
        </w:rPr>
        <w:t>平行电力线路的迁移：</w:t>
      </w:r>
      <w:r>
        <w:rPr>
          <w:spacing w:val="-7"/>
          <w:sz w:val="42"/>
        </w:rPr>
        <w:t>10kV</w:t>
      </w:r>
      <w:r>
        <w:rPr>
          <w:spacing w:val="-12"/>
          <w:sz w:val="42"/>
        </w:rPr>
        <w:t xml:space="preserve"> 以上采用架空线路；</w:t>
      </w:r>
      <w:r>
        <w:rPr>
          <w:spacing w:val="-8"/>
          <w:sz w:val="42"/>
        </w:rPr>
        <w:t>10kV</w:t>
      </w:r>
      <w:r>
        <w:rPr>
          <w:spacing w:val="-17"/>
          <w:sz w:val="42"/>
        </w:rPr>
        <w:t xml:space="preserve"> 及以下线路以</w:t>
      </w:r>
      <w:r>
        <w:rPr>
          <w:sz w:val="42"/>
        </w:rPr>
        <w:t>综合造价最低为原则，根据地形地貌及用地等情况确定具体迁移方案。</w:t>
      </w:r>
    </w:p>
    <w:p>
      <w:pPr>
        <w:pStyle w:val="ListParagraph"/>
        <w:numPr>
          <w:ilvl w:val="2"/>
          <w:numId w:val="31"/>
        </w:numPr>
        <w:tabs>
          <w:tab w:val="left" w:pos="1736"/>
        </w:tabs>
        <w:spacing w:before="5" w:after="0" w:line="307" w:lineRule="auto"/>
        <w:ind w:left="468" w:right="1047" w:firstLine="838"/>
        <w:jc w:val="left"/>
        <w:rPr>
          <w:sz w:val="42"/>
        </w:rPr>
      </w:pPr>
      <w:r>
        <w:rPr>
          <w:spacing w:val="-1"/>
          <w:sz w:val="42"/>
        </w:rPr>
        <w:t>以造价最低为原则，慎重采用修建过渡线路的方案，应尽可能与产</w:t>
      </w:r>
      <w:r>
        <w:rPr>
          <w:sz w:val="42"/>
        </w:rPr>
        <w:t>权单位协商谈判，采取可行措施，优先考虑停电迁改。</w:t>
      </w:r>
    </w:p>
    <w:p>
      <w:pPr>
        <w:pStyle w:val="BodyText"/>
        <w:spacing w:before="1"/>
        <w:rPr>
          <w:sz w:val="54"/>
        </w:rPr>
      </w:pPr>
    </w:p>
    <w:p>
      <w:pPr>
        <w:pStyle w:val="ListParagraph"/>
        <w:numPr>
          <w:ilvl w:val="0"/>
          <w:numId w:val="15"/>
        </w:numPr>
        <w:tabs>
          <w:tab w:val="left" w:pos="1730"/>
        </w:tabs>
        <w:spacing w:before="1" w:after="0" w:line="240" w:lineRule="auto"/>
        <w:ind w:left="1729" w:right="0" w:hanging="423"/>
        <w:jc w:val="left"/>
        <w:rPr>
          <w:sz w:val="42"/>
        </w:rPr>
      </w:pPr>
      <w:r>
        <w:rPr>
          <w:sz w:val="42"/>
        </w:rPr>
        <w:t>前期准备</w:t>
      </w:r>
    </w:p>
    <w:p>
      <w:pPr>
        <w:pStyle w:val="BodyText"/>
        <w:spacing w:before="149" w:line="307" w:lineRule="auto"/>
        <w:ind w:left="468" w:right="1050" w:firstLine="838"/>
        <w:jc w:val="both"/>
      </w:pPr>
      <w:r>
        <w:t>施工调查完后，会同线路产权单位、站前（或其他）专业施工单位进行现场定测，并同产权单位协商谈判，制定初步迁改方案，并就有关施工费用等问题进行协商和预算，最终确定最佳迁改施工方案。</w:t>
      </w:r>
    </w:p>
    <w:p>
      <w:pPr>
        <w:pStyle w:val="ListParagraph"/>
        <w:numPr>
          <w:ilvl w:val="0"/>
          <w:numId w:val="15"/>
        </w:numPr>
        <w:tabs>
          <w:tab w:val="left" w:pos="1730"/>
        </w:tabs>
        <w:spacing w:before="3" w:after="0" w:line="240" w:lineRule="auto"/>
        <w:ind w:left="1729" w:right="0" w:hanging="423"/>
        <w:jc w:val="left"/>
        <w:rPr>
          <w:sz w:val="42"/>
        </w:rPr>
      </w:pPr>
      <w:r>
        <w:rPr>
          <w:sz w:val="42"/>
        </w:rPr>
        <w:t>架空迁移方案的施工</w:t>
      </w:r>
    </w:p>
    <w:p>
      <w:pPr>
        <w:pStyle w:val="BodyText"/>
        <w:spacing w:before="153"/>
        <w:ind w:left="1307"/>
      </w:pPr>
      <w:r>
        <w:t>架空迁移方案示意图如下：</w:t>
      </w:r>
    </w:p>
    <w:p>
      <w:pPr>
        <w:pStyle w:val="BodyText"/>
        <w:spacing w:before="12"/>
        <w:rPr>
          <w:sz w:val="25"/>
        </w:rPr>
      </w:pPr>
    </w:p>
    <w:p>
      <w:pPr>
        <w:spacing w:before="50"/>
        <w:ind w:left="12717" w:right="0" w:firstLine="0"/>
        <w:jc w:val="left"/>
        <w:rPr>
          <w:sz w:val="36"/>
        </w:rPr>
      </w:pPr>
      <w:r>
        <w:drawing>
          <wp:anchor distT="0" distB="0" distL="0" distR="0" simplePos="0" relativeHeight="251663360" behindDoc="1" locked="0" layoutInCell="1" allowOverlap="1">
            <wp:simplePos x="0" y="0"/>
            <wp:positionH relativeFrom="page">
              <wp:posOffset>1879600</wp:posOffset>
            </wp:positionH>
            <wp:positionV relativeFrom="paragraph">
              <wp:posOffset>297688</wp:posOffset>
            </wp:positionV>
            <wp:extent cx="8661400" cy="2590800"/>
            <wp:effectExtent l="0" t="0" r="0" b="0"/>
            <wp:wrapNone/>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pic:nvPicPr>
                  <pic:blipFill>
                    <a:blip xmlns:r="http://schemas.openxmlformats.org/officeDocument/2006/relationships" r:embed="rId19" cstate="print"/>
                    <a:stretch>
                      <a:fillRect/>
                    </a:stretch>
                  </pic:blipFill>
                  <pic:spPr>
                    <a:xfrm>
                      <a:off x="0" y="0"/>
                      <a:ext cx="8661400" cy="2590800"/>
                    </a:xfrm>
                    <a:prstGeom prst="rect">
                      <a:avLst/>
                    </a:prstGeom>
                  </pic:spPr>
                </pic:pic>
              </a:graphicData>
            </a:graphic>
          </wp:anchor>
        </w:drawing>
      </w:r>
      <w:r>
        <w:rPr>
          <w:sz w:val="36"/>
        </w:rPr>
        <w:t>新建铁路</w:t>
      </w:r>
    </w:p>
    <w:p>
      <w:pPr>
        <w:spacing w:before="14"/>
        <w:ind w:left="3067" w:right="0" w:firstLine="0"/>
        <w:jc w:val="left"/>
        <w:rPr>
          <w:sz w:val="36"/>
        </w:rPr>
      </w:pPr>
      <w:r>
        <w:rPr>
          <w:sz w:val="36"/>
        </w:rPr>
        <w:t>既有线路</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footerReference w:type="default" r:id="rId20"/>
          <w:pgSz w:w="17860" w:h="25260"/>
          <w:pgMar w:top="2280" w:right="1200" w:bottom="2080" w:left="1660" w:header="0" w:footer="1884"/>
          <w:pgNumType w:start="10"/>
          <w:cols w:space="708"/>
        </w:sectPr>
      </w:pPr>
    </w:p>
    <w:p>
      <w:pPr>
        <w:pStyle w:val="BodyText"/>
        <w:rPr>
          <w:sz w:val="36"/>
        </w:rPr>
      </w:pPr>
    </w:p>
    <w:p>
      <w:pPr>
        <w:pStyle w:val="BodyText"/>
        <w:rPr>
          <w:sz w:val="36"/>
        </w:rPr>
      </w:pPr>
    </w:p>
    <w:p>
      <w:pPr>
        <w:spacing w:before="295"/>
        <w:ind w:left="1566" w:right="0" w:firstLine="0"/>
        <w:jc w:val="left"/>
        <w:rPr>
          <w:sz w:val="36"/>
        </w:rPr>
      </w:pPr>
      <w:r>
        <w:rPr>
          <w:sz w:val="36"/>
        </w:rPr>
        <w:t>迁改线路（停电后连接）</w:t>
      </w:r>
    </w:p>
    <w:p>
      <w:pPr>
        <w:pStyle w:val="BodyText"/>
        <w:rPr>
          <w:sz w:val="36"/>
        </w:rPr>
      </w:pPr>
      <w:r>
        <w:br w:type="column"/>
      </w:r>
    </w:p>
    <w:p>
      <w:pPr>
        <w:pStyle w:val="BodyText"/>
        <w:spacing w:before="3"/>
        <w:rPr>
          <w:sz w:val="27"/>
        </w:rPr>
      </w:pPr>
    </w:p>
    <w:p>
      <w:pPr>
        <w:spacing w:before="0"/>
        <w:ind w:left="742" w:right="0" w:firstLine="0"/>
        <w:jc w:val="left"/>
        <w:rPr>
          <w:sz w:val="36"/>
        </w:rPr>
      </w:pPr>
      <w:r>
        <w:rPr>
          <w:spacing w:val="-32"/>
          <w:sz w:val="36"/>
        </w:rPr>
        <w:t>迁改线路</w:t>
      </w:r>
      <w:r>
        <w:rPr>
          <w:sz w:val="36"/>
        </w:rPr>
        <w:t>（前期施工</w:t>
      </w:r>
      <w:r>
        <w:rPr>
          <w:spacing w:val="-19"/>
          <w:sz w:val="36"/>
        </w:rPr>
        <w:t>）</w:t>
      </w:r>
    </w:p>
    <w:p>
      <w:pPr>
        <w:spacing w:before="202"/>
        <w:ind w:left="234" w:right="0" w:firstLine="0"/>
        <w:jc w:val="left"/>
        <w:rPr>
          <w:sz w:val="36"/>
        </w:rPr>
      </w:pPr>
      <w:r>
        <w:br w:type="column"/>
      </w:r>
      <w:r>
        <w:rPr>
          <w:sz w:val="36"/>
        </w:rPr>
        <w:t>迁改线路（停电后连接）</w:t>
      </w:r>
    </w:p>
    <w:p>
      <w:pPr>
        <w:spacing w:after="0"/>
        <w:jc w:val="left"/>
        <w:rPr>
          <w:sz w:val="36"/>
        </w:rPr>
        <w:sectPr>
          <w:footerReference w:type="default" r:id="rId21"/>
          <w:type w:val="continuous"/>
          <w:pgSz w:w="17860" w:h="25260"/>
          <w:pgMar w:top="2420" w:right="1200" w:bottom="2080" w:left="1660" w:header="708" w:footer="708"/>
          <w:pgNumType w:start="11"/>
          <w:cols w:num="3" w:space="708" w:equalWidth="0">
            <w:col w:w="5527" w:space="40"/>
            <w:col w:w="4216" w:space="39"/>
            <w:col w:w="5178" w:space="0"/>
          </w:cols>
        </w:sectPr>
      </w:pPr>
    </w:p>
    <w:p>
      <w:pPr>
        <w:pStyle w:val="BodyText"/>
        <w:spacing w:before="11"/>
        <w:rPr>
          <w:sz w:val="23"/>
        </w:rPr>
      </w:pPr>
    </w:p>
    <w:p>
      <w:pPr>
        <w:spacing w:before="62"/>
        <w:ind w:left="0" w:right="458" w:firstLine="0"/>
        <w:jc w:val="center"/>
        <w:rPr>
          <w:b/>
          <w:sz w:val="31"/>
        </w:rPr>
      </w:pPr>
      <w:r>
        <w:rPr>
          <w:b/>
          <w:w w:val="101"/>
          <w:sz w:val="31"/>
        </w:rPr>
        <w:t>图</w:t>
      </w:r>
    </w:p>
    <w:p>
      <w:pPr>
        <w:pStyle w:val="BodyText"/>
        <w:rPr>
          <w:b/>
          <w:sz w:val="24"/>
        </w:rPr>
      </w:pPr>
    </w:p>
    <w:p>
      <w:pPr>
        <w:pStyle w:val="BodyText"/>
        <w:spacing w:line="307" w:lineRule="auto"/>
        <w:ind w:left="468" w:right="1054" w:firstLine="838"/>
      </w:pPr>
      <w:r>
        <w:t>根据既定的方案，作好施工前的各项准备工作，测量定位，利用灰线划出迁改的杆塔位置。</w:t>
      </w:r>
    </w:p>
    <w:p>
      <w:pPr>
        <w:pStyle w:val="ListParagraph"/>
        <w:numPr>
          <w:ilvl w:val="0"/>
          <w:numId w:val="14"/>
        </w:numPr>
        <w:tabs>
          <w:tab w:val="left" w:pos="1941"/>
        </w:tabs>
        <w:spacing w:before="1" w:after="0" w:line="307" w:lineRule="auto"/>
        <w:ind w:left="468" w:right="842" w:firstLine="838"/>
        <w:jc w:val="left"/>
        <w:rPr>
          <w:sz w:val="42"/>
        </w:rPr>
      </w:pPr>
      <w:r>
        <w:rPr>
          <w:spacing w:val="-1"/>
          <w:sz w:val="42"/>
        </w:rPr>
        <w:t>杆坑、拉线坑开挖：按定测位置及施工图示尺寸进行开挖，对一些</w:t>
      </w:r>
      <w:r>
        <w:rPr>
          <w:sz w:val="42"/>
        </w:rPr>
        <w:t>土质较差的基坑采取边开挖边回填的施工方式，并放足边坡，以利安全； 如遇石质时，在当地有关部门允许的情况下，采取人工爆破，人力清渣。</w:t>
      </w:r>
    </w:p>
    <w:p>
      <w:pPr>
        <w:spacing w:after="0" w:line="307" w:lineRule="auto"/>
        <w:jc w:val="left"/>
        <w:rPr>
          <w:sz w:val="42"/>
        </w:rPr>
        <w:sectPr>
          <w:footerReference w:type="default" r:id="rId22"/>
          <w:type w:val="continuous"/>
          <w:pgSz w:w="17860" w:h="25260"/>
          <w:pgMar w:top="2420" w:right="1200" w:bottom="2080" w:left="1660" w:header="708" w:footer="708"/>
          <w:pgNumType w:start="12"/>
          <w:cols w:space="708"/>
        </w:sectPr>
      </w:pPr>
    </w:p>
    <w:p>
      <w:pPr>
        <w:pStyle w:val="ListParagraph"/>
        <w:numPr>
          <w:ilvl w:val="0"/>
          <w:numId w:val="14"/>
        </w:numPr>
        <w:tabs>
          <w:tab w:val="left" w:pos="1941"/>
        </w:tabs>
        <w:spacing w:before="24" w:after="0" w:line="307" w:lineRule="auto"/>
        <w:ind w:left="468" w:right="842" w:firstLine="838"/>
        <w:jc w:val="left"/>
        <w:rPr>
          <w:sz w:val="42"/>
        </w:rPr>
      </w:pPr>
      <w:r>
        <w:rPr>
          <w:spacing w:val="-1"/>
          <w:sz w:val="42"/>
        </w:rPr>
        <w:t>电杆组立：据定测所确定的杆型、杆高将电杆运输到位，检查坑深</w:t>
      </w:r>
      <w:r>
        <w:rPr>
          <w:sz w:val="42"/>
        </w:rPr>
        <w:t>是否符合技术标准；人力安装底盘。电杆立好后，根据验收标准，用经纬仪对各直线段组立电杆进行检查。不合格者进行整改。</w:t>
      </w:r>
    </w:p>
    <w:p>
      <w:pPr>
        <w:pStyle w:val="ListParagraph"/>
        <w:numPr>
          <w:ilvl w:val="0"/>
          <w:numId w:val="14"/>
        </w:numPr>
        <w:tabs>
          <w:tab w:val="left" w:pos="1941"/>
        </w:tabs>
        <w:spacing w:before="4" w:after="0" w:line="307" w:lineRule="auto"/>
        <w:ind w:left="468" w:right="842" w:firstLine="838"/>
        <w:jc w:val="left"/>
        <w:rPr>
          <w:sz w:val="42"/>
        </w:rPr>
      </w:pPr>
      <w:r>
        <w:rPr>
          <w:spacing w:val="-1"/>
          <w:sz w:val="42"/>
        </w:rPr>
        <w:t>横担组装：横担采用人力分解组装的施工方案；对于体积大、重量</w:t>
      </w:r>
      <w:r>
        <w:rPr>
          <w:sz w:val="42"/>
        </w:rPr>
        <w:t>较大或高度较高的横担或角钢，采用滑轮组吊装的施工方法。</w:t>
      </w:r>
    </w:p>
    <w:p>
      <w:pPr>
        <w:pStyle w:val="ListParagraph"/>
        <w:numPr>
          <w:ilvl w:val="0"/>
          <w:numId w:val="14"/>
        </w:numPr>
        <w:tabs>
          <w:tab w:val="left" w:pos="1941"/>
        </w:tabs>
        <w:spacing w:before="1" w:after="0" w:line="307" w:lineRule="auto"/>
        <w:ind w:left="468" w:right="842" w:firstLine="838"/>
        <w:jc w:val="left"/>
        <w:rPr>
          <w:sz w:val="42"/>
        </w:rPr>
      </w:pPr>
      <w:r>
        <w:rPr>
          <w:spacing w:val="-1"/>
          <w:sz w:val="42"/>
        </w:rPr>
        <w:t>拉线制作安装：根据要求及安装定型图用经纬仪分坑，确定拉线坑</w:t>
      </w:r>
      <w:r>
        <w:rPr>
          <w:sz w:val="42"/>
        </w:rPr>
        <w:t>位置；拉线制安时，拉线坑深度符合设计要求；拉线棒的出土尺寸及位置</w:t>
      </w:r>
      <w:r>
        <w:rPr>
          <w:spacing w:val="-18"/>
          <w:sz w:val="42"/>
        </w:rPr>
        <w:t>符合验标要求；拉线的规格型号符合设计要求；拉线受力方向正确、均匀。</w:t>
      </w:r>
    </w:p>
    <w:p>
      <w:pPr>
        <w:pStyle w:val="ListParagraph"/>
        <w:numPr>
          <w:ilvl w:val="0"/>
          <w:numId w:val="14"/>
        </w:numPr>
        <w:tabs>
          <w:tab w:val="left" w:pos="1941"/>
        </w:tabs>
        <w:spacing w:before="4" w:after="0" w:line="307" w:lineRule="auto"/>
        <w:ind w:left="468" w:right="842" w:firstLine="838"/>
        <w:jc w:val="left"/>
        <w:rPr>
          <w:sz w:val="42"/>
        </w:rPr>
      </w:pPr>
      <w:r>
        <w:rPr>
          <w:spacing w:val="-1"/>
          <w:sz w:val="42"/>
        </w:rPr>
        <w:t>导线架设：导线在展放前，须先选择好径路。展放过程中导线不得</w:t>
      </w:r>
      <w:r>
        <w:rPr>
          <w:sz w:val="42"/>
        </w:rPr>
        <w:t>有松股、绞股等现象；紧线前，认真检查耐张杆拉线受力情况。</w:t>
      </w:r>
    </w:p>
    <w:p>
      <w:pPr>
        <w:pStyle w:val="ListParagraph"/>
        <w:numPr>
          <w:ilvl w:val="0"/>
          <w:numId w:val="14"/>
        </w:numPr>
        <w:tabs>
          <w:tab w:val="left" w:pos="1945"/>
        </w:tabs>
        <w:spacing w:before="2" w:after="0" w:line="307" w:lineRule="auto"/>
        <w:ind w:left="468" w:right="838" w:firstLine="838"/>
        <w:jc w:val="left"/>
        <w:rPr>
          <w:sz w:val="42"/>
        </w:rPr>
      </w:pPr>
      <w:r>
        <w:rPr>
          <w:spacing w:val="-1"/>
          <w:sz w:val="42"/>
        </w:rPr>
        <w:t xml:space="preserve">办理停电手续：根据迁改施工方案，办理迁改线路停电作业手续， </w:t>
      </w:r>
      <w:r>
        <w:rPr>
          <w:sz w:val="42"/>
        </w:rPr>
        <w:t>并在现场的线路两端验电、挂接地封线和警示牌。</w:t>
      </w:r>
    </w:p>
    <w:p>
      <w:pPr>
        <w:pStyle w:val="BodyText"/>
        <w:spacing w:before="4"/>
        <w:ind w:left="1307"/>
      </w:pPr>
      <w:r>
        <w:t>将已经迁移出施工范围的线路和既有线连接。按照送电程序恢复送电。</w:t>
      </w:r>
    </w:p>
    <w:p>
      <w:pPr>
        <w:pStyle w:val="ListParagraph"/>
        <w:numPr>
          <w:ilvl w:val="0"/>
          <w:numId w:val="14"/>
        </w:numPr>
        <w:tabs>
          <w:tab w:val="left" w:pos="1945"/>
        </w:tabs>
        <w:spacing w:before="150" w:after="0" w:line="309" w:lineRule="auto"/>
        <w:ind w:left="468" w:right="838" w:firstLine="838"/>
        <w:jc w:val="left"/>
        <w:rPr>
          <w:sz w:val="42"/>
        </w:rPr>
      </w:pPr>
      <w:r>
        <w:rPr>
          <w:sz w:val="42"/>
        </w:rPr>
        <w:t>办理交接：由施工单位组织，会同产权单位及站前专业（或其他</w:t>
      </w:r>
      <w:r>
        <w:rPr>
          <w:spacing w:val="-16"/>
          <w:sz w:val="42"/>
        </w:rPr>
        <w:t xml:space="preserve">） </w:t>
      </w:r>
      <w:r>
        <w:rPr>
          <w:sz w:val="42"/>
        </w:rPr>
        <w:t>施工单位共同验收，确认符合验收标准和迁改范围后，与原产权单位办理移交，待全线各专业施工完毕后办理正式竣工验交。</w:t>
      </w:r>
    </w:p>
    <w:p>
      <w:pPr>
        <w:pStyle w:val="BodyText"/>
        <w:rPr>
          <w:sz w:val="53"/>
        </w:rPr>
      </w:pPr>
    </w:p>
    <w:p>
      <w:pPr>
        <w:pStyle w:val="BodyText"/>
        <w:ind w:left="1307"/>
      </w:pPr>
      <w:r>
        <w:pict>
          <v:group id="_x0000_s1065" style="width:632pt;height:281pt;margin-top:25.39pt;margin-left:141pt;mso-position-horizontal-relative:page;position:absolute;z-index:251664384" coordorigin="2820,508" coordsize="12640,5620">
            <v:shape id="_x0000_s1066" type="#_x0000_t75" style="width:12640;height:5620;left:2820;position:absolute;top:507" stroked="f">
              <v:imagedata r:id="rId23" o:title=""/>
            </v:shape>
            <v:shape id="_x0000_s1067" type="#_x0000_t202" style="width:1460;height:360;left:3665;position:absolute;top:1804" filled="f" stroked="f">
              <v:textbox inset="0,0,0,0">
                <w:txbxContent>
                  <w:p>
                    <w:pPr>
                      <w:spacing w:before="0" w:line="360" w:lineRule="exact"/>
                      <w:ind w:left="0" w:right="0" w:firstLine="0"/>
                      <w:jc w:val="left"/>
                      <w:rPr>
                        <w:sz w:val="36"/>
                      </w:rPr>
                    </w:pPr>
                    <w:r>
                      <w:rPr>
                        <w:sz w:val="36"/>
                      </w:rPr>
                      <w:t>新建铁路</w:t>
                    </w:r>
                  </w:p>
                </w:txbxContent>
              </v:textbox>
            </v:shape>
            <v:shape id="_x0000_s1068" type="#_x0000_t202" style="width:1460;height:360;left:6211;position:absolute;top:1948" filled="f" stroked="f">
              <v:textbox inset="0,0,0,0">
                <w:txbxContent>
                  <w:p>
                    <w:pPr>
                      <w:spacing w:before="0" w:line="360" w:lineRule="exact"/>
                      <w:ind w:left="0" w:right="0" w:firstLine="0"/>
                      <w:jc w:val="left"/>
                      <w:rPr>
                        <w:sz w:val="36"/>
                      </w:rPr>
                    </w:pPr>
                    <w:r>
                      <w:rPr>
                        <w:sz w:val="36"/>
                      </w:rPr>
                      <w:t>既有线路</w:t>
                    </w:r>
                  </w:p>
                </w:txbxContent>
              </v:textbox>
            </v:shape>
            <v:shape id="_x0000_s1069" type="#_x0000_t202" style="width:2180;height:360;left:11475;position:absolute;top:2182" filled="f" stroked="f">
              <v:textbox inset="0,0,0,0">
                <w:txbxContent>
                  <w:p>
                    <w:pPr>
                      <w:spacing w:before="0" w:line="360" w:lineRule="exact"/>
                      <w:ind w:left="0" w:right="0" w:firstLine="0"/>
                      <w:jc w:val="left"/>
                      <w:rPr>
                        <w:sz w:val="36"/>
                      </w:rPr>
                    </w:pPr>
                    <w:r>
                      <w:rPr>
                        <w:sz w:val="36"/>
                      </w:rPr>
                      <w:t>电缆过轨防护</w:t>
                    </w:r>
                  </w:p>
                </w:txbxContent>
              </v:textbox>
            </v:shape>
            <v:shape id="_x0000_s1070" type="#_x0000_t202" style="width:2900;height:360;left:9542;position:absolute;top:4721" filled="f" stroked="f">
              <v:textbox inset="0,0,0,0">
                <w:txbxContent>
                  <w:p>
                    <w:pPr>
                      <w:spacing w:before="0" w:line="360" w:lineRule="exact"/>
                      <w:ind w:left="0" w:right="0" w:firstLine="0"/>
                      <w:jc w:val="left"/>
                      <w:rPr>
                        <w:sz w:val="36"/>
                      </w:rPr>
                    </w:pPr>
                    <w:r>
                      <w:rPr>
                        <w:sz w:val="36"/>
                      </w:rPr>
                      <w:t>迁改线路（电缆）</w:t>
                    </w:r>
                  </w:p>
                </w:txbxContent>
              </v:textbox>
            </v:shape>
          </v:group>
        </w:pict>
      </w:r>
      <w:r>
        <w:t>电缆穿管过轨示意图如下：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7"/>
        </w:rPr>
      </w:pPr>
    </w:p>
    <w:p>
      <w:pPr>
        <w:spacing w:before="63"/>
        <w:ind w:left="0" w:right="458" w:firstLine="0"/>
        <w:jc w:val="center"/>
        <w:rPr>
          <w:b/>
          <w:sz w:val="31"/>
        </w:rPr>
      </w:pPr>
      <w:r>
        <w:rPr>
          <w:b/>
          <w:w w:val="101"/>
          <w:sz w:val="31"/>
        </w:rPr>
        <w:t>图</w:t>
      </w:r>
    </w:p>
    <w:p>
      <w:pPr>
        <w:pStyle w:val="BodyText"/>
        <w:spacing w:before="12"/>
        <w:rPr>
          <w:b/>
          <w:sz w:val="23"/>
        </w:rPr>
      </w:pPr>
    </w:p>
    <w:p>
      <w:pPr>
        <w:pStyle w:val="ListParagraph"/>
        <w:numPr>
          <w:ilvl w:val="0"/>
          <w:numId w:val="13"/>
        </w:numPr>
        <w:tabs>
          <w:tab w:val="left" w:pos="1847"/>
        </w:tabs>
        <w:spacing w:before="0" w:after="0" w:line="240" w:lineRule="auto"/>
        <w:ind w:left="1847" w:right="0" w:hanging="540"/>
        <w:jc w:val="left"/>
        <w:rPr>
          <w:sz w:val="42"/>
        </w:rPr>
      </w:pPr>
      <w:r>
        <w:rPr>
          <w:sz w:val="42"/>
        </w:rPr>
        <w:t>开挖电缆沟</w:t>
      </w:r>
    </w:p>
    <w:p>
      <w:pPr>
        <w:pStyle w:val="BodyText"/>
        <w:spacing w:before="8"/>
        <w:rPr>
          <w:sz w:val="8"/>
        </w:rPr>
      </w:pPr>
    </w:p>
    <w:p>
      <w:pPr>
        <w:pStyle w:val="BodyText"/>
        <w:spacing w:before="42"/>
        <w:ind w:left="1307"/>
      </w:pPr>
      <w:r>
        <w:t>根据复测确定线路走向，及时、准确的向有关部门了解地下设施情况，</w:t>
      </w:r>
    </w:p>
    <w:p>
      <w:pPr>
        <w:spacing w:after="0"/>
        <w:sectPr>
          <w:footerReference w:type="default" r:id="rId24"/>
          <w:pgSz w:w="17860" w:h="25260"/>
          <w:pgMar w:top="2280" w:right="1200" w:bottom="2080" w:left="1660" w:header="0" w:footer="1884"/>
          <w:pgNumType w:start="13"/>
          <w:cols w:space="708"/>
        </w:sectPr>
      </w:pPr>
    </w:p>
    <w:p>
      <w:pPr>
        <w:pStyle w:val="BodyText"/>
        <w:spacing w:before="24" w:line="307" w:lineRule="auto"/>
        <w:ind w:left="468" w:right="1050"/>
      </w:pPr>
      <w:r>
        <w:t>对地下设施要有针对性的防范措施；人力开挖电缆沟，对易坍塌区段，边开挖边回填；在开挖过程中，如遇阴雨天，不大面积开挖，并及时回填。</w:t>
      </w:r>
    </w:p>
    <w:p>
      <w:pPr>
        <w:pStyle w:val="ListParagraph"/>
        <w:numPr>
          <w:ilvl w:val="0"/>
          <w:numId w:val="32"/>
        </w:numPr>
        <w:tabs>
          <w:tab w:val="left" w:pos="1847"/>
        </w:tabs>
        <w:spacing w:before="1" w:after="0" w:line="240" w:lineRule="auto"/>
        <w:ind w:left="1847" w:right="0" w:hanging="540"/>
        <w:jc w:val="left"/>
        <w:rPr>
          <w:sz w:val="42"/>
        </w:rPr>
      </w:pPr>
      <w:r>
        <w:rPr>
          <w:sz w:val="42"/>
        </w:rPr>
        <w:t>电缆敷设</w:t>
      </w:r>
    </w:p>
    <w:p>
      <w:pPr>
        <w:pStyle w:val="BodyText"/>
        <w:spacing w:before="153" w:line="307" w:lineRule="auto"/>
        <w:ind w:left="468" w:right="914" w:firstLine="838"/>
      </w:pPr>
      <w:r>
        <w:t>根据现场情况合理预配电缆盘，做好准备工作；电缆敷设一般采取人</w:t>
      </w:r>
      <w:r>
        <w:rPr>
          <w:spacing w:val="-20"/>
        </w:rPr>
        <w:t xml:space="preserve">力拖放；理顺电缆，按规定做好预留、砂砖防护及其他防护；回填电缆沟， </w:t>
      </w:r>
      <w:r>
        <w:t>分层夯实；按要求设置电缆标志桩。</w:t>
      </w:r>
    </w:p>
    <w:p>
      <w:pPr>
        <w:pStyle w:val="ListParagraph"/>
        <w:numPr>
          <w:ilvl w:val="0"/>
          <w:numId w:val="32"/>
        </w:numPr>
        <w:tabs>
          <w:tab w:val="left" w:pos="1941"/>
        </w:tabs>
        <w:spacing w:before="4" w:after="0" w:line="240" w:lineRule="auto"/>
        <w:ind w:left="1940" w:right="0" w:hanging="634"/>
        <w:jc w:val="left"/>
        <w:rPr>
          <w:sz w:val="42"/>
        </w:rPr>
      </w:pPr>
      <w:r>
        <w:rPr>
          <w:sz w:val="42"/>
        </w:rPr>
        <w:t>电缆终端头、中间头制作安装</w:t>
      </w:r>
    </w:p>
    <w:p>
      <w:pPr>
        <w:pStyle w:val="BodyText"/>
        <w:spacing w:before="149" w:line="309" w:lineRule="auto"/>
        <w:ind w:left="468" w:right="1050" w:firstLine="838"/>
        <w:jc w:val="both"/>
      </w:pPr>
      <w:r>
        <w:t>由经过培训并熟悉工艺的人员持证上岗，严格按照电缆终端头、中间头的制作工艺规程执行；电缆头制作完毕后，按规定进行试验、安装，并将电缆标牌安装。</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0"/>
          <w:numId w:val="12"/>
        </w:numPr>
        <w:tabs>
          <w:tab w:val="left" w:pos="1941"/>
        </w:tabs>
        <w:spacing w:before="187" w:after="0" w:line="240" w:lineRule="auto"/>
        <w:ind w:left="1940" w:right="0" w:hanging="634"/>
        <w:jc w:val="left"/>
        <w:rPr>
          <w:sz w:val="42"/>
        </w:rPr>
      </w:pPr>
      <w:r>
        <w:pict>
          <v:group id="_x0000_s1071" style="width:488pt;height:122pt;margin-top:-108.73pt;margin-left:196pt;mso-position-horizontal-relative:page;position:absolute;z-index:-251651072" coordorigin="3920,-2175" coordsize="9760,2440">
            <v:shape id="_x0000_s1072" type="#_x0000_t75" style="width:9760;height:2440;left:3920;position:absolute;top:-2175" stroked="f">
              <v:imagedata r:id="rId25" o:title=""/>
            </v:shape>
            <v:shape id="_x0000_s1073" type="#_x0000_t202" style="width:1288;height:317;left:4673;position:absolute;top:-1966" filled="f" stroked="f">
              <v:textbox inset="0,0,0,0">
                <w:txbxContent>
                  <w:p>
                    <w:pPr>
                      <w:spacing w:before="0" w:line="317" w:lineRule="exact"/>
                      <w:ind w:left="0" w:right="0" w:firstLine="0"/>
                      <w:jc w:val="left"/>
                      <w:rPr>
                        <w:sz w:val="31"/>
                      </w:rPr>
                    </w:pPr>
                    <w:r>
                      <w:rPr>
                        <w:sz w:val="31"/>
                      </w:rPr>
                      <w:t>电缆试验</w:t>
                    </w:r>
                  </w:p>
                </w:txbxContent>
              </v:textbox>
            </v:shape>
            <v:shape id="_x0000_s1074" type="#_x0000_t202" style="width:1604;height:317;left:8015;position:absolute;top:-1966" filled="f" stroked="f">
              <v:textbox inset="0,0,0,0">
                <w:txbxContent>
                  <w:p>
                    <w:pPr>
                      <w:spacing w:before="0" w:line="317" w:lineRule="exact"/>
                      <w:ind w:left="0" w:right="0" w:firstLine="0"/>
                      <w:jc w:val="left"/>
                      <w:rPr>
                        <w:sz w:val="31"/>
                      </w:rPr>
                    </w:pPr>
                    <w:r>
                      <w:rPr>
                        <w:sz w:val="31"/>
                      </w:rPr>
                      <w:t>电缆头制作</w:t>
                    </w:r>
                  </w:p>
                </w:txbxContent>
              </v:textbox>
            </v:shape>
            <v:shape id="_x0000_s1075" type="#_x0000_t202" style="width:1604;height:317;left:11489;position:absolute;top:-1984" filled="f" stroked="f">
              <v:textbox inset="0,0,0,0">
                <w:txbxContent>
                  <w:p>
                    <w:pPr>
                      <w:spacing w:before="0" w:line="317" w:lineRule="exact"/>
                      <w:ind w:left="0" w:right="0" w:firstLine="0"/>
                      <w:jc w:val="left"/>
                      <w:rPr>
                        <w:sz w:val="31"/>
                      </w:rPr>
                    </w:pPr>
                    <w:r>
                      <w:rPr>
                        <w:sz w:val="31"/>
                      </w:rPr>
                      <w:t>电缆头试验</w:t>
                    </w:r>
                  </w:p>
                </w:txbxContent>
              </v:textbox>
            </v:shape>
            <v:shape id="_x0000_s1076" type="#_x0000_t202" style="width:2238;height:317;left:4201;position:absolute;top:-411" filled="f" stroked="f">
              <v:textbox inset="0,0,0,0">
                <w:txbxContent>
                  <w:p>
                    <w:pPr>
                      <w:spacing w:before="0" w:line="317" w:lineRule="exact"/>
                      <w:ind w:left="0" w:right="0" w:firstLine="0"/>
                      <w:jc w:val="left"/>
                      <w:rPr>
                        <w:sz w:val="31"/>
                      </w:rPr>
                    </w:pPr>
                    <w:r>
                      <w:rPr>
                        <w:sz w:val="31"/>
                      </w:rPr>
                      <w:t>电缆标志牌安装</w:t>
                    </w:r>
                  </w:p>
                </w:txbxContent>
              </v:textbox>
            </v:shape>
            <v:shape id="_x0000_s1077" type="#_x0000_t202" style="width:1604;height:317;left:8007;position:absolute;top:-433" filled="f" stroked="f">
              <v:textbox inset="0,0,0,0">
                <w:txbxContent>
                  <w:p>
                    <w:pPr>
                      <w:spacing w:before="0" w:line="317" w:lineRule="exact"/>
                      <w:ind w:left="0" w:right="0" w:firstLine="0"/>
                      <w:jc w:val="left"/>
                      <w:rPr>
                        <w:sz w:val="31"/>
                      </w:rPr>
                    </w:pPr>
                    <w:r>
                      <w:rPr>
                        <w:sz w:val="31"/>
                      </w:rPr>
                      <w:t>预留坑回填</w:t>
                    </w:r>
                  </w:p>
                </w:txbxContent>
              </v:textbox>
            </v:shape>
            <v:shape id="_x0000_s1078" type="#_x0000_t202" style="width:1604;height:317;left:11482;position:absolute;top:-433" filled="f" stroked="f">
              <v:textbox inset="0,0,0,0">
                <w:txbxContent>
                  <w:p>
                    <w:pPr>
                      <w:spacing w:before="0" w:line="317" w:lineRule="exact"/>
                      <w:ind w:left="0" w:right="0" w:firstLine="0"/>
                      <w:jc w:val="left"/>
                      <w:rPr>
                        <w:sz w:val="31"/>
                      </w:rPr>
                    </w:pPr>
                    <w:r>
                      <w:rPr>
                        <w:sz w:val="31"/>
                      </w:rPr>
                      <w:t>电缆头安装</w:t>
                    </w:r>
                  </w:p>
                </w:txbxContent>
              </v:textbox>
            </v:shape>
          </v:group>
        </w:pict>
      </w:r>
      <w:r>
        <w:rPr>
          <w:sz w:val="42"/>
        </w:rPr>
        <w:t>办理停电手续</w:t>
      </w:r>
    </w:p>
    <w:p>
      <w:pPr>
        <w:pStyle w:val="BodyText"/>
        <w:spacing w:before="154" w:line="307" w:lineRule="auto"/>
        <w:ind w:left="468" w:right="1054" w:firstLine="838"/>
      </w:pPr>
      <w:r>
        <w:rPr>
          <w:spacing w:val="-1"/>
        </w:rPr>
        <w:t>根据迁改施工方案，办理迁改线路停电作业手续，并在现场的线路两</w:t>
      </w:r>
      <w:r>
        <w:t>端验电、挂接地封线和警示牌。</w:t>
      </w:r>
    </w:p>
    <w:p>
      <w:pPr>
        <w:pStyle w:val="ListParagraph"/>
        <w:numPr>
          <w:ilvl w:val="0"/>
          <w:numId w:val="12"/>
        </w:numPr>
        <w:tabs>
          <w:tab w:val="left" w:pos="1941"/>
        </w:tabs>
        <w:spacing w:before="1" w:after="0" w:line="240" w:lineRule="auto"/>
        <w:ind w:left="1940" w:right="0" w:hanging="634"/>
        <w:jc w:val="left"/>
        <w:rPr>
          <w:sz w:val="42"/>
        </w:rPr>
      </w:pPr>
      <w:r>
        <w:rPr>
          <w:sz w:val="42"/>
        </w:rPr>
        <w:t>电缆与既有线路的连接</w:t>
      </w:r>
    </w:p>
    <w:p>
      <w:pPr>
        <w:pStyle w:val="BodyText"/>
        <w:spacing w:before="153" w:line="307" w:lineRule="auto"/>
        <w:ind w:left="468" w:right="911" w:firstLine="838"/>
      </w:pPr>
      <w:r>
        <w:rPr>
          <w:spacing w:val="-18"/>
        </w:rPr>
        <w:t xml:space="preserve">对既有线进行必要的改造，将直线杆横担加强，或者更换成终端横担， </w:t>
      </w:r>
      <w:r>
        <w:t>进行拉线制安，在适当处断线。</w:t>
      </w:r>
    </w:p>
    <w:p>
      <w:pPr>
        <w:pStyle w:val="BodyText"/>
        <w:spacing w:before="2"/>
        <w:ind w:left="1307"/>
      </w:pPr>
      <w:r>
        <w:t>将已经敷设好的电缆和既有线连接。</w:t>
      </w:r>
    </w:p>
    <w:p>
      <w:pPr>
        <w:pStyle w:val="ListParagraph"/>
        <w:numPr>
          <w:ilvl w:val="0"/>
          <w:numId w:val="11"/>
        </w:numPr>
        <w:tabs>
          <w:tab w:val="left" w:pos="1730"/>
        </w:tabs>
        <w:spacing w:before="153" w:after="0" w:line="240" w:lineRule="auto"/>
        <w:ind w:left="1729" w:right="0" w:hanging="423"/>
        <w:jc w:val="left"/>
        <w:rPr>
          <w:sz w:val="42"/>
        </w:rPr>
      </w:pPr>
      <w:r>
        <w:rPr>
          <w:sz w:val="42"/>
        </w:rPr>
        <w:t>按照送电程序恢复送电。</w:t>
      </w:r>
    </w:p>
    <w:p>
      <w:pPr>
        <w:pStyle w:val="ListParagraph"/>
        <w:numPr>
          <w:ilvl w:val="0"/>
          <w:numId w:val="11"/>
        </w:numPr>
        <w:tabs>
          <w:tab w:val="left" w:pos="1730"/>
        </w:tabs>
        <w:spacing w:before="149" w:after="0" w:line="240" w:lineRule="auto"/>
        <w:ind w:left="1729" w:right="0" w:hanging="423"/>
        <w:jc w:val="left"/>
        <w:rPr>
          <w:sz w:val="42"/>
        </w:rPr>
      </w:pPr>
      <w:r>
        <w:rPr>
          <w:sz w:val="42"/>
        </w:rPr>
        <w:t>拆除迁改部分线路，根据迁改施工方案中的规定，拆除既有线路。</w:t>
      </w:r>
    </w:p>
    <w:p>
      <w:pPr>
        <w:pStyle w:val="ListParagraph"/>
        <w:numPr>
          <w:ilvl w:val="0"/>
          <w:numId w:val="11"/>
        </w:numPr>
        <w:tabs>
          <w:tab w:val="left" w:pos="1736"/>
        </w:tabs>
        <w:spacing w:before="154" w:after="0" w:line="307" w:lineRule="auto"/>
        <w:ind w:left="468" w:right="1047" w:firstLine="838"/>
        <w:jc w:val="left"/>
        <w:rPr>
          <w:sz w:val="42"/>
        </w:rPr>
      </w:pPr>
      <w:r>
        <w:rPr>
          <w:spacing w:val="-1"/>
          <w:sz w:val="42"/>
        </w:rPr>
        <w:t>线路整修：架空线路成形后，组织有关人员进行质量自检、互检、</w:t>
      </w:r>
      <w:r>
        <w:rPr>
          <w:sz w:val="42"/>
        </w:rPr>
        <w:t>联检，对存在的问题及缺陷及时进行整改，直到达到验标为止。</w:t>
      </w:r>
    </w:p>
    <w:p>
      <w:pPr>
        <w:pStyle w:val="ListParagraph"/>
        <w:numPr>
          <w:ilvl w:val="0"/>
          <w:numId w:val="11"/>
        </w:numPr>
        <w:tabs>
          <w:tab w:val="left" w:pos="1736"/>
        </w:tabs>
        <w:spacing w:before="1" w:after="0" w:line="307" w:lineRule="auto"/>
        <w:ind w:left="468" w:right="1047" w:firstLine="838"/>
        <w:jc w:val="both"/>
        <w:rPr>
          <w:sz w:val="42"/>
        </w:rPr>
      </w:pPr>
      <w:r>
        <w:rPr>
          <w:sz w:val="42"/>
        </w:rPr>
        <w:t>办理交接：由施工单位组织，会同产权单位及站前专业（或其他</w:t>
      </w:r>
      <w:r>
        <w:rPr>
          <w:spacing w:val="-17"/>
          <w:sz w:val="42"/>
        </w:rPr>
        <w:t xml:space="preserve">） </w:t>
      </w:r>
      <w:r>
        <w:rPr>
          <w:spacing w:val="-1"/>
          <w:sz w:val="42"/>
        </w:rPr>
        <w:t>施工单位共同验收，确认符合验收标准和迁改范围后，与原产权单位办理</w:t>
      </w:r>
      <w:r>
        <w:rPr>
          <w:sz w:val="42"/>
        </w:rPr>
        <w:t>移交，待全线各专业施工完毕后办理正式竣工验交。</w:t>
      </w:r>
    </w:p>
    <w:p>
      <w:pPr>
        <w:pStyle w:val="Heading2"/>
        <w:numPr>
          <w:ilvl w:val="1"/>
          <w:numId w:val="16"/>
        </w:numPr>
        <w:tabs>
          <w:tab w:val="left" w:pos="1261"/>
        </w:tabs>
        <w:spacing w:before="0" w:after="0" w:line="525" w:lineRule="exact"/>
        <w:ind w:left="1260" w:right="0" w:hanging="793"/>
        <w:jc w:val="left"/>
        <w:rPr>
          <w:rFonts w:ascii="幼圆" w:eastAsia="幼圆" w:hint="eastAsia"/>
        </w:rPr>
      </w:pPr>
      <w:r>
        <w:rPr>
          <w:rFonts w:ascii="幼圆" w:eastAsia="幼圆" w:hint="eastAsia"/>
        </w:rPr>
        <w:t>通信迁改方案</w:t>
      </w:r>
    </w:p>
    <w:p>
      <w:pPr>
        <w:spacing w:after="0" w:line="525" w:lineRule="exact"/>
        <w:jc w:val="left"/>
        <w:rPr>
          <w:rFonts w:ascii="幼圆" w:eastAsia="幼圆" w:hint="eastAsia"/>
        </w:rPr>
        <w:sectPr>
          <w:footerReference w:type="default" r:id="rId26"/>
          <w:pgSz w:w="17860" w:h="25260"/>
          <w:pgMar w:top="2280" w:right="1200" w:bottom="2080" w:left="1660" w:header="0" w:footer="1884"/>
          <w:pgNumType w:start="14"/>
          <w:cols w:space="708"/>
        </w:sectPr>
      </w:pPr>
    </w:p>
    <w:p>
      <w:pPr>
        <w:pStyle w:val="BodyText"/>
        <w:rPr>
          <w:rFonts w:ascii="幼圆"/>
          <w:b/>
          <w:sz w:val="20"/>
        </w:rPr>
      </w:pPr>
    </w:p>
    <w:p>
      <w:pPr>
        <w:pStyle w:val="BodyText"/>
        <w:spacing w:before="4"/>
        <w:rPr>
          <w:rFonts w:ascii="幼圆"/>
          <w:b/>
          <w:sz w:val="21"/>
        </w:rPr>
      </w:pPr>
    </w:p>
    <w:p>
      <w:pPr>
        <w:pStyle w:val="ListParagraph"/>
        <w:numPr>
          <w:ilvl w:val="2"/>
          <w:numId w:val="16"/>
        </w:numPr>
        <w:tabs>
          <w:tab w:val="left" w:pos="1736"/>
        </w:tabs>
        <w:spacing w:before="42" w:after="0" w:line="307" w:lineRule="auto"/>
        <w:ind w:left="468" w:right="1047" w:firstLine="838"/>
        <w:jc w:val="both"/>
        <w:rPr>
          <w:sz w:val="42"/>
        </w:rPr>
      </w:pPr>
      <w:r>
        <w:rPr>
          <w:spacing w:val="-1"/>
          <w:sz w:val="42"/>
        </w:rPr>
        <w:t>迁改光、电缆类型、芯线容量等应与既有线路的类型、容量―致。既有光、电缆型号不再生产时，应选择种类、容量标准相近的光、电缆类</w:t>
      </w:r>
      <w:r>
        <w:rPr>
          <w:sz w:val="42"/>
        </w:rPr>
        <w:t>型。</w:t>
      </w:r>
    </w:p>
    <w:p>
      <w:pPr>
        <w:pStyle w:val="ListParagraph"/>
        <w:numPr>
          <w:ilvl w:val="2"/>
          <w:numId w:val="16"/>
        </w:numPr>
        <w:tabs>
          <w:tab w:val="left" w:pos="1730"/>
        </w:tabs>
        <w:spacing w:before="4" w:after="0" w:line="240" w:lineRule="auto"/>
        <w:ind w:left="1729" w:right="0" w:hanging="423"/>
        <w:jc w:val="left"/>
        <w:rPr>
          <w:sz w:val="42"/>
        </w:rPr>
      </w:pPr>
      <w:r>
        <w:rPr>
          <w:sz w:val="42"/>
        </w:rPr>
        <w:t>与铁路平行的通信线路：</w:t>
      </w:r>
    </w:p>
    <w:p>
      <w:pPr>
        <w:pStyle w:val="ListParagraph"/>
        <w:numPr>
          <w:ilvl w:val="0"/>
          <w:numId w:val="10"/>
        </w:numPr>
        <w:tabs>
          <w:tab w:val="left" w:pos="1941"/>
        </w:tabs>
        <w:spacing w:before="153" w:after="0" w:line="240" w:lineRule="auto"/>
        <w:ind w:left="1940" w:right="0" w:hanging="634"/>
        <w:jc w:val="left"/>
        <w:rPr>
          <w:sz w:val="42"/>
        </w:rPr>
      </w:pPr>
      <w:r>
        <w:rPr>
          <w:sz w:val="42"/>
        </w:rPr>
        <w:t>迁改长度：</w:t>
      </w:r>
    </w:p>
    <w:p>
      <w:pPr>
        <w:pStyle w:val="BodyText"/>
        <w:spacing w:before="153" w:line="307" w:lineRule="auto"/>
        <w:ind w:left="468" w:right="912" w:firstLine="838"/>
        <w:jc w:val="both"/>
      </w:pPr>
      <w:r>
        <w:rPr>
          <w:spacing w:val="-2"/>
        </w:rPr>
        <w:t xml:space="preserve">光、电缆迁改长度依据现场实际受影响长度的 </w:t>
      </w:r>
      <w:r>
        <w:t>1.2</w:t>
      </w:r>
      <w:r>
        <w:rPr>
          <w:spacing w:val="-4"/>
        </w:rPr>
        <w:t xml:space="preserve"> 倍计列，当光缆迁</w:t>
      </w:r>
      <w:r>
        <w:rPr>
          <w:spacing w:val="-15"/>
        </w:rPr>
        <w:t xml:space="preserve">改长度不足 </w:t>
      </w:r>
      <w:r>
        <w:t>2km</w:t>
      </w:r>
      <w:r>
        <w:rPr>
          <w:spacing w:val="-34"/>
        </w:rPr>
        <w:t xml:space="preserve"> 时按照 </w:t>
      </w:r>
      <w:r>
        <w:t>2km</w:t>
      </w:r>
      <w:r>
        <w:rPr>
          <w:spacing w:val="-17"/>
        </w:rPr>
        <w:t xml:space="preserve"> 计列，电缆迁改长度不足 </w:t>
      </w:r>
      <w:r>
        <w:t>500m</w:t>
      </w:r>
      <w:r>
        <w:rPr>
          <w:spacing w:val="-34"/>
        </w:rPr>
        <w:t xml:space="preserve"> 时按照 </w:t>
      </w:r>
      <w:r>
        <w:t>500m</w:t>
      </w:r>
      <w:r>
        <w:rPr>
          <w:spacing w:val="-42"/>
        </w:rPr>
        <w:t xml:space="preserve"> 计</w:t>
      </w:r>
      <w:r>
        <w:rPr>
          <w:spacing w:val="-47"/>
        </w:rPr>
        <w:t xml:space="preserve">列。管道迁改长度按实际受影响长度的 </w:t>
      </w:r>
      <w:r>
        <w:t>1.2</w:t>
      </w:r>
      <w:r>
        <w:rPr>
          <w:spacing w:val="-22"/>
        </w:rPr>
        <w:t xml:space="preserve"> 倍考虑。</w:t>
      </w:r>
    </w:p>
    <w:p>
      <w:pPr>
        <w:pStyle w:val="ListParagraph"/>
        <w:numPr>
          <w:ilvl w:val="0"/>
          <w:numId w:val="10"/>
        </w:numPr>
        <w:tabs>
          <w:tab w:val="left" w:pos="1941"/>
        </w:tabs>
        <w:spacing w:before="5" w:after="0" w:line="240" w:lineRule="auto"/>
        <w:ind w:left="1940" w:right="0" w:hanging="634"/>
        <w:jc w:val="both"/>
        <w:rPr>
          <w:sz w:val="42"/>
        </w:rPr>
      </w:pPr>
      <w:r>
        <w:rPr>
          <w:sz w:val="42"/>
        </w:rPr>
        <w:t>防护原则：</w:t>
      </w:r>
    </w:p>
    <w:p>
      <w:pPr>
        <w:pStyle w:val="BodyText"/>
        <w:spacing w:before="149"/>
        <w:ind w:left="1307"/>
      </w:pPr>
      <w:r>
        <w:t>埋式光、电缆防护量按原通信定额比例计列。</w:t>
      </w:r>
    </w:p>
    <w:p>
      <w:pPr>
        <w:pStyle w:val="ListParagraph"/>
        <w:numPr>
          <w:ilvl w:val="0"/>
          <w:numId w:val="10"/>
        </w:numPr>
        <w:tabs>
          <w:tab w:val="left" w:pos="1941"/>
        </w:tabs>
        <w:spacing w:before="153" w:after="0" w:line="240" w:lineRule="auto"/>
        <w:ind w:left="1940" w:right="0" w:hanging="634"/>
        <w:jc w:val="left"/>
        <w:rPr>
          <w:sz w:val="42"/>
        </w:rPr>
      </w:pPr>
      <w:r>
        <w:rPr>
          <w:spacing w:val="-11"/>
          <w:sz w:val="42"/>
        </w:rPr>
        <w:t xml:space="preserve">架空光、电缆电杆均按 </w:t>
      </w:r>
      <w:r>
        <w:rPr>
          <w:sz w:val="42"/>
        </w:rPr>
        <w:t>40m</w:t>
      </w:r>
      <w:r>
        <w:rPr>
          <w:spacing w:val="-15"/>
          <w:sz w:val="42"/>
        </w:rPr>
        <w:t xml:space="preserve"> 间距进行设置。</w:t>
      </w:r>
    </w:p>
    <w:p>
      <w:pPr>
        <w:pStyle w:val="ListParagraph"/>
        <w:numPr>
          <w:ilvl w:val="0"/>
          <w:numId w:val="10"/>
        </w:numPr>
        <w:tabs>
          <w:tab w:val="left" w:pos="1941"/>
        </w:tabs>
        <w:spacing w:before="153" w:after="0" w:line="307" w:lineRule="auto"/>
        <w:ind w:left="468" w:right="920" w:firstLine="838"/>
        <w:jc w:val="left"/>
        <w:rPr>
          <w:sz w:val="42"/>
        </w:rPr>
      </w:pPr>
      <w:r>
        <w:rPr>
          <w:sz w:val="42"/>
        </w:rPr>
        <w:t>管道按照塑料管道考虑，同时需设人（手）</w:t>
      </w:r>
      <w:r>
        <w:rPr>
          <w:spacing w:val="-7"/>
          <w:sz w:val="42"/>
        </w:rPr>
        <w:t xml:space="preserve">孔，均按照 </w:t>
      </w:r>
      <w:r>
        <w:rPr>
          <w:sz w:val="42"/>
        </w:rPr>
        <w:t>100m</w:t>
      </w:r>
      <w:r>
        <w:rPr>
          <w:spacing w:val="-8"/>
          <w:sz w:val="42"/>
        </w:rPr>
        <w:t xml:space="preserve"> 间距</w:t>
      </w:r>
      <w:r>
        <w:rPr>
          <w:sz w:val="42"/>
        </w:rPr>
        <w:t>进行设置。</w:t>
      </w:r>
    </w:p>
    <w:p>
      <w:pPr>
        <w:pStyle w:val="ListParagraph"/>
        <w:numPr>
          <w:ilvl w:val="2"/>
          <w:numId w:val="16"/>
        </w:numPr>
        <w:tabs>
          <w:tab w:val="left" w:pos="1730"/>
        </w:tabs>
        <w:spacing w:before="1" w:after="0" w:line="240" w:lineRule="auto"/>
        <w:ind w:left="1729" w:right="0" w:hanging="423"/>
        <w:jc w:val="left"/>
        <w:rPr>
          <w:sz w:val="42"/>
        </w:rPr>
      </w:pPr>
      <w:r>
        <w:rPr>
          <w:sz w:val="42"/>
        </w:rPr>
        <w:t>与铁路交越的通信线路：</w:t>
      </w:r>
    </w:p>
    <w:p>
      <w:pPr>
        <w:pStyle w:val="ListParagraph"/>
        <w:numPr>
          <w:ilvl w:val="0"/>
          <w:numId w:val="9"/>
        </w:numPr>
        <w:tabs>
          <w:tab w:val="left" w:pos="1941"/>
        </w:tabs>
        <w:spacing w:before="154" w:after="0" w:line="307" w:lineRule="auto"/>
        <w:ind w:left="468" w:right="915" w:firstLine="838"/>
        <w:jc w:val="both"/>
        <w:rPr>
          <w:sz w:val="42"/>
        </w:rPr>
      </w:pPr>
      <w:r>
        <w:rPr>
          <w:spacing w:val="-25"/>
          <w:sz w:val="42"/>
        </w:rPr>
        <w:t>非干线光缆</w:t>
      </w:r>
      <w:r>
        <w:rPr>
          <w:sz w:val="42"/>
        </w:rPr>
        <w:t>（12</w:t>
      </w:r>
      <w:r>
        <w:rPr>
          <w:spacing w:val="-23"/>
          <w:sz w:val="42"/>
        </w:rPr>
        <w:t xml:space="preserve"> 芯以下</w:t>
      </w:r>
      <w:r>
        <w:rPr>
          <w:spacing w:val="-119"/>
          <w:sz w:val="42"/>
        </w:rPr>
        <w:t>）</w:t>
      </w:r>
      <w:r>
        <w:rPr>
          <w:spacing w:val="-14"/>
          <w:sz w:val="42"/>
        </w:rPr>
        <w:t xml:space="preserve">迁改长度按照 </w:t>
      </w:r>
      <w:r>
        <w:rPr>
          <w:sz w:val="42"/>
        </w:rPr>
        <w:t>500m/</w:t>
      </w:r>
      <w:r>
        <w:rPr>
          <w:spacing w:val="-31"/>
          <w:sz w:val="42"/>
        </w:rPr>
        <w:t>处计列，干线光缆</w:t>
      </w:r>
      <w:r>
        <w:rPr>
          <w:spacing w:val="-6"/>
          <w:sz w:val="42"/>
        </w:rPr>
        <w:t xml:space="preserve">（12 </w:t>
      </w:r>
      <w:r>
        <w:rPr>
          <w:sz w:val="42"/>
        </w:rPr>
        <w:t>芯及以上）</w:t>
      </w:r>
      <w:r>
        <w:rPr>
          <w:spacing w:val="-10"/>
          <w:sz w:val="42"/>
        </w:rPr>
        <w:t xml:space="preserve">和部队光缆，迁改长度按照 </w:t>
      </w:r>
      <w:r>
        <w:rPr>
          <w:sz w:val="42"/>
        </w:rPr>
        <w:t>2km/处计列。</w:t>
      </w:r>
    </w:p>
    <w:p>
      <w:pPr>
        <w:pStyle w:val="ListParagraph"/>
        <w:numPr>
          <w:ilvl w:val="0"/>
          <w:numId w:val="9"/>
        </w:numPr>
        <w:tabs>
          <w:tab w:val="left" w:pos="1941"/>
        </w:tabs>
        <w:spacing w:before="1" w:after="0" w:line="307" w:lineRule="auto"/>
        <w:ind w:left="468" w:right="906" w:firstLine="838"/>
        <w:jc w:val="both"/>
        <w:rPr>
          <w:sz w:val="42"/>
        </w:rPr>
      </w:pPr>
      <w:r>
        <w:rPr>
          <w:spacing w:val="-26"/>
          <w:sz w:val="42"/>
        </w:rPr>
        <w:t xml:space="preserve">市话电缆，迁改长度按照 </w:t>
      </w:r>
      <w:r>
        <w:rPr>
          <w:sz w:val="42"/>
        </w:rPr>
        <w:t>500m/</w:t>
      </w:r>
      <w:r>
        <w:rPr>
          <w:spacing w:val="-16"/>
          <w:sz w:val="42"/>
        </w:rPr>
        <w:t xml:space="preserve">处计列，低频对称电缆及同轴电缆， 迁改长度按照 </w:t>
      </w:r>
      <w:r>
        <w:rPr>
          <w:sz w:val="42"/>
        </w:rPr>
        <w:t>500m／处计列。</w:t>
      </w:r>
    </w:p>
    <w:p>
      <w:pPr>
        <w:pStyle w:val="ListParagraph"/>
        <w:numPr>
          <w:ilvl w:val="0"/>
          <w:numId w:val="9"/>
        </w:numPr>
        <w:tabs>
          <w:tab w:val="left" w:pos="1941"/>
        </w:tabs>
        <w:spacing w:before="1" w:after="0" w:line="307" w:lineRule="auto"/>
        <w:ind w:left="468" w:right="842" w:firstLine="838"/>
        <w:jc w:val="both"/>
        <w:rPr>
          <w:sz w:val="42"/>
        </w:rPr>
      </w:pPr>
      <w:r>
        <w:rPr>
          <w:spacing w:val="-1"/>
          <w:sz w:val="42"/>
        </w:rPr>
        <w:t>当实际迁改长度不满足上述确定的迁改长度时，应按以上规定计列</w:t>
      </w:r>
      <w:r>
        <w:rPr>
          <w:sz w:val="42"/>
        </w:rPr>
        <w:t>迁改长度，同时结合通信防干扰要求统筹考虑，一次迁改到位。</w:t>
      </w:r>
    </w:p>
    <w:p>
      <w:pPr>
        <w:pStyle w:val="ListParagraph"/>
        <w:numPr>
          <w:ilvl w:val="0"/>
          <w:numId w:val="9"/>
        </w:numPr>
        <w:tabs>
          <w:tab w:val="left" w:pos="1941"/>
        </w:tabs>
        <w:spacing w:before="5" w:after="0" w:line="307" w:lineRule="auto"/>
        <w:ind w:left="468" w:right="842" w:firstLine="838"/>
        <w:jc w:val="both"/>
        <w:rPr>
          <w:sz w:val="42"/>
        </w:rPr>
      </w:pPr>
      <w:r>
        <w:rPr>
          <w:spacing w:val="-1"/>
          <w:sz w:val="42"/>
        </w:rPr>
        <w:t>防护原则：所有通信线路都不允许在电气化铁路上方跨越，凡跨越</w:t>
      </w:r>
      <w:r>
        <w:rPr>
          <w:spacing w:val="-18"/>
          <w:sz w:val="42"/>
        </w:rPr>
        <w:t>铁路的光电缆，必须在铁路下穿管埋设通过；也可以利用地形，在隧道顶、桥下、上跨立交桥的桥而上埋管、涵洞埋设等方式过轨。</w:t>
      </w:r>
    </w:p>
    <w:p>
      <w:pPr>
        <w:pStyle w:val="ListParagraph"/>
        <w:numPr>
          <w:ilvl w:val="0"/>
          <w:numId w:val="9"/>
        </w:numPr>
        <w:tabs>
          <w:tab w:val="left" w:pos="1941"/>
        </w:tabs>
        <w:spacing w:before="5" w:after="0" w:line="307" w:lineRule="auto"/>
        <w:ind w:left="468" w:right="842" w:firstLine="838"/>
        <w:jc w:val="left"/>
        <w:rPr>
          <w:sz w:val="42"/>
        </w:rPr>
      </w:pPr>
      <w:r>
        <w:rPr>
          <w:spacing w:val="-1"/>
          <w:sz w:val="42"/>
        </w:rPr>
        <w:t>对于既有铁路占压的通信线路，过轨部分采用拉管防护；对丁在新</w:t>
      </w:r>
      <w:r>
        <w:rPr>
          <w:sz w:val="42"/>
        </w:rPr>
        <w:t>建铁路桥下穿过的通信线路，过轨部分采用钢管防护，按普通直埋考虑； 对于在新建铁路路基下穿过的通信线路，过轨部分采用钢管防护，按特殊</w:t>
      </w:r>
      <w:r>
        <w:rPr>
          <w:spacing w:val="-1"/>
          <w:sz w:val="42"/>
        </w:rPr>
        <w:t>埋深直埋考虑。对于同一产权单位，当光、电缆根数≤</w:t>
      </w:r>
      <w:r>
        <w:rPr>
          <w:spacing w:val="-19"/>
          <w:sz w:val="42"/>
        </w:rPr>
        <w:t>4</w:t>
      </w:r>
      <w:r>
        <w:rPr>
          <w:sz w:val="42"/>
        </w:rPr>
        <w:t>根时，钢管防护按</w:t>
      </w:r>
      <w:r>
        <w:rPr>
          <w:spacing w:val="-16"/>
          <w:sz w:val="42"/>
        </w:rPr>
        <w:t xml:space="preserve">照每根缆 </w:t>
      </w:r>
      <w:r>
        <w:rPr>
          <w:sz w:val="42"/>
        </w:rPr>
        <w:t>1</w:t>
      </w:r>
      <w:r>
        <w:rPr>
          <w:spacing w:val="-14"/>
          <w:sz w:val="42"/>
        </w:rPr>
        <w:t xml:space="preserve"> 根钢管计列；当光、电缆根数超过 </w:t>
      </w:r>
      <w:r>
        <w:rPr>
          <w:sz w:val="42"/>
        </w:rPr>
        <w:t>4</w:t>
      </w:r>
      <w:r>
        <w:rPr>
          <w:spacing w:val="-18"/>
          <w:sz w:val="42"/>
        </w:rPr>
        <w:t xml:space="preserve"> 根时，按照每增加 </w:t>
      </w:r>
      <w:r>
        <w:rPr>
          <w:sz w:val="42"/>
        </w:rPr>
        <w:t>2</w:t>
      </w:r>
      <w:r>
        <w:rPr>
          <w:spacing w:val="-24"/>
          <w:sz w:val="42"/>
        </w:rPr>
        <w:t xml:space="preserve"> 根缆</w:t>
      </w:r>
    </w:p>
    <w:p>
      <w:pPr>
        <w:spacing w:after="0" w:line="307"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7" w:history="1">
        <w:r>
          <w:rPr>
            <w:rFonts w:ascii="SimSun" w:eastAsia="SimSun" w:hAnsi="SimSun" w:cs="SimSun"/>
            <w:b/>
            <w:bCs/>
            <w:color w:val="0000EE"/>
            <w:sz w:val="30"/>
            <w:szCs w:val="30"/>
            <w:u w:val="single" w:color="0000EE"/>
          </w:rPr>
          <w:t>https://d.book118.com/588067122110006031</w:t>
        </w:r>
      </w:hyperlink>
    </w:p>
    <w:p>
      <w:pPr>
        <w:spacing w:after="0" w:line="307" w:lineRule="auto"/>
        <w:jc w:val="left"/>
        <w:rPr>
          <w:sz w:val="42"/>
        </w:rPr>
      </w:pPr>
    </w:p>
    <w:sectPr>
      <w:footerReference w:type="default" r:id="rId28"/>
      <w:pgSz w:w="17860" w:h="25260"/>
      <w:pgMar w:top="2420" w:right="1200" w:bottom="2080" w:left="1660" w:header="0" w:footer="1884"/>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2.05pt;height:17.85pt;margin-top:1157.7pt;margin-left:435.55pt;mso-position-horizontal-relative:page;mso-position-vertical-relative:page;position:absolute;z-index:-251658240"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2.05pt;height:17.85pt;margin-top:1157.7pt;margin-left:435.55pt;mso-position-horizontal-relative:page;mso-position-vertical-relative:page;position:absolute;z-index:-251657216"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2.05pt;height:17.85pt;margin-top:1157.7pt;margin-left:435.55pt;mso-position-horizontal-relative:page;mso-position-vertical-relative:page;position:absolute;z-index:-251656192"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2.05pt;height:17.85pt;margin-top:1157.7pt;margin-left:435.55pt;mso-position-horizontal-relative:page;mso-position-vertical-relative:page;position:absolute;z-index:-251655168"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2.05pt;height:17.85pt;margin-top:1157.7pt;margin-left:435.55pt;mso-position-horizontal-relative:page;mso-position-vertical-relative:page;position:absolute;z-index:-251654144"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2.05pt;height:17.85pt;margin-top:1157.7pt;margin-left:435.55pt;mso-position-horizontal-relative:page;mso-position-vertical-relative:page;position:absolute;z-index:-251653120"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2.05pt;height:17.85pt;margin-top:1157.7pt;margin-left:435.55pt;mso-position-horizontal-relative:page;mso-position-vertical-relative:page;position:absolute;z-index:-251652096"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2.05pt;height:17.85pt;margin-top:1157.7pt;margin-left:435.55pt;mso-position-horizontal-relative:page;mso-position-vertical-relative:page;position:absolute;z-index:-251651072"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2.05pt;height:17.85pt;margin-top:1157.7pt;margin-left:435.55pt;mso-position-horizontal-relative:page;mso-position-vertical-relative:page;position:absolute;z-index:-251650048"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2.05pt;height:17.85pt;margin-top:1157.7pt;margin-left:435.55pt;mso-position-horizontal-relative:page;mso-position-vertical-relative:page;position:absolute;z-index:-251649024"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2.05pt;height:17.85pt;margin-top:1157.7pt;margin-left:435.55pt;mso-position-horizontal-relative:page;mso-position-vertical-relative:page;position:absolute;z-index:-251648000"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29</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2.05pt;height:17.85pt;margin-top:1157.7pt;margin-left:435.55pt;mso-position-horizontal-relative:page;mso-position-vertical-relative:page;position:absolute;z-index:-251646976"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29</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2.05pt;height:17.85pt;margin-top:1157.7pt;margin-left:435.55pt;mso-position-horizontal-relative:page;mso-position-vertical-relative:page;position:absolute;z-index:-251645952"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2.05pt;height:17.85pt;margin-top:1157.7pt;margin-left:435.55pt;mso-position-horizontal-relative:page;mso-position-vertical-relative:page;position:absolute;z-index:-251644928"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2.05pt;height:17.85pt;margin-top:1157.7pt;margin-left:435.55pt;mso-position-horizontal-relative:page;mso-position-vertical-relative:page;position:absolute;z-index:-251643904" filled="f" stroked="f">
          <v:textbox inset="0,0,0,0">
            <w:txbxContent>
              <w:p>
                <w:pPr>
                  <w:spacing w:before="0" w:line="341" w:lineRule="exact"/>
                  <w:ind w:left="60" w:right="0" w:firstLine="0"/>
                  <w:jc w:val="left"/>
                  <w:rPr>
                    <w:rFonts w:ascii="Calibri"/>
                    <w:sz w:val="31"/>
                  </w:rPr>
                </w:pPr>
                <w:r>
                  <w:fldChar w:fldCharType="begin"/>
                </w:r>
                <w:r>
                  <w:rPr>
                    <w:rFonts w:ascii="Calibri"/>
                    <w:sz w:val="31"/>
                  </w:rPr>
                  <w:instrText xml:space="preserve"> PAGE </w:instrText>
                </w:r>
                <w:r>
                  <w:fldChar w:fldCharType="separate"/>
                </w:r>
                <w:r>
                  <w:rPr>
                    <w:rFonts w:ascii="Calibri"/>
                    <w:sz w:val="31"/>
                  </w:rPr>
                  <w:t>15</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E415F"/>
    <w:multiLevelType w:val="hybridMultilevel"/>
    <w:tmpl w:val="00000000"/>
    <w:lvl w:ilvl="0">
      <w:start w:val="4"/>
      <w:numFmt w:val="decimal"/>
      <w:lvlText w:val="%1"/>
      <w:lvlJc w:val="left"/>
      <w:pPr>
        <w:ind w:left="1260" w:hanging="792"/>
        <w:jc w:val="left"/>
      </w:pPr>
      <w:rPr>
        <w:rFonts w:hint="default"/>
      </w:rPr>
    </w:lvl>
    <w:lvl w:ilvl="1">
      <w:start w:val="1"/>
      <w:numFmt w:val="decimal"/>
      <w:lvlText w:val="%1.%2"/>
      <w:lvlJc w:val="left"/>
      <w:pPr>
        <w:ind w:left="1260" w:hanging="792"/>
        <w:jc w:val="left"/>
      </w:pPr>
      <w:rPr>
        <w:rFonts w:ascii="宋体" w:eastAsia="宋体" w:hAnsi="宋体" w:cs="宋体" w:hint="default"/>
        <w:b/>
        <w:bCs/>
        <w:w w:val="99"/>
        <w:sz w:val="45"/>
        <w:szCs w:val="45"/>
      </w:rPr>
    </w:lvl>
    <w:lvl w:ilvl="2">
      <w:start w:val="0"/>
      <w:numFmt w:val="bullet"/>
      <w:lvlText w:val="•"/>
      <w:lvlJc w:val="left"/>
      <w:pPr>
        <w:ind w:left="4007" w:hanging="792"/>
      </w:pPr>
      <w:rPr>
        <w:rFonts w:hint="default"/>
      </w:rPr>
    </w:lvl>
    <w:lvl w:ilvl="3">
      <w:start w:val="0"/>
      <w:numFmt w:val="bullet"/>
      <w:lvlText w:val="•"/>
      <w:lvlJc w:val="left"/>
      <w:pPr>
        <w:ind w:left="5381" w:hanging="792"/>
      </w:pPr>
      <w:rPr>
        <w:rFonts w:hint="default"/>
      </w:rPr>
    </w:lvl>
    <w:lvl w:ilvl="4">
      <w:start w:val="0"/>
      <w:numFmt w:val="bullet"/>
      <w:lvlText w:val="•"/>
      <w:lvlJc w:val="left"/>
      <w:pPr>
        <w:ind w:left="6755" w:hanging="792"/>
      </w:pPr>
      <w:rPr>
        <w:rFonts w:hint="default"/>
      </w:rPr>
    </w:lvl>
    <w:lvl w:ilvl="5">
      <w:start w:val="0"/>
      <w:numFmt w:val="bullet"/>
      <w:lvlText w:val="•"/>
      <w:lvlJc w:val="left"/>
      <w:pPr>
        <w:ind w:left="8129" w:hanging="792"/>
      </w:pPr>
      <w:rPr>
        <w:rFonts w:hint="default"/>
      </w:rPr>
    </w:lvl>
    <w:lvl w:ilvl="6">
      <w:start w:val="0"/>
      <w:numFmt w:val="bullet"/>
      <w:lvlText w:val="•"/>
      <w:lvlJc w:val="left"/>
      <w:pPr>
        <w:ind w:left="9503" w:hanging="792"/>
      </w:pPr>
      <w:rPr>
        <w:rFonts w:hint="default"/>
      </w:rPr>
    </w:lvl>
    <w:lvl w:ilvl="7">
      <w:start w:val="0"/>
      <w:numFmt w:val="bullet"/>
      <w:lvlText w:val="•"/>
      <w:lvlJc w:val="left"/>
      <w:pPr>
        <w:ind w:left="10877" w:hanging="792"/>
      </w:pPr>
      <w:rPr>
        <w:rFonts w:hint="default"/>
      </w:rPr>
    </w:lvl>
    <w:lvl w:ilvl="8">
      <w:start w:val="0"/>
      <w:numFmt w:val="bullet"/>
      <w:lvlText w:val="•"/>
      <w:lvlJc w:val="left"/>
      <w:pPr>
        <w:ind w:left="12251" w:hanging="792"/>
      </w:pPr>
      <w:rPr>
        <w:rFonts w:hint="default"/>
      </w:rPr>
    </w:lvl>
  </w:abstractNum>
  <w:abstractNum w:abstractNumId="1">
    <w:nsid w:val="0D285934"/>
    <w:multiLevelType w:val="hybridMultilevel"/>
    <w:tmpl w:val="00000000"/>
    <w:lvl w:ilvl="0">
      <w:start w:val="1"/>
      <w:numFmt w:val="decimal"/>
      <w:lvlText w:val="%1)."/>
      <w:lvlJc w:val="left"/>
      <w:pPr>
        <w:ind w:left="1940" w:hanging="634"/>
        <w:jc w:val="left"/>
      </w:pPr>
      <w:rPr>
        <w:rFonts w:ascii="仿宋" w:eastAsia="仿宋" w:hAnsi="仿宋" w:cs="仿宋" w:hint="default"/>
        <w:w w:val="100"/>
        <w:sz w:val="40"/>
        <w:szCs w:val="40"/>
      </w:rPr>
    </w:lvl>
    <w:lvl w:ilvl="1">
      <w:start w:val="0"/>
      <w:numFmt w:val="bullet"/>
      <w:lvlText w:val="•"/>
      <w:lvlJc w:val="left"/>
      <w:pPr>
        <w:ind w:left="3245" w:hanging="634"/>
      </w:pPr>
      <w:rPr>
        <w:rFonts w:hint="default"/>
      </w:rPr>
    </w:lvl>
    <w:lvl w:ilvl="2">
      <w:start w:val="0"/>
      <w:numFmt w:val="bullet"/>
      <w:lvlText w:val="•"/>
      <w:lvlJc w:val="left"/>
      <w:pPr>
        <w:ind w:left="4551" w:hanging="634"/>
      </w:pPr>
      <w:rPr>
        <w:rFonts w:hint="default"/>
      </w:rPr>
    </w:lvl>
    <w:lvl w:ilvl="3">
      <w:start w:val="0"/>
      <w:numFmt w:val="bullet"/>
      <w:lvlText w:val="•"/>
      <w:lvlJc w:val="left"/>
      <w:pPr>
        <w:ind w:left="5857" w:hanging="634"/>
      </w:pPr>
      <w:rPr>
        <w:rFonts w:hint="default"/>
      </w:rPr>
    </w:lvl>
    <w:lvl w:ilvl="4">
      <w:start w:val="0"/>
      <w:numFmt w:val="bullet"/>
      <w:lvlText w:val="•"/>
      <w:lvlJc w:val="left"/>
      <w:pPr>
        <w:ind w:left="7163" w:hanging="634"/>
      </w:pPr>
      <w:rPr>
        <w:rFonts w:hint="default"/>
      </w:rPr>
    </w:lvl>
    <w:lvl w:ilvl="5">
      <w:start w:val="0"/>
      <w:numFmt w:val="bullet"/>
      <w:lvlText w:val="•"/>
      <w:lvlJc w:val="left"/>
      <w:pPr>
        <w:ind w:left="8469" w:hanging="634"/>
      </w:pPr>
      <w:rPr>
        <w:rFonts w:hint="default"/>
      </w:rPr>
    </w:lvl>
    <w:lvl w:ilvl="6">
      <w:start w:val="0"/>
      <w:numFmt w:val="bullet"/>
      <w:lvlText w:val="•"/>
      <w:lvlJc w:val="left"/>
      <w:pPr>
        <w:ind w:left="9775" w:hanging="634"/>
      </w:pPr>
      <w:rPr>
        <w:rFonts w:hint="default"/>
      </w:rPr>
    </w:lvl>
    <w:lvl w:ilvl="7">
      <w:start w:val="0"/>
      <w:numFmt w:val="bullet"/>
      <w:lvlText w:val="•"/>
      <w:lvlJc w:val="left"/>
      <w:pPr>
        <w:ind w:left="11081" w:hanging="634"/>
      </w:pPr>
      <w:rPr>
        <w:rFonts w:hint="default"/>
      </w:rPr>
    </w:lvl>
    <w:lvl w:ilvl="8">
      <w:start w:val="0"/>
      <w:numFmt w:val="bullet"/>
      <w:lvlText w:val="•"/>
      <w:lvlJc w:val="left"/>
      <w:pPr>
        <w:ind w:left="12387" w:hanging="634"/>
      </w:pPr>
      <w:rPr>
        <w:rFonts w:hint="default"/>
      </w:rPr>
    </w:lvl>
  </w:abstractNum>
  <w:abstractNum w:abstractNumId="2">
    <w:nsid w:val="14DB8148"/>
    <w:multiLevelType w:val="hybridMultilevel"/>
    <w:tmpl w:val="00000000"/>
    <w:lvl w:ilvl="0">
      <w:start w:val="7"/>
      <w:numFmt w:val="decimal"/>
      <w:lvlText w:val="%1"/>
      <w:lvlJc w:val="left"/>
      <w:pPr>
        <w:ind w:left="1238" w:hanging="454"/>
        <w:jc w:val="left"/>
      </w:pPr>
      <w:rPr>
        <w:rFonts w:hint="default"/>
      </w:rPr>
    </w:lvl>
    <w:lvl w:ilvl="1">
      <w:start w:val="1"/>
      <w:numFmt w:val="decimal"/>
      <w:lvlText w:val="%1.%2"/>
      <w:lvlJc w:val="left"/>
      <w:pPr>
        <w:ind w:left="1238" w:hanging="454"/>
        <w:jc w:val="left"/>
      </w:pPr>
      <w:rPr>
        <w:rFonts w:ascii="Calibri" w:eastAsia="Calibri" w:hAnsi="Calibri" w:cs="Calibri" w:hint="default"/>
        <w:spacing w:val="-1"/>
        <w:w w:val="99"/>
        <w:sz w:val="30"/>
        <w:szCs w:val="30"/>
      </w:rPr>
    </w:lvl>
    <w:lvl w:ilvl="2">
      <w:start w:val="0"/>
      <w:numFmt w:val="bullet"/>
      <w:lvlText w:val="•"/>
      <w:lvlJc w:val="left"/>
      <w:pPr>
        <w:ind w:left="3991" w:hanging="454"/>
      </w:pPr>
      <w:rPr>
        <w:rFonts w:hint="default"/>
      </w:rPr>
    </w:lvl>
    <w:lvl w:ilvl="3">
      <w:start w:val="0"/>
      <w:numFmt w:val="bullet"/>
      <w:lvlText w:val="•"/>
      <w:lvlJc w:val="left"/>
      <w:pPr>
        <w:ind w:left="5367" w:hanging="454"/>
      </w:pPr>
      <w:rPr>
        <w:rFonts w:hint="default"/>
      </w:rPr>
    </w:lvl>
    <w:lvl w:ilvl="4">
      <w:start w:val="0"/>
      <w:numFmt w:val="bullet"/>
      <w:lvlText w:val="•"/>
      <w:lvlJc w:val="left"/>
      <w:pPr>
        <w:ind w:left="6743" w:hanging="454"/>
      </w:pPr>
      <w:rPr>
        <w:rFonts w:hint="default"/>
      </w:rPr>
    </w:lvl>
    <w:lvl w:ilvl="5">
      <w:start w:val="0"/>
      <w:numFmt w:val="bullet"/>
      <w:lvlText w:val="•"/>
      <w:lvlJc w:val="left"/>
      <w:pPr>
        <w:ind w:left="8119" w:hanging="454"/>
      </w:pPr>
      <w:rPr>
        <w:rFonts w:hint="default"/>
      </w:rPr>
    </w:lvl>
    <w:lvl w:ilvl="6">
      <w:start w:val="0"/>
      <w:numFmt w:val="bullet"/>
      <w:lvlText w:val="•"/>
      <w:lvlJc w:val="left"/>
      <w:pPr>
        <w:ind w:left="9495" w:hanging="454"/>
      </w:pPr>
      <w:rPr>
        <w:rFonts w:hint="default"/>
      </w:rPr>
    </w:lvl>
    <w:lvl w:ilvl="7">
      <w:start w:val="0"/>
      <w:numFmt w:val="bullet"/>
      <w:lvlText w:val="•"/>
      <w:lvlJc w:val="left"/>
      <w:pPr>
        <w:ind w:left="10871" w:hanging="454"/>
      </w:pPr>
      <w:rPr>
        <w:rFonts w:hint="default"/>
      </w:rPr>
    </w:lvl>
    <w:lvl w:ilvl="8">
      <w:start w:val="0"/>
      <w:numFmt w:val="bullet"/>
      <w:lvlText w:val="•"/>
      <w:lvlJc w:val="left"/>
      <w:pPr>
        <w:ind w:left="12247" w:hanging="454"/>
      </w:pPr>
      <w:rPr>
        <w:rFonts w:hint="default"/>
      </w:rPr>
    </w:lvl>
  </w:abstractNum>
  <w:abstractNum w:abstractNumId="3">
    <w:nsid w:val="170A8D3C"/>
    <w:multiLevelType w:val="hybridMultilevel"/>
    <w:tmpl w:val="00000000"/>
    <w:lvl w:ilvl="0">
      <w:start w:val="6"/>
      <w:numFmt w:val="decimal"/>
      <w:lvlText w:val="%1)"/>
      <w:lvlJc w:val="left"/>
      <w:pPr>
        <w:ind w:left="1729" w:hanging="423"/>
        <w:jc w:val="left"/>
      </w:pPr>
      <w:rPr>
        <w:rFonts w:ascii="宋体" w:eastAsia="宋体" w:hAnsi="宋体" w:cs="宋体" w:hint="default"/>
        <w:spacing w:val="-1"/>
        <w:w w:val="100"/>
        <w:sz w:val="40"/>
        <w:szCs w:val="40"/>
      </w:rPr>
    </w:lvl>
    <w:lvl w:ilvl="1">
      <w:start w:val="0"/>
      <w:numFmt w:val="bullet"/>
      <w:lvlText w:val="•"/>
      <w:lvlJc w:val="left"/>
      <w:pPr>
        <w:ind w:left="3047" w:hanging="423"/>
      </w:pPr>
      <w:rPr>
        <w:rFonts w:hint="default"/>
      </w:rPr>
    </w:lvl>
    <w:lvl w:ilvl="2">
      <w:start w:val="0"/>
      <w:numFmt w:val="bullet"/>
      <w:lvlText w:val="•"/>
      <w:lvlJc w:val="left"/>
      <w:pPr>
        <w:ind w:left="4375" w:hanging="423"/>
      </w:pPr>
      <w:rPr>
        <w:rFonts w:hint="default"/>
      </w:rPr>
    </w:lvl>
    <w:lvl w:ilvl="3">
      <w:start w:val="0"/>
      <w:numFmt w:val="bullet"/>
      <w:lvlText w:val="•"/>
      <w:lvlJc w:val="left"/>
      <w:pPr>
        <w:ind w:left="5703" w:hanging="423"/>
      </w:pPr>
      <w:rPr>
        <w:rFonts w:hint="default"/>
      </w:rPr>
    </w:lvl>
    <w:lvl w:ilvl="4">
      <w:start w:val="0"/>
      <w:numFmt w:val="bullet"/>
      <w:lvlText w:val="•"/>
      <w:lvlJc w:val="left"/>
      <w:pPr>
        <w:ind w:left="7031" w:hanging="423"/>
      </w:pPr>
      <w:rPr>
        <w:rFonts w:hint="default"/>
      </w:rPr>
    </w:lvl>
    <w:lvl w:ilvl="5">
      <w:start w:val="0"/>
      <w:numFmt w:val="bullet"/>
      <w:lvlText w:val="•"/>
      <w:lvlJc w:val="left"/>
      <w:pPr>
        <w:ind w:left="8359" w:hanging="423"/>
      </w:pPr>
      <w:rPr>
        <w:rFonts w:hint="default"/>
      </w:rPr>
    </w:lvl>
    <w:lvl w:ilvl="6">
      <w:start w:val="0"/>
      <w:numFmt w:val="bullet"/>
      <w:lvlText w:val="•"/>
      <w:lvlJc w:val="left"/>
      <w:pPr>
        <w:ind w:left="9687" w:hanging="423"/>
      </w:pPr>
      <w:rPr>
        <w:rFonts w:hint="default"/>
      </w:rPr>
    </w:lvl>
    <w:lvl w:ilvl="7">
      <w:start w:val="0"/>
      <w:numFmt w:val="bullet"/>
      <w:lvlText w:val="•"/>
      <w:lvlJc w:val="left"/>
      <w:pPr>
        <w:ind w:left="11015" w:hanging="423"/>
      </w:pPr>
      <w:rPr>
        <w:rFonts w:hint="default"/>
      </w:rPr>
    </w:lvl>
    <w:lvl w:ilvl="8">
      <w:start w:val="0"/>
      <w:numFmt w:val="bullet"/>
      <w:lvlText w:val="•"/>
      <w:lvlJc w:val="left"/>
      <w:pPr>
        <w:ind w:left="12343" w:hanging="423"/>
      </w:pPr>
      <w:rPr>
        <w:rFonts w:hint="default"/>
      </w:rPr>
    </w:lvl>
  </w:abstractNum>
  <w:abstractNum w:abstractNumId="4">
    <w:nsid w:val="19A39077"/>
    <w:multiLevelType w:val="hybridMultilevel"/>
    <w:tmpl w:val="00000000"/>
    <w:lvl w:ilvl="0">
      <w:start w:val="1"/>
      <w:numFmt w:val="decimal"/>
      <w:lvlText w:val="%1)"/>
      <w:lvlJc w:val="left"/>
      <w:pPr>
        <w:ind w:left="1940" w:hanging="634"/>
        <w:jc w:val="left"/>
      </w:pPr>
      <w:rPr>
        <w:rFonts w:ascii="宋体" w:eastAsia="宋体" w:hAnsi="宋体" w:cs="宋体" w:hint="default"/>
        <w:w w:val="100"/>
        <w:sz w:val="42"/>
        <w:szCs w:val="42"/>
      </w:rPr>
    </w:lvl>
    <w:lvl w:ilvl="1">
      <w:start w:val="0"/>
      <w:numFmt w:val="bullet"/>
      <w:lvlText w:val="•"/>
      <w:lvlJc w:val="left"/>
      <w:pPr>
        <w:ind w:left="3245" w:hanging="634"/>
      </w:pPr>
      <w:rPr>
        <w:rFonts w:hint="default"/>
      </w:rPr>
    </w:lvl>
    <w:lvl w:ilvl="2">
      <w:start w:val="0"/>
      <w:numFmt w:val="bullet"/>
      <w:lvlText w:val="•"/>
      <w:lvlJc w:val="left"/>
      <w:pPr>
        <w:ind w:left="4551" w:hanging="634"/>
      </w:pPr>
      <w:rPr>
        <w:rFonts w:hint="default"/>
      </w:rPr>
    </w:lvl>
    <w:lvl w:ilvl="3">
      <w:start w:val="0"/>
      <w:numFmt w:val="bullet"/>
      <w:lvlText w:val="•"/>
      <w:lvlJc w:val="left"/>
      <w:pPr>
        <w:ind w:left="5857" w:hanging="634"/>
      </w:pPr>
      <w:rPr>
        <w:rFonts w:hint="default"/>
      </w:rPr>
    </w:lvl>
    <w:lvl w:ilvl="4">
      <w:start w:val="0"/>
      <w:numFmt w:val="bullet"/>
      <w:lvlText w:val="•"/>
      <w:lvlJc w:val="left"/>
      <w:pPr>
        <w:ind w:left="7163" w:hanging="634"/>
      </w:pPr>
      <w:rPr>
        <w:rFonts w:hint="default"/>
      </w:rPr>
    </w:lvl>
    <w:lvl w:ilvl="5">
      <w:start w:val="0"/>
      <w:numFmt w:val="bullet"/>
      <w:lvlText w:val="•"/>
      <w:lvlJc w:val="left"/>
      <w:pPr>
        <w:ind w:left="8469" w:hanging="634"/>
      </w:pPr>
      <w:rPr>
        <w:rFonts w:hint="default"/>
      </w:rPr>
    </w:lvl>
    <w:lvl w:ilvl="6">
      <w:start w:val="0"/>
      <w:numFmt w:val="bullet"/>
      <w:lvlText w:val="•"/>
      <w:lvlJc w:val="left"/>
      <w:pPr>
        <w:ind w:left="9775" w:hanging="634"/>
      </w:pPr>
      <w:rPr>
        <w:rFonts w:hint="default"/>
      </w:rPr>
    </w:lvl>
    <w:lvl w:ilvl="7">
      <w:start w:val="0"/>
      <w:numFmt w:val="bullet"/>
      <w:lvlText w:val="•"/>
      <w:lvlJc w:val="left"/>
      <w:pPr>
        <w:ind w:left="11081" w:hanging="634"/>
      </w:pPr>
      <w:rPr>
        <w:rFonts w:hint="default"/>
      </w:rPr>
    </w:lvl>
    <w:lvl w:ilvl="8">
      <w:start w:val="0"/>
      <w:numFmt w:val="bullet"/>
      <w:lvlText w:val="•"/>
      <w:lvlJc w:val="left"/>
      <w:pPr>
        <w:ind w:left="12387" w:hanging="634"/>
      </w:pPr>
      <w:rPr>
        <w:rFonts w:hint="default"/>
      </w:rPr>
    </w:lvl>
  </w:abstractNum>
  <w:abstractNum w:abstractNumId="5">
    <w:nsid w:val="1A570092"/>
    <w:multiLevelType w:val="hybridMultilevel"/>
    <w:tmpl w:val="00000000"/>
    <w:lvl w:ilvl="0">
      <w:start w:val="6"/>
      <w:numFmt w:val="decimal"/>
      <w:lvlText w:val="%1"/>
      <w:lvlJc w:val="left"/>
      <w:pPr>
        <w:ind w:left="1260" w:hanging="792"/>
        <w:jc w:val="left"/>
      </w:pPr>
      <w:rPr>
        <w:rFonts w:hint="default"/>
      </w:rPr>
    </w:lvl>
    <w:lvl w:ilvl="1">
      <w:start w:val="1"/>
      <w:numFmt w:val="decimal"/>
      <w:lvlText w:val="%1.%2"/>
      <w:lvlJc w:val="left"/>
      <w:pPr>
        <w:ind w:left="1260" w:hanging="792"/>
        <w:jc w:val="left"/>
      </w:pPr>
      <w:rPr>
        <w:rFonts w:ascii="宋体" w:eastAsia="宋体" w:hAnsi="宋体" w:cs="宋体" w:hint="default"/>
        <w:b/>
        <w:bCs/>
        <w:w w:val="99"/>
        <w:sz w:val="45"/>
        <w:szCs w:val="45"/>
      </w:rPr>
    </w:lvl>
    <w:lvl w:ilvl="2">
      <w:start w:val="1"/>
      <w:numFmt w:val="decimal"/>
      <w:lvlText w:val="%3."/>
      <w:lvlJc w:val="left"/>
      <w:pPr>
        <w:ind w:left="468" w:hanging="429"/>
        <w:jc w:val="left"/>
      </w:pPr>
      <w:rPr>
        <w:rFonts w:ascii="宋体" w:eastAsia="宋体" w:hAnsi="宋体" w:cs="宋体" w:hint="default"/>
        <w:w w:val="100"/>
        <w:sz w:val="40"/>
        <w:szCs w:val="40"/>
      </w:rPr>
    </w:lvl>
    <w:lvl w:ilvl="3">
      <w:start w:val="0"/>
      <w:numFmt w:val="bullet"/>
      <w:lvlText w:val="•"/>
      <w:lvlJc w:val="left"/>
      <w:pPr>
        <w:ind w:left="4313" w:hanging="429"/>
      </w:pPr>
      <w:rPr>
        <w:rFonts w:hint="default"/>
      </w:rPr>
    </w:lvl>
    <w:lvl w:ilvl="4">
      <w:start w:val="0"/>
      <w:numFmt w:val="bullet"/>
      <w:lvlText w:val="•"/>
      <w:lvlJc w:val="left"/>
      <w:pPr>
        <w:ind w:left="5839" w:hanging="429"/>
      </w:pPr>
      <w:rPr>
        <w:rFonts w:hint="default"/>
      </w:rPr>
    </w:lvl>
    <w:lvl w:ilvl="5">
      <w:start w:val="0"/>
      <w:numFmt w:val="bullet"/>
      <w:lvlText w:val="•"/>
      <w:lvlJc w:val="left"/>
      <w:pPr>
        <w:ind w:left="7366" w:hanging="429"/>
      </w:pPr>
      <w:rPr>
        <w:rFonts w:hint="default"/>
      </w:rPr>
    </w:lvl>
    <w:lvl w:ilvl="6">
      <w:start w:val="0"/>
      <w:numFmt w:val="bullet"/>
      <w:lvlText w:val="•"/>
      <w:lvlJc w:val="left"/>
      <w:pPr>
        <w:ind w:left="8893" w:hanging="429"/>
      </w:pPr>
      <w:rPr>
        <w:rFonts w:hint="default"/>
      </w:rPr>
    </w:lvl>
    <w:lvl w:ilvl="7">
      <w:start w:val="0"/>
      <w:numFmt w:val="bullet"/>
      <w:lvlText w:val="•"/>
      <w:lvlJc w:val="left"/>
      <w:pPr>
        <w:ind w:left="10419" w:hanging="429"/>
      </w:pPr>
      <w:rPr>
        <w:rFonts w:hint="default"/>
      </w:rPr>
    </w:lvl>
    <w:lvl w:ilvl="8">
      <w:start w:val="0"/>
      <w:numFmt w:val="bullet"/>
      <w:lvlText w:val="•"/>
      <w:lvlJc w:val="left"/>
      <w:pPr>
        <w:ind w:left="11946" w:hanging="429"/>
      </w:pPr>
      <w:rPr>
        <w:rFonts w:hint="default"/>
      </w:rPr>
    </w:lvl>
  </w:abstractNum>
  <w:abstractNum w:abstractNumId="6">
    <w:nsid w:val="1E26800E"/>
    <w:multiLevelType w:val="hybridMultilevel"/>
    <w:tmpl w:val="00000000"/>
    <w:lvl w:ilvl="0">
      <w:start w:val="4"/>
      <w:numFmt w:val="decimal"/>
      <w:lvlText w:val="%1)."/>
      <w:lvlJc w:val="left"/>
      <w:pPr>
        <w:ind w:left="1940" w:hanging="634"/>
        <w:jc w:val="left"/>
      </w:pPr>
      <w:rPr>
        <w:rFonts w:ascii="宋体" w:eastAsia="宋体" w:hAnsi="宋体" w:cs="宋体" w:hint="default"/>
        <w:w w:val="100"/>
        <w:sz w:val="40"/>
        <w:szCs w:val="40"/>
      </w:rPr>
    </w:lvl>
    <w:lvl w:ilvl="1">
      <w:start w:val="0"/>
      <w:numFmt w:val="bullet"/>
      <w:lvlText w:val="•"/>
      <w:lvlJc w:val="left"/>
      <w:pPr>
        <w:ind w:left="3245" w:hanging="634"/>
      </w:pPr>
      <w:rPr>
        <w:rFonts w:hint="default"/>
      </w:rPr>
    </w:lvl>
    <w:lvl w:ilvl="2">
      <w:start w:val="0"/>
      <w:numFmt w:val="bullet"/>
      <w:lvlText w:val="•"/>
      <w:lvlJc w:val="left"/>
      <w:pPr>
        <w:ind w:left="4551" w:hanging="634"/>
      </w:pPr>
      <w:rPr>
        <w:rFonts w:hint="default"/>
      </w:rPr>
    </w:lvl>
    <w:lvl w:ilvl="3">
      <w:start w:val="0"/>
      <w:numFmt w:val="bullet"/>
      <w:lvlText w:val="•"/>
      <w:lvlJc w:val="left"/>
      <w:pPr>
        <w:ind w:left="5857" w:hanging="634"/>
      </w:pPr>
      <w:rPr>
        <w:rFonts w:hint="default"/>
      </w:rPr>
    </w:lvl>
    <w:lvl w:ilvl="4">
      <w:start w:val="0"/>
      <w:numFmt w:val="bullet"/>
      <w:lvlText w:val="•"/>
      <w:lvlJc w:val="left"/>
      <w:pPr>
        <w:ind w:left="7163" w:hanging="634"/>
      </w:pPr>
      <w:rPr>
        <w:rFonts w:hint="default"/>
      </w:rPr>
    </w:lvl>
    <w:lvl w:ilvl="5">
      <w:start w:val="0"/>
      <w:numFmt w:val="bullet"/>
      <w:lvlText w:val="•"/>
      <w:lvlJc w:val="left"/>
      <w:pPr>
        <w:ind w:left="8469" w:hanging="634"/>
      </w:pPr>
      <w:rPr>
        <w:rFonts w:hint="default"/>
      </w:rPr>
    </w:lvl>
    <w:lvl w:ilvl="6">
      <w:start w:val="0"/>
      <w:numFmt w:val="bullet"/>
      <w:lvlText w:val="•"/>
      <w:lvlJc w:val="left"/>
      <w:pPr>
        <w:ind w:left="9775" w:hanging="634"/>
      </w:pPr>
      <w:rPr>
        <w:rFonts w:hint="default"/>
      </w:rPr>
    </w:lvl>
    <w:lvl w:ilvl="7">
      <w:start w:val="0"/>
      <w:numFmt w:val="bullet"/>
      <w:lvlText w:val="•"/>
      <w:lvlJc w:val="left"/>
      <w:pPr>
        <w:ind w:left="11081" w:hanging="634"/>
      </w:pPr>
      <w:rPr>
        <w:rFonts w:hint="default"/>
      </w:rPr>
    </w:lvl>
    <w:lvl w:ilvl="8">
      <w:start w:val="0"/>
      <w:numFmt w:val="bullet"/>
      <w:lvlText w:val="•"/>
      <w:lvlJc w:val="left"/>
      <w:pPr>
        <w:ind w:left="12387" w:hanging="634"/>
      </w:pPr>
      <w:rPr>
        <w:rFonts w:hint="default"/>
      </w:rPr>
    </w:lvl>
  </w:abstractNum>
  <w:abstractNum w:abstractNumId="7">
    <w:nsid w:val="1FDFD7AC"/>
    <w:multiLevelType w:val="hybridMultilevel"/>
    <w:tmpl w:val="00000000"/>
    <w:lvl w:ilvl="0">
      <w:start w:val="8"/>
      <w:numFmt w:val="decimal"/>
      <w:lvlText w:val="%1"/>
      <w:lvlJc w:val="left"/>
      <w:pPr>
        <w:ind w:left="1375" w:hanging="907"/>
        <w:jc w:val="left"/>
      </w:pPr>
      <w:rPr>
        <w:rFonts w:hint="default"/>
      </w:rPr>
    </w:lvl>
    <w:lvl w:ilvl="1">
      <w:start w:val="2"/>
      <w:numFmt w:val="decimal"/>
      <w:lvlText w:val="%1.%2"/>
      <w:lvlJc w:val="left"/>
      <w:pPr>
        <w:ind w:left="1375" w:hanging="907"/>
        <w:jc w:val="left"/>
      </w:pPr>
      <w:rPr>
        <w:rFonts w:ascii="宋体" w:eastAsia="宋体" w:hAnsi="宋体" w:cs="宋体" w:hint="default"/>
        <w:b/>
        <w:bCs/>
        <w:w w:val="99"/>
        <w:sz w:val="45"/>
        <w:szCs w:val="45"/>
      </w:rPr>
    </w:lvl>
    <w:lvl w:ilvl="2">
      <w:start w:val="1"/>
      <w:numFmt w:val="decimal"/>
      <w:lvlText w:val="%3."/>
      <w:lvlJc w:val="left"/>
      <w:pPr>
        <w:ind w:left="1729" w:hanging="423"/>
        <w:jc w:val="left"/>
      </w:pPr>
      <w:rPr>
        <w:rFonts w:hint="default"/>
        <w:spacing w:val="-1"/>
        <w:w w:val="100"/>
      </w:rPr>
    </w:lvl>
    <w:lvl w:ilvl="3">
      <w:start w:val="0"/>
      <w:numFmt w:val="bullet"/>
      <w:lvlText w:val="•"/>
      <w:lvlJc w:val="left"/>
      <w:pPr>
        <w:ind w:left="4671" w:hanging="423"/>
      </w:pPr>
      <w:rPr>
        <w:rFonts w:hint="default"/>
      </w:rPr>
    </w:lvl>
    <w:lvl w:ilvl="4">
      <w:start w:val="0"/>
      <w:numFmt w:val="bullet"/>
      <w:lvlText w:val="•"/>
      <w:lvlJc w:val="left"/>
      <w:pPr>
        <w:ind w:left="6146" w:hanging="423"/>
      </w:pPr>
      <w:rPr>
        <w:rFonts w:hint="default"/>
      </w:rPr>
    </w:lvl>
    <w:lvl w:ilvl="5">
      <w:start w:val="0"/>
      <w:numFmt w:val="bullet"/>
      <w:lvlText w:val="•"/>
      <w:lvlJc w:val="left"/>
      <w:pPr>
        <w:ind w:left="7622" w:hanging="423"/>
      </w:pPr>
      <w:rPr>
        <w:rFonts w:hint="default"/>
      </w:rPr>
    </w:lvl>
    <w:lvl w:ilvl="6">
      <w:start w:val="0"/>
      <w:numFmt w:val="bullet"/>
      <w:lvlText w:val="•"/>
      <w:lvlJc w:val="left"/>
      <w:pPr>
        <w:ind w:left="9097" w:hanging="423"/>
      </w:pPr>
      <w:rPr>
        <w:rFonts w:hint="default"/>
      </w:rPr>
    </w:lvl>
    <w:lvl w:ilvl="7">
      <w:start w:val="0"/>
      <w:numFmt w:val="bullet"/>
      <w:lvlText w:val="•"/>
      <w:lvlJc w:val="left"/>
      <w:pPr>
        <w:ind w:left="10573" w:hanging="423"/>
      </w:pPr>
      <w:rPr>
        <w:rFonts w:hint="default"/>
      </w:rPr>
    </w:lvl>
    <w:lvl w:ilvl="8">
      <w:start w:val="0"/>
      <w:numFmt w:val="bullet"/>
      <w:lvlText w:val="•"/>
      <w:lvlJc w:val="left"/>
      <w:pPr>
        <w:ind w:left="12048" w:hanging="423"/>
      </w:pPr>
      <w:rPr>
        <w:rFonts w:hint="default"/>
      </w:rPr>
    </w:lvl>
  </w:abstractNum>
  <w:abstractNum w:abstractNumId="8">
    <w:nsid w:val="210C48A6"/>
    <w:multiLevelType w:val="hybridMultilevel"/>
    <w:tmpl w:val="00000000"/>
    <w:lvl w:ilvl="0">
      <w:start w:val="9"/>
      <w:numFmt w:val="decimal"/>
      <w:lvlText w:val="%1"/>
      <w:lvlJc w:val="left"/>
      <w:pPr>
        <w:ind w:left="1238" w:hanging="454"/>
        <w:jc w:val="left"/>
      </w:pPr>
      <w:rPr>
        <w:rFonts w:hint="default"/>
      </w:rPr>
    </w:lvl>
    <w:lvl w:ilvl="1">
      <w:start w:val="1"/>
      <w:numFmt w:val="decimal"/>
      <w:lvlText w:val="%1.%2"/>
      <w:lvlJc w:val="left"/>
      <w:pPr>
        <w:ind w:left="1238" w:hanging="454"/>
        <w:jc w:val="left"/>
      </w:pPr>
      <w:rPr>
        <w:rFonts w:ascii="Calibri" w:eastAsia="Calibri" w:hAnsi="Calibri" w:cs="Calibri" w:hint="default"/>
        <w:spacing w:val="-1"/>
        <w:w w:val="99"/>
        <w:sz w:val="30"/>
        <w:szCs w:val="30"/>
      </w:rPr>
    </w:lvl>
    <w:lvl w:ilvl="2">
      <w:start w:val="0"/>
      <w:numFmt w:val="bullet"/>
      <w:lvlText w:val="•"/>
      <w:lvlJc w:val="left"/>
      <w:pPr>
        <w:ind w:left="3991" w:hanging="454"/>
      </w:pPr>
      <w:rPr>
        <w:rFonts w:hint="default"/>
      </w:rPr>
    </w:lvl>
    <w:lvl w:ilvl="3">
      <w:start w:val="0"/>
      <w:numFmt w:val="bullet"/>
      <w:lvlText w:val="•"/>
      <w:lvlJc w:val="left"/>
      <w:pPr>
        <w:ind w:left="5367" w:hanging="454"/>
      </w:pPr>
      <w:rPr>
        <w:rFonts w:hint="default"/>
      </w:rPr>
    </w:lvl>
    <w:lvl w:ilvl="4">
      <w:start w:val="0"/>
      <w:numFmt w:val="bullet"/>
      <w:lvlText w:val="•"/>
      <w:lvlJc w:val="left"/>
      <w:pPr>
        <w:ind w:left="6743" w:hanging="454"/>
      </w:pPr>
      <w:rPr>
        <w:rFonts w:hint="default"/>
      </w:rPr>
    </w:lvl>
    <w:lvl w:ilvl="5">
      <w:start w:val="0"/>
      <w:numFmt w:val="bullet"/>
      <w:lvlText w:val="•"/>
      <w:lvlJc w:val="left"/>
      <w:pPr>
        <w:ind w:left="8119" w:hanging="454"/>
      </w:pPr>
      <w:rPr>
        <w:rFonts w:hint="default"/>
      </w:rPr>
    </w:lvl>
    <w:lvl w:ilvl="6">
      <w:start w:val="0"/>
      <w:numFmt w:val="bullet"/>
      <w:lvlText w:val="•"/>
      <w:lvlJc w:val="left"/>
      <w:pPr>
        <w:ind w:left="9495" w:hanging="454"/>
      </w:pPr>
      <w:rPr>
        <w:rFonts w:hint="default"/>
      </w:rPr>
    </w:lvl>
    <w:lvl w:ilvl="7">
      <w:start w:val="0"/>
      <w:numFmt w:val="bullet"/>
      <w:lvlText w:val="•"/>
      <w:lvlJc w:val="left"/>
      <w:pPr>
        <w:ind w:left="10871" w:hanging="454"/>
      </w:pPr>
      <w:rPr>
        <w:rFonts w:hint="default"/>
      </w:rPr>
    </w:lvl>
    <w:lvl w:ilvl="8">
      <w:start w:val="0"/>
      <w:numFmt w:val="bullet"/>
      <w:lvlText w:val="•"/>
      <w:lvlJc w:val="left"/>
      <w:pPr>
        <w:ind w:left="12247" w:hanging="454"/>
      </w:pPr>
      <w:rPr>
        <w:rFonts w:hint="default"/>
      </w:rPr>
    </w:lvl>
  </w:abstractNum>
  <w:abstractNum w:abstractNumId="9">
    <w:nsid w:val="21B6F248"/>
    <w:multiLevelType w:val="hybridMultilevel"/>
    <w:tmpl w:val="00000000"/>
    <w:lvl w:ilvl="0">
      <w:start w:val="4"/>
      <w:numFmt w:val="decimal"/>
      <w:lvlText w:val="%1"/>
      <w:lvlJc w:val="left"/>
      <w:pPr>
        <w:ind w:left="1238" w:hanging="454"/>
        <w:jc w:val="left"/>
      </w:pPr>
      <w:rPr>
        <w:rFonts w:hint="default"/>
      </w:rPr>
    </w:lvl>
    <w:lvl w:ilvl="1">
      <w:start w:val="1"/>
      <w:numFmt w:val="decimal"/>
      <w:lvlText w:val="%1.%2"/>
      <w:lvlJc w:val="left"/>
      <w:pPr>
        <w:ind w:left="1238" w:hanging="454"/>
        <w:jc w:val="left"/>
      </w:pPr>
      <w:rPr>
        <w:rFonts w:ascii="Calibri" w:eastAsia="Calibri" w:hAnsi="Calibri" w:cs="Calibri" w:hint="default"/>
        <w:spacing w:val="-1"/>
        <w:w w:val="99"/>
        <w:sz w:val="30"/>
        <w:szCs w:val="30"/>
      </w:rPr>
    </w:lvl>
    <w:lvl w:ilvl="2">
      <w:start w:val="0"/>
      <w:numFmt w:val="bullet"/>
      <w:lvlText w:val="•"/>
      <w:lvlJc w:val="left"/>
      <w:pPr>
        <w:ind w:left="3991" w:hanging="454"/>
      </w:pPr>
      <w:rPr>
        <w:rFonts w:hint="default"/>
      </w:rPr>
    </w:lvl>
    <w:lvl w:ilvl="3">
      <w:start w:val="0"/>
      <w:numFmt w:val="bullet"/>
      <w:lvlText w:val="•"/>
      <w:lvlJc w:val="left"/>
      <w:pPr>
        <w:ind w:left="5367" w:hanging="454"/>
      </w:pPr>
      <w:rPr>
        <w:rFonts w:hint="default"/>
      </w:rPr>
    </w:lvl>
    <w:lvl w:ilvl="4">
      <w:start w:val="0"/>
      <w:numFmt w:val="bullet"/>
      <w:lvlText w:val="•"/>
      <w:lvlJc w:val="left"/>
      <w:pPr>
        <w:ind w:left="6743" w:hanging="454"/>
      </w:pPr>
      <w:rPr>
        <w:rFonts w:hint="default"/>
      </w:rPr>
    </w:lvl>
    <w:lvl w:ilvl="5">
      <w:start w:val="0"/>
      <w:numFmt w:val="bullet"/>
      <w:lvlText w:val="•"/>
      <w:lvlJc w:val="left"/>
      <w:pPr>
        <w:ind w:left="8119" w:hanging="454"/>
      </w:pPr>
      <w:rPr>
        <w:rFonts w:hint="default"/>
      </w:rPr>
    </w:lvl>
    <w:lvl w:ilvl="6">
      <w:start w:val="0"/>
      <w:numFmt w:val="bullet"/>
      <w:lvlText w:val="•"/>
      <w:lvlJc w:val="left"/>
      <w:pPr>
        <w:ind w:left="9495" w:hanging="454"/>
      </w:pPr>
      <w:rPr>
        <w:rFonts w:hint="default"/>
      </w:rPr>
    </w:lvl>
    <w:lvl w:ilvl="7">
      <w:start w:val="0"/>
      <w:numFmt w:val="bullet"/>
      <w:lvlText w:val="•"/>
      <w:lvlJc w:val="left"/>
      <w:pPr>
        <w:ind w:left="10871" w:hanging="454"/>
      </w:pPr>
      <w:rPr>
        <w:rFonts w:hint="default"/>
      </w:rPr>
    </w:lvl>
    <w:lvl w:ilvl="8">
      <w:start w:val="0"/>
      <w:numFmt w:val="bullet"/>
      <w:lvlText w:val="•"/>
      <w:lvlJc w:val="left"/>
      <w:pPr>
        <w:ind w:left="12247" w:hanging="454"/>
      </w:pPr>
      <w:rPr>
        <w:rFonts w:hint="default"/>
      </w:rPr>
    </w:lvl>
  </w:abstractNum>
  <w:abstractNum w:abstractNumId="10">
    <w:nsid w:val="21F5D72E"/>
    <w:multiLevelType w:val="hybridMultilevel"/>
    <w:tmpl w:val="00000000"/>
    <w:lvl w:ilvl="0">
      <w:start w:val="7"/>
      <w:numFmt w:val="decimal"/>
      <w:lvlText w:val="%1"/>
      <w:lvlJc w:val="left"/>
      <w:pPr>
        <w:ind w:left="1260" w:hanging="792"/>
        <w:jc w:val="left"/>
      </w:pPr>
      <w:rPr>
        <w:rFonts w:hint="default"/>
      </w:rPr>
    </w:lvl>
    <w:lvl w:ilvl="1">
      <w:start w:val="1"/>
      <w:numFmt w:val="decimal"/>
      <w:lvlText w:val="%1.%2"/>
      <w:lvlJc w:val="left"/>
      <w:pPr>
        <w:ind w:left="1260" w:hanging="792"/>
        <w:jc w:val="left"/>
      </w:pPr>
      <w:rPr>
        <w:rFonts w:ascii="宋体" w:eastAsia="宋体" w:hAnsi="宋体" w:cs="宋体" w:hint="default"/>
        <w:b/>
        <w:bCs/>
        <w:w w:val="99"/>
        <w:sz w:val="45"/>
        <w:szCs w:val="45"/>
      </w:rPr>
    </w:lvl>
    <w:lvl w:ilvl="2">
      <w:start w:val="1"/>
      <w:numFmt w:val="decimal"/>
      <w:lvlText w:val="%3."/>
      <w:lvlJc w:val="left"/>
      <w:pPr>
        <w:ind w:left="1729" w:hanging="423"/>
        <w:jc w:val="left"/>
      </w:pPr>
      <w:rPr>
        <w:rFonts w:ascii="仿宋" w:eastAsia="仿宋" w:hAnsi="仿宋" w:cs="仿宋" w:hint="default"/>
        <w:spacing w:val="-1"/>
        <w:w w:val="100"/>
        <w:sz w:val="40"/>
        <w:szCs w:val="40"/>
      </w:rPr>
    </w:lvl>
    <w:lvl w:ilvl="3">
      <w:start w:val="0"/>
      <w:numFmt w:val="bullet"/>
      <w:lvlText w:val="•"/>
      <w:lvlJc w:val="left"/>
      <w:pPr>
        <w:ind w:left="4671" w:hanging="423"/>
      </w:pPr>
      <w:rPr>
        <w:rFonts w:hint="default"/>
      </w:rPr>
    </w:lvl>
    <w:lvl w:ilvl="4">
      <w:start w:val="0"/>
      <w:numFmt w:val="bullet"/>
      <w:lvlText w:val="•"/>
      <w:lvlJc w:val="left"/>
      <w:pPr>
        <w:ind w:left="6146" w:hanging="423"/>
      </w:pPr>
      <w:rPr>
        <w:rFonts w:hint="default"/>
      </w:rPr>
    </w:lvl>
    <w:lvl w:ilvl="5">
      <w:start w:val="0"/>
      <w:numFmt w:val="bullet"/>
      <w:lvlText w:val="•"/>
      <w:lvlJc w:val="left"/>
      <w:pPr>
        <w:ind w:left="7622" w:hanging="423"/>
      </w:pPr>
      <w:rPr>
        <w:rFonts w:hint="default"/>
      </w:rPr>
    </w:lvl>
    <w:lvl w:ilvl="6">
      <w:start w:val="0"/>
      <w:numFmt w:val="bullet"/>
      <w:lvlText w:val="•"/>
      <w:lvlJc w:val="left"/>
      <w:pPr>
        <w:ind w:left="9097" w:hanging="423"/>
      </w:pPr>
      <w:rPr>
        <w:rFonts w:hint="default"/>
      </w:rPr>
    </w:lvl>
    <w:lvl w:ilvl="7">
      <w:start w:val="0"/>
      <w:numFmt w:val="bullet"/>
      <w:lvlText w:val="•"/>
      <w:lvlJc w:val="left"/>
      <w:pPr>
        <w:ind w:left="10573" w:hanging="423"/>
      </w:pPr>
      <w:rPr>
        <w:rFonts w:hint="default"/>
      </w:rPr>
    </w:lvl>
    <w:lvl w:ilvl="8">
      <w:start w:val="0"/>
      <w:numFmt w:val="bullet"/>
      <w:lvlText w:val="•"/>
      <w:lvlJc w:val="left"/>
      <w:pPr>
        <w:ind w:left="12048" w:hanging="423"/>
      </w:pPr>
      <w:rPr>
        <w:rFonts w:hint="default"/>
      </w:rPr>
    </w:lvl>
  </w:abstractNum>
  <w:abstractNum w:abstractNumId="11">
    <w:nsid w:val="259EE4D7"/>
    <w:multiLevelType w:val="hybridMultilevel"/>
    <w:tmpl w:val="00000000"/>
    <w:lvl w:ilvl="0">
      <w:start w:val="2"/>
      <w:numFmt w:val="decimal"/>
      <w:lvlText w:val="%1"/>
      <w:lvlJc w:val="left"/>
      <w:pPr>
        <w:ind w:left="1260" w:hanging="792"/>
        <w:jc w:val="left"/>
      </w:pPr>
      <w:rPr>
        <w:rFonts w:hint="default"/>
      </w:rPr>
    </w:lvl>
    <w:lvl w:ilvl="1">
      <w:start w:val="1"/>
      <w:numFmt w:val="decimal"/>
      <w:lvlText w:val="%1.%2"/>
      <w:lvlJc w:val="left"/>
      <w:pPr>
        <w:ind w:left="1260" w:hanging="792"/>
        <w:jc w:val="left"/>
      </w:pPr>
      <w:rPr>
        <w:rFonts w:ascii="宋体" w:eastAsia="宋体" w:hAnsi="宋体" w:cs="宋体" w:hint="default"/>
        <w:b/>
        <w:bCs/>
        <w:w w:val="99"/>
        <w:sz w:val="45"/>
        <w:szCs w:val="45"/>
      </w:rPr>
    </w:lvl>
    <w:lvl w:ilvl="2">
      <w:start w:val="0"/>
      <w:numFmt w:val="bullet"/>
      <w:lvlText w:val="•"/>
      <w:lvlJc w:val="left"/>
      <w:pPr>
        <w:ind w:left="4007" w:hanging="792"/>
      </w:pPr>
      <w:rPr>
        <w:rFonts w:hint="default"/>
      </w:rPr>
    </w:lvl>
    <w:lvl w:ilvl="3">
      <w:start w:val="0"/>
      <w:numFmt w:val="bullet"/>
      <w:lvlText w:val="•"/>
      <w:lvlJc w:val="left"/>
      <w:pPr>
        <w:ind w:left="5381" w:hanging="792"/>
      </w:pPr>
      <w:rPr>
        <w:rFonts w:hint="default"/>
      </w:rPr>
    </w:lvl>
    <w:lvl w:ilvl="4">
      <w:start w:val="0"/>
      <w:numFmt w:val="bullet"/>
      <w:lvlText w:val="•"/>
      <w:lvlJc w:val="left"/>
      <w:pPr>
        <w:ind w:left="6755" w:hanging="792"/>
      </w:pPr>
      <w:rPr>
        <w:rFonts w:hint="default"/>
      </w:rPr>
    </w:lvl>
    <w:lvl w:ilvl="5">
      <w:start w:val="0"/>
      <w:numFmt w:val="bullet"/>
      <w:lvlText w:val="•"/>
      <w:lvlJc w:val="left"/>
      <w:pPr>
        <w:ind w:left="8129" w:hanging="792"/>
      </w:pPr>
      <w:rPr>
        <w:rFonts w:hint="default"/>
      </w:rPr>
    </w:lvl>
    <w:lvl w:ilvl="6">
      <w:start w:val="0"/>
      <w:numFmt w:val="bullet"/>
      <w:lvlText w:val="•"/>
      <w:lvlJc w:val="left"/>
      <w:pPr>
        <w:ind w:left="9503" w:hanging="792"/>
      </w:pPr>
      <w:rPr>
        <w:rFonts w:hint="default"/>
      </w:rPr>
    </w:lvl>
    <w:lvl w:ilvl="7">
      <w:start w:val="0"/>
      <w:numFmt w:val="bullet"/>
      <w:lvlText w:val="•"/>
      <w:lvlJc w:val="left"/>
      <w:pPr>
        <w:ind w:left="10877" w:hanging="792"/>
      </w:pPr>
      <w:rPr>
        <w:rFonts w:hint="default"/>
      </w:rPr>
    </w:lvl>
    <w:lvl w:ilvl="8">
      <w:start w:val="0"/>
      <w:numFmt w:val="bullet"/>
      <w:lvlText w:val="•"/>
      <w:lvlJc w:val="left"/>
      <w:pPr>
        <w:ind w:left="12251" w:hanging="792"/>
      </w:pPr>
      <w:rPr>
        <w:rFonts w:hint="default"/>
      </w:rPr>
    </w:lvl>
  </w:abstractNum>
  <w:abstractNum w:abstractNumId="12">
    <w:nsid w:val="276BD5A9"/>
    <w:multiLevelType w:val="hybridMultilevel"/>
    <w:tmpl w:val="00000000"/>
    <w:lvl w:ilvl="0">
      <w:start w:val="6"/>
      <w:numFmt w:val="decimal"/>
      <w:lvlText w:val="%1"/>
      <w:lvlJc w:val="left"/>
      <w:pPr>
        <w:ind w:left="1260" w:hanging="792"/>
        <w:jc w:val="left"/>
      </w:pPr>
      <w:rPr>
        <w:rFonts w:hint="default"/>
      </w:rPr>
    </w:lvl>
    <w:lvl w:ilvl="1">
      <w:start w:val="1"/>
      <w:numFmt w:val="decimal"/>
      <w:lvlText w:val="%1.%2"/>
      <w:lvlJc w:val="left"/>
      <w:pPr>
        <w:ind w:left="1260" w:hanging="792"/>
        <w:jc w:val="left"/>
      </w:pPr>
      <w:rPr>
        <w:rFonts w:ascii="宋体" w:eastAsia="宋体" w:hAnsi="宋体" w:cs="宋体" w:hint="default"/>
        <w:b/>
        <w:bCs/>
        <w:w w:val="99"/>
        <w:sz w:val="45"/>
        <w:szCs w:val="45"/>
      </w:rPr>
    </w:lvl>
    <w:lvl w:ilvl="2">
      <w:start w:val="1"/>
      <w:numFmt w:val="decimal"/>
      <w:lvlText w:val="%3."/>
      <w:lvlJc w:val="left"/>
      <w:pPr>
        <w:ind w:left="468" w:hanging="429"/>
        <w:jc w:val="left"/>
      </w:pPr>
      <w:rPr>
        <w:rFonts w:ascii="宋体" w:eastAsia="宋体" w:hAnsi="宋体" w:cs="宋体" w:hint="default"/>
        <w:w w:val="100"/>
        <w:sz w:val="40"/>
        <w:szCs w:val="40"/>
      </w:rPr>
    </w:lvl>
    <w:lvl w:ilvl="3">
      <w:start w:val="0"/>
      <w:numFmt w:val="bullet"/>
      <w:lvlText w:val="•"/>
      <w:lvlJc w:val="left"/>
      <w:pPr>
        <w:ind w:left="4313" w:hanging="429"/>
      </w:pPr>
      <w:rPr>
        <w:rFonts w:hint="default"/>
      </w:rPr>
    </w:lvl>
    <w:lvl w:ilvl="4">
      <w:start w:val="0"/>
      <w:numFmt w:val="bullet"/>
      <w:lvlText w:val="•"/>
      <w:lvlJc w:val="left"/>
      <w:pPr>
        <w:ind w:left="5839" w:hanging="429"/>
      </w:pPr>
      <w:rPr>
        <w:rFonts w:hint="default"/>
      </w:rPr>
    </w:lvl>
    <w:lvl w:ilvl="5">
      <w:start w:val="0"/>
      <w:numFmt w:val="bullet"/>
      <w:lvlText w:val="•"/>
      <w:lvlJc w:val="left"/>
      <w:pPr>
        <w:ind w:left="7366" w:hanging="429"/>
      </w:pPr>
      <w:rPr>
        <w:rFonts w:hint="default"/>
      </w:rPr>
    </w:lvl>
    <w:lvl w:ilvl="6">
      <w:start w:val="0"/>
      <w:numFmt w:val="bullet"/>
      <w:lvlText w:val="•"/>
      <w:lvlJc w:val="left"/>
      <w:pPr>
        <w:ind w:left="8893" w:hanging="429"/>
      </w:pPr>
      <w:rPr>
        <w:rFonts w:hint="default"/>
      </w:rPr>
    </w:lvl>
    <w:lvl w:ilvl="7">
      <w:start w:val="0"/>
      <w:numFmt w:val="bullet"/>
      <w:lvlText w:val="•"/>
      <w:lvlJc w:val="left"/>
      <w:pPr>
        <w:ind w:left="10419" w:hanging="429"/>
      </w:pPr>
      <w:rPr>
        <w:rFonts w:hint="default"/>
      </w:rPr>
    </w:lvl>
    <w:lvl w:ilvl="8">
      <w:start w:val="0"/>
      <w:numFmt w:val="bullet"/>
      <w:lvlText w:val="•"/>
      <w:lvlJc w:val="left"/>
      <w:pPr>
        <w:ind w:left="11946" w:hanging="429"/>
      </w:pPr>
      <w:rPr>
        <w:rFonts w:hint="default"/>
      </w:rPr>
    </w:lvl>
  </w:abstractNum>
  <w:abstractNum w:abstractNumId="13">
    <w:nsid w:val="2C2DE78A"/>
    <w:multiLevelType w:val="hybridMultilevel"/>
    <w:tmpl w:val="00000000"/>
    <w:lvl w:ilvl="0">
      <w:start w:val="1"/>
      <w:numFmt w:val="decimal"/>
      <w:lvlText w:val="%1"/>
      <w:lvlJc w:val="left"/>
      <w:pPr>
        <w:ind w:left="1238" w:hanging="454"/>
        <w:jc w:val="left"/>
      </w:pPr>
      <w:rPr>
        <w:rFonts w:hint="default"/>
      </w:rPr>
    </w:lvl>
    <w:lvl w:ilvl="1">
      <w:start w:val="1"/>
      <w:numFmt w:val="decimal"/>
      <w:lvlText w:val="%1.%2"/>
      <w:lvlJc w:val="left"/>
      <w:pPr>
        <w:ind w:left="1238" w:hanging="454"/>
        <w:jc w:val="left"/>
      </w:pPr>
      <w:rPr>
        <w:rFonts w:ascii="Calibri" w:eastAsia="Calibri" w:hAnsi="Calibri" w:cs="Calibri" w:hint="default"/>
        <w:spacing w:val="-1"/>
        <w:w w:val="99"/>
        <w:sz w:val="30"/>
        <w:szCs w:val="30"/>
      </w:rPr>
    </w:lvl>
    <w:lvl w:ilvl="2">
      <w:start w:val="0"/>
      <w:numFmt w:val="bullet"/>
      <w:lvlText w:val="•"/>
      <w:lvlJc w:val="left"/>
      <w:pPr>
        <w:ind w:left="3991" w:hanging="454"/>
      </w:pPr>
      <w:rPr>
        <w:rFonts w:hint="default"/>
      </w:rPr>
    </w:lvl>
    <w:lvl w:ilvl="3">
      <w:start w:val="0"/>
      <w:numFmt w:val="bullet"/>
      <w:lvlText w:val="•"/>
      <w:lvlJc w:val="left"/>
      <w:pPr>
        <w:ind w:left="5367" w:hanging="454"/>
      </w:pPr>
      <w:rPr>
        <w:rFonts w:hint="default"/>
      </w:rPr>
    </w:lvl>
    <w:lvl w:ilvl="4">
      <w:start w:val="0"/>
      <w:numFmt w:val="bullet"/>
      <w:lvlText w:val="•"/>
      <w:lvlJc w:val="left"/>
      <w:pPr>
        <w:ind w:left="6743" w:hanging="454"/>
      </w:pPr>
      <w:rPr>
        <w:rFonts w:hint="default"/>
      </w:rPr>
    </w:lvl>
    <w:lvl w:ilvl="5">
      <w:start w:val="0"/>
      <w:numFmt w:val="bullet"/>
      <w:lvlText w:val="•"/>
      <w:lvlJc w:val="left"/>
      <w:pPr>
        <w:ind w:left="8119" w:hanging="454"/>
      </w:pPr>
      <w:rPr>
        <w:rFonts w:hint="default"/>
      </w:rPr>
    </w:lvl>
    <w:lvl w:ilvl="6">
      <w:start w:val="0"/>
      <w:numFmt w:val="bullet"/>
      <w:lvlText w:val="•"/>
      <w:lvlJc w:val="left"/>
      <w:pPr>
        <w:ind w:left="9495" w:hanging="454"/>
      </w:pPr>
      <w:rPr>
        <w:rFonts w:hint="default"/>
      </w:rPr>
    </w:lvl>
    <w:lvl w:ilvl="7">
      <w:start w:val="0"/>
      <w:numFmt w:val="bullet"/>
      <w:lvlText w:val="•"/>
      <w:lvlJc w:val="left"/>
      <w:pPr>
        <w:ind w:left="10871" w:hanging="454"/>
      </w:pPr>
      <w:rPr>
        <w:rFonts w:hint="default"/>
      </w:rPr>
    </w:lvl>
    <w:lvl w:ilvl="8">
      <w:start w:val="0"/>
      <w:numFmt w:val="bullet"/>
      <w:lvlText w:val="•"/>
      <w:lvlJc w:val="left"/>
      <w:pPr>
        <w:ind w:left="12247" w:hanging="454"/>
      </w:pPr>
      <w:rPr>
        <w:rFonts w:hint="default"/>
      </w:rPr>
    </w:lvl>
  </w:abstractNum>
  <w:abstractNum w:abstractNumId="14">
    <w:nsid w:val="3582072E"/>
    <w:multiLevelType w:val="hybridMultilevel"/>
    <w:tmpl w:val="00000000"/>
    <w:lvl w:ilvl="0">
      <w:start w:val="9"/>
      <w:numFmt w:val="decimal"/>
      <w:lvlText w:val="%1"/>
      <w:lvlJc w:val="left"/>
      <w:pPr>
        <w:ind w:left="1260" w:hanging="792"/>
        <w:jc w:val="left"/>
      </w:pPr>
      <w:rPr>
        <w:rFonts w:hint="default"/>
      </w:rPr>
    </w:lvl>
    <w:lvl w:ilvl="1">
      <w:start w:val="1"/>
      <w:numFmt w:val="decimal"/>
      <w:lvlText w:val="%1.%2"/>
      <w:lvlJc w:val="left"/>
      <w:pPr>
        <w:ind w:left="1260" w:hanging="792"/>
        <w:jc w:val="left"/>
      </w:pPr>
      <w:rPr>
        <w:rFonts w:ascii="宋体" w:eastAsia="宋体" w:hAnsi="宋体" w:cs="宋体" w:hint="default"/>
        <w:b/>
        <w:bCs/>
        <w:w w:val="99"/>
        <w:sz w:val="45"/>
        <w:szCs w:val="45"/>
      </w:rPr>
    </w:lvl>
    <w:lvl w:ilvl="2">
      <w:start w:val="0"/>
      <w:numFmt w:val="bullet"/>
      <w:lvlText w:val="•"/>
      <w:lvlJc w:val="left"/>
      <w:pPr>
        <w:ind w:left="4007" w:hanging="792"/>
      </w:pPr>
      <w:rPr>
        <w:rFonts w:hint="default"/>
      </w:rPr>
    </w:lvl>
    <w:lvl w:ilvl="3">
      <w:start w:val="0"/>
      <w:numFmt w:val="bullet"/>
      <w:lvlText w:val="•"/>
      <w:lvlJc w:val="left"/>
      <w:pPr>
        <w:ind w:left="5381" w:hanging="792"/>
      </w:pPr>
      <w:rPr>
        <w:rFonts w:hint="default"/>
      </w:rPr>
    </w:lvl>
    <w:lvl w:ilvl="4">
      <w:start w:val="0"/>
      <w:numFmt w:val="bullet"/>
      <w:lvlText w:val="•"/>
      <w:lvlJc w:val="left"/>
      <w:pPr>
        <w:ind w:left="6755" w:hanging="792"/>
      </w:pPr>
      <w:rPr>
        <w:rFonts w:hint="default"/>
      </w:rPr>
    </w:lvl>
    <w:lvl w:ilvl="5">
      <w:start w:val="0"/>
      <w:numFmt w:val="bullet"/>
      <w:lvlText w:val="•"/>
      <w:lvlJc w:val="left"/>
      <w:pPr>
        <w:ind w:left="8129" w:hanging="792"/>
      </w:pPr>
      <w:rPr>
        <w:rFonts w:hint="default"/>
      </w:rPr>
    </w:lvl>
    <w:lvl w:ilvl="6">
      <w:start w:val="0"/>
      <w:numFmt w:val="bullet"/>
      <w:lvlText w:val="•"/>
      <w:lvlJc w:val="left"/>
      <w:pPr>
        <w:ind w:left="9503" w:hanging="792"/>
      </w:pPr>
      <w:rPr>
        <w:rFonts w:hint="default"/>
      </w:rPr>
    </w:lvl>
    <w:lvl w:ilvl="7">
      <w:start w:val="0"/>
      <w:numFmt w:val="bullet"/>
      <w:lvlText w:val="•"/>
      <w:lvlJc w:val="left"/>
      <w:pPr>
        <w:ind w:left="10877" w:hanging="792"/>
      </w:pPr>
      <w:rPr>
        <w:rFonts w:hint="default"/>
      </w:rPr>
    </w:lvl>
    <w:lvl w:ilvl="8">
      <w:start w:val="0"/>
      <w:numFmt w:val="bullet"/>
      <w:lvlText w:val="•"/>
      <w:lvlJc w:val="left"/>
      <w:pPr>
        <w:ind w:left="12251" w:hanging="792"/>
      </w:pPr>
      <w:rPr>
        <w:rFonts w:hint="default"/>
      </w:rPr>
    </w:lvl>
  </w:abstractNum>
  <w:abstractNum w:abstractNumId="15">
    <w:nsid w:val="3A083781"/>
    <w:multiLevelType w:val="hybridMultilevel"/>
    <w:tmpl w:val="00000000"/>
    <w:lvl w:ilvl="0">
      <w:start w:val="1"/>
      <w:numFmt w:val="decimal"/>
      <w:lvlText w:val="%1"/>
      <w:lvlJc w:val="left"/>
      <w:pPr>
        <w:ind w:left="1260" w:hanging="792"/>
        <w:jc w:val="left"/>
      </w:pPr>
      <w:rPr>
        <w:rFonts w:hint="default"/>
      </w:rPr>
    </w:lvl>
    <w:lvl w:ilvl="1">
      <w:start w:val="1"/>
      <w:numFmt w:val="decimal"/>
      <w:lvlText w:val="%1.%2"/>
      <w:lvlJc w:val="left"/>
      <w:pPr>
        <w:ind w:left="1260" w:hanging="792"/>
        <w:jc w:val="left"/>
      </w:pPr>
      <w:rPr>
        <w:rFonts w:ascii="宋体" w:eastAsia="宋体" w:hAnsi="宋体" w:cs="宋体" w:hint="default"/>
        <w:b/>
        <w:bCs/>
        <w:w w:val="99"/>
        <w:sz w:val="45"/>
        <w:szCs w:val="45"/>
      </w:rPr>
    </w:lvl>
    <w:lvl w:ilvl="2">
      <w:start w:val="0"/>
      <w:numFmt w:val="bullet"/>
      <w:lvlText w:val="•"/>
      <w:lvlJc w:val="left"/>
      <w:pPr>
        <w:ind w:left="4007" w:hanging="792"/>
      </w:pPr>
      <w:rPr>
        <w:rFonts w:hint="default"/>
      </w:rPr>
    </w:lvl>
    <w:lvl w:ilvl="3">
      <w:start w:val="0"/>
      <w:numFmt w:val="bullet"/>
      <w:lvlText w:val="•"/>
      <w:lvlJc w:val="left"/>
      <w:pPr>
        <w:ind w:left="5381" w:hanging="792"/>
      </w:pPr>
      <w:rPr>
        <w:rFonts w:hint="default"/>
      </w:rPr>
    </w:lvl>
    <w:lvl w:ilvl="4">
      <w:start w:val="0"/>
      <w:numFmt w:val="bullet"/>
      <w:lvlText w:val="•"/>
      <w:lvlJc w:val="left"/>
      <w:pPr>
        <w:ind w:left="6755" w:hanging="792"/>
      </w:pPr>
      <w:rPr>
        <w:rFonts w:hint="default"/>
      </w:rPr>
    </w:lvl>
    <w:lvl w:ilvl="5">
      <w:start w:val="0"/>
      <w:numFmt w:val="bullet"/>
      <w:lvlText w:val="•"/>
      <w:lvlJc w:val="left"/>
      <w:pPr>
        <w:ind w:left="8129" w:hanging="792"/>
      </w:pPr>
      <w:rPr>
        <w:rFonts w:hint="default"/>
      </w:rPr>
    </w:lvl>
    <w:lvl w:ilvl="6">
      <w:start w:val="0"/>
      <w:numFmt w:val="bullet"/>
      <w:lvlText w:val="•"/>
      <w:lvlJc w:val="left"/>
      <w:pPr>
        <w:ind w:left="9503" w:hanging="792"/>
      </w:pPr>
      <w:rPr>
        <w:rFonts w:hint="default"/>
      </w:rPr>
    </w:lvl>
    <w:lvl w:ilvl="7">
      <w:start w:val="0"/>
      <w:numFmt w:val="bullet"/>
      <w:lvlText w:val="•"/>
      <w:lvlJc w:val="left"/>
      <w:pPr>
        <w:ind w:left="10877" w:hanging="792"/>
      </w:pPr>
      <w:rPr>
        <w:rFonts w:hint="default"/>
      </w:rPr>
    </w:lvl>
    <w:lvl w:ilvl="8">
      <w:start w:val="0"/>
      <w:numFmt w:val="bullet"/>
      <w:lvlText w:val="•"/>
      <w:lvlJc w:val="left"/>
      <w:pPr>
        <w:ind w:left="12251" w:hanging="792"/>
      </w:pPr>
      <w:rPr>
        <w:rFonts w:hint="default"/>
      </w:rPr>
    </w:lvl>
  </w:abstractNum>
  <w:abstractNum w:abstractNumId="16">
    <w:nsid w:val="3DF5B968"/>
    <w:multiLevelType w:val="hybridMultilevel"/>
    <w:tmpl w:val="00000000"/>
    <w:lvl w:ilvl="0">
      <w:start w:val="1"/>
      <w:numFmt w:val="decimal"/>
      <w:lvlText w:val="%1)"/>
      <w:lvlJc w:val="left"/>
      <w:pPr>
        <w:ind w:left="468" w:hanging="634"/>
        <w:jc w:val="left"/>
      </w:pPr>
      <w:rPr>
        <w:rFonts w:ascii="宋体" w:eastAsia="宋体" w:hAnsi="宋体" w:cs="宋体" w:hint="default"/>
        <w:w w:val="100"/>
        <w:sz w:val="42"/>
        <w:szCs w:val="42"/>
      </w:rPr>
    </w:lvl>
    <w:lvl w:ilvl="1">
      <w:start w:val="0"/>
      <w:numFmt w:val="bullet"/>
      <w:lvlText w:val="•"/>
      <w:lvlJc w:val="left"/>
      <w:pPr>
        <w:ind w:left="1913" w:hanging="634"/>
      </w:pPr>
      <w:rPr>
        <w:rFonts w:hint="default"/>
      </w:rPr>
    </w:lvl>
    <w:lvl w:ilvl="2">
      <w:start w:val="0"/>
      <w:numFmt w:val="bullet"/>
      <w:lvlText w:val="•"/>
      <w:lvlJc w:val="left"/>
      <w:pPr>
        <w:ind w:left="3367" w:hanging="634"/>
      </w:pPr>
      <w:rPr>
        <w:rFonts w:hint="default"/>
      </w:rPr>
    </w:lvl>
    <w:lvl w:ilvl="3">
      <w:start w:val="0"/>
      <w:numFmt w:val="bullet"/>
      <w:lvlText w:val="•"/>
      <w:lvlJc w:val="left"/>
      <w:pPr>
        <w:ind w:left="4821" w:hanging="634"/>
      </w:pPr>
      <w:rPr>
        <w:rFonts w:hint="default"/>
      </w:rPr>
    </w:lvl>
    <w:lvl w:ilvl="4">
      <w:start w:val="0"/>
      <w:numFmt w:val="bullet"/>
      <w:lvlText w:val="•"/>
      <w:lvlJc w:val="left"/>
      <w:pPr>
        <w:ind w:left="6275" w:hanging="634"/>
      </w:pPr>
      <w:rPr>
        <w:rFonts w:hint="default"/>
      </w:rPr>
    </w:lvl>
    <w:lvl w:ilvl="5">
      <w:start w:val="0"/>
      <w:numFmt w:val="bullet"/>
      <w:lvlText w:val="•"/>
      <w:lvlJc w:val="left"/>
      <w:pPr>
        <w:ind w:left="7729" w:hanging="634"/>
      </w:pPr>
      <w:rPr>
        <w:rFonts w:hint="default"/>
      </w:rPr>
    </w:lvl>
    <w:lvl w:ilvl="6">
      <w:start w:val="0"/>
      <w:numFmt w:val="bullet"/>
      <w:lvlText w:val="•"/>
      <w:lvlJc w:val="left"/>
      <w:pPr>
        <w:ind w:left="9183" w:hanging="634"/>
      </w:pPr>
      <w:rPr>
        <w:rFonts w:hint="default"/>
      </w:rPr>
    </w:lvl>
    <w:lvl w:ilvl="7">
      <w:start w:val="0"/>
      <w:numFmt w:val="bullet"/>
      <w:lvlText w:val="•"/>
      <w:lvlJc w:val="left"/>
      <w:pPr>
        <w:ind w:left="10637" w:hanging="634"/>
      </w:pPr>
      <w:rPr>
        <w:rFonts w:hint="default"/>
      </w:rPr>
    </w:lvl>
    <w:lvl w:ilvl="8">
      <w:start w:val="0"/>
      <w:numFmt w:val="bullet"/>
      <w:lvlText w:val="•"/>
      <w:lvlJc w:val="left"/>
      <w:pPr>
        <w:ind w:left="12091" w:hanging="634"/>
      </w:pPr>
      <w:rPr>
        <w:rFonts w:hint="default"/>
      </w:rPr>
    </w:lvl>
  </w:abstractNum>
  <w:abstractNum w:abstractNumId="17">
    <w:nsid w:val="42E31E4B"/>
    <w:multiLevelType w:val="hybridMultilevel"/>
    <w:tmpl w:val="00000000"/>
    <w:lvl w:ilvl="0">
      <w:start w:val="1"/>
      <w:numFmt w:val="decimal"/>
      <w:lvlText w:val="%1)"/>
      <w:lvlJc w:val="left"/>
      <w:pPr>
        <w:ind w:left="1940" w:hanging="634"/>
        <w:jc w:val="left"/>
      </w:pPr>
      <w:rPr>
        <w:rFonts w:ascii="宋体" w:eastAsia="宋体" w:hAnsi="宋体" w:cs="宋体" w:hint="default"/>
        <w:w w:val="100"/>
        <w:sz w:val="42"/>
        <w:szCs w:val="42"/>
      </w:rPr>
    </w:lvl>
    <w:lvl w:ilvl="1">
      <w:start w:val="0"/>
      <w:numFmt w:val="bullet"/>
      <w:lvlText w:val="•"/>
      <w:lvlJc w:val="left"/>
      <w:pPr>
        <w:ind w:left="3245" w:hanging="634"/>
      </w:pPr>
      <w:rPr>
        <w:rFonts w:hint="default"/>
      </w:rPr>
    </w:lvl>
    <w:lvl w:ilvl="2">
      <w:start w:val="0"/>
      <w:numFmt w:val="bullet"/>
      <w:lvlText w:val="•"/>
      <w:lvlJc w:val="left"/>
      <w:pPr>
        <w:ind w:left="4551" w:hanging="634"/>
      </w:pPr>
      <w:rPr>
        <w:rFonts w:hint="default"/>
      </w:rPr>
    </w:lvl>
    <w:lvl w:ilvl="3">
      <w:start w:val="0"/>
      <w:numFmt w:val="bullet"/>
      <w:lvlText w:val="•"/>
      <w:lvlJc w:val="left"/>
      <w:pPr>
        <w:ind w:left="5857" w:hanging="634"/>
      </w:pPr>
      <w:rPr>
        <w:rFonts w:hint="default"/>
      </w:rPr>
    </w:lvl>
    <w:lvl w:ilvl="4">
      <w:start w:val="0"/>
      <w:numFmt w:val="bullet"/>
      <w:lvlText w:val="•"/>
      <w:lvlJc w:val="left"/>
      <w:pPr>
        <w:ind w:left="7163" w:hanging="634"/>
      </w:pPr>
      <w:rPr>
        <w:rFonts w:hint="default"/>
      </w:rPr>
    </w:lvl>
    <w:lvl w:ilvl="5">
      <w:start w:val="0"/>
      <w:numFmt w:val="bullet"/>
      <w:lvlText w:val="•"/>
      <w:lvlJc w:val="left"/>
      <w:pPr>
        <w:ind w:left="8469" w:hanging="634"/>
      </w:pPr>
      <w:rPr>
        <w:rFonts w:hint="default"/>
      </w:rPr>
    </w:lvl>
    <w:lvl w:ilvl="6">
      <w:start w:val="0"/>
      <w:numFmt w:val="bullet"/>
      <w:lvlText w:val="•"/>
      <w:lvlJc w:val="left"/>
      <w:pPr>
        <w:ind w:left="9775" w:hanging="634"/>
      </w:pPr>
      <w:rPr>
        <w:rFonts w:hint="default"/>
      </w:rPr>
    </w:lvl>
    <w:lvl w:ilvl="7">
      <w:start w:val="0"/>
      <w:numFmt w:val="bullet"/>
      <w:lvlText w:val="•"/>
      <w:lvlJc w:val="left"/>
      <w:pPr>
        <w:ind w:left="11081" w:hanging="634"/>
      </w:pPr>
      <w:rPr>
        <w:rFonts w:hint="default"/>
      </w:rPr>
    </w:lvl>
    <w:lvl w:ilvl="8">
      <w:start w:val="0"/>
      <w:numFmt w:val="bullet"/>
      <w:lvlText w:val="•"/>
      <w:lvlJc w:val="left"/>
      <w:pPr>
        <w:ind w:left="12387" w:hanging="634"/>
      </w:pPr>
      <w:rPr>
        <w:rFonts w:hint="default"/>
      </w:rPr>
    </w:lvl>
  </w:abstractNum>
  <w:abstractNum w:abstractNumId="18">
    <w:nsid w:val="43B87027"/>
    <w:multiLevelType w:val="hybridMultilevel"/>
    <w:tmpl w:val="00000000"/>
    <w:lvl w:ilvl="0">
      <w:start w:val="1"/>
      <w:numFmt w:val="decimal"/>
      <w:lvlText w:val="%1."/>
      <w:lvlJc w:val="left"/>
      <w:pPr>
        <w:ind w:left="1729" w:hanging="423"/>
        <w:jc w:val="left"/>
      </w:pPr>
      <w:rPr>
        <w:rFonts w:ascii="宋体" w:eastAsia="宋体" w:hAnsi="宋体" w:cs="宋体" w:hint="default"/>
        <w:spacing w:val="-1"/>
        <w:w w:val="100"/>
        <w:sz w:val="40"/>
        <w:szCs w:val="40"/>
      </w:rPr>
    </w:lvl>
    <w:lvl w:ilvl="1">
      <w:start w:val="0"/>
      <w:numFmt w:val="bullet"/>
      <w:lvlText w:val="•"/>
      <w:lvlJc w:val="left"/>
      <w:pPr>
        <w:ind w:left="3047" w:hanging="423"/>
      </w:pPr>
      <w:rPr>
        <w:rFonts w:hint="default"/>
      </w:rPr>
    </w:lvl>
    <w:lvl w:ilvl="2">
      <w:start w:val="0"/>
      <w:numFmt w:val="bullet"/>
      <w:lvlText w:val="•"/>
      <w:lvlJc w:val="left"/>
      <w:pPr>
        <w:ind w:left="4375" w:hanging="423"/>
      </w:pPr>
      <w:rPr>
        <w:rFonts w:hint="default"/>
      </w:rPr>
    </w:lvl>
    <w:lvl w:ilvl="3">
      <w:start w:val="0"/>
      <w:numFmt w:val="bullet"/>
      <w:lvlText w:val="•"/>
      <w:lvlJc w:val="left"/>
      <w:pPr>
        <w:ind w:left="5703" w:hanging="423"/>
      </w:pPr>
      <w:rPr>
        <w:rFonts w:hint="default"/>
      </w:rPr>
    </w:lvl>
    <w:lvl w:ilvl="4">
      <w:start w:val="0"/>
      <w:numFmt w:val="bullet"/>
      <w:lvlText w:val="•"/>
      <w:lvlJc w:val="left"/>
      <w:pPr>
        <w:ind w:left="7031" w:hanging="423"/>
      </w:pPr>
      <w:rPr>
        <w:rFonts w:hint="default"/>
      </w:rPr>
    </w:lvl>
    <w:lvl w:ilvl="5">
      <w:start w:val="0"/>
      <w:numFmt w:val="bullet"/>
      <w:lvlText w:val="•"/>
      <w:lvlJc w:val="left"/>
      <w:pPr>
        <w:ind w:left="8359" w:hanging="423"/>
      </w:pPr>
      <w:rPr>
        <w:rFonts w:hint="default"/>
      </w:rPr>
    </w:lvl>
    <w:lvl w:ilvl="6">
      <w:start w:val="0"/>
      <w:numFmt w:val="bullet"/>
      <w:lvlText w:val="•"/>
      <w:lvlJc w:val="left"/>
      <w:pPr>
        <w:ind w:left="9687" w:hanging="423"/>
      </w:pPr>
      <w:rPr>
        <w:rFonts w:hint="default"/>
      </w:rPr>
    </w:lvl>
    <w:lvl w:ilvl="7">
      <w:start w:val="0"/>
      <w:numFmt w:val="bullet"/>
      <w:lvlText w:val="•"/>
      <w:lvlJc w:val="left"/>
      <w:pPr>
        <w:ind w:left="11015" w:hanging="423"/>
      </w:pPr>
      <w:rPr>
        <w:rFonts w:hint="default"/>
      </w:rPr>
    </w:lvl>
    <w:lvl w:ilvl="8">
      <w:start w:val="0"/>
      <w:numFmt w:val="bullet"/>
      <w:lvlText w:val="•"/>
      <w:lvlJc w:val="left"/>
      <w:pPr>
        <w:ind w:left="12343" w:hanging="423"/>
      </w:pPr>
      <w:rPr>
        <w:rFonts w:hint="default"/>
      </w:rPr>
    </w:lvl>
  </w:abstractNum>
  <w:abstractNum w:abstractNumId="19">
    <w:nsid w:val="43BB4842"/>
    <w:multiLevelType w:val="hybridMultilevel"/>
    <w:tmpl w:val="00000000"/>
    <w:lvl w:ilvl="0">
      <w:start w:val="2"/>
      <w:numFmt w:val="decimal"/>
      <w:lvlText w:val="%1"/>
      <w:lvlJc w:val="left"/>
      <w:pPr>
        <w:ind w:left="1238" w:hanging="454"/>
        <w:jc w:val="left"/>
      </w:pPr>
      <w:rPr>
        <w:rFonts w:hint="default"/>
      </w:rPr>
    </w:lvl>
    <w:lvl w:ilvl="1">
      <w:start w:val="1"/>
      <w:numFmt w:val="decimal"/>
      <w:lvlText w:val="%1.%2"/>
      <w:lvlJc w:val="left"/>
      <w:pPr>
        <w:ind w:left="1238" w:hanging="454"/>
        <w:jc w:val="left"/>
      </w:pPr>
      <w:rPr>
        <w:rFonts w:ascii="Calibri" w:eastAsia="Calibri" w:hAnsi="Calibri" w:cs="Calibri" w:hint="default"/>
        <w:spacing w:val="-1"/>
        <w:w w:val="99"/>
        <w:sz w:val="30"/>
        <w:szCs w:val="30"/>
      </w:rPr>
    </w:lvl>
    <w:lvl w:ilvl="2">
      <w:start w:val="2"/>
      <w:numFmt w:val="decimal"/>
      <w:lvlText w:val="%1.%2.%3"/>
      <w:lvlJc w:val="left"/>
      <w:pPr>
        <w:ind w:left="1854" w:hanging="756"/>
        <w:jc w:val="left"/>
      </w:pPr>
      <w:rPr>
        <w:rFonts w:ascii="Calibri" w:eastAsia="Calibri" w:hAnsi="Calibri" w:cs="Calibri" w:hint="default"/>
        <w:spacing w:val="-1"/>
        <w:w w:val="99"/>
        <w:sz w:val="30"/>
        <w:szCs w:val="30"/>
      </w:rPr>
    </w:lvl>
    <w:lvl w:ilvl="3">
      <w:start w:val="0"/>
      <w:numFmt w:val="bullet"/>
      <w:lvlText w:val="•"/>
      <w:lvlJc w:val="left"/>
      <w:pPr>
        <w:ind w:left="4779" w:hanging="756"/>
      </w:pPr>
      <w:rPr>
        <w:rFonts w:hint="default"/>
      </w:rPr>
    </w:lvl>
    <w:lvl w:ilvl="4">
      <w:start w:val="0"/>
      <w:numFmt w:val="bullet"/>
      <w:lvlText w:val="•"/>
      <w:lvlJc w:val="left"/>
      <w:pPr>
        <w:ind w:left="6239" w:hanging="756"/>
      </w:pPr>
      <w:rPr>
        <w:rFonts w:hint="default"/>
      </w:rPr>
    </w:lvl>
    <w:lvl w:ilvl="5">
      <w:start w:val="0"/>
      <w:numFmt w:val="bullet"/>
      <w:lvlText w:val="•"/>
      <w:lvlJc w:val="left"/>
      <w:pPr>
        <w:ind w:left="7699" w:hanging="756"/>
      </w:pPr>
      <w:rPr>
        <w:rFonts w:hint="default"/>
      </w:rPr>
    </w:lvl>
    <w:lvl w:ilvl="6">
      <w:start w:val="0"/>
      <w:numFmt w:val="bullet"/>
      <w:lvlText w:val="•"/>
      <w:lvlJc w:val="left"/>
      <w:pPr>
        <w:ind w:left="9159" w:hanging="756"/>
      </w:pPr>
      <w:rPr>
        <w:rFonts w:hint="default"/>
      </w:rPr>
    </w:lvl>
    <w:lvl w:ilvl="7">
      <w:start w:val="0"/>
      <w:numFmt w:val="bullet"/>
      <w:lvlText w:val="•"/>
      <w:lvlJc w:val="left"/>
      <w:pPr>
        <w:ind w:left="10619" w:hanging="756"/>
      </w:pPr>
      <w:rPr>
        <w:rFonts w:hint="default"/>
      </w:rPr>
    </w:lvl>
    <w:lvl w:ilvl="8">
      <w:start w:val="0"/>
      <w:numFmt w:val="bullet"/>
      <w:lvlText w:val="•"/>
      <w:lvlJc w:val="left"/>
      <w:pPr>
        <w:ind w:left="12079" w:hanging="756"/>
      </w:pPr>
      <w:rPr>
        <w:rFonts w:hint="default"/>
      </w:rPr>
    </w:lvl>
  </w:abstractNum>
  <w:abstractNum w:abstractNumId="20">
    <w:nsid w:val="442C8DD6"/>
    <w:multiLevelType w:val="hybridMultilevel"/>
    <w:tmpl w:val="00000000"/>
    <w:lvl w:ilvl="0">
      <w:start w:val="5"/>
      <w:numFmt w:val="decimal"/>
      <w:lvlText w:val="%1"/>
      <w:lvlJc w:val="left"/>
      <w:pPr>
        <w:ind w:left="1260" w:hanging="792"/>
        <w:jc w:val="left"/>
      </w:pPr>
      <w:rPr>
        <w:rFonts w:hint="default"/>
      </w:rPr>
    </w:lvl>
    <w:lvl w:ilvl="1">
      <w:start w:val="1"/>
      <w:numFmt w:val="decimal"/>
      <w:lvlText w:val="%1.%2"/>
      <w:lvlJc w:val="left"/>
      <w:pPr>
        <w:ind w:left="1260" w:hanging="792"/>
        <w:jc w:val="left"/>
      </w:pPr>
      <w:rPr>
        <w:rFonts w:ascii="宋体" w:eastAsia="宋体" w:hAnsi="宋体" w:cs="宋体" w:hint="default"/>
        <w:b/>
        <w:bCs/>
        <w:w w:val="99"/>
        <w:sz w:val="45"/>
        <w:szCs w:val="45"/>
      </w:rPr>
    </w:lvl>
    <w:lvl w:ilvl="2">
      <w:start w:val="0"/>
      <w:numFmt w:val="bullet"/>
      <w:lvlText w:val="•"/>
      <w:lvlJc w:val="left"/>
      <w:pPr>
        <w:ind w:left="4007" w:hanging="792"/>
      </w:pPr>
      <w:rPr>
        <w:rFonts w:hint="default"/>
      </w:rPr>
    </w:lvl>
    <w:lvl w:ilvl="3">
      <w:start w:val="0"/>
      <w:numFmt w:val="bullet"/>
      <w:lvlText w:val="•"/>
      <w:lvlJc w:val="left"/>
      <w:pPr>
        <w:ind w:left="5381" w:hanging="792"/>
      </w:pPr>
      <w:rPr>
        <w:rFonts w:hint="default"/>
      </w:rPr>
    </w:lvl>
    <w:lvl w:ilvl="4">
      <w:start w:val="0"/>
      <w:numFmt w:val="bullet"/>
      <w:lvlText w:val="•"/>
      <w:lvlJc w:val="left"/>
      <w:pPr>
        <w:ind w:left="6755" w:hanging="792"/>
      </w:pPr>
      <w:rPr>
        <w:rFonts w:hint="default"/>
      </w:rPr>
    </w:lvl>
    <w:lvl w:ilvl="5">
      <w:start w:val="0"/>
      <w:numFmt w:val="bullet"/>
      <w:lvlText w:val="•"/>
      <w:lvlJc w:val="left"/>
      <w:pPr>
        <w:ind w:left="8129" w:hanging="792"/>
      </w:pPr>
      <w:rPr>
        <w:rFonts w:hint="default"/>
      </w:rPr>
    </w:lvl>
    <w:lvl w:ilvl="6">
      <w:start w:val="0"/>
      <w:numFmt w:val="bullet"/>
      <w:lvlText w:val="•"/>
      <w:lvlJc w:val="left"/>
      <w:pPr>
        <w:ind w:left="9503" w:hanging="792"/>
      </w:pPr>
      <w:rPr>
        <w:rFonts w:hint="default"/>
      </w:rPr>
    </w:lvl>
    <w:lvl w:ilvl="7">
      <w:start w:val="0"/>
      <w:numFmt w:val="bullet"/>
      <w:lvlText w:val="•"/>
      <w:lvlJc w:val="left"/>
      <w:pPr>
        <w:ind w:left="10877" w:hanging="792"/>
      </w:pPr>
      <w:rPr>
        <w:rFonts w:hint="default"/>
      </w:rPr>
    </w:lvl>
    <w:lvl w:ilvl="8">
      <w:start w:val="0"/>
      <w:numFmt w:val="bullet"/>
      <w:lvlText w:val="•"/>
      <w:lvlJc w:val="left"/>
      <w:pPr>
        <w:ind w:left="12251" w:hanging="792"/>
      </w:pPr>
      <w:rPr>
        <w:rFonts w:hint="default"/>
      </w:rPr>
    </w:lvl>
  </w:abstractNum>
  <w:abstractNum w:abstractNumId="21">
    <w:nsid w:val="486608EA"/>
    <w:multiLevelType w:val="hybridMultilevel"/>
    <w:tmpl w:val="00000000"/>
    <w:lvl w:ilvl="0">
      <w:start w:val="1"/>
      <w:numFmt w:val="decimal"/>
      <w:lvlText w:val="%1)"/>
      <w:lvlJc w:val="left"/>
      <w:pPr>
        <w:ind w:left="1847" w:hanging="540"/>
        <w:jc w:val="left"/>
      </w:pPr>
      <w:rPr>
        <w:rFonts w:ascii="宋体" w:eastAsia="宋体" w:hAnsi="宋体" w:cs="宋体" w:hint="default"/>
        <w:w w:val="100"/>
        <w:sz w:val="42"/>
        <w:szCs w:val="42"/>
      </w:rPr>
    </w:lvl>
    <w:lvl w:ilvl="1">
      <w:start w:val="0"/>
      <w:numFmt w:val="bullet"/>
      <w:lvlText w:val="•"/>
      <w:lvlJc w:val="left"/>
      <w:pPr>
        <w:ind w:left="3155" w:hanging="540"/>
      </w:pPr>
      <w:rPr>
        <w:rFonts w:hint="default"/>
      </w:rPr>
    </w:lvl>
    <w:lvl w:ilvl="2">
      <w:start w:val="0"/>
      <w:numFmt w:val="bullet"/>
      <w:lvlText w:val="•"/>
      <w:lvlJc w:val="left"/>
      <w:pPr>
        <w:ind w:left="4471" w:hanging="540"/>
      </w:pPr>
      <w:rPr>
        <w:rFonts w:hint="default"/>
      </w:rPr>
    </w:lvl>
    <w:lvl w:ilvl="3">
      <w:start w:val="0"/>
      <w:numFmt w:val="bullet"/>
      <w:lvlText w:val="•"/>
      <w:lvlJc w:val="left"/>
      <w:pPr>
        <w:ind w:left="5787" w:hanging="540"/>
      </w:pPr>
      <w:rPr>
        <w:rFonts w:hint="default"/>
      </w:rPr>
    </w:lvl>
    <w:lvl w:ilvl="4">
      <w:start w:val="0"/>
      <w:numFmt w:val="bullet"/>
      <w:lvlText w:val="•"/>
      <w:lvlJc w:val="left"/>
      <w:pPr>
        <w:ind w:left="7103" w:hanging="540"/>
      </w:pPr>
      <w:rPr>
        <w:rFonts w:hint="default"/>
      </w:rPr>
    </w:lvl>
    <w:lvl w:ilvl="5">
      <w:start w:val="0"/>
      <w:numFmt w:val="bullet"/>
      <w:lvlText w:val="•"/>
      <w:lvlJc w:val="left"/>
      <w:pPr>
        <w:ind w:left="8419" w:hanging="540"/>
      </w:pPr>
      <w:rPr>
        <w:rFonts w:hint="default"/>
      </w:rPr>
    </w:lvl>
    <w:lvl w:ilvl="6">
      <w:start w:val="0"/>
      <w:numFmt w:val="bullet"/>
      <w:lvlText w:val="•"/>
      <w:lvlJc w:val="left"/>
      <w:pPr>
        <w:ind w:left="9735" w:hanging="540"/>
      </w:pPr>
      <w:rPr>
        <w:rFonts w:hint="default"/>
      </w:rPr>
    </w:lvl>
    <w:lvl w:ilvl="7">
      <w:start w:val="0"/>
      <w:numFmt w:val="bullet"/>
      <w:lvlText w:val="•"/>
      <w:lvlJc w:val="left"/>
      <w:pPr>
        <w:ind w:left="11051" w:hanging="540"/>
      </w:pPr>
      <w:rPr>
        <w:rFonts w:hint="default"/>
      </w:rPr>
    </w:lvl>
    <w:lvl w:ilvl="8">
      <w:start w:val="0"/>
      <w:numFmt w:val="bullet"/>
      <w:lvlText w:val="•"/>
      <w:lvlJc w:val="left"/>
      <w:pPr>
        <w:ind w:left="12367" w:hanging="540"/>
      </w:pPr>
      <w:rPr>
        <w:rFonts w:hint="default"/>
      </w:rPr>
    </w:lvl>
  </w:abstractNum>
  <w:abstractNum w:abstractNumId="22">
    <w:nsid w:val="4D05DAD5"/>
    <w:multiLevelType w:val="hybridMultilevel"/>
    <w:tmpl w:val="00000000"/>
    <w:lvl w:ilvl="0">
      <w:start w:val="6"/>
      <w:numFmt w:val="decimal"/>
      <w:lvlText w:val="%1"/>
      <w:lvlJc w:val="left"/>
      <w:pPr>
        <w:ind w:left="1238" w:hanging="454"/>
        <w:jc w:val="left"/>
      </w:pPr>
      <w:rPr>
        <w:rFonts w:hint="default"/>
      </w:rPr>
    </w:lvl>
    <w:lvl w:ilvl="1">
      <w:start w:val="1"/>
      <w:numFmt w:val="decimal"/>
      <w:lvlText w:val="%1.%2"/>
      <w:lvlJc w:val="left"/>
      <w:pPr>
        <w:ind w:left="1238" w:hanging="454"/>
        <w:jc w:val="left"/>
      </w:pPr>
      <w:rPr>
        <w:rFonts w:ascii="Calibri" w:eastAsia="Calibri" w:hAnsi="Calibri" w:cs="Calibri" w:hint="default"/>
        <w:spacing w:val="-1"/>
        <w:w w:val="99"/>
        <w:sz w:val="30"/>
        <w:szCs w:val="30"/>
      </w:rPr>
    </w:lvl>
    <w:lvl w:ilvl="2">
      <w:start w:val="0"/>
      <w:numFmt w:val="bullet"/>
      <w:lvlText w:val="•"/>
      <w:lvlJc w:val="left"/>
      <w:pPr>
        <w:ind w:left="3991" w:hanging="454"/>
      </w:pPr>
      <w:rPr>
        <w:rFonts w:hint="default"/>
      </w:rPr>
    </w:lvl>
    <w:lvl w:ilvl="3">
      <w:start w:val="0"/>
      <w:numFmt w:val="bullet"/>
      <w:lvlText w:val="•"/>
      <w:lvlJc w:val="left"/>
      <w:pPr>
        <w:ind w:left="5367" w:hanging="454"/>
      </w:pPr>
      <w:rPr>
        <w:rFonts w:hint="default"/>
      </w:rPr>
    </w:lvl>
    <w:lvl w:ilvl="4">
      <w:start w:val="0"/>
      <w:numFmt w:val="bullet"/>
      <w:lvlText w:val="•"/>
      <w:lvlJc w:val="left"/>
      <w:pPr>
        <w:ind w:left="6743" w:hanging="454"/>
      </w:pPr>
      <w:rPr>
        <w:rFonts w:hint="default"/>
      </w:rPr>
    </w:lvl>
    <w:lvl w:ilvl="5">
      <w:start w:val="0"/>
      <w:numFmt w:val="bullet"/>
      <w:lvlText w:val="•"/>
      <w:lvlJc w:val="left"/>
      <w:pPr>
        <w:ind w:left="8119" w:hanging="454"/>
      </w:pPr>
      <w:rPr>
        <w:rFonts w:hint="default"/>
      </w:rPr>
    </w:lvl>
    <w:lvl w:ilvl="6">
      <w:start w:val="0"/>
      <w:numFmt w:val="bullet"/>
      <w:lvlText w:val="•"/>
      <w:lvlJc w:val="left"/>
      <w:pPr>
        <w:ind w:left="9495" w:hanging="454"/>
      </w:pPr>
      <w:rPr>
        <w:rFonts w:hint="default"/>
      </w:rPr>
    </w:lvl>
    <w:lvl w:ilvl="7">
      <w:start w:val="0"/>
      <w:numFmt w:val="bullet"/>
      <w:lvlText w:val="•"/>
      <w:lvlJc w:val="left"/>
      <w:pPr>
        <w:ind w:left="10871" w:hanging="454"/>
      </w:pPr>
      <w:rPr>
        <w:rFonts w:hint="default"/>
      </w:rPr>
    </w:lvl>
    <w:lvl w:ilvl="8">
      <w:start w:val="0"/>
      <w:numFmt w:val="bullet"/>
      <w:lvlText w:val="•"/>
      <w:lvlJc w:val="left"/>
      <w:pPr>
        <w:ind w:left="12247" w:hanging="454"/>
      </w:pPr>
      <w:rPr>
        <w:rFonts w:hint="default"/>
      </w:rPr>
    </w:lvl>
  </w:abstractNum>
  <w:abstractNum w:abstractNumId="23">
    <w:nsid w:val="56F5E3CC"/>
    <w:multiLevelType w:val="hybridMultilevel"/>
    <w:tmpl w:val="00000000"/>
    <w:lvl w:ilvl="0">
      <w:start w:val="5"/>
      <w:numFmt w:val="decimal"/>
      <w:lvlText w:val="%1"/>
      <w:lvlJc w:val="left"/>
      <w:pPr>
        <w:ind w:left="1238" w:hanging="454"/>
        <w:jc w:val="left"/>
      </w:pPr>
      <w:rPr>
        <w:rFonts w:hint="default"/>
      </w:rPr>
    </w:lvl>
    <w:lvl w:ilvl="1">
      <w:start w:val="1"/>
      <w:numFmt w:val="decimal"/>
      <w:lvlText w:val="%1.%2"/>
      <w:lvlJc w:val="left"/>
      <w:pPr>
        <w:ind w:left="1238" w:hanging="454"/>
        <w:jc w:val="left"/>
      </w:pPr>
      <w:rPr>
        <w:rFonts w:ascii="Calibri" w:eastAsia="Calibri" w:hAnsi="Calibri" w:cs="Calibri" w:hint="default"/>
        <w:spacing w:val="-1"/>
        <w:w w:val="99"/>
        <w:sz w:val="30"/>
        <w:szCs w:val="30"/>
      </w:rPr>
    </w:lvl>
    <w:lvl w:ilvl="2">
      <w:start w:val="0"/>
      <w:numFmt w:val="bullet"/>
      <w:lvlText w:val="•"/>
      <w:lvlJc w:val="left"/>
      <w:pPr>
        <w:ind w:left="3991" w:hanging="454"/>
      </w:pPr>
      <w:rPr>
        <w:rFonts w:hint="default"/>
      </w:rPr>
    </w:lvl>
    <w:lvl w:ilvl="3">
      <w:start w:val="0"/>
      <w:numFmt w:val="bullet"/>
      <w:lvlText w:val="•"/>
      <w:lvlJc w:val="left"/>
      <w:pPr>
        <w:ind w:left="5367" w:hanging="454"/>
      </w:pPr>
      <w:rPr>
        <w:rFonts w:hint="default"/>
      </w:rPr>
    </w:lvl>
    <w:lvl w:ilvl="4">
      <w:start w:val="0"/>
      <w:numFmt w:val="bullet"/>
      <w:lvlText w:val="•"/>
      <w:lvlJc w:val="left"/>
      <w:pPr>
        <w:ind w:left="6743" w:hanging="454"/>
      </w:pPr>
      <w:rPr>
        <w:rFonts w:hint="default"/>
      </w:rPr>
    </w:lvl>
    <w:lvl w:ilvl="5">
      <w:start w:val="0"/>
      <w:numFmt w:val="bullet"/>
      <w:lvlText w:val="•"/>
      <w:lvlJc w:val="left"/>
      <w:pPr>
        <w:ind w:left="8119" w:hanging="454"/>
      </w:pPr>
      <w:rPr>
        <w:rFonts w:hint="default"/>
      </w:rPr>
    </w:lvl>
    <w:lvl w:ilvl="6">
      <w:start w:val="0"/>
      <w:numFmt w:val="bullet"/>
      <w:lvlText w:val="•"/>
      <w:lvlJc w:val="left"/>
      <w:pPr>
        <w:ind w:left="9495" w:hanging="454"/>
      </w:pPr>
      <w:rPr>
        <w:rFonts w:hint="default"/>
      </w:rPr>
    </w:lvl>
    <w:lvl w:ilvl="7">
      <w:start w:val="0"/>
      <w:numFmt w:val="bullet"/>
      <w:lvlText w:val="•"/>
      <w:lvlJc w:val="left"/>
      <w:pPr>
        <w:ind w:left="10871" w:hanging="454"/>
      </w:pPr>
      <w:rPr>
        <w:rFonts w:hint="default"/>
      </w:rPr>
    </w:lvl>
    <w:lvl w:ilvl="8">
      <w:start w:val="0"/>
      <w:numFmt w:val="bullet"/>
      <w:lvlText w:val="•"/>
      <w:lvlJc w:val="left"/>
      <w:pPr>
        <w:ind w:left="12247" w:hanging="454"/>
      </w:pPr>
      <w:rPr>
        <w:rFonts w:hint="default"/>
      </w:rPr>
    </w:lvl>
  </w:abstractNum>
  <w:abstractNum w:abstractNumId="24">
    <w:nsid w:val="5A591788"/>
    <w:multiLevelType w:val="hybridMultilevel"/>
    <w:tmpl w:val="00000000"/>
    <w:lvl w:ilvl="0">
      <w:start w:val="1"/>
      <w:numFmt w:val="decimal"/>
      <w:lvlText w:val="%1)"/>
      <w:lvlJc w:val="left"/>
      <w:pPr>
        <w:ind w:left="1847" w:hanging="540"/>
        <w:jc w:val="left"/>
      </w:pPr>
      <w:rPr>
        <w:rFonts w:ascii="宋体" w:eastAsia="宋体" w:hAnsi="宋体" w:cs="宋体" w:hint="default"/>
        <w:w w:val="100"/>
        <w:sz w:val="42"/>
        <w:szCs w:val="42"/>
      </w:rPr>
    </w:lvl>
    <w:lvl w:ilvl="1">
      <w:start w:val="0"/>
      <w:numFmt w:val="bullet"/>
      <w:lvlText w:val="•"/>
      <w:lvlJc w:val="left"/>
      <w:pPr>
        <w:ind w:left="3155" w:hanging="540"/>
      </w:pPr>
      <w:rPr>
        <w:rFonts w:hint="default"/>
      </w:rPr>
    </w:lvl>
    <w:lvl w:ilvl="2">
      <w:start w:val="0"/>
      <w:numFmt w:val="bullet"/>
      <w:lvlText w:val="•"/>
      <w:lvlJc w:val="left"/>
      <w:pPr>
        <w:ind w:left="4471" w:hanging="540"/>
      </w:pPr>
      <w:rPr>
        <w:rFonts w:hint="default"/>
      </w:rPr>
    </w:lvl>
    <w:lvl w:ilvl="3">
      <w:start w:val="0"/>
      <w:numFmt w:val="bullet"/>
      <w:lvlText w:val="•"/>
      <w:lvlJc w:val="left"/>
      <w:pPr>
        <w:ind w:left="5787" w:hanging="540"/>
      </w:pPr>
      <w:rPr>
        <w:rFonts w:hint="default"/>
      </w:rPr>
    </w:lvl>
    <w:lvl w:ilvl="4">
      <w:start w:val="0"/>
      <w:numFmt w:val="bullet"/>
      <w:lvlText w:val="•"/>
      <w:lvlJc w:val="left"/>
      <w:pPr>
        <w:ind w:left="7103" w:hanging="540"/>
      </w:pPr>
      <w:rPr>
        <w:rFonts w:hint="default"/>
      </w:rPr>
    </w:lvl>
    <w:lvl w:ilvl="5">
      <w:start w:val="0"/>
      <w:numFmt w:val="bullet"/>
      <w:lvlText w:val="•"/>
      <w:lvlJc w:val="left"/>
      <w:pPr>
        <w:ind w:left="8419" w:hanging="540"/>
      </w:pPr>
      <w:rPr>
        <w:rFonts w:hint="default"/>
      </w:rPr>
    </w:lvl>
    <w:lvl w:ilvl="6">
      <w:start w:val="0"/>
      <w:numFmt w:val="bullet"/>
      <w:lvlText w:val="•"/>
      <w:lvlJc w:val="left"/>
      <w:pPr>
        <w:ind w:left="9735" w:hanging="540"/>
      </w:pPr>
      <w:rPr>
        <w:rFonts w:hint="default"/>
      </w:rPr>
    </w:lvl>
    <w:lvl w:ilvl="7">
      <w:start w:val="0"/>
      <w:numFmt w:val="bullet"/>
      <w:lvlText w:val="•"/>
      <w:lvlJc w:val="left"/>
      <w:pPr>
        <w:ind w:left="11051" w:hanging="540"/>
      </w:pPr>
      <w:rPr>
        <w:rFonts w:hint="default"/>
      </w:rPr>
    </w:lvl>
    <w:lvl w:ilvl="8">
      <w:start w:val="0"/>
      <w:numFmt w:val="bullet"/>
      <w:lvlText w:val="•"/>
      <w:lvlJc w:val="left"/>
      <w:pPr>
        <w:ind w:left="12367" w:hanging="540"/>
      </w:pPr>
      <w:rPr>
        <w:rFonts w:hint="default"/>
      </w:rPr>
    </w:lvl>
  </w:abstractNum>
  <w:abstractNum w:abstractNumId="25">
    <w:nsid w:val="5E54B548"/>
    <w:multiLevelType w:val="hybridMultilevel"/>
    <w:tmpl w:val="00000000"/>
    <w:lvl w:ilvl="0">
      <w:start w:val="1"/>
      <w:numFmt w:val="decimal"/>
      <w:lvlText w:val="%1)"/>
      <w:lvlJc w:val="left"/>
      <w:pPr>
        <w:ind w:left="468" w:hanging="634"/>
        <w:jc w:val="left"/>
      </w:pPr>
      <w:rPr>
        <w:rFonts w:ascii="宋体" w:eastAsia="宋体" w:hAnsi="宋体" w:cs="宋体" w:hint="default"/>
        <w:w w:val="100"/>
        <w:sz w:val="42"/>
        <w:szCs w:val="42"/>
      </w:rPr>
    </w:lvl>
    <w:lvl w:ilvl="1">
      <w:start w:val="0"/>
      <w:numFmt w:val="bullet"/>
      <w:lvlText w:val="•"/>
      <w:lvlJc w:val="left"/>
      <w:pPr>
        <w:ind w:left="1913" w:hanging="634"/>
      </w:pPr>
      <w:rPr>
        <w:rFonts w:hint="default"/>
      </w:rPr>
    </w:lvl>
    <w:lvl w:ilvl="2">
      <w:start w:val="0"/>
      <w:numFmt w:val="bullet"/>
      <w:lvlText w:val="•"/>
      <w:lvlJc w:val="left"/>
      <w:pPr>
        <w:ind w:left="3367" w:hanging="634"/>
      </w:pPr>
      <w:rPr>
        <w:rFonts w:hint="default"/>
      </w:rPr>
    </w:lvl>
    <w:lvl w:ilvl="3">
      <w:start w:val="0"/>
      <w:numFmt w:val="bullet"/>
      <w:lvlText w:val="•"/>
      <w:lvlJc w:val="left"/>
      <w:pPr>
        <w:ind w:left="4821" w:hanging="634"/>
      </w:pPr>
      <w:rPr>
        <w:rFonts w:hint="default"/>
      </w:rPr>
    </w:lvl>
    <w:lvl w:ilvl="4">
      <w:start w:val="0"/>
      <w:numFmt w:val="bullet"/>
      <w:lvlText w:val="•"/>
      <w:lvlJc w:val="left"/>
      <w:pPr>
        <w:ind w:left="6275" w:hanging="634"/>
      </w:pPr>
      <w:rPr>
        <w:rFonts w:hint="default"/>
      </w:rPr>
    </w:lvl>
    <w:lvl w:ilvl="5">
      <w:start w:val="0"/>
      <w:numFmt w:val="bullet"/>
      <w:lvlText w:val="•"/>
      <w:lvlJc w:val="left"/>
      <w:pPr>
        <w:ind w:left="7729" w:hanging="634"/>
      </w:pPr>
      <w:rPr>
        <w:rFonts w:hint="default"/>
      </w:rPr>
    </w:lvl>
    <w:lvl w:ilvl="6">
      <w:start w:val="0"/>
      <w:numFmt w:val="bullet"/>
      <w:lvlText w:val="•"/>
      <w:lvlJc w:val="left"/>
      <w:pPr>
        <w:ind w:left="9183" w:hanging="634"/>
      </w:pPr>
      <w:rPr>
        <w:rFonts w:hint="default"/>
      </w:rPr>
    </w:lvl>
    <w:lvl w:ilvl="7">
      <w:start w:val="0"/>
      <w:numFmt w:val="bullet"/>
      <w:lvlText w:val="•"/>
      <w:lvlJc w:val="left"/>
      <w:pPr>
        <w:ind w:left="10637" w:hanging="634"/>
      </w:pPr>
      <w:rPr>
        <w:rFonts w:hint="default"/>
      </w:rPr>
    </w:lvl>
    <w:lvl w:ilvl="8">
      <w:start w:val="0"/>
      <w:numFmt w:val="bullet"/>
      <w:lvlText w:val="•"/>
      <w:lvlJc w:val="left"/>
      <w:pPr>
        <w:ind w:left="12091" w:hanging="634"/>
      </w:pPr>
      <w:rPr>
        <w:rFonts w:hint="default"/>
      </w:rPr>
    </w:lvl>
  </w:abstractNum>
  <w:abstractNum w:abstractNumId="26">
    <w:nsid w:val="5E7E02FB"/>
    <w:multiLevelType w:val="hybridMultilevel"/>
    <w:tmpl w:val="00000000"/>
    <w:lvl w:ilvl="0">
      <w:start w:val="1"/>
      <w:numFmt w:val="decimal"/>
      <w:lvlText w:val="%1"/>
      <w:lvlJc w:val="left"/>
      <w:pPr>
        <w:ind w:left="1623" w:hanging="317"/>
        <w:jc w:val="left"/>
      </w:pPr>
      <w:rPr>
        <w:rFonts w:ascii="宋体" w:eastAsia="宋体" w:hAnsi="宋体" w:cs="宋体" w:hint="default"/>
        <w:w w:val="100"/>
        <w:sz w:val="42"/>
        <w:szCs w:val="42"/>
      </w:rPr>
    </w:lvl>
    <w:lvl w:ilvl="1">
      <w:start w:val="0"/>
      <w:numFmt w:val="bullet"/>
      <w:lvlText w:val="•"/>
      <w:lvlJc w:val="left"/>
      <w:pPr>
        <w:ind w:left="2957" w:hanging="317"/>
      </w:pPr>
      <w:rPr>
        <w:rFonts w:hint="default"/>
      </w:rPr>
    </w:lvl>
    <w:lvl w:ilvl="2">
      <w:start w:val="0"/>
      <w:numFmt w:val="bullet"/>
      <w:lvlText w:val="•"/>
      <w:lvlJc w:val="left"/>
      <w:pPr>
        <w:ind w:left="4295" w:hanging="317"/>
      </w:pPr>
      <w:rPr>
        <w:rFonts w:hint="default"/>
      </w:rPr>
    </w:lvl>
    <w:lvl w:ilvl="3">
      <w:start w:val="0"/>
      <w:numFmt w:val="bullet"/>
      <w:lvlText w:val="•"/>
      <w:lvlJc w:val="left"/>
      <w:pPr>
        <w:ind w:left="5633" w:hanging="317"/>
      </w:pPr>
      <w:rPr>
        <w:rFonts w:hint="default"/>
      </w:rPr>
    </w:lvl>
    <w:lvl w:ilvl="4">
      <w:start w:val="0"/>
      <w:numFmt w:val="bullet"/>
      <w:lvlText w:val="•"/>
      <w:lvlJc w:val="left"/>
      <w:pPr>
        <w:ind w:left="6971" w:hanging="317"/>
      </w:pPr>
      <w:rPr>
        <w:rFonts w:hint="default"/>
      </w:rPr>
    </w:lvl>
    <w:lvl w:ilvl="5">
      <w:start w:val="0"/>
      <w:numFmt w:val="bullet"/>
      <w:lvlText w:val="•"/>
      <w:lvlJc w:val="left"/>
      <w:pPr>
        <w:ind w:left="8309" w:hanging="317"/>
      </w:pPr>
      <w:rPr>
        <w:rFonts w:hint="default"/>
      </w:rPr>
    </w:lvl>
    <w:lvl w:ilvl="6">
      <w:start w:val="0"/>
      <w:numFmt w:val="bullet"/>
      <w:lvlText w:val="•"/>
      <w:lvlJc w:val="left"/>
      <w:pPr>
        <w:ind w:left="9647" w:hanging="317"/>
      </w:pPr>
      <w:rPr>
        <w:rFonts w:hint="default"/>
      </w:rPr>
    </w:lvl>
    <w:lvl w:ilvl="7">
      <w:start w:val="0"/>
      <w:numFmt w:val="bullet"/>
      <w:lvlText w:val="•"/>
      <w:lvlJc w:val="left"/>
      <w:pPr>
        <w:ind w:left="10985" w:hanging="317"/>
      </w:pPr>
      <w:rPr>
        <w:rFonts w:hint="default"/>
      </w:rPr>
    </w:lvl>
    <w:lvl w:ilvl="8">
      <w:start w:val="0"/>
      <w:numFmt w:val="bullet"/>
      <w:lvlText w:val="•"/>
      <w:lvlJc w:val="left"/>
      <w:pPr>
        <w:ind w:left="12323" w:hanging="317"/>
      </w:pPr>
      <w:rPr>
        <w:rFonts w:hint="default"/>
      </w:rPr>
    </w:lvl>
  </w:abstractNum>
  <w:abstractNum w:abstractNumId="27">
    <w:nsid w:val="60B18035"/>
    <w:multiLevelType w:val="hybridMultilevel"/>
    <w:tmpl w:val="00000000"/>
    <w:lvl w:ilvl="0">
      <w:start w:val="1"/>
      <w:numFmt w:val="decimal"/>
      <w:lvlText w:val="%1"/>
      <w:lvlJc w:val="left"/>
      <w:pPr>
        <w:ind w:left="1238" w:hanging="454"/>
        <w:jc w:val="left"/>
      </w:pPr>
      <w:rPr>
        <w:rFonts w:hint="default"/>
      </w:rPr>
    </w:lvl>
    <w:lvl w:ilvl="1">
      <w:start w:val="1"/>
      <w:numFmt w:val="decimal"/>
      <w:lvlText w:val="%1.%2"/>
      <w:lvlJc w:val="left"/>
      <w:pPr>
        <w:ind w:left="1238" w:hanging="454"/>
        <w:jc w:val="left"/>
      </w:pPr>
      <w:rPr>
        <w:rFonts w:ascii="Calibri" w:eastAsia="Calibri" w:hAnsi="Calibri" w:cs="Calibri" w:hint="default"/>
        <w:spacing w:val="-1"/>
        <w:w w:val="99"/>
        <w:sz w:val="30"/>
        <w:szCs w:val="30"/>
      </w:rPr>
    </w:lvl>
    <w:lvl w:ilvl="2">
      <w:start w:val="0"/>
      <w:numFmt w:val="bullet"/>
      <w:lvlText w:val="•"/>
      <w:lvlJc w:val="left"/>
      <w:pPr>
        <w:ind w:left="3991" w:hanging="454"/>
      </w:pPr>
      <w:rPr>
        <w:rFonts w:hint="default"/>
      </w:rPr>
    </w:lvl>
    <w:lvl w:ilvl="3">
      <w:start w:val="0"/>
      <w:numFmt w:val="bullet"/>
      <w:lvlText w:val="•"/>
      <w:lvlJc w:val="left"/>
      <w:pPr>
        <w:ind w:left="5367" w:hanging="454"/>
      </w:pPr>
      <w:rPr>
        <w:rFonts w:hint="default"/>
      </w:rPr>
    </w:lvl>
    <w:lvl w:ilvl="4">
      <w:start w:val="0"/>
      <w:numFmt w:val="bullet"/>
      <w:lvlText w:val="•"/>
      <w:lvlJc w:val="left"/>
      <w:pPr>
        <w:ind w:left="6743" w:hanging="454"/>
      </w:pPr>
      <w:rPr>
        <w:rFonts w:hint="default"/>
      </w:rPr>
    </w:lvl>
    <w:lvl w:ilvl="5">
      <w:start w:val="0"/>
      <w:numFmt w:val="bullet"/>
      <w:lvlText w:val="•"/>
      <w:lvlJc w:val="left"/>
      <w:pPr>
        <w:ind w:left="8119" w:hanging="454"/>
      </w:pPr>
      <w:rPr>
        <w:rFonts w:hint="default"/>
      </w:rPr>
    </w:lvl>
    <w:lvl w:ilvl="6">
      <w:start w:val="0"/>
      <w:numFmt w:val="bullet"/>
      <w:lvlText w:val="•"/>
      <w:lvlJc w:val="left"/>
      <w:pPr>
        <w:ind w:left="9495" w:hanging="454"/>
      </w:pPr>
      <w:rPr>
        <w:rFonts w:hint="default"/>
      </w:rPr>
    </w:lvl>
    <w:lvl w:ilvl="7">
      <w:start w:val="0"/>
      <w:numFmt w:val="bullet"/>
      <w:lvlText w:val="•"/>
      <w:lvlJc w:val="left"/>
      <w:pPr>
        <w:ind w:left="10871" w:hanging="454"/>
      </w:pPr>
      <w:rPr>
        <w:rFonts w:hint="default"/>
      </w:rPr>
    </w:lvl>
    <w:lvl w:ilvl="8">
      <w:start w:val="0"/>
      <w:numFmt w:val="bullet"/>
      <w:lvlText w:val="•"/>
      <w:lvlJc w:val="left"/>
      <w:pPr>
        <w:ind w:left="12247" w:hanging="454"/>
      </w:pPr>
      <w:rPr>
        <w:rFonts w:hint="default"/>
      </w:rPr>
    </w:lvl>
  </w:abstractNum>
  <w:abstractNum w:abstractNumId="28">
    <w:nsid w:val="629B1F6C"/>
    <w:multiLevelType w:val="hybridMultilevel"/>
    <w:tmpl w:val="00000000"/>
    <w:lvl w:ilvl="0">
      <w:start w:val="8"/>
      <w:numFmt w:val="decimal"/>
      <w:lvlText w:val="%1"/>
      <w:lvlJc w:val="left"/>
      <w:pPr>
        <w:ind w:left="1375" w:hanging="907"/>
        <w:jc w:val="left"/>
      </w:pPr>
      <w:rPr>
        <w:rFonts w:hint="default"/>
      </w:rPr>
    </w:lvl>
    <w:lvl w:ilvl="1">
      <w:start w:val="1"/>
      <w:numFmt w:val="decimal"/>
      <w:lvlText w:val="%1.%2."/>
      <w:lvlJc w:val="left"/>
      <w:pPr>
        <w:ind w:left="1375" w:hanging="907"/>
        <w:jc w:val="left"/>
      </w:pPr>
      <w:rPr>
        <w:rFonts w:ascii="宋体" w:eastAsia="宋体" w:hAnsi="宋体" w:cs="宋体" w:hint="default"/>
        <w:b/>
        <w:bCs/>
        <w:w w:val="99"/>
        <w:sz w:val="43"/>
        <w:szCs w:val="43"/>
      </w:rPr>
    </w:lvl>
    <w:lvl w:ilvl="2">
      <w:start w:val="1"/>
      <w:numFmt w:val="decimal"/>
      <w:lvlText w:val="%3."/>
      <w:lvlJc w:val="left"/>
      <w:pPr>
        <w:ind w:left="1729" w:hanging="423"/>
        <w:jc w:val="left"/>
      </w:pPr>
      <w:rPr>
        <w:rFonts w:ascii="宋体" w:eastAsia="宋体" w:hAnsi="宋体" w:cs="宋体" w:hint="default"/>
        <w:spacing w:val="-1"/>
        <w:w w:val="100"/>
        <w:sz w:val="40"/>
        <w:szCs w:val="40"/>
      </w:rPr>
    </w:lvl>
    <w:lvl w:ilvl="3">
      <w:start w:val="0"/>
      <w:numFmt w:val="bullet"/>
      <w:lvlText w:val="•"/>
      <w:lvlJc w:val="left"/>
      <w:pPr>
        <w:ind w:left="4671" w:hanging="423"/>
      </w:pPr>
      <w:rPr>
        <w:rFonts w:hint="default"/>
      </w:rPr>
    </w:lvl>
    <w:lvl w:ilvl="4">
      <w:start w:val="0"/>
      <w:numFmt w:val="bullet"/>
      <w:lvlText w:val="•"/>
      <w:lvlJc w:val="left"/>
      <w:pPr>
        <w:ind w:left="6146" w:hanging="423"/>
      </w:pPr>
      <w:rPr>
        <w:rFonts w:hint="default"/>
      </w:rPr>
    </w:lvl>
    <w:lvl w:ilvl="5">
      <w:start w:val="0"/>
      <w:numFmt w:val="bullet"/>
      <w:lvlText w:val="•"/>
      <w:lvlJc w:val="left"/>
      <w:pPr>
        <w:ind w:left="7622" w:hanging="423"/>
      </w:pPr>
      <w:rPr>
        <w:rFonts w:hint="default"/>
      </w:rPr>
    </w:lvl>
    <w:lvl w:ilvl="6">
      <w:start w:val="0"/>
      <w:numFmt w:val="bullet"/>
      <w:lvlText w:val="•"/>
      <w:lvlJc w:val="left"/>
      <w:pPr>
        <w:ind w:left="9097" w:hanging="423"/>
      </w:pPr>
      <w:rPr>
        <w:rFonts w:hint="default"/>
      </w:rPr>
    </w:lvl>
    <w:lvl w:ilvl="7">
      <w:start w:val="0"/>
      <w:numFmt w:val="bullet"/>
      <w:lvlText w:val="•"/>
      <w:lvlJc w:val="left"/>
      <w:pPr>
        <w:ind w:left="10573" w:hanging="423"/>
      </w:pPr>
      <w:rPr>
        <w:rFonts w:hint="default"/>
      </w:rPr>
    </w:lvl>
    <w:lvl w:ilvl="8">
      <w:start w:val="0"/>
      <w:numFmt w:val="bullet"/>
      <w:lvlText w:val="•"/>
      <w:lvlJc w:val="left"/>
      <w:pPr>
        <w:ind w:left="12048" w:hanging="423"/>
      </w:pPr>
      <w:rPr>
        <w:rFonts w:hint="default"/>
      </w:rPr>
    </w:lvl>
  </w:abstractNum>
  <w:abstractNum w:abstractNumId="29">
    <w:nsid w:val="639E03B7"/>
    <w:multiLevelType w:val="hybridMultilevel"/>
    <w:tmpl w:val="00000000"/>
    <w:lvl w:ilvl="0">
      <w:start w:val="1"/>
      <w:numFmt w:val="decimal"/>
      <w:lvlText w:val="%1"/>
      <w:lvlJc w:val="left"/>
      <w:pPr>
        <w:ind w:left="1728" w:hanging="421"/>
        <w:jc w:val="left"/>
      </w:pPr>
      <w:rPr>
        <w:rFonts w:ascii="宋体" w:eastAsia="宋体" w:hAnsi="宋体" w:cs="宋体" w:hint="default"/>
        <w:w w:val="100"/>
        <w:sz w:val="42"/>
        <w:szCs w:val="42"/>
      </w:rPr>
    </w:lvl>
    <w:lvl w:ilvl="1">
      <w:start w:val="0"/>
      <w:numFmt w:val="bullet"/>
      <w:lvlText w:val="•"/>
      <w:lvlJc w:val="left"/>
      <w:pPr>
        <w:ind w:left="3047" w:hanging="421"/>
      </w:pPr>
      <w:rPr>
        <w:rFonts w:hint="default"/>
      </w:rPr>
    </w:lvl>
    <w:lvl w:ilvl="2">
      <w:start w:val="0"/>
      <w:numFmt w:val="bullet"/>
      <w:lvlText w:val="•"/>
      <w:lvlJc w:val="left"/>
      <w:pPr>
        <w:ind w:left="4375" w:hanging="421"/>
      </w:pPr>
      <w:rPr>
        <w:rFonts w:hint="default"/>
      </w:rPr>
    </w:lvl>
    <w:lvl w:ilvl="3">
      <w:start w:val="0"/>
      <w:numFmt w:val="bullet"/>
      <w:lvlText w:val="•"/>
      <w:lvlJc w:val="left"/>
      <w:pPr>
        <w:ind w:left="5703" w:hanging="421"/>
      </w:pPr>
      <w:rPr>
        <w:rFonts w:hint="default"/>
      </w:rPr>
    </w:lvl>
    <w:lvl w:ilvl="4">
      <w:start w:val="0"/>
      <w:numFmt w:val="bullet"/>
      <w:lvlText w:val="•"/>
      <w:lvlJc w:val="left"/>
      <w:pPr>
        <w:ind w:left="7031" w:hanging="421"/>
      </w:pPr>
      <w:rPr>
        <w:rFonts w:hint="default"/>
      </w:rPr>
    </w:lvl>
    <w:lvl w:ilvl="5">
      <w:start w:val="0"/>
      <w:numFmt w:val="bullet"/>
      <w:lvlText w:val="•"/>
      <w:lvlJc w:val="left"/>
      <w:pPr>
        <w:ind w:left="8359" w:hanging="421"/>
      </w:pPr>
      <w:rPr>
        <w:rFonts w:hint="default"/>
      </w:rPr>
    </w:lvl>
    <w:lvl w:ilvl="6">
      <w:start w:val="0"/>
      <w:numFmt w:val="bullet"/>
      <w:lvlText w:val="•"/>
      <w:lvlJc w:val="left"/>
      <w:pPr>
        <w:ind w:left="9687" w:hanging="421"/>
      </w:pPr>
      <w:rPr>
        <w:rFonts w:hint="default"/>
      </w:rPr>
    </w:lvl>
    <w:lvl w:ilvl="7">
      <w:start w:val="0"/>
      <w:numFmt w:val="bullet"/>
      <w:lvlText w:val="•"/>
      <w:lvlJc w:val="left"/>
      <w:pPr>
        <w:ind w:left="11015" w:hanging="421"/>
      </w:pPr>
      <w:rPr>
        <w:rFonts w:hint="default"/>
      </w:rPr>
    </w:lvl>
    <w:lvl w:ilvl="8">
      <w:start w:val="0"/>
      <w:numFmt w:val="bullet"/>
      <w:lvlText w:val="•"/>
      <w:lvlJc w:val="left"/>
      <w:pPr>
        <w:ind w:left="12343" w:hanging="421"/>
      </w:pPr>
      <w:rPr>
        <w:rFonts w:hint="default"/>
      </w:rPr>
    </w:lvl>
  </w:abstractNum>
  <w:abstractNum w:abstractNumId="30">
    <w:nsid w:val="6CB3E21E"/>
    <w:multiLevelType w:val="hybridMultilevel"/>
    <w:tmpl w:val="00000000"/>
    <w:lvl w:ilvl="0">
      <w:start w:val="9"/>
      <w:numFmt w:val="decimal"/>
      <w:lvlText w:val="%1"/>
      <w:lvlJc w:val="left"/>
      <w:pPr>
        <w:ind w:left="1238" w:hanging="454"/>
        <w:jc w:val="left"/>
      </w:pPr>
      <w:rPr>
        <w:rFonts w:hint="default"/>
      </w:rPr>
    </w:lvl>
    <w:lvl w:ilvl="1">
      <w:start w:val="1"/>
      <w:numFmt w:val="decimal"/>
      <w:lvlText w:val="%1.%2"/>
      <w:lvlJc w:val="left"/>
      <w:pPr>
        <w:ind w:left="1238" w:hanging="454"/>
        <w:jc w:val="left"/>
      </w:pPr>
      <w:rPr>
        <w:rFonts w:ascii="Calibri" w:eastAsia="Calibri" w:hAnsi="Calibri" w:cs="Calibri" w:hint="default"/>
        <w:spacing w:val="-1"/>
        <w:w w:val="99"/>
        <w:sz w:val="30"/>
        <w:szCs w:val="30"/>
      </w:rPr>
    </w:lvl>
    <w:lvl w:ilvl="2">
      <w:start w:val="0"/>
      <w:numFmt w:val="bullet"/>
      <w:lvlText w:val="•"/>
      <w:lvlJc w:val="left"/>
      <w:pPr>
        <w:ind w:left="3991" w:hanging="454"/>
      </w:pPr>
      <w:rPr>
        <w:rFonts w:hint="default"/>
      </w:rPr>
    </w:lvl>
    <w:lvl w:ilvl="3">
      <w:start w:val="0"/>
      <w:numFmt w:val="bullet"/>
      <w:lvlText w:val="•"/>
      <w:lvlJc w:val="left"/>
      <w:pPr>
        <w:ind w:left="5367" w:hanging="454"/>
      </w:pPr>
      <w:rPr>
        <w:rFonts w:hint="default"/>
      </w:rPr>
    </w:lvl>
    <w:lvl w:ilvl="4">
      <w:start w:val="0"/>
      <w:numFmt w:val="bullet"/>
      <w:lvlText w:val="•"/>
      <w:lvlJc w:val="left"/>
      <w:pPr>
        <w:ind w:left="6743" w:hanging="454"/>
      </w:pPr>
      <w:rPr>
        <w:rFonts w:hint="default"/>
      </w:rPr>
    </w:lvl>
    <w:lvl w:ilvl="5">
      <w:start w:val="0"/>
      <w:numFmt w:val="bullet"/>
      <w:lvlText w:val="•"/>
      <w:lvlJc w:val="left"/>
      <w:pPr>
        <w:ind w:left="8119" w:hanging="454"/>
      </w:pPr>
      <w:rPr>
        <w:rFonts w:hint="default"/>
      </w:rPr>
    </w:lvl>
    <w:lvl w:ilvl="6">
      <w:start w:val="0"/>
      <w:numFmt w:val="bullet"/>
      <w:lvlText w:val="•"/>
      <w:lvlJc w:val="left"/>
      <w:pPr>
        <w:ind w:left="9495" w:hanging="454"/>
      </w:pPr>
      <w:rPr>
        <w:rFonts w:hint="default"/>
      </w:rPr>
    </w:lvl>
    <w:lvl w:ilvl="7">
      <w:start w:val="0"/>
      <w:numFmt w:val="bullet"/>
      <w:lvlText w:val="•"/>
      <w:lvlJc w:val="left"/>
      <w:pPr>
        <w:ind w:left="10871" w:hanging="454"/>
      </w:pPr>
      <w:rPr>
        <w:rFonts w:hint="default"/>
      </w:rPr>
    </w:lvl>
    <w:lvl w:ilvl="8">
      <w:start w:val="0"/>
      <w:numFmt w:val="bullet"/>
      <w:lvlText w:val="•"/>
      <w:lvlJc w:val="left"/>
      <w:pPr>
        <w:ind w:left="12247" w:hanging="454"/>
      </w:pPr>
      <w:rPr>
        <w:rFonts w:hint="default"/>
      </w:rPr>
    </w:lvl>
  </w:abstractNum>
  <w:abstractNum w:abstractNumId="31">
    <w:nsid w:val="70F83F60"/>
    <w:multiLevelType w:val="hybridMultilevel"/>
    <w:tmpl w:val="00000000"/>
    <w:lvl w:ilvl="0">
      <w:start w:val="4"/>
      <w:numFmt w:val="decimal"/>
      <w:lvlText w:val="%1"/>
      <w:lvlJc w:val="left"/>
      <w:pPr>
        <w:ind w:left="1260" w:hanging="792"/>
        <w:jc w:val="left"/>
      </w:pPr>
      <w:rPr>
        <w:rFonts w:hint="default"/>
      </w:rPr>
    </w:lvl>
    <w:lvl w:ilvl="1">
      <w:start w:val="1"/>
      <w:numFmt w:val="decimal"/>
      <w:lvlText w:val="%1.%2"/>
      <w:lvlJc w:val="left"/>
      <w:pPr>
        <w:ind w:left="1260" w:hanging="792"/>
        <w:jc w:val="left"/>
      </w:pPr>
      <w:rPr>
        <w:rFonts w:ascii="宋体" w:eastAsia="宋体" w:hAnsi="宋体" w:cs="宋体" w:hint="default"/>
        <w:b/>
        <w:bCs/>
        <w:w w:val="99"/>
        <w:sz w:val="45"/>
        <w:szCs w:val="45"/>
      </w:rPr>
    </w:lvl>
    <w:lvl w:ilvl="2">
      <w:start w:val="0"/>
      <w:numFmt w:val="bullet"/>
      <w:lvlText w:val="•"/>
      <w:lvlJc w:val="left"/>
      <w:pPr>
        <w:ind w:left="4007" w:hanging="792"/>
      </w:pPr>
      <w:rPr>
        <w:rFonts w:hint="default"/>
      </w:rPr>
    </w:lvl>
    <w:lvl w:ilvl="3">
      <w:start w:val="0"/>
      <w:numFmt w:val="bullet"/>
      <w:lvlText w:val="•"/>
      <w:lvlJc w:val="left"/>
      <w:pPr>
        <w:ind w:left="5381" w:hanging="792"/>
      </w:pPr>
      <w:rPr>
        <w:rFonts w:hint="default"/>
      </w:rPr>
    </w:lvl>
    <w:lvl w:ilvl="4">
      <w:start w:val="0"/>
      <w:numFmt w:val="bullet"/>
      <w:lvlText w:val="•"/>
      <w:lvlJc w:val="left"/>
      <w:pPr>
        <w:ind w:left="6755" w:hanging="792"/>
      </w:pPr>
      <w:rPr>
        <w:rFonts w:hint="default"/>
      </w:rPr>
    </w:lvl>
    <w:lvl w:ilvl="5">
      <w:start w:val="0"/>
      <w:numFmt w:val="bullet"/>
      <w:lvlText w:val="•"/>
      <w:lvlJc w:val="left"/>
      <w:pPr>
        <w:ind w:left="8129" w:hanging="792"/>
      </w:pPr>
      <w:rPr>
        <w:rFonts w:hint="default"/>
      </w:rPr>
    </w:lvl>
    <w:lvl w:ilvl="6">
      <w:start w:val="0"/>
      <w:numFmt w:val="bullet"/>
      <w:lvlText w:val="•"/>
      <w:lvlJc w:val="left"/>
      <w:pPr>
        <w:ind w:left="9503" w:hanging="792"/>
      </w:pPr>
      <w:rPr>
        <w:rFonts w:hint="default"/>
      </w:rPr>
    </w:lvl>
    <w:lvl w:ilvl="7">
      <w:start w:val="0"/>
      <w:numFmt w:val="bullet"/>
      <w:lvlText w:val="•"/>
      <w:lvlJc w:val="left"/>
      <w:pPr>
        <w:ind w:left="10877" w:hanging="792"/>
      </w:pPr>
      <w:rPr>
        <w:rFonts w:hint="default"/>
      </w:rPr>
    </w:lvl>
    <w:lvl w:ilvl="8">
      <w:start w:val="0"/>
      <w:numFmt w:val="bullet"/>
      <w:lvlText w:val="•"/>
      <w:lvlJc w:val="left"/>
      <w:pPr>
        <w:ind w:left="12251" w:hanging="792"/>
      </w:pPr>
      <w:rPr>
        <w:rFonts w:hint="default"/>
      </w:rPr>
    </w:lvl>
  </w:abstractNum>
  <w:num w:numId="1">
    <w:abstractNumId w:val="14"/>
  </w:num>
  <w:num w:numId="2">
    <w:abstractNumId w:val="1"/>
  </w:num>
  <w:num w:numId="3">
    <w:abstractNumId w:val="7"/>
  </w:num>
  <w:num w:numId="4">
    <w:abstractNumId w:val="28"/>
  </w:num>
  <w:num w:numId="5">
    <w:abstractNumId w:val="10"/>
  </w:num>
  <w:num w:numId="6">
    <w:abstractNumId w:val="29"/>
  </w:num>
  <w:num w:numId="7">
    <w:abstractNumId w:val="4"/>
  </w:num>
  <w:num w:numId="8">
    <w:abstractNumId w:val="26"/>
  </w:num>
  <w:num w:numId="9">
    <w:abstractNumId w:val="25"/>
  </w:num>
  <w:num w:numId="10">
    <w:abstractNumId w:val="17"/>
  </w:num>
  <w:num w:numId="11">
    <w:abstractNumId w:val="3"/>
  </w:num>
  <w:num w:numId="12">
    <w:abstractNumId w:val="6"/>
  </w:num>
  <w:num w:numId="13">
    <w:abstractNumId w:val="24"/>
  </w:num>
  <w:num w:numId="14">
    <w:abstractNumId w:val="16"/>
  </w:num>
  <w:num w:numId="15">
    <w:abstractNumId w:val="18"/>
  </w:num>
  <w:num w:numId="16">
    <w:abstractNumId w:val="12"/>
  </w:num>
  <w:num w:numId="17">
    <w:abstractNumId w:val="20"/>
  </w:num>
  <w:num w:numId="18">
    <w:abstractNumId w:val="31"/>
  </w:num>
  <w:num w:numId="19">
    <w:abstractNumId w:val="11"/>
  </w:num>
  <w:num w:numId="20">
    <w:abstractNumId w:val="15"/>
  </w:num>
  <w:num w:numId="21">
    <w:abstractNumId w:val="8"/>
  </w:num>
  <w:num w:numId="22">
    <w:abstractNumId w:val="2"/>
  </w:num>
  <w:num w:numId="23">
    <w:abstractNumId w:val="22"/>
  </w:num>
  <w:num w:numId="24">
    <w:abstractNumId w:val="23"/>
  </w:num>
  <w:num w:numId="25">
    <w:abstractNumId w:val="9"/>
  </w:num>
  <w:num w:numId="26">
    <w:abstractNumId w:val="19"/>
  </w:num>
  <w:num w:numId="27">
    <w:abstractNumId w:val="13"/>
  </w:num>
  <w:num w:numId="28">
    <w:abstractNumId w:val="27"/>
  </w:num>
  <w:num w:numId="29">
    <w:abstractNumId w:val="30"/>
  </w:num>
  <w:num w:numId="30">
    <w:abstractNumId w:val="0"/>
  </w:num>
  <w:num w:numId="31">
    <w:abstractNumId w:val="5"/>
  </w:num>
  <w:num w:numId="32">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黑体" w:eastAsia="黑体" w:hAnsi="黑体" w:cs="黑体"/>
      <w:b/>
      <w:bCs/>
      <w:sz w:val="48"/>
      <w:szCs w:val="48"/>
    </w:rPr>
  </w:style>
  <w:style w:type="paragraph" w:styleId="Heading2">
    <w:name w:val="heading 2"/>
    <w:basedOn w:val="Normal"/>
    <w:uiPriority w:val="1"/>
    <w:qFormat/>
    <w:pPr>
      <w:ind w:left="1260" w:hanging="793"/>
      <w:outlineLvl w:val="1"/>
    </w:pPr>
    <w:rPr>
      <w:rFonts w:ascii="黑体" w:eastAsia="黑体" w:hAnsi="黑体" w:cs="黑体"/>
      <w:b/>
      <w:bCs/>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before="24"/>
      <w:ind w:right="455"/>
      <w:jc w:val="center"/>
    </w:pPr>
    <w:rPr>
      <w:rFonts w:ascii="宋体" w:eastAsia="宋体" w:hAnsi="宋体" w:cs="宋体"/>
      <w:sz w:val="54"/>
      <w:szCs w:val="54"/>
    </w:rPr>
  </w:style>
  <w:style w:type="paragraph" w:styleId="ListParagraph">
    <w:name w:val="List Paragraph"/>
    <w:basedOn w:val="Normal"/>
    <w:uiPriority w:val="1"/>
    <w:qFormat/>
    <w:pPr>
      <w:ind w:left="468" w:firstLine="83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5.xml" /><Relationship Id="rId12" Type="http://schemas.openxmlformats.org/officeDocument/2006/relationships/image" Target="media/image4.png" /><Relationship Id="rId13" Type="http://schemas.openxmlformats.org/officeDocument/2006/relationships/footer" Target="footer6.xml"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image" Target="media/image8.png" /><Relationship Id="rId24" Type="http://schemas.openxmlformats.org/officeDocument/2006/relationships/footer" Target="footer13.xml" /><Relationship Id="rId25" Type="http://schemas.openxmlformats.org/officeDocument/2006/relationships/image" Target="media/image9.png" /><Relationship Id="rId26" Type="http://schemas.openxmlformats.org/officeDocument/2006/relationships/footer" Target="footer14.xml" /><Relationship Id="rId27" Type="http://schemas.openxmlformats.org/officeDocument/2006/relationships/hyperlink" Target="https://d.book118.com/588067122110006031" TargetMode="External" /><Relationship Id="rId28" Type="http://schemas.openxmlformats.org/officeDocument/2006/relationships/footer" Target="footer15.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2.png"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2024-01-03T09:51:01Z</dcterms:created>
  <dcterms:modified xsi:type="dcterms:W3CDTF">2024-01-03T09:51:01Z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2024-01-03T00:00:00Z</vt:filetime>
  </property>
</Properties>
</file>