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rPr>
          <w:rFonts w:ascii="宋体" w:hAnsi="宋体" w:cs="宋体" w:hint="eastAsia"/>
          <w:bCs/>
          <w:szCs w:val="44"/>
        </w:rPr>
      </w:pPr>
      <w:r>
        <w:rPr>
          <w:rFonts w:ascii="宋体" w:hAnsi="宋体" w:cs="宋体" w:hint="eastAsia"/>
          <w:b/>
          <w:bCs/>
          <w:sz w:val="44"/>
          <w:szCs w:val="44"/>
          <w:lang w:eastAsia="zh-CN"/>
        </w:rPr>
        <w:t>关节镜</w:t>
      </w:r>
      <w:r>
        <w:rPr>
          <w:rFonts w:ascii="宋体" w:hAnsi="宋体" w:cs="宋体" w:hint="eastAsia"/>
          <w:b/>
          <w:bCs/>
          <w:sz w:val="44"/>
          <w:szCs w:val="44"/>
        </w:rPr>
        <w:t>手术配合规范</w:t>
      </w: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rPr>
          <w:rFonts w:ascii="仿宋" w:eastAsia="仿宋" w:hAnsi="仿宋" w:cs="仿宋_GB2312" w:hint="eastAsia"/>
          <w:bCs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一、</w:t>
      </w:r>
      <w:r>
        <w:rPr>
          <w:rFonts w:ascii="仿宋" w:eastAsia="仿宋" w:hAnsi="仿宋" w:cs="宋体" w:hint="eastAsia"/>
          <w:b/>
          <w:bCs/>
          <w:sz w:val="44"/>
          <w:szCs w:val="44"/>
        </w:rPr>
        <w:t>肩关节镜手术配合</w:t>
      </w:r>
    </w:p>
    <w:p>
      <w:pPr>
        <w:spacing w:line="560" w:lineRule="exact"/>
        <w:ind w:firstLine="640" w:firstLineChars="200"/>
        <w:jc w:val="lef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</w:rPr>
        <w:t>概要</w:t>
      </w:r>
      <w:r>
        <w:rPr>
          <w:rFonts w:ascii="仿宋" w:eastAsia="仿宋" w:hAnsi="仿宋" w:cs="仿宋_GB2312" w:hint="eastAsia"/>
          <w:bCs/>
          <w:sz w:val="32"/>
          <w:szCs w:val="32"/>
        </w:rPr>
        <w:t>:</w:t>
      </w:r>
      <w:r>
        <w:rPr>
          <w:rFonts w:ascii="仿宋" w:eastAsia="仿宋" w:hAnsi="仿宋" w:cs="仿宋_GB2312" w:hint="eastAsia"/>
          <w:color w:val="000000"/>
          <w:kern w:val="24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bCs/>
          <w:sz w:val="32"/>
          <w:szCs w:val="32"/>
        </w:rPr>
        <w:t>关节镜是一种观察关节内部结构的直径4-6mm左右的棒状光学器械，是用于诊治关节疾患的内窥镜。198</w:t>
      </w:r>
      <w:r>
        <w:rPr>
          <w:rFonts w:ascii="仿宋" w:eastAsia="仿宋" w:hAnsi="仿宋" w:cs="仿宋_GB2312"/>
          <w:bCs/>
          <w:sz w:val="32"/>
          <w:szCs w:val="32"/>
        </w:rPr>
        <w:t>0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年以后MR、超声、肩关节镜手术迅速发展，使肩关节成为骨科界、运动医学界的热点之一。肩关节镜可以全面判断肩关节情况,对肩关节进行诊断性检查和手术治疗。优点：切口小、美观；微创，痛苦小；基本不影响关节周围肌肉结构，并发症少等 。                                                                             </w:t>
      </w: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（一）、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物品准备</w:t>
      </w:r>
    </w:p>
    <w:p>
      <w:pPr>
        <w:spacing w:line="560" w:lineRule="exact"/>
        <w:jc w:val="lef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1．器械敷料: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⑴</w:t>
      </w:r>
      <w:r>
        <w:rPr>
          <w:rFonts w:ascii="仿宋" w:eastAsia="仿宋" w:hAnsi="仿宋" w:cs="仿宋_GB2312" w:hint="eastAsia"/>
          <w:sz w:val="32"/>
          <w:szCs w:val="32"/>
        </w:rPr>
        <w:t xml:space="preserve">  关节镜器械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⑵</w:t>
      </w:r>
      <w:r>
        <w:rPr>
          <w:rFonts w:ascii="仿宋" w:eastAsia="仿宋" w:hAnsi="仿宋" w:cs="仿宋_GB2312" w:hint="eastAsia"/>
          <w:sz w:val="32"/>
          <w:szCs w:val="32"/>
        </w:rPr>
        <w:t xml:space="preserve"> 敷料：大开台、 肢体敷料、四件大衣</w:t>
      </w:r>
    </w:p>
    <w:p>
      <w:pPr>
        <w:spacing w:line="560" w:lineRule="exact"/>
        <w:ind w:firstLine="640" w:firstLineChars="200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备：棉球碗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 xml:space="preserve"> 1、单包敷布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1、单包大衣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/>
          <w:sz w:val="32"/>
          <w:szCs w:val="32"/>
        </w:rPr>
        <w:t>1</w:t>
      </w:r>
    </w:p>
    <w:p>
      <w:pPr>
        <w:pStyle w:val="Default"/>
        <w:spacing w:line="560" w:lineRule="exact"/>
        <w:ind w:firstLine="3" w:firstLineChars="1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2．一次性用物:</w:t>
      </w:r>
    </w:p>
    <w:p>
      <w:pPr>
        <w:pStyle w:val="Default"/>
        <w:spacing w:line="560" w:lineRule="exact"/>
        <w:ind w:left="315" w:firstLine="640" w:leftChars="150" w:firstLineChars="20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骨科护皮膜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3、神外护皮膜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1、显微镜套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2、吸引器管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3、纱布2包、无菌绷带1包</w:t>
      </w:r>
      <w:r>
        <w:rPr>
          <w:rFonts w:ascii="仿宋" w:eastAsia="仿宋" w:hAnsi="仿宋" w:cs="仿宋_GB2312" w:hint="eastAsia"/>
          <w:sz w:val="32"/>
          <w:szCs w:val="32"/>
        </w:rPr>
        <w:t>﹙</w:t>
      </w:r>
      <w:r>
        <w:rPr>
          <w:rFonts w:ascii="仿宋" w:eastAsia="仿宋" w:hAnsi="仿宋" w:cs="仿宋_GB2312" w:hint="eastAsia"/>
          <w:sz w:val="32"/>
          <w:szCs w:val="32"/>
        </w:rPr>
        <w:t>2卷</w:t>
      </w:r>
      <w:r>
        <w:rPr>
          <w:rFonts w:ascii="仿宋" w:eastAsia="仿宋" w:hAnsi="仿宋" w:cs="仿宋_GB2312" w:hint="eastAsia"/>
          <w:sz w:val="32"/>
          <w:szCs w:val="32"/>
        </w:rPr>
        <w:t>﹚</w:t>
      </w:r>
      <w:r>
        <w:rPr>
          <w:rFonts w:ascii="仿宋" w:eastAsia="仿宋" w:hAnsi="仿宋" w:cs="仿宋_GB2312" w:hint="eastAsia"/>
          <w:sz w:val="32"/>
          <w:szCs w:val="32"/>
        </w:rPr>
        <w:t>、骨科针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1、4号丝线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1、动静脉留置针18G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1、11号刀片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 xml:space="preserve">1 </w:t>
      </w:r>
    </w:p>
    <w:p>
      <w:pPr>
        <w:pStyle w:val="Default"/>
        <w:spacing w:line="560" w:lineRule="exact"/>
        <w:ind w:left="315" w:firstLine="640" w:leftChars="150" w:firstLineChars="20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备：一次性负压引流装置</w:t>
      </w:r>
      <w:r>
        <w:rPr>
          <w:rFonts w:ascii="仿宋" w:eastAsia="仿宋" w:hAnsi="仿宋" w:cs="仿宋_GB2312" w:hint="eastAsia"/>
          <w:sz w:val="32"/>
          <w:szCs w:val="32"/>
        </w:rPr>
        <w:t>﹙</w:t>
      </w:r>
      <w:r>
        <w:rPr>
          <w:rFonts w:ascii="仿宋" w:eastAsia="仿宋" w:hAnsi="仿宋" w:cs="仿宋_GB2312" w:hint="eastAsia"/>
          <w:sz w:val="32"/>
          <w:szCs w:val="32"/>
        </w:rPr>
        <w:t>12F或15F</w:t>
      </w:r>
      <w:r>
        <w:rPr>
          <w:rFonts w:ascii="仿宋" w:eastAsia="仿宋" w:hAnsi="仿宋" w:cs="仿宋_GB2312" w:hint="eastAsia"/>
          <w:sz w:val="32"/>
          <w:szCs w:val="32"/>
        </w:rPr>
        <w:t>﹚</w:t>
      </w:r>
      <w:r>
        <w:rPr>
          <w:rFonts w:ascii="仿宋" w:eastAsia="仿宋" w:hAnsi="仿宋" w:cs="仿宋_GB2312" w:hint="eastAsia"/>
          <w:sz w:val="32"/>
          <w:szCs w:val="32"/>
        </w:rPr>
        <w:t>、PDSII0＃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4、10号刀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1骨科护皮膜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 、无菌划线笔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1，电刀，普肿或妇科针</w:t>
      </w:r>
    </w:p>
    <w:p>
      <w:pPr>
        <w:pStyle w:val="Default"/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3．特殊用物</w:t>
      </w:r>
    </w:p>
    <w:p>
      <w:pPr>
        <w:spacing w:line="560" w:lineRule="exact"/>
        <w:ind w:left="2"/>
        <w:rPr>
          <w:rFonts w:ascii="仿宋" w:eastAsia="仿宋" w:hAnsi="仿宋" w:cs="仿宋_GB2312" w:hint="eastAsia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⑴</w:t>
      </w:r>
      <w:r>
        <w:rPr>
          <w:rFonts w:ascii="仿宋" w:eastAsia="仿宋" w:hAnsi="仿宋" w:cs="仿宋_GB2312" w:hint="eastAsia"/>
          <w:sz w:val="32"/>
          <w:szCs w:val="32"/>
        </w:rPr>
        <w:t xml:space="preserve"> 仪器设备：显示屏、刻录</w:t>
      </w:r>
      <w:r>
        <w:rPr>
          <w:rFonts w:ascii="仿宋" w:eastAsia="仿宋" w:hAnsi="仿宋" w:cs="仿宋_GB2312" w:hint="eastAsia"/>
          <w:sz w:val="32"/>
          <w:szCs w:val="32"/>
        </w:rPr>
        <w:t>机</w:t>
      </w:r>
      <w:r>
        <w:rPr>
          <w:rFonts w:ascii="仿宋" w:eastAsia="仿宋" w:hAnsi="仿宋" w:cs="仿宋_GB2312" w:hint="eastAsia"/>
          <w:sz w:val="32"/>
          <w:szCs w:val="32"/>
        </w:rPr>
        <w:t xml:space="preserve"> 、光源主机、摄像主机</w:t>
      </w:r>
    </w:p>
    <w:p>
      <w:pPr>
        <w:spacing w:line="560" w:lineRule="exact"/>
        <w:ind w:left="2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 、刨削刀主机、射频消融主机</w:t>
      </w:r>
    </w:p>
    <w:p>
      <w:pPr>
        <w:spacing w:line="560" w:lineRule="exact"/>
        <w:ind w:left="2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⑵</w:t>
      </w:r>
      <w:r>
        <w:rPr>
          <w:rFonts w:ascii="仿宋" w:eastAsia="仿宋" w:hAnsi="仿宋" w:cs="仿宋_GB2312" w:hint="eastAsia"/>
          <w:sz w:val="32"/>
          <w:szCs w:val="32"/>
        </w:rPr>
        <w:t xml:space="preserve"> 低温灭菌物品：光源线、摄像线、刨削线、冲洗管路、4mm 30 </w:t>
      </w:r>
      <w:r>
        <w:rPr>
          <w:rFonts w:ascii="仿宋" w:eastAsia="仿宋" w:hAnsi="仿宋" w:cs="仿宋_GB2312" w:hint="eastAsia"/>
          <w:sz w:val="32"/>
          <w:szCs w:val="32"/>
        </w:rPr>
        <w:t>°</w:t>
      </w:r>
      <w:r>
        <w:rPr>
          <w:rFonts w:ascii="仿宋" w:eastAsia="仿宋" w:hAnsi="仿宋" w:cs="仿宋_GB2312" w:hint="eastAsia"/>
          <w:sz w:val="32"/>
          <w:szCs w:val="32"/>
        </w:rPr>
        <w:t xml:space="preserve">镜头、刨削手柄、刨刀头、磨头、射频消融头 </w:t>
      </w:r>
    </w:p>
    <w:p>
      <w:pPr>
        <w:pStyle w:val="Default"/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⑶</w:t>
      </w:r>
      <w:r>
        <w:rPr>
          <w:rFonts w:ascii="仿宋" w:eastAsia="仿宋" w:hAnsi="仿宋" w:cs="仿宋_GB2312" w:hint="eastAsia"/>
          <w:sz w:val="32"/>
          <w:szCs w:val="32"/>
        </w:rPr>
        <w:t xml:space="preserve"> 无菌物品：酒精100ml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1、室温下生理盐水</w:t>
      </w:r>
      <w:r>
        <w:rPr>
          <w:rFonts w:ascii="仿宋" w:eastAsia="仿宋" w:hAnsi="仿宋" w:cs="仿宋_GB2312"/>
          <w:sz w:val="32"/>
          <w:szCs w:val="32"/>
        </w:rPr>
        <w:t>1000</w:t>
      </w:r>
      <w:r>
        <w:rPr>
          <w:rFonts w:ascii="仿宋" w:eastAsia="仿宋" w:hAnsi="仿宋" w:cs="仿宋_GB2312" w:hint="eastAsia"/>
          <w:sz w:val="32"/>
          <w:szCs w:val="32"/>
        </w:rPr>
        <w:t xml:space="preserve">ml </w:t>
      </w:r>
      <w:r>
        <w:rPr>
          <w:rFonts w:ascii="仿宋" w:eastAsia="仿宋" w:hAnsi="仿宋" w:cs="仿宋_GB2312" w:hint="eastAsia"/>
          <w:sz w:val="32"/>
          <w:szCs w:val="32"/>
        </w:rPr>
        <w:t>≧</w:t>
      </w:r>
      <w:r>
        <w:rPr>
          <w:rFonts w:ascii="仿宋" w:eastAsia="仿宋" w:hAnsi="仿宋" w:cs="仿宋_GB2312"/>
          <w:sz w:val="32"/>
          <w:szCs w:val="32"/>
        </w:rPr>
        <w:t>20</w:t>
      </w:r>
      <w:r>
        <w:rPr>
          <w:rFonts w:ascii="仿宋" w:eastAsia="仿宋" w:hAnsi="仿宋" w:cs="仿宋_GB2312" w:hint="eastAsia"/>
          <w:sz w:val="32"/>
          <w:szCs w:val="32"/>
        </w:rPr>
        <w:t>袋</w:t>
      </w:r>
    </w:p>
    <w:p>
      <w:pPr>
        <w:pStyle w:val="Default"/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⑷</w:t>
      </w:r>
      <w:r>
        <w:rPr>
          <w:rFonts w:ascii="仿宋" w:eastAsia="仿宋" w:hAnsi="仿宋" w:cs="仿宋_GB2312" w:hint="eastAsia"/>
          <w:sz w:val="32"/>
          <w:szCs w:val="32"/>
        </w:rPr>
        <w:t xml:space="preserve"> 非无菌物品：硅胶垫、膝关节之间软垫、海绵若干、侧卧位架 、吸引器、托手板、输液架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2、插车</w:t>
      </w:r>
      <w:r>
        <w:rPr>
          <w:rFonts w:ascii="仿宋" w:eastAsia="仿宋" w:hAnsi="仿宋" w:cs="仿宋_GB2312" w:hint="eastAsia"/>
          <w:sz w:val="32"/>
          <w:szCs w:val="32"/>
        </w:rPr>
        <w:t>×</w:t>
      </w:r>
      <w:r>
        <w:rPr>
          <w:rFonts w:ascii="仿宋" w:eastAsia="仿宋" w:hAnsi="仿宋" w:cs="仿宋_GB2312" w:hint="eastAsia"/>
          <w:sz w:val="32"/>
          <w:szCs w:val="32"/>
        </w:rPr>
        <w:t>1、牵引架</w:t>
      </w:r>
    </w:p>
    <w:p>
      <w:pPr>
        <w:pStyle w:val="Default"/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Cs/>
          <w:sz w:val="32"/>
          <w:szCs w:val="32"/>
        </w:rPr>
        <w:t>⑸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 器械商器械：组织抓钳、抓线器、</w:t>
      </w:r>
      <w:r>
        <w:rPr>
          <w:rFonts w:ascii="仿宋" w:eastAsia="仿宋" w:hAnsi="仿宋" w:cs="仿宋_GB2312" w:hint="eastAsia"/>
          <w:sz w:val="32"/>
          <w:szCs w:val="32"/>
        </w:rPr>
        <w:t>过线器械：分左弯、右弯、及多种角度、推结器、剪线器、缝合器、戳枪、锚钉、钩针、探棒、鸟嘴缝线器、锉刀、开口锥等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（二）、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麻醉方式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1．臂丛：止痛不完全、呼吸道管理困难、病人不容易耐受手术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2．全麻：有利于控制性降压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3．全麻+臂丛：</w:t>
      </w:r>
      <w:r>
        <w:rPr>
          <w:rFonts w:ascii="仿宋" w:eastAsia="仿宋" w:hAnsi="仿宋" w:cs="仿宋_GB2312" w:hint="eastAsia"/>
          <w:bCs/>
          <w:sz w:val="32"/>
          <w:szCs w:val="32"/>
        </w:rPr>
        <w:t>首选！</w:t>
      </w:r>
      <w:r>
        <w:rPr>
          <w:rFonts w:ascii="仿宋" w:eastAsia="仿宋" w:hAnsi="仿宋" w:cs="仿宋_GB2312" w:hint="eastAsia"/>
          <w:sz w:val="32"/>
          <w:szCs w:val="32"/>
        </w:rPr>
        <w:t>减少全麻药用量、术中容易控制血压、术后舒适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4．必要时：有创动态血压监测，脑灌注监测 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（三）、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手术体位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1．侧卧位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⑴</w:t>
      </w:r>
      <w:r>
        <w:rPr>
          <w:rFonts w:ascii="仿宋" w:eastAsia="仿宋" w:hAnsi="仿宋" w:cs="仿宋_GB2312" w:hint="eastAsia"/>
          <w:sz w:val="32"/>
          <w:szCs w:val="32"/>
        </w:rPr>
        <w:t xml:space="preserve"> 摆放要点：健侧卧位，患肢游离，上身后倾约</w:t>
      </w:r>
      <w:r>
        <w:rPr>
          <w:rFonts w:ascii="仿宋" w:eastAsia="仿宋" w:hAnsi="仿宋" w:cs="仿宋_GB2312" w:hint="eastAsia"/>
          <w:bCs/>
          <w:sz w:val="32"/>
          <w:szCs w:val="32"/>
        </w:rPr>
        <w:t>30度，</w:t>
      </w:r>
      <w:r>
        <w:rPr>
          <w:rFonts w:ascii="仿宋" w:eastAsia="仿宋" w:hAnsi="仿宋" w:cs="仿宋_GB2312" w:hint="eastAsia"/>
          <w:sz w:val="32"/>
          <w:szCs w:val="32"/>
        </w:rPr>
        <w:t>肩外展</w:t>
      </w:r>
      <w:r>
        <w:rPr>
          <w:rFonts w:ascii="仿宋" w:eastAsia="仿宋" w:hAnsi="仿宋" w:cs="仿宋_GB2312" w:hint="eastAsia"/>
          <w:bCs/>
          <w:sz w:val="32"/>
          <w:szCs w:val="32"/>
        </w:rPr>
        <w:t>40-70度 ，腋下、双下肢之间垫软垫防受压，髂前上棘、膝关节外侧、踝关节等骨突出垫海绵垫，两侧用侧卧位架分别固定于骶尾部和耻骨联合处，牵引架固定于健侧床尾处。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⑵</w:t>
      </w:r>
      <w:r>
        <w:rPr>
          <w:rFonts w:ascii="仿宋" w:eastAsia="仿宋" w:hAnsi="仿宋" w:cs="仿宋_GB2312" w:hint="eastAsia"/>
          <w:sz w:val="32"/>
          <w:szCs w:val="32"/>
        </w:rPr>
        <w:t xml:space="preserve"> 优点：间隙变大、减少助手、上肢稳定。 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⑶</w:t>
      </w:r>
      <w:r>
        <w:rPr>
          <w:rFonts w:ascii="仿宋" w:eastAsia="仿宋" w:hAnsi="仿宋" w:cs="仿宋_GB2312" w:hint="eastAsia"/>
          <w:sz w:val="32"/>
          <w:szCs w:val="32"/>
        </w:rPr>
        <w:t xml:space="preserve"> 缺点：不方便动态观察、易损伤桡神经。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⑷</w:t>
      </w:r>
      <w:r>
        <w:rPr>
          <w:rFonts w:ascii="仿宋" w:eastAsia="仿宋" w:hAnsi="仿宋" w:cs="仿宋_GB2312" w:hint="eastAsia"/>
          <w:sz w:val="32"/>
          <w:szCs w:val="32"/>
        </w:rPr>
        <w:t xml:space="preserve"> 悬吊牵引要求：牵引方向与肱骨纵轴平行，牵引重量为4.5-5.9Kg</w:t>
      </w:r>
      <w:r>
        <w:rPr>
          <w:rFonts w:ascii="仿宋" w:eastAsia="仿宋" w:hAnsi="仿宋" w:cs="仿宋_GB2312" w:hint="eastAsia"/>
          <w:bCs/>
          <w:sz w:val="32"/>
          <w:szCs w:val="32"/>
        </w:rPr>
        <w:t>，牵引时间不一，关键时牵引。</w:t>
      </w:r>
    </w:p>
    <w:p>
      <w:pPr>
        <w:spacing w:line="560" w:lineRule="exact"/>
        <w:rPr>
          <w:rFonts w:ascii="仿宋" w:eastAsia="仿宋" w:hAnsi="仿宋" w:cs="仿宋_GB2312" w:hint="eastAsia"/>
          <w:bCs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2．</w:t>
      </w:r>
      <w:r>
        <w:rPr>
          <w:rFonts w:ascii="仿宋" w:eastAsia="仿宋" w:hAnsi="仿宋" w:cs="仿宋_GB2312" w:hint="eastAsia"/>
          <w:bCs/>
          <w:sz w:val="32"/>
          <w:szCs w:val="32"/>
        </w:rPr>
        <w:t xml:space="preserve">沙滩椅位 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⑴</w:t>
      </w:r>
      <w:r>
        <w:rPr>
          <w:rFonts w:ascii="仿宋" w:eastAsia="仿宋" w:hAnsi="仿宋" w:cs="仿宋_GB2312" w:hint="eastAsia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bCs/>
          <w:sz w:val="32"/>
          <w:szCs w:val="32"/>
        </w:rPr>
        <w:t>摆放要点：</w:t>
      </w:r>
      <w:r>
        <w:rPr>
          <w:rFonts w:ascii="仿宋" w:eastAsia="仿宋" w:hAnsi="仿宋" w:cs="仿宋_GB2312" w:hint="eastAsia"/>
          <w:sz w:val="32"/>
          <w:szCs w:val="32"/>
        </w:rPr>
        <w:t>上身倾70～80</w:t>
      </w:r>
      <w:r>
        <w:rPr>
          <w:rFonts w:ascii="仿宋" w:eastAsia="仿宋" w:hAnsi="仿宋" w:cs="仿宋_GB2312" w:hint="eastAsia"/>
          <w:sz w:val="32"/>
          <w:szCs w:val="32"/>
        </w:rPr>
        <w:t>°</w:t>
      </w:r>
      <w:r>
        <w:rPr>
          <w:rFonts w:ascii="仿宋" w:eastAsia="仿宋" w:hAnsi="仿宋" w:cs="仿宋_GB2312" w:hint="eastAsia"/>
          <w:sz w:val="32"/>
          <w:szCs w:val="32"/>
        </w:rPr>
        <w:t>、髋屈曲90</w:t>
      </w:r>
      <w:r>
        <w:rPr>
          <w:rFonts w:ascii="仿宋" w:eastAsia="仿宋" w:hAnsi="仿宋" w:cs="仿宋_GB2312" w:hint="eastAsia"/>
          <w:sz w:val="32"/>
          <w:szCs w:val="32"/>
        </w:rPr>
        <w:t>°</w:t>
      </w:r>
      <w:r>
        <w:rPr>
          <w:rFonts w:ascii="仿宋" w:eastAsia="仿宋" w:hAnsi="仿宋" w:cs="仿宋_GB2312" w:hint="eastAsia"/>
          <w:sz w:val="32"/>
          <w:szCs w:val="32"/>
        </w:rPr>
        <w:t>、膝关节屈50</w:t>
      </w:r>
      <w:r>
        <w:rPr>
          <w:rFonts w:ascii="仿宋" w:eastAsia="仿宋" w:hAnsi="仿宋" w:cs="仿宋_GB2312" w:hint="eastAsia"/>
          <w:sz w:val="32"/>
          <w:szCs w:val="32"/>
        </w:rPr>
        <w:t>°</w:t>
      </w:r>
      <w:r>
        <w:rPr>
          <w:rFonts w:ascii="仿宋" w:eastAsia="仿宋" w:hAnsi="仿宋" w:cs="仿宋_GB2312" w:hint="eastAsia"/>
          <w:sz w:val="32"/>
          <w:szCs w:val="32"/>
        </w:rPr>
        <w:t>,肩胛骨内缘显露,头部固定,上身固定。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⑵</w:t>
      </w:r>
      <w:r>
        <w:rPr>
          <w:rFonts w:ascii="仿宋" w:eastAsia="仿宋" w:hAnsi="仿宋" w:cs="仿宋_GB2312" w:hint="eastAsia"/>
          <w:sz w:val="32"/>
          <w:szCs w:val="32"/>
        </w:rPr>
        <w:t xml:space="preserve"> 优点：解剖位，动态观察、方便转动肩关节，方便转为切开手术。</w:t>
      </w:r>
    </w:p>
    <w:p>
      <w:pPr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（四）、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手术配合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1．将仪器设备放于患者健侧，即术者对侧。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2．巡回护士悬吊患肢，协助消毒，范围：上至下颌骨下缘、前后过正中线、下背侧至肩胛下线、下胸侧至乳头连线、整个患肢。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3．铺单：敷布铺头侧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敷布铺背侧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敷布铺胸侧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2布巾钳固定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腋下铺1中单至足侧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肩关节处铺1中单至头侧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肩关节处再铺1中单至头侧，并与腋下所铺中单连接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腋下再铺1中单至足侧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2布巾钳固定于肩关节处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1敷布展开放于腋下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1敷布叠成三角状将患肢前臂包裹，上一步所展开敷布包裹至肩关节处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1绷带一端折叠置于敷布包裹处，绷带包裹固定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另1绷带一端折叠置于敷布包裹处，绷带包裹固定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腋下铺1中单至足侧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剪一段显微镜套系带备用：固定管路，将显微镜套剪开，在中间剪一孔，将患肢穿出，显微镜套铺平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骨科护皮膜纵向剪三份，分别封闭于肩关节周围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酒精纱布擦拭手术部位皮肤，干纱布擦拭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骨科护皮膜纵向剪三份，再次封闭于肩关节周围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所折叠绷带远端递于巡回护士，巡回护士将其悬挂于牵引架，在滑轮下方挂3000ml盐水2袋进行牵引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显微镜套一分为二，无系带一半置于插车上，铺平，放于第一块显微镜下方，有系带一半系于术者胸前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1护皮膜封闭肩关节下方与所包裹敷布，1护皮膜包裹绷带牵引处，1神外护皮膜置于肩关节边缘，巡回护士将神外护皮膜台下一端放于医疗垃圾桶内。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4．连接管路：洗手护士将各管路分别放于台上，禁止打折，留够所需长度，将另一端分别递于巡回护士，巡回护士从手术台上分别接下光源线、摄像线、刨削线、射频消融头，接口与主机相连，连接冲洗管路，吸引器，将射频脚踏用小黄袋包裹放在术者脚下。 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5．打开仪器设备开关，设置参数：光源开启待机，调节亮度，调节摄像模式为关节镜检查，刨刀按启动键，转数选择1800，调节射频参数。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6．标记骨性标志及入路： 用无菌划线笔在肩峰前缘、肩峰后缘、肩峰外侧缘、肩胛冈外嵴、锁骨、喙突、肩锁关节及肱骨头画出骨性标志。入路：后侧入路、前侧入路、外侧入路、后外侧入路、前外侧入路。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sz w:val="32"/>
          <w:szCs w:val="32"/>
        </w:rPr>
        <w:t>7．后侧入路：肩峰后角向下2公分、向内2公分为后入路点，11号刀片切开皮肤浅层，直钳分离，置入镜鞘和穿刺锥，拔出穿刺锥，置入关节镜，连接的进水管保持关节囊膨胀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 。此入路可进入盂肱关节，也可到肩峰下关节，一般进入盂肱关节。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8．前侧入路：肩峰前角与喙突连线中点为入路点，套管针芯穿刺关节囊，通过关节镜观察进针点位置，沿穿刺方向，11号刀片切开皮肤浅层，直钳分离，置入探钩等手术器械。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9．根据手术需要，同法建立其它入路，置入射频、刨刀等器械。如为盂唇损伤，再建一前侧入路，用于观察、打锚钉等；如为肩袖损伤，再建一外侧入路，利于观察、打锚钉等，再增加1-2个辅助入路：后外侧入路、前外侧入路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10．肩关节镜检查：按顺序进行检查，一般为肱二头肌键、肱骨头关节软骨、前关节盂唇、盂肱韧带、肩胛下肌腱及隐窝、肩袖深面、盂上隐窝、后侧关节盂唇。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11．肩关节镜手术 ：</w:t>
      </w:r>
    </w:p>
    <w:p>
      <w:pPr>
        <w:pStyle w:val="ListParagraph1"/>
        <w:numPr>
          <w:ilvl w:val="0"/>
          <w:numId w:val="1"/>
        </w:numPr>
        <w:spacing w:line="560" w:lineRule="exact"/>
        <w:ind w:left="425" w:hanging="425" w:leftChars="0" w:firstLineChars="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肩关节清理术：后入路置入关节镜，第3入路用刨刀等进行清理。</w:t>
      </w:r>
    </w:p>
    <w:p>
      <w:pPr>
        <w:pStyle w:val="ListParagraph1"/>
        <w:numPr>
          <w:ilvl w:val="0"/>
          <w:numId w:val="1"/>
        </w:numPr>
        <w:spacing w:line="560" w:lineRule="exact"/>
        <w:ind w:left="425" w:hanging="425" w:leftChars="0" w:firstLineChars="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游离体取出：小游离体可吸出，大游离体多位于下隐窝或肩胛下肌隐窝，后入路置入关节镜，前入路置入蓝钳、髓核钳等器械，将游离体取出。 </w:t>
      </w:r>
    </w:p>
    <w:p>
      <w:pPr>
        <w:pStyle w:val="ListParagraph1"/>
        <w:numPr>
          <w:ilvl w:val="0"/>
          <w:numId w:val="1"/>
        </w:numPr>
        <w:spacing w:line="560" w:lineRule="exact"/>
        <w:ind w:left="425" w:hanging="425" w:leftChars="0" w:firstLineChars="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肩袖破裂缝合：后入路置入关节镜，根据手术需要，其它入路置入探钩、射频、刨刀等器械，其中外侧入路置入缝合所需器械：开口锥</w:t>
      </w:r>
      <w:r>
        <w:rPr>
          <w:rFonts w:ascii="仿宋" w:eastAsia="仿宋" w:hAnsi="仿宋" w:cs="仿宋_GB2312" w:hint="eastAsia"/>
          <w:sz w:val="32"/>
          <w:szCs w:val="32"/>
        </w:rPr>
        <w:t>﹙</w:t>
      </w:r>
      <w:r>
        <w:rPr>
          <w:rFonts w:ascii="仿宋" w:eastAsia="仿宋" w:hAnsi="仿宋" w:cs="仿宋_GB2312" w:hint="eastAsia"/>
          <w:sz w:val="32"/>
          <w:szCs w:val="32"/>
        </w:rPr>
        <w:t>皮质骨硬时需要</w:t>
      </w:r>
      <w:r>
        <w:rPr>
          <w:rFonts w:ascii="仿宋" w:eastAsia="仿宋" w:hAnsi="仿宋" w:cs="仿宋_GB2312" w:hint="eastAsia"/>
          <w:sz w:val="32"/>
          <w:szCs w:val="32"/>
        </w:rPr>
        <w:t>﹚→</w:t>
      </w:r>
      <w:r>
        <w:rPr>
          <w:rFonts w:ascii="仿宋" w:eastAsia="仿宋" w:hAnsi="仿宋" w:cs="仿宋_GB2312" w:hint="eastAsia"/>
          <w:sz w:val="32"/>
          <w:szCs w:val="32"/>
        </w:rPr>
        <w:t>骨锤砸开口锥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取出开口锥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植入锚钉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缝合</w:t>
      </w:r>
      <w:r>
        <w:rPr>
          <w:rFonts w:ascii="仿宋" w:eastAsia="仿宋" w:hAnsi="仿宋" w:cs="仿宋_GB2312" w:hint="eastAsia"/>
          <w:sz w:val="32"/>
          <w:szCs w:val="32"/>
        </w:rPr>
        <w:t>﹙</w:t>
      </w:r>
      <w:r>
        <w:rPr>
          <w:rFonts w:ascii="仿宋" w:eastAsia="仿宋" w:hAnsi="仿宋" w:cs="仿宋_GB2312" w:hint="eastAsia"/>
          <w:sz w:val="32"/>
          <w:szCs w:val="32"/>
        </w:rPr>
        <w:t>使用缝合枪时，需用器械商高强度线带线；使用缝合钩时，需用去针PDSII0＃线带线</w:t>
      </w:r>
      <w:r>
        <w:rPr>
          <w:rFonts w:ascii="仿宋" w:eastAsia="仿宋" w:hAnsi="仿宋" w:cs="仿宋_GB2312" w:hint="eastAsia"/>
          <w:sz w:val="32"/>
          <w:szCs w:val="32"/>
        </w:rPr>
        <w:t>﹚→</w:t>
      </w:r>
      <w:r>
        <w:rPr>
          <w:rFonts w:ascii="仿宋" w:eastAsia="仿宋" w:hAnsi="仿宋" w:cs="仿宋_GB2312" w:hint="eastAsia"/>
          <w:sz w:val="32"/>
          <w:szCs w:val="32"/>
        </w:rPr>
        <w:t>打结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推结器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 xml:space="preserve">剪线器。 </w:t>
      </w:r>
    </w:p>
    <w:p>
      <w:pPr>
        <w:pStyle w:val="ListParagraph1"/>
        <w:numPr>
          <w:ilvl w:val="0"/>
          <w:numId w:val="1"/>
        </w:numPr>
        <w:spacing w:line="560" w:lineRule="exact"/>
        <w:ind w:left="425" w:hanging="425" w:leftChars="0" w:firstLineChars="0"/>
        <w:rPr>
          <w:rFonts w:ascii="仿宋" w:eastAsia="仿宋" w:hAnsi="仿宋" w:cs="仿宋_GB2312" w:hint="eastAsia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pStyle w:val="ListParagraph1"/>
        <w:numPr>
          <w:ilvl w:val="0"/>
          <w:numId w:val="0"/>
        </w:numPr>
        <w:spacing w:line="560" w:lineRule="exact"/>
        <w:ind w:left="425" w:hanging="425" w:firstLineChars="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盂唇撕裂缝合：由后入路置入关节镜，第三入路置入缝合器械：</w:t>
      </w:r>
      <w:r>
        <w:rPr>
          <w:rFonts w:ascii="仿宋" w:eastAsia="仿宋" w:hAnsi="仿宋" w:cs="仿宋_GB2312" w:hint="eastAsia"/>
          <w:sz w:val="32"/>
          <w:szCs w:val="32"/>
        </w:rPr>
        <w:t>①</w:t>
      </w:r>
      <w:r>
        <w:rPr>
          <w:rFonts w:ascii="仿宋" w:eastAsia="仿宋" w:hAnsi="仿宋" w:cs="仿宋_GB2312" w:hint="eastAsia"/>
          <w:sz w:val="32"/>
          <w:szCs w:val="32"/>
        </w:rPr>
        <w:t>入路套管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植入锚钉</w:t>
      </w:r>
      <w:r>
        <w:rPr>
          <w:rFonts w:ascii="仿宋" w:eastAsia="仿宋" w:hAnsi="仿宋" w:cs="仿宋_GB2312" w:hint="eastAsia"/>
          <w:sz w:val="32"/>
          <w:szCs w:val="32"/>
        </w:rPr>
        <w:t>②</w:t>
      </w:r>
      <w:r>
        <w:rPr>
          <w:rFonts w:ascii="仿宋" w:eastAsia="仿宋" w:hAnsi="仿宋" w:cs="仿宋_GB2312" w:hint="eastAsia"/>
          <w:sz w:val="32"/>
          <w:szCs w:val="32"/>
        </w:rPr>
        <w:t>导向器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电钻上钻头，钻到限深位置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选择合适锚钉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骨锤或徒手植入锚钉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缝合</w:t>
      </w:r>
      <w:r>
        <w:rPr>
          <w:rFonts w:ascii="仿宋" w:eastAsia="仿宋" w:hAnsi="仿宋" w:cs="仿宋_GB2312" w:hint="eastAsia"/>
          <w:sz w:val="32"/>
          <w:szCs w:val="32"/>
        </w:rPr>
        <w:t>﹙</w:t>
      </w:r>
      <w:r>
        <w:rPr>
          <w:rFonts w:ascii="仿宋" w:eastAsia="仿宋" w:hAnsi="仿宋" w:cs="仿宋_GB2312" w:hint="eastAsia"/>
          <w:sz w:val="32"/>
          <w:szCs w:val="32"/>
        </w:rPr>
        <w:t>使用缝合枪时，需用器械商高强度线带线；使用缝合钩时，需用去针PDSII0＃线带线</w:t>
      </w:r>
      <w:r>
        <w:rPr>
          <w:rFonts w:ascii="仿宋" w:eastAsia="仿宋" w:hAnsi="仿宋" w:cs="仿宋_GB2312" w:hint="eastAsia"/>
          <w:sz w:val="32"/>
          <w:szCs w:val="32"/>
        </w:rPr>
        <w:t>﹚→</w:t>
      </w:r>
      <w:r>
        <w:rPr>
          <w:rFonts w:ascii="仿宋" w:eastAsia="仿宋" w:hAnsi="仿宋" w:cs="仿宋_GB2312" w:hint="eastAsia"/>
          <w:sz w:val="32"/>
          <w:szCs w:val="32"/>
        </w:rPr>
        <w:t>打结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推结器</w:t>
      </w:r>
      <w:r>
        <w:rPr>
          <w:rFonts w:ascii="仿宋" w:eastAsia="仿宋" w:hAnsi="仿宋" w:cs="仿宋_GB2312" w:hint="eastAsia"/>
          <w:sz w:val="32"/>
          <w:szCs w:val="32"/>
        </w:rPr>
        <w:t>→</w:t>
      </w:r>
      <w:r>
        <w:rPr>
          <w:rFonts w:ascii="仿宋" w:eastAsia="仿宋" w:hAnsi="仿宋" w:cs="仿宋_GB2312" w:hint="eastAsia"/>
          <w:sz w:val="32"/>
          <w:szCs w:val="32"/>
        </w:rPr>
        <w:t>剪线器。</w:t>
      </w:r>
    </w:p>
    <w:p>
      <w:pPr>
        <w:pStyle w:val="ListParagraph1"/>
        <w:numPr>
          <w:ilvl w:val="0"/>
          <w:numId w:val="1"/>
        </w:numPr>
        <w:spacing w:line="560" w:lineRule="exact"/>
        <w:ind w:left="425" w:hanging="425" w:leftChars="0" w:firstLineChars="0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肩峰成型：利用髓核钳、刨刀等切除肩峰下前1／3骨性组织。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 xml:space="preserve">12．冲洗、止血、引流：生理氯化钠持续灌注液冲洗，射频止血，置入一次性负压引流装置，4号丝线固定，包扎。 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13．物品整理：设备仪器先关主机开关，再关电源开关 ，撤下各管路，擦拭干净，按规定盘绕，送供应室老师低温灭菌。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14．术后给予肩关节支架固定 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sz w:val="32"/>
          <w:szCs w:val="32"/>
          <w:lang w:eastAsia="zh-CN"/>
        </w:rPr>
        <w:t>（五）、</w:t>
      </w:r>
      <w:r>
        <w:rPr>
          <w:rFonts w:ascii="仿宋" w:eastAsia="仿宋" w:hAnsi="仿宋" w:cs="仿宋_GB2312" w:hint="eastAsia"/>
          <w:b/>
          <w:bCs/>
          <w:sz w:val="32"/>
          <w:szCs w:val="32"/>
        </w:rPr>
        <w:t>特殊提示</w:t>
      </w:r>
      <w:r>
        <w:rPr>
          <w:rFonts w:ascii="仿宋" w:eastAsia="仿宋" w:hAnsi="仿宋" w:cs="仿宋_GB2312" w:hint="eastAsia"/>
          <w:sz w:val="32"/>
          <w:szCs w:val="32"/>
        </w:rPr>
        <w:t>：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1．选择配套器械：如光源线与镜头，射频主机与射频头。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2．洗手护士及时收回台上锐器，避免损伤管路；所有管路禁止折叠、扭曲，以防折断。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3．灌注冲洗液为生理氯化钠溶液，悬挂高度超过手术平面1-1.5米，保持关节内压力60-70mmHg。悬挂灌注液的输液架选择可升降式。</w:t>
      </w:r>
    </w:p>
    <w:p>
      <w:pPr>
        <w:spacing w:line="560" w:lineRule="exact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4．密切观察灌注液余量，防止用完气泡进入术野，影响手术进程 。</w:t>
      </w:r>
    </w:p>
    <w:p>
      <w:pPr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5．与手术体位相关并发症：</w:t>
      </w:r>
    </w:p>
    <w:p>
      <w:pPr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>⑴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 xml:space="preserve">颈椎损伤：摆体位时专人保护患者头颈部                     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>⑵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 xml:space="preserve">臂丛神经麻痹：侧体位、患侧上肢牵引时，手术操作时间过长导致                                                        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>⑶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压疮：特殊体位填写压疮评估表                             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>⑷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 xml:space="preserve">腰骶部软组织劳损：沙滩椅位患者上身和臀部没有完全靠在手术 床面上所致                                                        6.严格查对器械商器械灭菌情况 。                                                                                                                            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                                               </w:t>
      </w:r>
      <w:r>
        <w:rPr>
          <w:rFonts w:ascii="仿宋" w:eastAsia="仿宋" w:hAnsi="仿宋" w:cs="仿宋_GB2312" w:hint="eastAsia"/>
          <w:b/>
          <w:bCs/>
          <w:color w:val="000000"/>
          <w:kern w:val="0"/>
          <w:sz w:val="32"/>
          <w:szCs w:val="32"/>
          <w:lang w:eastAsia="zh-CN"/>
        </w:rPr>
        <w:t>（六）、</w:t>
      </w:r>
      <w:r>
        <w:rPr>
          <w:rFonts w:ascii="仿宋" w:eastAsia="仿宋" w:hAnsi="仿宋" w:cs="仿宋_GB2312" w:hint="eastAsia"/>
          <w:b/>
          <w:bCs/>
          <w:color w:val="000000"/>
          <w:kern w:val="0"/>
          <w:sz w:val="32"/>
          <w:szCs w:val="32"/>
        </w:rPr>
        <w:t xml:space="preserve">手术计费名称 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                                            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1.经肩肘等关节镜加收</w:t>
      </w:r>
      <w:r>
        <w:rPr>
          <w:rFonts w:ascii="仿宋" w:eastAsia="仿宋" w:hAnsi="仿宋" w:cs="仿宋_GB2312" w:hint="eastAsia"/>
          <w:bCs/>
          <w:color w:val="000000"/>
          <w:kern w:val="0"/>
          <w:sz w:val="32"/>
          <w:szCs w:val="32"/>
        </w:rPr>
        <w:t xml:space="preserve">                                         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2.肩肘等关节清理术</w:t>
      </w:r>
    </w:p>
    <w:p>
      <w:pPr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肩袖破裂修补缝合术</w:t>
      </w:r>
    </w:p>
    <w:p>
      <w:pPr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PDS-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Ⅱ</w:t>
      </w: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（几条）</w:t>
      </w:r>
    </w:p>
    <w:p>
      <w:pPr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骨微动力</w:t>
      </w:r>
    </w:p>
    <w:p>
      <w:pPr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line="560" w:lineRule="exact"/>
        <w:jc w:val="left"/>
        <w:rPr>
          <w:rFonts w:ascii="仿宋" w:eastAsia="仿宋" w:hAnsi="仿宋" w:cs="宋体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kern w:val="0"/>
          <w:sz w:val="32"/>
          <w:szCs w:val="32"/>
        </w:rPr>
        <w:t>刨刀头，射频头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二、</w:t>
      </w:r>
      <w:r>
        <w:rPr>
          <w:rFonts w:ascii="仿宋" w:eastAsia="仿宋" w:hAnsi="仿宋" w:cs="宋体" w:hint="eastAsia"/>
          <w:b/>
          <w:bCs/>
          <w:sz w:val="44"/>
          <w:szCs w:val="44"/>
        </w:rPr>
        <w:t>膝关节镜关节清理、半月板修整手术配合</w:t>
      </w:r>
    </w:p>
    <w:p>
      <w:pPr>
        <w:suppressAutoHyphens/>
        <w:spacing w:line="560" w:lineRule="exact"/>
        <w:jc w:val="lef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（一）、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物品准备：</w:t>
      </w:r>
    </w:p>
    <w:p>
      <w:pPr>
        <w:numPr>
          <w:ilvl w:val="0"/>
          <w:numId w:val="3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仪器设备：成像系统、光源、刨刀、射频。</w:t>
      </w:r>
    </w:p>
    <w:p>
      <w:pPr>
        <w:numPr>
          <w:ilvl w:val="0"/>
          <w:numId w:val="3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器械敷料：关节镜器械，器械商器械,小开台，四件大衣，肢体敷料 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3、一次性用物：低温消毒的一次性用物，戳卡，30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°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4mm镜子，光源线，刨刀，刨刀头，上水管路，摄像，射频刀头，摄像管套，骨科护皮膜，吸引器管*3，8#手套，纱布，骨科针，4#丝线，备驱血带，12#爱泽或负压球。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/>
          <w:color w:val="000000"/>
          <w:sz w:val="32"/>
          <w:szCs w:val="32"/>
        </w:rPr>
        <w:t>1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000ml0.9%氯化钠溶液</w:t>
      </w:r>
      <w:r>
        <w:rPr>
          <w:rFonts w:ascii="仿宋" w:eastAsia="仿宋" w:hAnsi="仿宋" w:cs="仿宋_GB2312"/>
          <w:color w:val="000000"/>
          <w:sz w:val="32"/>
          <w:szCs w:val="32"/>
        </w:rPr>
        <w:t>10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袋。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（二）、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麻醉方式：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一般采用硬膜外腔阻滞麻醉或腰麻两种麻醉方式。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（三）、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手术体位：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仰卧位，将健侧上肢用中单包裹固定于手术床边上，患侧的手外展放于托手板上用于输液，患侧大腿上1/3扎好气压止血带，内垫以石膏棉保护皮肤，外用骨科护皮膜保护皮肤，防止止血带弹出影响止血效果 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（四）、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手术配合：</w:t>
      </w:r>
    </w:p>
    <w:p>
      <w:pPr>
        <w:numPr>
          <w:ilvl w:val="0"/>
          <w:numId w:val="4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消毒、铺单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（1）上止血带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 xml:space="preserve">（2）消毒 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（3）下肢铺单：患侧下肢横铺一中单，一块敷布覆盖止血带上侧缘，一块敷布自患侧褪下覆盖止血带下侧缘，一把布巾钳固定，手术部位上缘横铺一中单覆盖上身及头架，与患肢下中单连接处用两把组织钳固定，患侧褪下横铺一中单，沿止血带下缘向上横铺一中单，患侧褪下竖铺一中单，酒精纱布脱碘8号手套套脚，铺显微镜套，连接各种管路，驱血，气压止血带充气。</w:t>
      </w:r>
    </w:p>
    <w:p>
      <w:pPr>
        <w:numPr>
          <w:ilvl w:val="0"/>
          <w:numId w:val="4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切开皮肤进入膝关节腔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递尖刀-直钳-戳卡-探钩，测试前交叉韧带张力，发现损伤部位，同时检查是否有半月板或侧副韧带的损伤。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尖刀 直钳 戳卡 探钩</w:t>
      </w:r>
    </w:p>
    <w:p>
      <w:pPr>
        <w:numPr>
          <w:ilvl w:val="0"/>
          <w:numId w:val="4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清理关节腔，股骨髁间窝成型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刨刀，髓核钳</w:t>
      </w:r>
    </w:p>
    <w:p>
      <w:pPr>
        <w:numPr>
          <w:ilvl w:val="0"/>
          <w:numId w:val="4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半月板修整、冲洗液冲洗关节腔：冲洗液不仅可冲洗关节腔内的坏死组织和刨削碎屑，同时又可避免关节腔内温度过高引起的热损伤。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兰钳</w:t>
      </w:r>
    </w:p>
    <w:p>
      <w:pPr>
        <w:numPr>
          <w:ilvl w:val="0"/>
          <w:numId w:val="4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关闭切口：角针 4#丝线缝合皮肤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（五）、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特殊提</w:t>
      </w:r>
      <w:r>
        <w:rPr>
          <w:rFonts w:ascii="仿宋" w:eastAsia="仿宋" w:hAnsi="仿宋" w:cs="仿宋_GB2312" w:hint="eastAsia"/>
          <w:b/>
          <w:color w:val="000000"/>
          <w:sz w:val="32"/>
          <w:szCs w:val="32"/>
        </w:rPr>
        <w:t>示</w:t>
      </w:r>
    </w:p>
    <w:p>
      <w:pPr>
        <w:numPr>
          <w:ilvl w:val="0"/>
          <w:numId w:val="5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手术准备工作要充分，巡回护士要熟练掌握各仪器的性能、使用步骤、连接方式和注意事项，同时要掌握术中各种简单故障的排除方法。</w:t>
      </w:r>
    </w:p>
    <w:p>
      <w:pPr>
        <w:numPr>
          <w:ilvl w:val="0"/>
          <w:numId w:val="5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器械护士应掌握关节境器械和交叉韧带专用器械的使用方法，保护好光源线 镜头，不得过度扭曲打成死角，熟练配合手术，缩短手术时间，减轻病人痛苦。</w:t>
      </w:r>
    </w:p>
    <w:p>
      <w:pPr>
        <w:numPr>
          <w:ilvl w:val="0"/>
          <w:numId w:val="5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随时注意检查灌注袋中的生理盐水，及时更换，以免影响手术术野，关节镜手术需要在水中操作，良好的关节腔扩张是保障手术成功的关键，术中保证生理盐水充分供应，负压吸引装置要保证通畅。</w:t>
      </w:r>
    </w:p>
    <w:p>
      <w:pPr>
        <w:numPr>
          <w:ilvl w:val="0"/>
          <w:numId w:val="5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严格无菌操作，在处理异体移植物时认真核对材料处审批的条形码。</w:t>
      </w:r>
    </w:p>
    <w:p>
      <w:pPr>
        <w:numPr>
          <w:ilvl w:val="0"/>
          <w:numId w:val="5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关节镜器械精细、贵重，有且只有两包，所以注意保护。</w:t>
      </w:r>
    </w:p>
    <w:p>
      <w:pPr>
        <w:numPr>
          <w:ilvl w:val="0"/>
          <w:numId w:val="5"/>
        </w:numPr>
        <w:suppressAutoHyphens/>
        <w:spacing w:line="560" w:lineRule="exact"/>
        <w:ind w:left="0" w:firstLine="0"/>
        <w:rPr>
          <w:rFonts w:ascii="仿宋" w:eastAsia="仿宋" w:hAnsi="仿宋" w:cs="仿宋_GB2312" w:hint="eastAsia"/>
          <w:color w:val="00000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术前仔细检查止血带是否漏气，根据病人年龄、肢体的粗细调整止血带压力及宽度。记录止血带使用时间，注意观察患者对止血带的反应，及时提醒医生止血带使用时间，非全麻下上止血带的病人容易烦躁，应注意观察并做好心理护理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（六）、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手术计费名称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经关节镜加收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膝关节清理术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膝关节清理术射频加收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半月板切除术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半月板切术术射频加收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半月板缝合术（缝合时收）</w:t>
      </w:r>
    </w:p>
    <w:p>
      <w:pPr>
        <w:numPr>
          <w:ilvl w:val="0"/>
          <w:numId w:val="6"/>
        </w:numPr>
        <w:suppressAutoHyphens/>
        <w:spacing w:line="560" w:lineRule="exact"/>
        <w:rPr>
          <w:rFonts w:ascii="仿宋" w:eastAsia="仿宋" w:hAnsi="仿宋" w:cs="仿宋_GB2312" w:hint="eastAsia"/>
          <w:b/>
          <w:bCs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其他特殊刀（刨刀）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before="312" w:beforeLines="100" w:after="312" w:afterLines="100" w:line="480" w:lineRule="auto"/>
        <w:ind w:firstLine="0" w:firstLineChars="0"/>
        <w:jc w:val="center"/>
        <w:textAlignment w:val="auto"/>
        <w:outlineLvl w:val="0"/>
        <w:rPr>
          <w:rFonts w:ascii="仿宋" w:eastAsia="仿宋" w:hAnsi="仿宋" w:cs="宋体" w:hint="eastAsia"/>
          <w:b/>
          <w:bCs/>
          <w:sz w:val="44"/>
          <w:szCs w:val="44"/>
        </w:rPr>
      </w:pPr>
      <w:r>
        <w:rPr>
          <w:rFonts w:ascii="仿宋" w:eastAsia="仿宋" w:hAnsi="仿宋" w:cs="宋体" w:hint="eastAsia"/>
          <w:b/>
          <w:bCs/>
          <w:sz w:val="44"/>
          <w:szCs w:val="44"/>
          <w:lang w:eastAsia="zh-CN"/>
        </w:rPr>
        <w:t>三、</w:t>
      </w:r>
      <w:r>
        <w:rPr>
          <w:rFonts w:ascii="仿宋" w:eastAsia="仿宋" w:hAnsi="仿宋" w:cs="宋体" w:hint="eastAsia"/>
          <w:b/>
          <w:bCs/>
          <w:sz w:val="44"/>
          <w:szCs w:val="44"/>
        </w:rPr>
        <w:t>膝关节镜后叉韧带重建手术配合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（一）、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物品准备</w:t>
      </w:r>
    </w:p>
    <w:p>
      <w:pPr>
        <w:numPr>
          <w:ilvl w:val="0"/>
          <w:numId w:val="7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仪器设备：成像系统、光源、刨刀、射频。</w:t>
      </w:r>
    </w:p>
    <w:p>
      <w:pPr>
        <w:numPr>
          <w:ilvl w:val="0"/>
          <w:numId w:val="7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器械敷料：关节镜器械，小开台，肢体辅料，四件打衣，</w:t>
      </w:r>
    </w:p>
    <w:p>
      <w:pPr>
        <w:numPr>
          <w:ilvl w:val="0"/>
          <w:numId w:val="7"/>
        </w:num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一次性用物：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摄像管套、骨科护皮膜、连接管路*3、8#手套、12#爱泽负压引流装置、纱布、2#Ethibond*2、5#Ethibond、骨科针、4#丝线、备驱血带、电刀、2.0克氏针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3000ml0.9%氯化钠溶液3-4袋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4.低温消毒的一次性用物：戳卡、30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°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 xml:space="preserve"> 4mm镜子、光源线、刨刀、刨刀头、上水管路、摄像、射频刀头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（二）、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麻醉方式：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一般采用硬膜外腔阻滞麻醉或腰麻两种麻醉方式。</w:t>
      </w:r>
    </w:p>
    <w:p>
      <w:pPr>
        <w:suppressAutoHyphens/>
        <w:spacing w:line="560" w:lineRule="exact"/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  <w:lang w:eastAsia="zh-CN"/>
        </w:rPr>
        <w:t>（三）、</w:t>
      </w:r>
      <w:r>
        <w:rPr>
          <w:rFonts w:ascii="仿宋" w:eastAsia="仿宋" w:hAnsi="仿宋" w:cs="仿宋_GB2312" w:hint="eastAsia"/>
          <w:b/>
          <w:bCs/>
          <w:color w:val="000000"/>
          <w:sz w:val="32"/>
          <w:szCs w:val="32"/>
        </w:rPr>
        <w:t>手术体位</w:t>
      </w:r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br/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https://d.book118.com/588070127001006040</w:t>
        </w:r>
      </w:hyperlink>
    </w:p>
    <w:p>
      <w:pPr>
        <w:suppressAutoHyphens/>
        <w:spacing w:line="560" w:lineRule="exact"/>
        <w:ind w:firstLine="640" w:firstLineChars="200"/>
        <w:rPr>
          <w:rFonts w:ascii="仿宋" w:eastAsia="仿宋" w:hAnsi="仿宋" w:cs="仿宋_GB2312" w:hint="eastAsia"/>
          <w:color w:val="000000"/>
          <w:sz w:val="32"/>
          <w:szCs w:val="32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79FE82C"/>
    <w:multiLevelType w:val="singleLevel"/>
    <w:tmpl w:val="F79FE82C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3"/>
    <w:multiLevelType w:val="multilevel"/>
    <w:tmpl w:val="00000003"/>
    <w:lvl w:ilvl="0">
      <w:start w:val="6"/>
      <w:numFmt w:val="chineseCounting"/>
      <w:suff w:val="nothing"/>
      <w:lvlText w:val="%1、"/>
      <w:lvlJc w:val="left"/>
      <w:pPr>
        <w:ind w:left="-643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9C44E0E"/>
    <w:multiLevelType w:val="multilevel"/>
    <w:tmpl w:val="09C44E0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D9B1DF8"/>
    <w:multiLevelType w:val="multilevel"/>
    <w:tmpl w:val="0D9B1DF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1246CC"/>
    <w:multiLevelType w:val="multilevel"/>
    <w:tmpl w:val="0F1246C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FA304BC"/>
    <w:multiLevelType w:val="multilevel"/>
    <w:tmpl w:val="0FA304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316730C"/>
    <w:multiLevelType w:val="multilevel"/>
    <w:tmpl w:val="1316730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39901E5"/>
    <w:multiLevelType w:val="multilevel"/>
    <w:tmpl w:val="139901E5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150C32F0"/>
    <w:multiLevelType w:val="multilevel"/>
    <w:tmpl w:val="150C32F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18DA1C91"/>
    <w:multiLevelType w:val="multilevel"/>
    <w:tmpl w:val="18DA1C91"/>
    <w:lvl w:ilvl="0">
      <w:start w:val="1"/>
      <w:numFmt w:val="decimal"/>
      <w:lvlText w:val="%1."/>
      <w:lvlJc w:val="left"/>
      <w:pPr>
        <w:ind w:left="528" w:hanging="420"/>
      </w:pPr>
    </w:lvl>
    <w:lvl w:ilvl="1">
      <w:start w:val="1"/>
      <w:numFmt w:val="lowerLetter"/>
      <w:lvlText w:val="%2)"/>
      <w:lvlJc w:val="left"/>
      <w:pPr>
        <w:ind w:left="948" w:hanging="420"/>
      </w:pPr>
    </w:lvl>
    <w:lvl w:ilvl="2">
      <w:start w:val="1"/>
      <w:numFmt w:val="lowerRoman"/>
      <w:lvlText w:val="%3."/>
      <w:lvlJc w:val="right"/>
      <w:pPr>
        <w:ind w:left="1368" w:hanging="420"/>
      </w:pPr>
    </w:lvl>
    <w:lvl w:ilvl="3">
      <w:start w:val="1"/>
      <w:numFmt w:val="decimal"/>
      <w:lvlText w:val="%4."/>
      <w:lvlJc w:val="left"/>
      <w:pPr>
        <w:ind w:left="1788" w:hanging="420"/>
      </w:pPr>
    </w:lvl>
    <w:lvl w:ilvl="4">
      <w:start w:val="1"/>
      <w:numFmt w:val="lowerLetter"/>
      <w:lvlText w:val="%5)"/>
      <w:lvlJc w:val="left"/>
      <w:pPr>
        <w:ind w:left="2208" w:hanging="420"/>
      </w:pPr>
    </w:lvl>
    <w:lvl w:ilvl="5">
      <w:start w:val="1"/>
      <w:numFmt w:val="lowerRoman"/>
      <w:lvlText w:val="%6."/>
      <w:lvlJc w:val="right"/>
      <w:pPr>
        <w:ind w:left="2628" w:hanging="420"/>
      </w:pPr>
    </w:lvl>
    <w:lvl w:ilvl="6">
      <w:start w:val="1"/>
      <w:numFmt w:val="decimal"/>
      <w:lvlText w:val="%7."/>
      <w:lvlJc w:val="left"/>
      <w:pPr>
        <w:ind w:left="3048" w:hanging="420"/>
      </w:pPr>
    </w:lvl>
    <w:lvl w:ilvl="7">
      <w:start w:val="1"/>
      <w:numFmt w:val="lowerLetter"/>
      <w:lvlText w:val="%8)"/>
      <w:lvlJc w:val="left"/>
      <w:pPr>
        <w:ind w:left="3468" w:hanging="420"/>
      </w:pPr>
    </w:lvl>
    <w:lvl w:ilvl="8">
      <w:start w:val="1"/>
      <w:numFmt w:val="lowerRoman"/>
      <w:lvlText w:val="%9."/>
      <w:lvlJc w:val="right"/>
      <w:pPr>
        <w:ind w:left="3888" w:hanging="420"/>
      </w:pPr>
    </w:lvl>
  </w:abstractNum>
  <w:abstractNum w:abstractNumId="10">
    <w:nsid w:val="197D7A7A"/>
    <w:multiLevelType w:val="multilevel"/>
    <w:tmpl w:val="197D7A7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281B3B7D"/>
    <w:multiLevelType w:val="multilevel"/>
    <w:tmpl w:val="281B3B7D"/>
    <w:lvl w:ilvl="0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2E674E9E"/>
    <w:multiLevelType w:val="multilevel"/>
    <w:tmpl w:val="2E674E9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2F0C1B73"/>
    <w:multiLevelType w:val="multilevel"/>
    <w:tmpl w:val="2F0C1B7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60519A8"/>
    <w:multiLevelType w:val="multilevel"/>
    <w:tmpl w:val="360519A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424F14A8"/>
    <w:multiLevelType w:val="multilevel"/>
    <w:tmpl w:val="424F14A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43AC6C0C"/>
    <w:multiLevelType w:val="multilevel"/>
    <w:tmpl w:val="43AC6C0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452B3378"/>
    <w:multiLevelType w:val="multilevel"/>
    <w:tmpl w:val="452B337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4D129233"/>
    <w:multiLevelType w:val="singleLevel"/>
    <w:tmpl w:val="4D129233"/>
    <w:lvl w:ilvl="0">
      <w:start w:val="3"/>
      <w:numFmt w:val="decimal"/>
      <w:lvlText w:val="%1."/>
      <w:lvlJc w:val="left"/>
      <w:pPr>
        <w:tabs>
          <w:tab w:val="num" w:pos="312"/>
        </w:tabs>
      </w:pPr>
    </w:lvl>
  </w:abstractNum>
  <w:abstractNum w:abstractNumId="19">
    <w:nsid w:val="563E3E4A"/>
    <w:multiLevelType w:val="multilevel"/>
    <w:tmpl w:val="563E3E4A"/>
    <w:lvl w:ilvl="0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5A4843F7"/>
    <w:multiLevelType w:val="multilevel"/>
    <w:tmpl w:val="5A4843F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6C5718A5"/>
    <w:multiLevelType w:val="multilevel"/>
    <w:tmpl w:val="6C5718A5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7D8F1FFA"/>
    <w:multiLevelType w:val="multilevel"/>
    <w:tmpl w:val="7D8F1FF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8"/>
  </w:num>
  <w:num w:numId="3">
    <w:abstractNumId w:val="20"/>
  </w:num>
  <w:num w:numId="4">
    <w:abstractNumId w:val="5"/>
  </w:num>
  <w:num w:numId="5">
    <w:abstractNumId w:val="6"/>
  </w:num>
  <w:num w:numId="6">
    <w:abstractNumId w:val="2"/>
  </w:num>
  <w:num w:numId="7">
    <w:abstractNumId w:val="12"/>
  </w:num>
  <w:num w:numId="8">
    <w:abstractNumId w:val="16"/>
  </w:num>
  <w:num w:numId="9">
    <w:abstractNumId w:val="1"/>
  </w:num>
  <w:num w:numId="10">
    <w:abstractNumId w:val="11"/>
  </w:num>
  <w:num w:numId="11">
    <w:abstractNumId w:val="19"/>
  </w:num>
  <w:num w:numId="12">
    <w:abstractNumId w:val="4"/>
  </w:num>
  <w:num w:numId="13">
    <w:abstractNumId w:val="8"/>
  </w:num>
  <w:num w:numId="14">
    <w:abstractNumId w:val="17"/>
  </w:num>
  <w:num w:numId="15">
    <w:abstractNumId w:val="15"/>
  </w:num>
  <w:num w:numId="16">
    <w:abstractNumId w:val="13"/>
  </w:num>
  <w:num w:numId="17">
    <w:abstractNumId w:val="21"/>
  </w:num>
  <w:num w:numId="18">
    <w:abstractNumId w:val="3"/>
  </w:num>
  <w:num w:numId="19">
    <w:abstractNumId w:val="9"/>
  </w:num>
  <w:num w:numId="20">
    <w:abstractNumId w:val="7"/>
  </w:num>
  <w:num w:numId="21">
    <w:abstractNumId w:val="10"/>
  </w:num>
  <w:num w:numId="22">
    <w:abstractNumId w:val="22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D9C415D"/>
  </w:rsids>
  <w:docVars>
    <w:docVar w:name="commondata" w:val="eyJoZGlkIjoiMWRkNjM3NzkyMzUxMTY5NWVkNzFmNzlkZGU0OTI0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eastAsia="宋体" w:hAnsi="Times New Roman" w:cs="Times New Roman"/>
      <w:b/>
      <w:kern w:val="44"/>
      <w:sz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Wingdings" w:eastAsia="宋体" w:hAnsi="Wingdings" w:cs="Wingdings"/>
      <w:color w:val="000000"/>
      <w:sz w:val="24"/>
      <w:szCs w:val="24"/>
      <w:lang w:val="en-US" w:eastAsia="zh-CN" w:bidi="ar-SA"/>
    </w:rPr>
  </w:style>
  <w:style w:type="paragraph" w:customStyle="1" w:styleId="ListParagraph1">
    <w:name w:val="List Paragraph1"/>
    <w:basedOn w:val="Normal"/>
    <w:qFormat/>
    <w:pPr>
      <w:ind w:firstLine="420" w:firstLineChars="200"/>
    </w:pPr>
    <w:rPr>
      <w:rFonts w:ascii="Times New Roman" w:eastAsia="宋体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8070127001006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0</cp:revision>
  <dcterms:created xsi:type="dcterms:W3CDTF">2024-02-24T06:00:09Z</dcterms:created>
  <dcterms:modified xsi:type="dcterms:W3CDTF">2024-02-24T06:00:32Z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0C6E6857FD4840F4B3A4EDFDFE380062_12</vt:lpwstr>
  </property>
  <property fmtid="{D5CDD505-2E9C-101B-9397-08002B2CF9AE}" pid="3" name="KSOProductBuildVer">
    <vt:lpwstr>2052-12.1.0.16388</vt:lpwstr>
  </property>
</Properties>
</file>