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ackground w:color="ffffff">
    <v:background id="_x0000_s1025" w:themeColor="background1" filled="t"/>
  </w:background>
  <w:body>
    <w:p w:rsidR="00451109" w:rsidRPr="00C05B00" w:rsidP="00451109" w14:paraId="58911516" w14:textId="77777777">
      <w:pPr>
        <w:jc w:val="center"/>
        <w:rPr>
          <w:rFonts w:ascii="微软雅黑" w:eastAsia="微软雅黑" w:hAnsi="微软雅黑" w:cs="宋体"/>
          <w:color w:val="000000"/>
          <w:kern w:val="0"/>
          <w:sz w:val="27"/>
          <w:szCs w:val="27"/>
        </w:rPr>
      </w:pPr>
      <w:r w:rsidRPr="00C05B00">
        <w:rPr>
          <w:rFonts w:ascii="微软雅黑" w:eastAsia="微软雅黑" w:hAnsi="微软雅黑" w:cs="宋体"/>
          <w:color w:val="000000"/>
          <w:kern w:val="0"/>
          <w:sz w:val="27"/>
          <w:szCs w:val="27"/>
        </w:rPr>
        <w:t>2022年高级会计实务考题(一)</w:t>
      </w:r>
    </w:p>
    <w:p w:rsidR="00A900F2" w:rsidRPr="00C05B00" w:rsidP="00AD2E26" w14:paraId="76778D48" w14:textId="79A8E512">
      <w:pPr>
        <w:jc w:val="left"/>
        <w:rPr>
          <w:rFonts w:ascii="微软雅黑" w:eastAsia="微软雅黑" w:hAnsi="微软雅黑"/>
          <w:color w:val="7F7F7F" w:themeColor="text1" w:themeTint="80"/>
          <w:sz w:val="24"/>
          <w:szCs w:val="24"/>
        </w:rPr>
      </w:pPr>
      <w:r w:rsidRPr="00C05B00">
        <w:rPr>
          <w:rFonts w:ascii="微软雅黑" w:eastAsia="微软雅黑" w:hAnsi="微软雅黑" w:hint="eastAsia"/>
          <w:color w:val="7F7F7F" w:themeColor="text1" w:themeTint="80"/>
          <w:sz w:val="24"/>
          <w:szCs w:val="24"/>
        </w:rPr>
        <w:t>总分</w:t>
      </w:r>
      <w:r w:rsidRPr="00C05B00" w:rsidR="00AD2E26">
        <w:rPr>
          <w:rFonts w:ascii="微软雅黑" w:eastAsia="微软雅黑" w:hAnsi="微软雅黑" w:hint="eastAsia"/>
          <w:color w:val="7F7F7F" w:themeColor="text1" w:themeTint="80"/>
          <w:sz w:val="24"/>
          <w:szCs w:val="24"/>
        </w:rPr>
        <w:t>：</w:t>
      </w:r>
      <w:r w:rsidRPr="00C05B00" w:rsidR="00CD0BD1">
        <w:rPr>
          <w:rFonts w:ascii="微软雅黑" w:eastAsia="微软雅黑" w:hAnsi="微软雅黑"/>
          <w:color w:val="7F7F7F" w:themeColor="text1" w:themeTint="80"/>
          <w:sz w:val="24"/>
          <w:szCs w:val="24"/>
        </w:rPr>
        <w:t>100</w:t>
      </w:r>
      <w:r w:rsidRPr="00C05B00" w:rsidR="003C7C42">
        <w:rPr>
          <w:rFonts w:ascii="微软雅黑" w:eastAsia="微软雅黑" w:hAnsi="微软雅黑" w:hint="eastAsia"/>
          <w:color w:val="7F7F7F" w:themeColor="text1" w:themeTint="80"/>
          <w:sz w:val="24"/>
          <w:szCs w:val="24"/>
        </w:rPr>
        <w:t>分</w:t>
      </w:r>
      <w:r w:rsidRPr="00C05B00" w:rsidR="00EC0A6F">
        <w:rPr>
          <w:rFonts w:ascii="微软雅黑" w:eastAsia="微软雅黑" w:hAnsi="微软雅黑"/>
          <w:color w:val="7F7F7F" w:themeColor="text1" w:themeTint="80"/>
          <w:sz w:val="24"/>
          <w:szCs w:val="24"/>
        </w:rPr>
        <w:tab/>
      </w:r>
      <w:r w:rsidRPr="00C05B00" w:rsidR="00457843">
        <w:rPr>
          <w:rFonts w:ascii="微软雅黑" w:eastAsia="微软雅黑" w:hAnsi="微软雅黑"/>
          <w:color w:val="7F7F7F" w:themeColor="text1" w:themeTint="80"/>
          <w:sz w:val="24"/>
          <w:szCs w:val="24"/>
        </w:rPr>
        <w:t xml:space="preserve">      </w:t>
      </w:r>
      <w:r w:rsidRPr="00C05B00" w:rsidR="00457843">
        <w:rPr>
          <w:rFonts w:ascii="微软雅黑" w:eastAsia="微软雅黑" w:hAnsi="微软雅黑" w:hint="eastAsia"/>
          <w:color w:val="7F7F7F" w:themeColor="text1" w:themeTint="80"/>
          <w:sz w:val="24"/>
          <w:szCs w:val="24"/>
        </w:rPr>
        <w:t>考试时间：</w:t>
      </w:r>
      <w:r w:rsidRPr="00C05B00" w:rsidR="00457843">
        <w:rPr>
          <w:rFonts w:ascii="微软雅黑" w:eastAsia="微软雅黑" w:hAnsi="微软雅黑"/>
          <w:color w:val="7F7F7F" w:themeColor="text1" w:themeTint="80"/>
          <w:sz w:val="24"/>
          <w:szCs w:val="24"/>
        </w:rPr>
        <w:t>90</w:t>
      </w:r>
      <w:r w:rsidRPr="00C05B00" w:rsidR="00457843">
        <w:rPr>
          <w:rFonts w:ascii="微软雅黑" w:eastAsia="微软雅黑" w:hAnsi="微软雅黑" w:hint="eastAsia"/>
          <w:color w:val="7F7F7F" w:themeColor="text1" w:themeTint="80"/>
          <w:sz w:val="24"/>
          <w:szCs w:val="24"/>
        </w:rPr>
        <w:t>分钟</w:t>
      </w:r>
    </w:p>
    <w:p w:rsidR="000D00B8" w:rsidRPr="00C05B00" w:rsidP="00AD2E26" w14:paraId="44F6D394" w14:textId="6D0CC4C0">
      <w:pPr>
        <w:jc w:val="left"/>
        <w:rPr>
          <w:rFonts w:ascii="微软雅黑" w:eastAsia="微软雅黑" w:hAnsi="微软雅黑"/>
          <w:color w:val="7F7F7F" w:themeColor="text1" w:themeTint="80"/>
          <w:sz w:val="24"/>
          <w:szCs w:val="24"/>
        </w:rPr>
      </w:pPr>
      <w:r w:rsidRPr="00C05B00">
        <w:rPr>
          <w:rFonts w:ascii="微软雅黑" w:eastAsia="微软雅黑" w:hAnsi="微软雅黑" w:hint="eastAsia"/>
          <w:color w:val="7F7F7F" w:themeColor="text1" w:themeTint="80"/>
          <w:sz w:val="24"/>
          <w:szCs w:val="24"/>
        </w:rPr>
        <w:t>注意事项：</w:t>
      </w:r>
    </w:p>
    <w:p w:rsidR="001D5875" w:rsidRPr="00C05B00" w:rsidP="00F7033B" w14:paraId="4208D232" w14:textId="520122F6">
      <w:pPr>
        <w:pStyle w:val="ListParagraph"/>
        <w:numPr>
          <w:ilvl w:val="0"/>
          <w:numId w:val="29"/>
        </w:numPr>
        <w:ind w:firstLineChars="0"/>
        <w:rPr>
          <w:rFonts w:ascii="微软雅黑" w:eastAsia="微软雅黑" w:hAnsi="微软雅黑" w:cs="宋体"/>
          <w:color w:val="404040" w:themeColor="text1" w:themeTint="BF"/>
          <w:kern w:val="0"/>
          <w:szCs w:val="21"/>
        </w:rPr>
      </w:pPr>
      <w:r w:rsidRPr="00C05B00">
        <w:rPr>
          <w:rFonts w:ascii="微软雅黑" w:eastAsia="微软雅黑" w:hAnsi="微软雅黑" w:hint="eastAsia"/>
          <w:color w:val="404040" w:themeColor="text1" w:themeTint="BF"/>
          <w:szCs w:val="21"/>
        </w:rPr>
        <w:t>考生应检查“答题卡”正反两面，如果发现“答题卡”字迹模糊，行列歪斜或单面缺印等现象，要及时向监考员报告。</w:t>
      </w:r>
    </w:p>
    <w:p w:rsidR="001D5875" w:rsidRPr="00C05B00" w:rsidP="00F7033B" w14:textId="520122F6">
      <w:pPr>
        <w:pStyle w:val="ListParagraph"/>
        <w:numPr>
          <w:ilvl w:val="0"/>
          <w:numId w:val="29"/>
        </w:numPr>
        <w:ind w:firstLineChars="0"/>
        <w:rPr>
          <w:rFonts w:ascii="微软雅黑" w:eastAsia="微软雅黑" w:hAnsi="微软雅黑" w:cs="宋体"/>
          <w:color w:val="404040" w:themeColor="text1" w:themeTint="BF"/>
          <w:kern w:val="0"/>
          <w:szCs w:val="21"/>
        </w:rPr>
      </w:pPr>
      <w:r w:rsidRPr="00C05B00">
        <w:rPr>
          <w:rFonts w:ascii="微软雅黑" w:eastAsia="微软雅黑" w:hAnsi="微软雅黑" w:hint="eastAsia"/>
          <w:color w:val="404040" w:themeColor="text1" w:themeTint="BF"/>
          <w:szCs w:val="21"/>
        </w:rPr>
        <w:t>考生必须在答题卡上与题号相对应的答题区域内答题，书写在试卷（题签）、草稿纸上或答题卡上非题号对应的答题区域的答案一律无效。</w:t>
      </w:r>
    </w:p>
    <w:p w:rsidR="001D5875" w:rsidRPr="00C05B00" w:rsidP="00F7033B" w14:textId="520122F6">
      <w:pPr>
        <w:pStyle w:val="ListParagraph"/>
        <w:numPr>
          <w:ilvl w:val="0"/>
          <w:numId w:val="29"/>
        </w:numPr>
        <w:ind w:firstLineChars="0"/>
        <w:rPr>
          <w:rFonts w:ascii="微软雅黑" w:eastAsia="微软雅黑" w:hAnsi="微软雅黑" w:cs="宋体"/>
          <w:color w:val="404040" w:themeColor="text1" w:themeTint="BF"/>
          <w:kern w:val="0"/>
          <w:szCs w:val="21"/>
        </w:rPr>
      </w:pPr>
      <w:r w:rsidRPr="00C05B00">
        <w:rPr>
          <w:rFonts w:ascii="微软雅黑" w:eastAsia="微软雅黑" w:hAnsi="微软雅黑" w:hint="eastAsia"/>
          <w:color w:val="404040" w:themeColor="text1" w:themeTint="BF"/>
          <w:szCs w:val="21"/>
        </w:rPr>
        <w:t>考试结束，考生要按照监考员的指令有序、错峰离开考场</w:t>
      </w:r>
    </w:p>
    <w:p w:rsidR="00513A70" w:rsidRPr="00C05B00" w:rsidP="00B841D5" w14:paraId="00477ACF" w14:textId="66142440">
      <w:pPr>
        <w:pStyle w:val="Heading2"/>
        <w:spacing w:before="0" w:after="0"/>
        <w:rPr>
          <w:rFonts w:ascii="微软雅黑" w:eastAsia="微软雅黑" w:hAnsi="微软雅黑"/>
          <w:sz w:val="28"/>
          <w:szCs w:val="28"/>
        </w:rPr>
      </w:pPr>
      <w:r w:rsidRPr="00C05B00">
        <w:rPr>
          <w:rFonts w:ascii="微软雅黑" w:eastAsia="微软雅黑" w:hAnsi="微软雅黑" w:hint="eastAsia"/>
          <w:sz w:val="28"/>
          <w:szCs w:val="28"/>
        </w:rPr>
        <w:t>一</w:t>
      </w:r>
      <w:r w:rsidRPr="00C05B00">
        <w:rPr>
          <w:rFonts w:ascii="微软雅黑" w:eastAsia="微软雅黑" w:hAnsi="微软雅黑" w:hint="eastAsia"/>
          <w:sz w:val="28"/>
          <w:szCs w:val="28"/>
        </w:rPr>
        <w:t>、主观题</w:t>
      </w:r>
      <w:r w:rsidRPr="00C05B00">
        <w:rPr>
          <w:rFonts w:ascii="微软雅黑" w:eastAsia="微软雅黑" w:hAnsi="微软雅黑" w:hint="eastAsia"/>
          <w:b w:val="0"/>
          <w:bCs w:val="0"/>
          <w:sz w:val="28"/>
          <w:szCs w:val="28"/>
        </w:rPr>
        <w:t>（每小题</w:t>
      </w:r>
      <w:r w:rsidRPr="00C05B00">
        <w:rPr>
          <w:rFonts w:ascii="微软雅黑" w:eastAsia="微软雅黑" w:hAnsi="微软雅黑"/>
          <w:b w:val="0"/>
          <w:bCs w:val="0"/>
          <w:sz w:val="28"/>
          <w:szCs w:val="28"/>
        </w:rPr>
        <w:t xml:space="preserve">10 </w:t>
      </w:r>
      <w:r w:rsidRPr="00C05B00">
        <w:rPr>
          <w:rFonts w:ascii="微软雅黑" w:eastAsia="微软雅黑" w:hAnsi="微软雅黑" w:hint="eastAsia"/>
          <w:b w:val="0"/>
          <w:bCs w:val="0"/>
          <w:sz w:val="28"/>
          <w:szCs w:val="28"/>
        </w:rPr>
        <w:t xml:space="preserve">分，共 </w:t>
      </w:r>
      <w:r w:rsidRPr="00C05B00">
        <w:rPr>
          <w:rFonts w:ascii="微软雅黑" w:eastAsia="微软雅黑" w:hAnsi="微软雅黑"/>
          <w:b w:val="0"/>
          <w:bCs w:val="0"/>
          <w:sz w:val="28"/>
          <w:szCs w:val="28"/>
        </w:rPr>
        <w:t>100</w:t>
      </w:r>
      <w:r w:rsidRPr="00C05B00">
        <w:rPr>
          <w:rFonts w:ascii="微软雅黑" w:eastAsia="微软雅黑" w:hAnsi="微软雅黑" w:hint="eastAsia"/>
          <w:b w:val="0"/>
          <w:bCs w:val="0"/>
          <w:sz w:val="28"/>
          <w:szCs w:val="28"/>
        </w:rPr>
        <w:t>分）</w:t>
      </w:r>
      <w:r w:rsidRPr="00F95114">
        <w:rPr>
          <w:rFonts w:ascii="微软雅黑" w:eastAsia="微软雅黑" w:hAnsi="微软雅黑" w:hint="eastAsia"/>
          <w:sz w:val="24"/>
          <w:szCs w:val="24"/>
        </w:rPr>
        <w:t xml:space="preserve"> </w:t>
      </w:r>
      <w:r w:rsidRPr="00F95114">
        <w:rPr>
          <w:rFonts w:ascii="微软雅黑" w:eastAsia="微软雅黑" w:hAnsi="微软雅黑" w:hint="eastAsia"/>
          <w:sz w:val="24"/>
          <w:szCs w:val="24"/>
        </w:rPr>
        <w:t xml:space="preserve"> </w:t>
      </w:r>
    </w:p>
    <w:p w:rsidR="00513A70" w:rsidRPr="00F95114" w:rsidP="00F95114" w14:paraId="62A9C84F" w14:textId="367312E3">
      <w:pPr>
        <w:pStyle w:val="NoSpacing"/>
        <w:jc w:val="left"/>
        <w:rPr>
          <w:rFonts w:ascii="微软雅黑" w:eastAsia="微软雅黑" w:hAnsi="微软雅黑"/>
          <w:sz w:val="24"/>
          <w:szCs w:val="24"/>
        </w:rPr>
        <w:sectPr w:rsidSect="0066030B">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cols w:space="425"/>
          <w:docGrid w:type="lines" w:linePitch="312"/>
        </w:sectPr>
      </w:pPr>
      <w:r w:rsidRPr="00F95114">
        <w:rPr>
          <w:rFonts w:ascii="微软雅黑" w:eastAsia="微软雅黑" w:hAnsi="微软雅黑"/>
          <w:sz w:val="24"/>
          <w:szCs w:val="24"/>
        </w:rPr>
        <w:t>1、甲公司系境内外同时上市的公司，其A股在上海证券交易所上市。根据财政部等五部委联合发布的《企业内部控制基本规范》、《企业内部控制配套指引》以及据此修改后的《公司内部控制手册》，2019年，由公司审计部门牵头拟订了内部控制评价方案。</w:t>
      </w:r>
      <w:r w:rsidRPr="00F95114">
        <w:rPr>
          <w:rFonts w:ascii="微软雅黑" w:eastAsia="微软雅黑" w:hAnsi="微软雅黑"/>
          <w:sz w:val="24"/>
          <w:szCs w:val="24"/>
        </w:rPr>
        <w:t xml:space="preserve"> </w:t>
        <w:br/>
        <w:t>　　该方案摘要如下。</w:t>
      </w:r>
      <w:r w:rsidRPr="00F95114">
        <w:rPr>
          <w:rFonts w:ascii="微软雅黑" w:eastAsia="微软雅黑" w:hAnsi="微软雅黑"/>
          <w:sz w:val="24"/>
          <w:szCs w:val="24"/>
        </w:rPr>
        <w:t xml:space="preserve"> </w:t>
        <w:br/>
        <w:t>　　要求：根据《企业内部控制基本规范》及《企业内部控制配套指引》，逐项判断甲公司内部控制评价方案中的（一）至（四）项内容是否存在不当之处；存在不当之处的，请逐项指出不当之处，并逐项简要说明理由。</w:t>
      </w:r>
      <w:r w:rsidRPr="00F95114">
        <w:rPr>
          <w:rFonts w:ascii="微软雅黑" w:eastAsia="微软雅黑" w:hAnsi="微软雅黑"/>
          <w:sz w:val="24"/>
          <w:szCs w:val="24"/>
        </w:rPr>
        <w:t xml:space="preserve"> </w:t>
        <w:br/>
        <w:t>　　（一）关于内部控制评价的组织领导和职责分工</w:t>
      </w:r>
    </w:p>
    <w:p w:rsidR="00513A70" w:rsidRPr="00F95114" w:rsidP="00F95114" w14:textId="367312E3">
      <w:pPr>
        <w:pStyle w:val="NoSpacing"/>
        <w:jc w:val="left"/>
        <w:rPr>
          <w:rFonts w:ascii="微软雅黑" w:eastAsia="微软雅黑" w:hAnsi="微软雅黑"/>
          <w:sz w:val="24"/>
          <w:szCs w:val="24"/>
        </w:rPr>
        <w:sectPr w:rsidSect="0066030B">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2"/>
          <w:cols w:space="425"/>
          <w:titlePg w:val="0"/>
          <w:docGrid w:type="lines" w:linePitch="312"/>
        </w:sectPr>
      </w:pPr>
      <w:r w:rsidRPr="00F95114">
        <w:rPr>
          <w:rFonts w:ascii="微软雅黑" w:eastAsia="微软雅黑" w:hAnsi="微软雅黑"/>
          <w:sz w:val="24"/>
          <w:szCs w:val="24"/>
        </w:rPr>
        <w:t xml:space="preserve"> </w:t>
        <w:br/>
        <w:t>　　董事会及其审计委员会负责内部控制评价的领导和监督。经理层负责实施内部控制评价，并对本公司内部控制有效性负全责，审计部具体组织实施内部控制评价工作，拟定评价计划、组成评价工作组、实施现场评价、审定内部控制重大缺陷、草拟内部控制评价报告，及时向董事会、监事会或经理层报告。其他有关业务部门负责组织本部门的内控自查工作。</w:t>
      </w:r>
      <w:r w:rsidRPr="00F95114">
        <w:rPr>
          <w:rFonts w:ascii="微软雅黑" w:eastAsia="微软雅黑" w:hAnsi="微软雅黑"/>
          <w:sz w:val="24"/>
          <w:szCs w:val="24"/>
        </w:rPr>
        <w:t xml:space="preserve"> </w:t>
        <w:br/>
        <w:t>（二）关于内部控制评价的内容和方法</w:t>
      </w:r>
      <w:r w:rsidRPr="00F95114">
        <w:rPr>
          <w:rFonts w:ascii="微软雅黑" w:eastAsia="微软雅黑" w:hAnsi="微软雅黑"/>
          <w:sz w:val="24"/>
          <w:szCs w:val="24"/>
        </w:rPr>
        <w:t xml:space="preserve"> </w:t>
        <w:br/>
        <w:t>　　内部控制评价围绕内部环境、风险评估、控制活动、信息与沟通、内部监督等五要素展开。鉴于本公司已按《公司法》和公司章程建立了科学规范的组织架构，组织架构相关内容不再纳入企业层面评价范围。同时，本着重要性原则，在实施业务层面评价时，主要评价上海证券交易所重点关注的对外担保、关联交易和信息披露等业务或事项。</w:t>
      </w:r>
      <w:r w:rsidRPr="00F95114">
        <w:rPr>
          <w:rFonts w:ascii="微软雅黑" w:eastAsia="微软雅黑" w:hAnsi="微软雅黑"/>
          <w:sz w:val="24"/>
          <w:szCs w:val="24"/>
        </w:rPr>
        <w:t xml:space="preserve"> </w:t>
        <w:br/>
        <w:t>　　在内部控制评价中，可以采用个别访谈、调查问卷、专题讨论、穿行性测试、实地查验、抽样和比较分析等方法。考虑到公司现阶段经营压力较大，为了减轻评价工作对正常经营活动的影响，在本次内部控制评价中，仅采用调查问卷和专题讨论法实施测试和评价。</w:t>
      </w:r>
      <w:r w:rsidRPr="00F95114">
        <w:rPr>
          <w:rFonts w:ascii="微软雅黑" w:eastAsia="微软雅黑" w:hAnsi="微软雅黑"/>
          <w:sz w:val="24"/>
          <w:szCs w:val="24"/>
        </w:rPr>
        <w:t xml:space="preserve"> </w:t>
        <w:br/>
        <w:t>（三）关于实施现场评价</w:t>
      </w:r>
      <w:r w:rsidRPr="00F95114">
        <w:rPr>
          <w:rFonts w:ascii="微软雅黑" w:eastAsia="微软雅黑" w:hAnsi="微软雅黑"/>
          <w:sz w:val="24"/>
          <w:szCs w:val="24"/>
        </w:rPr>
        <w:t xml:space="preserve"> </w:t>
        <w:br/>
        <w:t>　　评价工作组应与被评价单位进行充分沟通，了解被评价单位的基本情况，合理调整已确定的评价范围、检查重点和抽样数量。评价人员要依据《企业内部控制基本规范》、《企业内部控制配套指引》和《公司内部控制手册》实施现场检查测试，按要求填写评价工作底稿，记录测试过程及结果，并对发现的内部控制缺陷进行初步认定。</w:t>
      </w:r>
      <w:r w:rsidRPr="00F95114">
        <w:rPr>
          <w:rFonts w:ascii="微软雅黑" w:eastAsia="微软雅黑" w:hAnsi="微软雅黑"/>
          <w:sz w:val="24"/>
          <w:szCs w:val="24"/>
        </w:rPr>
        <w:t xml:space="preserve"> </w:t>
        <w:br/>
        <w:t>　　现场评价结束后，评价工作组汇总评价人员的工作底稿，形成现场评价报告。现场评价报告无需和被评价单位沟通，只需评价工作组负责人审核、签字确认后报审计部。审计部应编制内部控制缺陷认定汇总表，对内部控制缺陷进行综合分析和全面复核。</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sz w:val="24"/>
          <w:szCs w:val="24"/>
        </w:rPr>
        <w:t xml:space="preserve"> </w:t>
        <w:br/>
        <w:t>（四）关于内部控制评价报告。审计部在完成现场评价和缺陷汇总、复核后，负责起草内部控制评价报告。评价报告应当包括：董事会对内部控制报告真实性的声明、内部控制评价工作的总体概括、内部控制评价的依据、内部控制评价的范围、内部控制评价的程序和方法、内部控制缺陷及其认定情况、内部控制缺陷的整改情况、内部控制有效性的结论等内容。对于重大缺陷及其整改情况，只进行内部通报，不对外披露。内部控制评价报告董事会审核后对外披露。</w:t>
      </w:r>
      <w:r w:rsidRPr="00F95114">
        <w:rPr>
          <w:rFonts w:ascii="微软雅黑" w:eastAsia="微软雅黑" w:hAnsi="微软雅黑"/>
          <w:sz w:val="24"/>
          <w:szCs w:val="24"/>
        </w:rPr>
        <w:t xml:space="preserve"> </w:t>
      </w:r>
      <w:r w:rsidRPr="00F95114">
        <w:rPr>
          <w:rFonts w:ascii="微软雅黑" w:eastAsia="微软雅黑" w:hAnsi="微软雅黑"/>
          <w:sz w:val="24"/>
          <w:szCs w:val="24"/>
        </w:rPr>
        <w:t xml:space="preserve"> </w:t>
      </w:r>
      <w:r w:rsidRPr="00F95114">
        <w:rPr>
          <w:rFonts w:ascii="微软雅黑" w:eastAsia="微软雅黑" w:hAnsi="微软雅黑"/>
          <w:sz w:val="24"/>
          <w:szCs w:val="24"/>
        </w:rPr>
        <w:t xml:space="preserve"> </w:t>
      </w:r>
    </w:p>
    <w:p w:rsidR="001C6934" w:rsidRPr="00F95114" w:rsidP="00F95114" w14:paraId="1080037D" w14:textId="0479D136">
      <w:pPr>
        <w:pStyle w:val="NoSpacing"/>
        <w:jc w:val="left"/>
        <w:rPr>
          <w:rFonts w:ascii="微软雅黑" w:eastAsia="微软雅黑" w:hAnsi="微软雅黑"/>
          <w:sz w:val="24"/>
          <w:szCs w:val="24"/>
        </w:rPr>
        <w:sectPr w:rsidSect="0066030B">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3"/>
          <w:cols w:space="425"/>
          <w:titlePg w:val="0"/>
          <w:docGrid w:type="lines" w:linePitch="312"/>
        </w:sect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第一项工作存在不当之处。</w:t>
      </w:r>
      <w:r w:rsidRPr="00F95114">
        <w:rPr>
          <w:rFonts w:ascii="微软雅黑" w:eastAsia="微软雅黑" w:hAnsi="微软雅黑"/>
          <w:sz w:val="24"/>
          <w:szCs w:val="24"/>
          <w:highlight w:val="yellow"/>
        </w:rPr>
        <w:t xml:space="preserve"> </w:t>
        <w:br/>
        <w:t>　　（1）不当之处：经理层对内部控制有效性负全责。</w:t>
      </w:r>
      <w:r w:rsidRPr="00F95114">
        <w:rPr>
          <w:rFonts w:ascii="微软雅黑" w:eastAsia="微软雅黑" w:hAnsi="微软雅黑"/>
          <w:sz w:val="24"/>
          <w:szCs w:val="24"/>
          <w:highlight w:val="yellow"/>
        </w:rPr>
        <w:t xml:space="preserve"> </w:t>
        <w:br/>
        <w:t>　　理由：董事会对建立健全和有效实施内部控制负责。</w:t>
      </w:r>
      <w:r w:rsidRPr="00F95114">
        <w:rPr>
          <w:rFonts w:ascii="微软雅黑" w:eastAsia="微软雅黑" w:hAnsi="微软雅黑"/>
          <w:sz w:val="24"/>
          <w:szCs w:val="24"/>
          <w:highlight w:val="yellow"/>
        </w:rPr>
        <w:t xml:space="preserve"> </w:t>
        <w:br/>
        <w:t>　　或：经理层负责组织领导企业内部控制的日常运行。</w:t>
      </w:r>
      <w:r w:rsidRPr="00F95114">
        <w:rPr>
          <w:rFonts w:ascii="微软雅黑" w:eastAsia="微软雅黑" w:hAnsi="微软雅黑"/>
          <w:sz w:val="24"/>
          <w:szCs w:val="24"/>
          <w:highlight w:val="yellow"/>
        </w:rPr>
        <w:t xml:space="preserve"> </w:t>
        <w:br/>
        <w:t>　　（2）不当之处：审计部审定内部控制重大缺陷。</w:t>
      </w:r>
      <w:r w:rsidRPr="00F95114">
        <w:rPr>
          <w:rFonts w:ascii="微软雅黑" w:eastAsia="微软雅黑" w:hAnsi="微软雅黑"/>
          <w:sz w:val="24"/>
          <w:szCs w:val="24"/>
          <w:highlight w:val="yellow"/>
        </w:rPr>
        <w:t xml:space="preserve"> </w:t>
        <w:br/>
        <w:t>　　理由：董事会负责审定内部控制重大缺陷。</w:t>
      </w:r>
      <w:r w:rsidRPr="00F95114">
        <w:rPr>
          <w:rFonts w:ascii="微软雅黑" w:eastAsia="微软雅黑" w:hAnsi="微软雅黑"/>
          <w:sz w:val="24"/>
          <w:szCs w:val="24"/>
          <w:highlight w:val="yellow"/>
        </w:rPr>
        <w:t xml:space="preserve"> </w:t>
        <w:br/>
        <w:t>第二项工作存在不当之处。</w:t>
      </w:r>
      <w:r w:rsidRPr="00F95114">
        <w:rPr>
          <w:rFonts w:ascii="微软雅黑" w:eastAsia="微软雅黑" w:hAnsi="微软雅黑"/>
          <w:sz w:val="24"/>
          <w:szCs w:val="24"/>
          <w:highlight w:val="yellow"/>
        </w:rPr>
        <w:t xml:space="preserve"> </w:t>
        <w:br/>
        <w:t>　　（1）不当之处：组织架构相关内容不纳入公司层面评价范围。</w:t>
      </w:r>
      <w:r w:rsidRPr="00F95114">
        <w:rPr>
          <w:rFonts w:ascii="微软雅黑" w:eastAsia="微软雅黑" w:hAnsi="微软雅黑"/>
          <w:sz w:val="24"/>
          <w:szCs w:val="24"/>
          <w:highlight w:val="yellow"/>
        </w:rPr>
        <w:t xml:space="preserve"> </w:t>
        <w:br/>
        <w:t>　　理由：组织架构是内部环境的重要组成部分，直接影响内部控制的建立健全和有效实施，应当纳入公司层面评价范围。</w:t>
      </w:r>
      <w:r w:rsidRPr="00F95114">
        <w:rPr>
          <w:rFonts w:ascii="微软雅黑" w:eastAsia="微软雅黑" w:hAnsi="微软雅黑"/>
          <w:sz w:val="24"/>
          <w:szCs w:val="24"/>
          <w:highlight w:val="yellow"/>
        </w:rPr>
        <w:t xml:space="preserve"> </w:t>
        <w:br/>
        <w:t>　　（2）不当之处：在实施业务层面评价时，主要评价上海证券交易所重点关注的对外担保、关联交易和信息披露等业务。</w:t>
      </w:r>
      <w:r w:rsidRPr="00F95114">
        <w:rPr>
          <w:rFonts w:ascii="微软雅黑" w:eastAsia="微软雅黑" w:hAnsi="微软雅黑"/>
          <w:sz w:val="24"/>
          <w:szCs w:val="24"/>
          <w:highlight w:val="yellow"/>
        </w:rPr>
        <w:t xml:space="preserve"> </w:t>
        <w:br/>
        <w:t>　　理由：业务层面的评价应当涵盖公司各种业务和事项。而不能仅限于证券交易所关注的少数重点业务事项来展开评价。</w:t>
      </w:r>
      <w:r w:rsidRPr="00F95114">
        <w:rPr>
          <w:rFonts w:ascii="微软雅黑" w:eastAsia="微软雅黑" w:hAnsi="微软雅黑"/>
          <w:sz w:val="24"/>
          <w:szCs w:val="24"/>
          <w:highlight w:val="yellow"/>
        </w:rPr>
        <w:t xml:space="preserve"> </w:t>
        <w:br/>
        <w:t>　　（3）不当之处：为了减轻评价工作对正常经营活动的影响，在本次内部控制评价中，仅采用调查问卷法和专题讨论法实施测试和评价。</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sz w:val="24"/>
          <w:szCs w:val="24"/>
          <w:highlight w:val="yellow"/>
        </w:rPr>
        <w:t xml:space="preserve"> </w:t>
        <w:br/>
        <w:t>　　理由：评价过程中应按照有利于收集内部控制设计、运行是否有效的证据的原则、充分考虑所收集证据的适当性与充分性，综合运用评价方法。</w:t>
      </w:r>
      <w:r w:rsidRPr="00F95114">
        <w:rPr>
          <w:rFonts w:ascii="微软雅黑" w:eastAsia="微软雅黑" w:hAnsi="微软雅黑"/>
          <w:sz w:val="24"/>
          <w:szCs w:val="24"/>
          <w:highlight w:val="yellow"/>
        </w:rPr>
        <w:t xml:space="preserve"> </w:t>
        <w:br/>
        <w:t>第三项工作存在不当之处。</w:t>
      </w:r>
      <w:r w:rsidRPr="00F95114">
        <w:rPr>
          <w:rFonts w:ascii="微软雅黑" w:eastAsia="微软雅黑" w:hAnsi="微软雅黑"/>
          <w:sz w:val="24"/>
          <w:szCs w:val="24"/>
          <w:highlight w:val="yellow"/>
        </w:rPr>
        <w:t xml:space="preserve"> </w:t>
        <w:br/>
        <w:t>　　（1）不当之处：现场评价报告无须和被评价单位沟通。理由：现场评价报告应向被评价单位通报。</w:t>
      </w:r>
      <w:r w:rsidRPr="00F95114">
        <w:rPr>
          <w:rFonts w:ascii="微软雅黑" w:eastAsia="微软雅黑" w:hAnsi="微软雅黑"/>
          <w:sz w:val="24"/>
          <w:szCs w:val="24"/>
          <w:highlight w:val="yellow"/>
        </w:rPr>
        <w:t xml:space="preserve"> </w:t>
        <w:br/>
        <w:t>　　（2）不当之处：现场评价报告只需评价工作组负责人审核、签字确认后报审计部。理由：现场评价报告经评价工作组负责人审核、签字确认后，应由被评价单位相关责任人签字确认后，再提交审计部。</w:t>
      </w:r>
      <w:r w:rsidRPr="00F95114">
        <w:rPr>
          <w:rFonts w:ascii="微软雅黑" w:eastAsia="微软雅黑" w:hAnsi="微软雅黑"/>
          <w:sz w:val="24"/>
          <w:szCs w:val="24"/>
          <w:highlight w:val="yellow"/>
        </w:rPr>
        <w:t xml:space="preserve"> </w:t>
        <w:br/>
        <w:t>第四项工作存在不当之处。</w:t>
      </w:r>
      <w:r w:rsidRPr="00F95114">
        <w:rPr>
          <w:rFonts w:ascii="微软雅黑" w:eastAsia="微软雅黑" w:hAnsi="微软雅黑"/>
          <w:sz w:val="24"/>
          <w:szCs w:val="24"/>
          <w:highlight w:val="yellow"/>
        </w:rPr>
        <w:t xml:space="preserve"> </w:t>
        <w:br/>
        <w:t>　　（1）不当之处：对于重大缺陷及其整改情况，只进行内部通报，不对外披露。理由：对重大缺陷及其整改情况，必须对外披露。</w:t>
      </w:r>
      <w:r w:rsidRPr="00F95114">
        <w:rPr>
          <w:rFonts w:ascii="微软雅黑" w:eastAsia="微软雅黑" w:hAnsi="微软雅黑"/>
          <w:sz w:val="24"/>
          <w:szCs w:val="24"/>
          <w:highlight w:val="yellow"/>
        </w:rPr>
        <w:t xml:space="preserve"> </w:t>
        <w:br/>
        <w:t>　　（2）不当之处：内部控制评价报告董事会审核后对外披露。理由：内部控制评价报告上报经理层审核、董事会审批后对外披露。</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sectPr w:rsidSect="0066030B">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4"/>
          <w:cols w:space="425"/>
          <w:titlePg w:val="0"/>
          <w:docGrid w:type="lines" w:linePitch="312"/>
        </w:sectPr>
      </w:pPr>
      <w:r w:rsidRPr="00F95114">
        <w:rPr>
          <w:rFonts w:ascii="微软雅黑" w:eastAsia="微软雅黑" w:hAnsi="微软雅黑"/>
          <w:sz w:val="24"/>
          <w:szCs w:val="24"/>
        </w:rPr>
        <w:t>2、甲单位为一家中国企业，乙公司、丙公司为欧洲企业，丙公司为乙公司的全资子公司。甲公司计划向乙公司收购丙公司100%股权，并购项目建议书部分要点如下：</w:t>
      </w:r>
      <w:r w:rsidRPr="00F95114">
        <w:rPr>
          <w:rFonts w:ascii="微软雅黑" w:eastAsia="微软雅黑" w:hAnsi="微软雅黑"/>
          <w:sz w:val="24"/>
          <w:szCs w:val="24"/>
        </w:rPr>
        <w:t xml:space="preserve"> </w:t>
        <w:br/>
        <w:t>（1）并购背景</w:t>
      </w:r>
      <w:r w:rsidRPr="00F95114">
        <w:rPr>
          <w:rFonts w:ascii="微软雅黑" w:eastAsia="微软雅黑" w:hAnsi="微软雅黑"/>
          <w:sz w:val="24"/>
          <w:szCs w:val="24"/>
        </w:rPr>
        <w:t xml:space="preserve"> </w:t>
        <w:br/>
        <w:t>甲公司为一家建筑企业，在电力建设的全产业链（规划设计、工程施工与装备制造）中，甲公司的规划设计和工程施工能力处于行业领先水平，但尚未涉入装备制造领域。在甲公司承揽的EPC（设计-采购-施工）总承包合同中，电力工程设备均向外部供应商采购。为形成全产业链优势，甲公司拟通过并购方式快速提升电站风机等电力工程设备的技术水平和制造能力。</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sz w:val="24"/>
          <w:szCs w:val="24"/>
        </w:rPr>
        <w:t xml:space="preserve"> </w:t>
        <w:br/>
        <w:t>（2）并购价值评估</w:t>
      </w:r>
      <w:r w:rsidRPr="00F95114">
        <w:rPr>
          <w:rFonts w:ascii="微软雅黑" w:eastAsia="微软雅黑" w:hAnsi="微软雅黑"/>
          <w:sz w:val="24"/>
          <w:szCs w:val="24"/>
        </w:rPr>
        <w:t xml:space="preserve"> </w:t>
        <w:br/>
        <w:t>甲公司采用可比企业分析法、可比交易分析法对丙公司价格进行了综合评估。经评估，丙公司的评估价值在16亿元。甲公司向乙公司收购丙公司的报价为16.8亿元。</w:t>
      </w:r>
      <w:r w:rsidRPr="00F95114">
        <w:rPr>
          <w:rFonts w:ascii="微软雅黑" w:eastAsia="微软雅黑" w:hAnsi="微软雅黑"/>
          <w:sz w:val="24"/>
          <w:szCs w:val="24"/>
        </w:rPr>
        <w:t xml:space="preserve"> </w:t>
        <w:br/>
        <w:t>并购前，甲公司的市场价值为132亿元。如并购完成，预计两家公司经过整合后的市场价值合计将达到160亿元，此外，甲公司预计在并购价款外，还将发生财务顾问费、审计费、评估费、律师费等并购交易费用0.5亿元。</w:t>
      </w:r>
      <w:r w:rsidRPr="00F95114">
        <w:rPr>
          <w:rFonts w:ascii="微软雅黑" w:eastAsia="微软雅黑" w:hAnsi="微软雅黑"/>
          <w:sz w:val="24"/>
          <w:szCs w:val="24"/>
        </w:rPr>
        <w:t xml:space="preserve"> </w:t>
        <w:br/>
        <w:t>假定不考虑其他因素。</w:t>
      </w:r>
      <w:r w:rsidRPr="00F95114">
        <w:rPr>
          <w:rFonts w:ascii="微软雅黑" w:eastAsia="微软雅黑" w:hAnsi="微软雅黑"/>
          <w:sz w:val="24"/>
          <w:szCs w:val="24"/>
        </w:rPr>
        <w:t xml:space="preserve"> </w:t>
        <w:br/>
        <w:t>要求：</w:t>
      </w:r>
      <w:r w:rsidRPr="00F95114">
        <w:rPr>
          <w:rFonts w:ascii="微软雅黑" w:eastAsia="微软雅黑" w:hAnsi="微软雅黑"/>
          <w:sz w:val="24"/>
          <w:szCs w:val="24"/>
        </w:rPr>
        <w:t xml:space="preserve"> </w:t>
        <w:br/>
        <w:t>1.根据资料（1），从并购双方行业相关性角度，指出甲公司并购丙公司的并购类型。</w:t>
      </w:r>
      <w:r w:rsidRPr="00F95114">
        <w:rPr>
          <w:rFonts w:ascii="微软雅黑" w:eastAsia="微软雅黑" w:hAnsi="微软雅黑"/>
          <w:sz w:val="24"/>
          <w:szCs w:val="24"/>
        </w:rPr>
        <w:t xml:space="preserve"> </w:t>
        <w:br/>
        <w:t>2.根据资料（2），计算甲公司并购丙公司的并购收益、并购溢价和并购净收益，并据此指出甲公司并购丙公司的财务可行性。</w:t>
      </w:r>
      <w:r w:rsidRPr="00F95114">
        <w:rPr>
          <w:rFonts w:ascii="微软雅黑" w:eastAsia="微软雅黑" w:hAnsi="微软雅黑"/>
          <w:sz w:val="24"/>
          <w:szCs w:val="24"/>
        </w:rPr>
        <w:t xml:space="preserve"> </w:t>
      </w:r>
      <w:r w:rsidRPr="00F95114">
        <w:rPr>
          <w:rFonts w:ascii="微软雅黑" w:eastAsia="微软雅黑" w:hAnsi="微软雅黑"/>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 xml:space="preserve">1.并购类型：纵向并购【或：后向一体化】。 </w:t>
        <w:br/>
        <w:t xml:space="preserve">2.并购收益=160-132-16=12（亿元） </w:t>
        <w:br/>
        <w:t xml:space="preserve">并购溢价=16.8-16=0.8（亿元） </w:t>
        <w:br/>
        <w:t xml:space="preserve">并购净收益=12-0.8-0.5=10.7（亿元） </w:t>
        <w:br/>
        <w:t>甲公司并购乙公司后能产生10.7亿元的并购净收益，从财务管理角度分析，此项并购交易是可行的。</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sectPr w:rsidSect="0066030B">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5"/>
          <w:cols w:space="425"/>
          <w:titlePg w:val="0"/>
          <w:docGrid w:type="lines" w:linePitch="312"/>
        </w:sectPr>
      </w:pPr>
      <w:r w:rsidRPr="00F95114">
        <w:rPr>
          <w:rFonts w:ascii="微软雅黑" w:eastAsia="微软雅黑" w:hAnsi="微软雅黑"/>
          <w:sz w:val="24"/>
          <w:szCs w:val="24"/>
        </w:rPr>
        <w:t>3、甲单位为某省环境保护厅，执行《行政单位会计制度》。乙、丙单位为甲单位所属事业单位，执行《事业单位会计制度》并计提固定资产折旧。</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sz w:val="24"/>
          <w:szCs w:val="24"/>
        </w:rPr>
        <w:t xml:space="preserve"> </w:t>
        <w:br/>
        <w:t>　　乙单位经批准对外出租一栋门面房。按照同地段房屋平均市场租赁价格计算，出租价格应不低于每年150万元。2018年5月，乙单位基本账户开户银行提出以每年120万元的租赁价格租用该栋门面房用于网点经营，租期3年。为方便单位和职工办理业务，经领导班子研究决定，乙单位以每年120万元的租赁价格将该栋门面房出租给银行，并与银行签订了租期为3年的租赁协议。</w:t>
      </w:r>
      <w:r w:rsidRPr="00F95114">
        <w:rPr>
          <w:rFonts w:ascii="微软雅黑" w:eastAsia="微软雅黑" w:hAnsi="微软雅黑"/>
          <w:sz w:val="24"/>
          <w:szCs w:val="24"/>
        </w:rPr>
        <w:t xml:space="preserve"> </w:t>
        <w:br/>
        <w:t>　　要求：做法或处理是否正确；如不正确，分别说明理由。</w:t>
      </w:r>
      <w:r w:rsidRPr="00F95114">
        <w:rPr>
          <w:rFonts w:ascii="微软雅黑" w:eastAsia="微软雅黑" w:hAnsi="微软雅黑"/>
          <w:sz w:val="24"/>
          <w:szCs w:val="24"/>
        </w:rPr>
        <w:t xml:space="preserve"> </w:t>
      </w:r>
      <w:r w:rsidRPr="00F95114">
        <w:rPr>
          <w:rFonts w:ascii="微软雅黑" w:eastAsia="微软雅黑" w:hAnsi="微软雅黑"/>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 xml:space="preserve">该处理不正确。 </w:t>
        <w:br/>
        <w:t>　　理由：在按照规定程序履行报批手续后，原则上应采取公开竞价招租的形式确定出租的价格；必要时采用评审或者资产评估的办法确定出租的价格。</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sectPr w:rsidSect="0066030B">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6"/>
          <w:cols w:space="425"/>
          <w:titlePg w:val="0"/>
          <w:docGrid w:type="lines" w:linePitch="312"/>
        </w:sectPr>
      </w:pPr>
      <w:r w:rsidRPr="00F95114">
        <w:rPr>
          <w:rFonts w:ascii="微软雅黑" w:eastAsia="微软雅黑" w:hAnsi="微软雅黑"/>
          <w:sz w:val="24"/>
          <w:szCs w:val="24"/>
        </w:rPr>
        <w:t>4、资料一：甲公司为加强流动性管理持有某短期债券组合。当组合中的某支债券到期时，收回的金额再投资另外的短期债券，以使利息最大化且确保能够取得预算内经营或资本支出对资金的需要。如果需要发生预算外支出（如因应市场变化而发生的企业并购，或遵从政府监管部门临时出台的政策），则可在短期债券到期前处置。甲公司将该短期债券组合分类为以公允价值计量且其变动计入其他综合收益的金融资产。</w:t>
      </w:r>
      <w:r w:rsidRPr="00F95114">
        <w:rPr>
          <w:rFonts w:ascii="微软雅黑" w:eastAsia="微软雅黑" w:hAnsi="微软雅黑"/>
          <w:sz w:val="24"/>
          <w:szCs w:val="24"/>
        </w:rPr>
        <w:t xml:space="preserve"> </w:t>
        <w:br/>
        <w:t>资料二：乙公司预计未来3年内存在资本性支出，为此将暂时闲置的资金分散投资于短期债券和长期债券，以便在发生资本性支出时拥有可用资金，其中较大比例的投资的合同存续期均超过3年。乙公司将持有金融资产以收取合同现金流量，并将在市场机会呈现时出售金融资产，再将出售所得投资于回报率更高的金融资产。乙公司对负责这些投资的团队考核系基于金融资产组合的整体回报率。乙公司将该投资组合分类为以公允价值计量且其变动计入当期损益的金融资产。</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sz w:val="24"/>
          <w:szCs w:val="24"/>
        </w:rPr>
        <w:t xml:space="preserve"> </w:t>
        <w:br/>
        <w:t>假定甲、乙公司投资的债券在特定日期产生的现金流量是对本金金额为基础的利息的支付，不考虑其他因素影响。</w:t>
      </w:r>
      <w:r w:rsidRPr="00F95114">
        <w:rPr>
          <w:rFonts w:ascii="微软雅黑" w:eastAsia="微软雅黑" w:hAnsi="微软雅黑"/>
          <w:sz w:val="24"/>
          <w:szCs w:val="24"/>
        </w:rPr>
        <w:t xml:space="preserve"> </w:t>
        <w:br/>
        <w:t>要求：</w:t>
      </w:r>
      <w:r w:rsidRPr="00F95114">
        <w:rPr>
          <w:rFonts w:ascii="微软雅黑" w:eastAsia="微软雅黑" w:hAnsi="微软雅黑"/>
          <w:sz w:val="24"/>
          <w:szCs w:val="24"/>
        </w:rPr>
        <w:t xml:space="preserve"> </w:t>
        <w:br/>
        <w:t>根据上述资料判断甲、乙公司的会计处理是否正确，如不正确，请说明理由。</w:t>
      </w:r>
      <w:r w:rsidRPr="00F95114">
        <w:rPr>
          <w:rFonts w:ascii="微软雅黑" w:eastAsia="微软雅黑" w:hAnsi="微软雅黑"/>
          <w:sz w:val="24"/>
          <w:szCs w:val="24"/>
        </w:rPr>
        <w:t xml:space="preserve"> </w:t>
      </w:r>
      <w:r w:rsidRPr="00F95114">
        <w:rPr>
          <w:rFonts w:ascii="微软雅黑" w:eastAsia="微软雅黑" w:hAnsi="微软雅黑"/>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 xml:space="preserve">（1）甲公司的会计处理不正确。 </w:t>
        <w:br/>
        <w:t xml:space="preserve">理由：甲公司的目标是持有短期债券至到期，目的是满足预算内事项的现金需求，管理层确定其业务模式是持有这些短期债券以收取合同现金流量。至于到期前可能发生的短期债券处置行为，并不常见，不影响符合分类为以摊余成本计量的条件。【或者：甲公司应当将该债券分类为以摊余成本计量的金融资产】 </w:t>
        <w:br/>
        <w:t xml:space="preserve">（2）乙公司的会计处理不正确。 </w:t>
        <w:br/>
        <w:t>理由：乙公司是在持续的基础上决定是通过收取合同现金流量还是出售金融资产来增加组合的预期回报，直到资本性支出发生需要资金时。乙公司的业务模式是通过既收取合同现金流量又出售金融资产两者来实现其目标。因此应分类为以公允价值计量且其变动计入其他综合收益的金融资产。</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sz w:val="24"/>
          <w:szCs w:val="24"/>
        </w:rPr>
        <w:t xml:space="preserve">5、甲公司生产产品所需的A原材料主要在国际市场上采购，每季度需要进口1600万吨A材料。由于国际市场上A原材料价格波动较大且总体上涨趋势明显，甲公司股东会批准公司业务部门使用套期保值方式规避原材料价格上涨的风险。2018年1月，甲公司与供货方签订了一季度进口1600万吨A原材料的合同，同时在期货市场建仓并持有了3个月内卖出5200万吨A材料的期货合约。 </w:t>
        <w:br/>
        <w:t xml:space="preserve">要求：请以套期保值原则分析甲公司在期货交易上存在的问题。   </w:t>
      </w:r>
    </w:p>
    <w:p w:rsidR="001C6934" w:rsidRPr="00F95114" w:rsidP="00F95114" w14:textId="0479D136">
      <w:pPr>
        <w:pStyle w:val="NoSpacing"/>
        <w:jc w:val="left"/>
        <w:rPr>
          <w:rFonts w:ascii="微软雅黑" w:eastAsia="微软雅黑" w:hAnsi="微软雅黑"/>
          <w:sz w:val="24"/>
          <w:szCs w:val="24"/>
        </w:rPr>
        <w:sectPr w:rsidSect="0066030B">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7"/>
          <w:cols w:space="425"/>
          <w:titlePg w:val="0"/>
          <w:docGrid w:type="lines" w:linePitch="312"/>
        </w:sect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甲公司没有按照股东会批准使用套期保值方式来规避原材料价格上涨的风险，建立了错误的期货合约，违背了套期保值原则。</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sz w:val="24"/>
          <w:szCs w:val="24"/>
          <w:highlight w:val="yellow"/>
        </w:rPr>
        <w:t xml:space="preserve"> </w:t>
        <w:br/>
        <w:t>1.方式不正确。</w:t>
      </w:r>
      <w:r w:rsidRPr="00F95114">
        <w:rPr>
          <w:rFonts w:ascii="微软雅黑" w:eastAsia="微软雅黑" w:hAnsi="微软雅黑"/>
          <w:sz w:val="24"/>
          <w:szCs w:val="24"/>
          <w:highlight w:val="yellow"/>
        </w:rPr>
        <w:t xml:space="preserve"> </w:t>
        <w:br/>
        <w:t>甲公司为回避A原材料价格上涨的风险，应采用买入套期保值，甲公司建仓并持有卖出期货合约的方式是错误的。</w:t>
      </w:r>
      <w:r w:rsidRPr="00F95114">
        <w:rPr>
          <w:rFonts w:ascii="微软雅黑" w:eastAsia="微软雅黑" w:hAnsi="微软雅黑"/>
          <w:sz w:val="24"/>
          <w:szCs w:val="24"/>
          <w:highlight w:val="yellow"/>
        </w:rPr>
        <w:t xml:space="preserve"> </w:t>
        <w:br/>
        <w:t>2.原则不正确。</w:t>
      </w:r>
      <w:r w:rsidRPr="00F95114">
        <w:rPr>
          <w:rFonts w:ascii="微软雅黑" w:eastAsia="微软雅黑" w:hAnsi="微软雅黑"/>
          <w:sz w:val="24"/>
          <w:szCs w:val="24"/>
          <w:highlight w:val="yellow"/>
        </w:rPr>
        <w:t xml:space="preserve"> </w:t>
        <w:br/>
        <w:t>（1）不符合“数量相等或相当”原则。甲公司需要A原材料1600万吨，在期货市场上持有A原材料5200万吨的期货合约数量远远大于现货需要量。</w:t>
      </w:r>
      <w:r w:rsidRPr="00F95114">
        <w:rPr>
          <w:rFonts w:ascii="微软雅黑" w:eastAsia="微软雅黑" w:hAnsi="微软雅黑"/>
          <w:sz w:val="24"/>
          <w:szCs w:val="24"/>
          <w:highlight w:val="yellow"/>
        </w:rPr>
        <w:t xml:space="preserve"> </w:t>
        <w:br/>
        <w:t>（2）不符合“方向相反”原则。甲公司2018年1月应在期货市场上买入与其未来现货数量相等、交割日期相同或相近的A原材料期货合约，才能在未来现货市场上买入A原材料时通过卖出期货合约实现对冲平仓，以符合方向相反原则。甲公司在2018年1月持有的卖出期货合约在对冲平仓时为买入，与现货交易方向相同而不是相反。</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sectPr w:rsidSect="0066030B">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8"/>
          <w:cols w:space="425"/>
          <w:titlePg w:val="0"/>
          <w:docGrid w:type="lines" w:linePitch="312"/>
        </w:sectPr>
      </w:pPr>
      <w:r w:rsidRPr="00F95114">
        <w:rPr>
          <w:rFonts w:ascii="微软雅黑" w:eastAsia="微软雅黑" w:hAnsi="微软雅黑"/>
          <w:sz w:val="24"/>
          <w:szCs w:val="24"/>
        </w:rPr>
        <w:t>6、甲公司为一家生产制造企业，下设X、Y两个分厂，其中X分厂主要从事A产品的生产，Y分厂主要从事B、C两种产品的生产。因产品成本构成存在较大的差异，X分厂和Y分厂分别采用标准成本法和作业成本法对产品成本进行核算与管理。2018年4月初，甲公司管理层召开月度成本分析会议，研究上月成本管理中存在的主要问题及改进措施。部分参会人员发言要点摘录如下：</w:t>
      </w:r>
      <w:r w:rsidRPr="00F95114">
        <w:rPr>
          <w:rFonts w:ascii="微软雅黑" w:eastAsia="微软雅黑" w:hAnsi="微软雅黑"/>
          <w:sz w:val="24"/>
          <w:szCs w:val="24"/>
        </w:rPr>
        <w:t xml:space="preserve"> </w:t>
        <w:br/>
        <w:t>X分厂厂长：3月份A产品实际成本超过标准成本近400万元，主要原因是直接材料成本超标较多。具体地说，3月份A产品直接材料实际产量下的实际耗用总量为51万件，实际产量下的标准耗用总量为50万件；3月份A产品耗用直接材料的实际单价为105元/件，标准单价为100元/件。考虑到A产品直接材料成本占生产成本的比重较高，4月份X分厂的成本控制重点是A产品直接材料成本。</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sz w:val="24"/>
          <w:szCs w:val="24"/>
        </w:rPr>
        <w:t xml:space="preserve"> </w:t>
        <w:br/>
        <w:t>要求：</w:t>
      </w:r>
      <w:r w:rsidRPr="00F95114">
        <w:rPr>
          <w:rFonts w:ascii="微软雅黑" w:eastAsia="微软雅黑" w:hAnsi="微软雅黑"/>
          <w:sz w:val="24"/>
          <w:szCs w:val="24"/>
        </w:rPr>
        <w:t xml:space="preserve"> </w:t>
        <w:br/>
        <w:t>根据上述资料，计算3月份A产品直接材料数量差异和直接材料价格差异，并指出承担差异责任的对应部门。</w:t>
      </w:r>
      <w:r w:rsidRPr="00F95114">
        <w:rPr>
          <w:rFonts w:ascii="微软雅黑" w:eastAsia="微软雅黑" w:hAnsi="微软雅黑"/>
          <w:sz w:val="24"/>
          <w:szCs w:val="24"/>
        </w:rPr>
        <w:t xml:space="preserve"> </w:t>
      </w:r>
      <w:r w:rsidRPr="00F95114">
        <w:rPr>
          <w:rFonts w:ascii="微软雅黑" w:eastAsia="微软雅黑" w:hAnsi="微软雅黑"/>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 xml:space="preserve">①直接材料数量差异=（51-50）×100=100（万元） </w:t>
        <w:br/>
        <w:t xml:space="preserve">②直接材料价格差异=51×（105-100）=255（万元） </w:t>
        <w:br/>
        <w:t xml:space="preserve">③直接材料数量差异应由生产部门负责。 </w:t>
        <w:br/>
        <w:t>④直接材料价格差异应由采购部门负责。</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sz w:val="24"/>
          <w:szCs w:val="24"/>
        </w:rPr>
        <w:t xml:space="preserve">7、聘请某具有证券期货业务资格的大型会计师事务所对本公司内部控制有效性进行审计。鉴于本公司在2008年5月《企业内部控制基本规范》发布后就已建立内部控制体系并取得较好效果，内部控制审计自2010年起，重点审计本公司内部控制评价的范围、内容、程序和方法等，并出具相关审计意见。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 xml:space="preserve">会计师事务所的内部控制审计重点是审计该公司内部控制评价的范围、内容、程序和方法等不恰当。 </w:t>
        <w:br/>
        <w:t>　　理由：会计师事务所实施内部控制审计，可以关注、利用上市公司的评价成果，但必须按照《企业内部控制审计指引》的要求，对被审计上市公司内部控制设计与运行的有效性进行独立（或：全面）审计，不能因为被审计上市公司实施了内部控制评价就简化审计的程序和内容。</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sectPr w:rsidSect="0066030B">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9"/>
          <w:cols w:space="425"/>
          <w:titlePg w:val="0"/>
          <w:docGrid w:type="lines" w:linePitch="312"/>
        </w:sectPr>
      </w:pPr>
      <w:r w:rsidRPr="00F95114">
        <w:rPr>
          <w:rFonts w:ascii="微软雅黑" w:eastAsia="微软雅黑" w:hAnsi="微软雅黑"/>
          <w:sz w:val="24"/>
          <w:szCs w:val="24"/>
        </w:rPr>
        <w:t>8、A股份有限公司是专业生产汽车美容产品的公司。针对现在家庭轿车越来越多的情况，公司市场分析人员认为，顾客到专门的洗车店洗车受到时间、经济方面的限制，市场对简便易用的洗车用具需求非常大。因此，决定生产可以借用汽车电池作为动力的电动洗车器。经过市场调查，具有竞争力的销售价格为500元，公司计划采用目标成本法确定产品的目标成本并实行目标成本管理。</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sz w:val="24"/>
          <w:szCs w:val="24"/>
        </w:rPr>
        <w:t xml:space="preserve"> </w:t>
        <w:br/>
        <w:t>A股份有限公司资本结构为：公开发行的长期债券900万元，普通股1200万元，留存收益900万元。其他有关信息如下：</w:t>
      </w:r>
      <w:r w:rsidRPr="00F95114">
        <w:rPr>
          <w:rFonts w:ascii="微软雅黑" w:eastAsia="微软雅黑" w:hAnsi="微软雅黑"/>
          <w:sz w:val="24"/>
          <w:szCs w:val="24"/>
        </w:rPr>
        <w:t xml:space="preserve"> </w:t>
        <w:br/>
        <w:t>（1）债券税后资本成本为4%；</w:t>
      </w:r>
      <w:r w:rsidRPr="00F95114">
        <w:rPr>
          <w:rFonts w:ascii="微软雅黑" w:eastAsia="微软雅黑" w:hAnsi="微软雅黑"/>
          <w:sz w:val="24"/>
          <w:szCs w:val="24"/>
        </w:rPr>
        <w:t xml:space="preserve"> </w:t>
        <w:br/>
        <w:t>（2）股票与股票指数收益率的相关系数为0.5，股票指数的标准差为3.0，该股票收益率的标准差为3.9；</w:t>
      </w:r>
      <w:r w:rsidRPr="00F95114">
        <w:rPr>
          <w:rFonts w:ascii="微软雅黑" w:eastAsia="微软雅黑" w:hAnsi="微软雅黑"/>
          <w:sz w:val="24"/>
          <w:szCs w:val="24"/>
        </w:rPr>
        <w:t xml:space="preserve"> </w:t>
        <w:br/>
        <w:t>（3）国库券的利率为5%，股票市场的风险附加率为8%；</w:t>
      </w:r>
      <w:r w:rsidRPr="00F95114">
        <w:rPr>
          <w:rFonts w:ascii="微软雅黑" w:eastAsia="微软雅黑" w:hAnsi="微软雅黑"/>
          <w:sz w:val="24"/>
          <w:szCs w:val="24"/>
        </w:rPr>
        <w:t xml:space="preserve"> </w:t>
        <w:br/>
        <w:t>（4）公司所得税税率为25%；</w:t>
      </w:r>
      <w:r w:rsidRPr="00F95114">
        <w:rPr>
          <w:rFonts w:ascii="微软雅黑" w:eastAsia="微软雅黑" w:hAnsi="微软雅黑"/>
          <w:sz w:val="24"/>
          <w:szCs w:val="24"/>
        </w:rPr>
        <w:t xml:space="preserve"> </w:t>
        <w:br/>
        <w:t>（5）由于股东比债权人承担更大的风险，所以要求的风险溢价为5%。</w:t>
      </w:r>
      <w:r w:rsidRPr="00F95114">
        <w:rPr>
          <w:rFonts w:ascii="微软雅黑" w:eastAsia="微软雅黑" w:hAnsi="微软雅黑"/>
          <w:sz w:val="24"/>
          <w:szCs w:val="24"/>
        </w:rPr>
        <w:t xml:space="preserve"> </w:t>
        <w:br/>
        <w:t>假定不考虑其他因素。</w:t>
      </w:r>
      <w:r w:rsidRPr="00F95114">
        <w:rPr>
          <w:rFonts w:ascii="微软雅黑" w:eastAsia="微软雅黑" w:hAnsi="微软雅黑"/>
          <w:sz w:val="24"/>
          <w:szCs w:val="24"/>
        </w:rPr>
        <w:t xml:space="preserve"> </w:t>
        <w:br/>
        <w:t>?、按照资本资产定价模型计算普通股成本、按照债券收益加风险溢价法（股权资本成本＝税后债务资本成本＋风险溢价）计算留存收益成本并计算公司的加权平均资本成本。</w:t>
      </w:r>
      <w:r w:rsidRPr="00F95114">
        <w:rPr>
          <w:rFonts w:ascii="微软雅黑" w:eastAsia="微软雅黑" w:hAnsi="微软雅黑"/>
          <w:sz w:val="24"/>
          <w:szCs w:val="24"/>
        </w:rPr>
        <w:t xml:space="preserve"> </w:t>
        <w:br/>
        <w:t>?、计算本款电动洗车器的目标成本（假设要求的销售利润率等于加权平均资本成本）。</w:t>
      </w:r>
      <w:r w:rsidRPr="00F95114">
        <w:rPr>
          <w:rFonts w:ascii="微软雅黑" w:eastAsia="微软雅黑" w:hAnsi="微软雅黑"/>
          <w:sz w:val="24"/>
          <w:szCs w:val="24"/>
        </w:rPr>
        <w:t xml:space="preserve"> </w:t>
        <w:br/>
        <w:t>?、简述目标成本管理的核心程序与实施原则。</w:t>
      </w:r>
      <w:r w:rsidRPr="00F95114">
        <w:rPr>
          <w:rFonts w:ascii="微软雅黑" w:eastAsia="微软雅黑" w:hAnsi="微软雅黑"/>
          <w:sz w:val="24"/>
          <w:szCs w:val="24"/>
        </w:rPr>
        <w:t xml:space="preserve"> </w:t>
      </w:r>
      <w:r w:rsidRPr="00F95114">
        <w:rPr>
          <w:rFonts w:ascii="微软雅黑" w:eastAsia="微软雅黑" w:hAnsi="微软雅黑"/>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sectPr w:rsidSect="0066030B">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10"/>
          <w:cols w:space="425"/>
          <w:titlePg w:val="0"/>
          <w:docGrid w:type="lines" w:linePitch="312"/>
        </w:sect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1.该股票的β系数＝0.5×3.9／3.0＝0.65（0.5分）</w:t>
      </w:r>
      <w:r w:rsidRPr="00F95114">
        <w:rPr>
          <w:rFonts w:ascii="微软雅黑" w:eastAsia="微软雅黑" w:hAnsi="微软雅黑"/>
          <w:sz w:val="24"/>
          <w:szCs w:val="24"/>
          <w:highlight w:val="yellow"/>
        </w:rPr>
        <w:t xml:space="preserve"> </w:t>
        <w:br/>
        <w:t>普通股成本＝5%＋0.65×8%＝10.2%（0.5分）</w:t>
      </w:r>
      <w:r w:rsidRPr="00F95114">
        <w:rPr>
          <w:rFonts w:ascii="微软雅黑" w:eastAsia="微软雅黑" w:hAnsi="微软雅黑"/>
          <w:sz w:val="24"/>
          <w:szCs w:val="24"/>
          <w:highlight w:val="yellow"/>
        </w:rPr>
        <w:t xml:space="preserve"> </w:t>
        <w:br/>
        <w:t>留存收益成本＝4%＋5%＝9%（0.5分）</w:t>
      </w:r>
      <w:r w:rsidRPr="00F95114">
        <w:rPr>
          <w:rFonts w:ascii="微软雅黑" w:eastAsia="微软雅黑" w:hAnsi="微软雅黑"/>
          <w:sz w:val="24"/>
          <w:szCs w:val="24"/>
          <w:highlight w:val="yellow"/>
        </w:rPr>
        <w:t xml:space="preserve"> </w:t>
        <w:br/>
        <w:t>资本总额＝900＋1200＋900＝3000（万元）（0.5分）</w:t>
      </w:r>
      <w:r w:rsidRPr="00F95114">
        <w:rPr>
          <w:rFonts w:ascii="微软雅黑" w:eastAsia="微软雅黑" w:hAnsi="微软雅黑"/>
          <w:sz w:val="24"/>
          <w:szCs w:val="24"/>
          <w:highlight w:val="yellow"/>
        </w:rPr>
        <w:t xml:space="preserve"> </w:t>
        <w:br/>
        <w:t>加权平均资本成本＝900/3000×4%＋1200/3000×10.2%＋900/3000×9%＝7.98%（1分）</w:t>
      </w:r>
      <w:r w:rsidRPr="00F95114">
        <w:rPr>
          <w:rFonts w:ascii="微软雅黑" w:eastAsia="微软雅黑" w:hAnsi="微软雅黑"/>
          <w:sz w:val="24"/>
          <w:szCs w:val="24"/>
          <w:highlight w:val="yellow"/>
        </w:rPr>
        <w:t xml:space="preserve"> </w:t>
        <w:br/>
        <w:t>2.必要利润率＝加权平均资本成本＝7.98%（0.5分）</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sz w:val="24"/>
          <w:szCs w:val="24"/>
          <w:highlight w:val="yellow"/>
        </w:rPr>
        <w:t xml:space="preserve"> </w:t>
        <w:br/>
        <w:t>目标成本＝500-500×7.98%＝460.10（元）（0.5分）</w:t>
      </w:r>
      <w:r w:rsidRPr="00F95114">
        <w:rPr>
          <w:rFonts w:ascii="微软雅黑" w:eastAsia="微软雅黑" w:hAnsi="微软雅黑"/>
          <w:sz w:val="24"/>
          <w:szCs w:val="24"/>
          <w:highlight w:val="yellow"/>
        </w:rPr>
        <w:t xml:space="preserve"> </w:t>
        <w:br/>
        <w:t>3.</w:t>
      </w:r>
      <w:r w:rsidRPr="00F95114">
        <w:rPr>
          <w:rFonts w:ascii="微软雅黑" w:eastAsia="微软雅黑" w:hAnsi="微软雅黑"/>
          <w:sz w:val="24"/>
          <w:szCs w:val="24"/>
          <w:highlight w:val="yellow"/>
        </w:rPr>
        <w:t xml:space="preserve"> 目标成本管理的核心程序主要包括以下部分：</w:t>
      </w:r>
      <w:r w:rsidRPr="00F95114">
        <w:rPr>
          <w:rFonts w:ascii="微软雅黑" w:eastAsia="微软雅黑" w:hAnsi="微软雅黑"/>
          <w:sz w:val="24"/>
          <w:szCs w:val="24"/>
          <w:highlight w:val="yellow"/>
        </w:rPr>
        <w:t xml:space="preserve"> </w:t>
        <w:br/>
        <w:t>①在市场调查、产品特性分析的基础上，确定目标成本。（1分）</w:t>
      </w:r>
      <w:r w:rsidRPr="00F95114">
        <w:rPr>
          <w:rFonts w:ascii="微软雅黑" w:eastAsia="微软雅黑" w:hAnsi="微软雅黑"/>
          <w:sz w:val="24"/>
          <w:szCs w:val="24"/>
          <w:highlight w:val="yellow"/>
        </w:rPr>
        <w:t xml:space="preserve"> </w:t>
        <w:br/>
        <w:t>②组建跨职能团队并运用价值工程法（或价值分析法）等，将目标成本嵌入产品设计、工程、外购材料等的过程控制之中，以使产品设计等符合目标成本要求。（1分）</w:t>
      </w:r>
      <w:r w:rsidRPr="00F95114">
        <w:rPr>
          <w:rFonts w:ascii="微软雅黑" w:eastAsia="微软雅黑" w:hAnsi="微软雅黑"/>
          <w:sz w:val="24"/>
          <w:szCs w:val="24"/>
          <w:highlight w:val="yellow"/>
        </w:rPr>
        <w:t xml:space="preserve"> </w:t>
        <w:br/>
        <w:t>③将设计完的产品的生产方案投入生产制造环节，并通过制造环节的“持续改善策略”，进一步降低产品制造成本。（1分）</w:t>
      </w:r>
      <w:r w:rsidRPr="00F95114">
        <w:rPr>
          <w:rFonts w:ascii="微软雅黑" w:eastAsia="微软雅黑" w:hAnsi="微软雅黑"/>
          <w:sz w:val="24"/>
          <w:szCs w:val="24"/>
          <w:highlight w:val="yellow"/>
        </w:rPr>
        <w:t xml:space="preserve"> </w:t>
        <w:br/>
        <w:t>企业实施目标成本管理时大体遵循以下六项基本原则：</w:t>
      </w:r>
      <w:r w:rsidRPr="00F95114">
        <w:rPr>
          <w:rFonts w:ascii="微软雅黑" w:eastAsia="微软雅黑" w:hAnsi="微软雅黑"/>
          <w:sz w:val="24"/>
          <w:szCs w:val="24"/>
          <w:highlight w:val="yellow"/>
        </w:rPr>
        <w:t xml:space="preserve"> </w:t>
        <w:br/>
        <w:t>①价格引导的成本管理。②关注顾客。③关注产品与流程设计。④跨职能合作。⑤生命周期成本削减。⑥价值链参与。（3分）</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sectPr w:rsidSect="0066030B">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11"/>
          <w:cols w:space="425"/>
          <w:titlePg w:val="0"/>
          <w:docGrid w:type="lines" w:linePitch="312"/>
        </w:sectPr>
      </w:pPr>
      <w:r w:rsidRPr="00F95114">
        <w:rPr>
          <w:rFonts w:ascii="微软雅黑" w:eastAsia="微软雅黑" w:hAnsi="微软雅黑"/>
          <w:sz w:val="24"/>
          <w:szCs w:val="24"/>
        </w:rPr>
        <w:t>9、甲公司主要从事塑料制品K的生产。20×8年4月16日，甲公司与某外商乙公司签订了销售合同，合同约定甲公司将于20×8年10月16日将生产的塑料制品K销售给乙公司。经计算，生产该批塑料制品需要A材料8000吨，签订合同时A材料的现货价格为4500元/吨。?</w:t>
      </w:r>
      <w:r w:rsidRPr="00F95114">
        <w:rPr>
          <w:rFonts w:ascii="微软雅黑" w:eastAsia="微软雅黑" w:hAnsi="微软雅黑"/>
          <w:sz w:val="24"/>
          <w:szCs w:val="24"/>
        </w:rPr>
        <w:t xml:space="preserve"> </w:t>
        <w:br/>
        <w:t>甲公司担心A材料价格上涨，经董事会批准，在期货市场买入了9月份交割的8000吨A材料期货，并将其指定为塑料制品K因生产所需的A材料的套期。当天A材料期货合约的价格为4500元/吨，A材料期货合约与甲公司生产塑料制品所需要的A材料在数量、品质和产地方面均相同。20×8年9月6日，A材料的现货价格上涨到6000元/吨，期货合约的交割价格为6050元/吨。当日，甲公司购入了8000吨A材料，同时将期货合约卖出平仓。?</w:t>
      </w:r>
      <w:r w:rsidRPr="00F95114">
        <w:rPr>
          <w:rFonts w:ascii="微软雅黑" w:eastAsia="微软雅黑" w:hAnsi="微软雅黑"/>
          <w:sz w:val="24"/>
          <w:szCs w:val="24"/>
        </w:rPr>
        <w:t xml:space="preserve"> </w:t>
        <w:br/>
        <w:t>甲公司对上述期货合约进行了如下处理：?</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sz w:val="24"/>
          <w:szCs w:val="24"/>
        </w:rPr>
        <w:t xml:space="preserve"> </w:t>
        <w:br/>
        <w:t>（1）将该套期划分为现金流量套期；?</w:t>
      </w:r>
      <w:r w:rsidRPr="00F95114">
        <w:rPr>
          <w:rFonts w:ascii="微软雅黑" w:eastAsia="微软雅黑" w:hAnsi="微软雅黑"/>
          <w:sz w:val="24"/>
          <w:szCs w:val="24"/>
        </w:rPr>
        <w:t xml:space="preserve"> </w:t>
        <w:br/>
        <w:t>（2）将该套期工具利得中属于有效套期的部分，直接计入了当期损益。?</w:t>
      </w:r>
      <w:r w:rsidRPr="00F95114">
        <w:rPr>
          <w:rFonts w:ascii="微软雅黑" w:eastAsia="微软雅黑" w:hAnsi="微软雅黑"/>
          <w:sz w:val="24"/>
          <w:szCs w:val="24"/>
        </w:rPr>
        <w:t xml:space="preserve"> </w:t>
        <w:br/>
        <w:t>（3）将该套期工具利得中属于无效套期的部分，直接计入所有者权益。</w:t>
      </w:r>
      <w:r w:rsidRPr="00F95114">
        <w:rPr>
          <w:rFonts w:ascii="微软雅黑" w:eastAsia="微软雅黑" w:hAnsi="微软雅黑"/>
          <w:sz w:val="24"/>
          <w:szCs w:val="24"/>
        </w:rPr>
        <w:t xml:space="preserve"> </w:t>
        <w:br/>
        <w:t>?、根据上述资料，判断甲公司的相关处理是否正确，如不正确，分别说明理由。</w:t>
      </w:r>
      <w:r w:rsidRPr="00F95114">
        <w:rPr>
          <w:rFonts w:ascii="微软雅黑" w:eastAsia="微软雅黑" w:hAnsi="微软雅黑"/>
          <w:sz w:val="24"/>
          <w:szCs w:val="24"/>
        </w:rPr>
        <w:t xml:space="preserve"> </w:t>
      </w:r>
      <w:r w:rsidRPr="00F95114">
        <w:rPr>
          <w:rFonts w:ascii="微软雅黑" w:eastAsia="微软雅黑" w:hAnsi="微软雅黑"/>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 xml:space="preserve">（1）甲公司将该套期划分为现金流量套期正确。 （1.5分） </w:t>
        <w:br/>
        <w:t xml:space="preserve">（2）甲公司将该套期利得中属于有效套期的部分，直接计入了当期损益不正确。（1.5分） </w:t>
        <w:br/>
        <w:t xml:space="preserve">理由：按照套期保值准则的规定，在现金流量套期下，套期工具利得或损失中属于有效套期的部分，应当直接确认为所有者权益，计入其他综合收益，并单列项目反映。（2分） </w:t>
        <w:br/>
        <w:t xml:space="preserve">此外，在塑料制品K出售时，甲公司应当将套期期间计入其他综合收益的利得金额转入当期损益。（1.5分） </w:t>
        <w:br/>
        <w:t xml:space="preserve">（3）甲公司将该套期工具利得中属于无效套期的部分，直接计入所有者权益不正确。（1.5分） </w:t>
        <w:br/>
        <w:t>理由：按照套期保值准则的规定，在现金流量套期下，套期工具利得或损失中属于无效套期的部分应当计入当期损益。（2分）</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sectPr w:rsidSect="0066030B">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12"/>
          <w:cols w:space="425"/>
          <w:titlePg w:val="0"/>
          <w:docGrid w:type="lines" w:linePitch="312"/>
        </w:sectPr>
      </w:pPr>
      <w:r w:rsidRPr="00F95114">
        <w:rPr>
          <w:rFonts w:ascii="微软雅黑" w:eastAsia="微软雅黑" w:hAnsi="微软雅黑"/>
          <w:sz w:val="24"/>
          <w:szCs w:val="24"/>
        </w:rPr>
        <w:t>10、某公司年息税前利润为400万元，所得税税率为25%，净利润全部用来发放股利。债务市场价值（等于面值）200万元，税前债务成本8%。假设无风险报酬率为6%，证券市场平均报酬率为10%，贝塔系数1.55。</w:t>
      </w:r>
      <w:r w:rsidRPr="00F95114">
        <w:rPr>
          <w:rFonts w:ascii="微软雅黑" w:eastAsia="微软雅黑" w:hAnsi="微软雅黑"/>
          <w:sz w:val="24"/>
          <w:szCs w:val="24"/>
        </w:rPr>
        <w:t xml:space="preserve"> </w:t>
        <w:br/>
        <w:t>　　假定不考虑其他因素。</w:t>
      </w:r>
      <w:r w:rsidRPr="00F95114">
        <w:rPr>
          <w:rFonts w:ascii="微软雅黑" w:eastAsia="微软雅黑" w:hAnsi="微软雅黑"/>
          <w:sz w:val="24"/>
          <w:szCs w:val="24"/>
        </w:rPr>
        <w:t xml:space="preserve"> </w:t>
        <w:br/>
        <w:t>　　要求：</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sz w:val="24"/>
          <w:szCs w:val="24"/>
        </w:rPr>
        <w:t xml:space="preserve"> </w:t>
        <w:br/>
        <w:t>　　根据资料，运用资本成本比较分析法计算公司价值和加权平均资本成本。</w:t>
      </w:r>
      <w:r w:rsidRPr="00F95114">
        <w:rPr>
          <w:rFonts w:ascii="微软雅黑" w:eastAsia="微软雅黑" w:hAnsi="微软雅黑"/>
          <w:sz w:val="24"/>
          <w:szCs w:val="24"/>
        </w:rPr>
        <w:t xml:space="preserve"> </w:t>
      </w:r>
      <w:r w:rsidRPr="00F95114">
        <w:rPr>
          <w:rFonts w:ascii="微软雅黑" w:eastAsia="微软雅黑" w:hAnsi="微软雅黑"/>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sectPr w:rsidSect="0066030B">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13"/>
          <w:cols w:space="425"/>
          <w:titlePg w:val="0"/>
          <w:docGrid w:type="lines" w:linePitch="312"/>
        </w:sect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 xml:space="preserve">权益资本成本＝6%＋1.55×（10%－6%）＝12.2% </w:t>
        <w:br/>
        <w:t xml:space="preserve">　　权益价值＝（400－200×8%）×（1－25%）/12.2%＝2360.66（万元） </w:t>
        <w:br/>
        <w:t xml:space="preserve">　　公司价值＝200＋2360.66＝2560.66（万元） </w:t>
        <w:br/>
        <w:t xml:space="preserve">　　加权平均资本成本＝8%×（1－25%）×200/2560.66＋12.2%×2360.66/2560.66＝11.72%  </w:t>
      </w:r>
    </w:p>
    <w:p w:rsidR="00513A70" w:rsidRPr="00F95114" w:rsidP="00F95114" w14:paraId="066FEEDA" w14:textId="34432532">
      <w:pPr>
        <w:pStyle w:val="NoSpacing"/>
        <w:jc w:val="center"/>
        <w:rPr>
          <w:rFonts w:ascii="微软雅黑" w:eastAsia="微软雅黑" w:hAnsi="微软雅黑" w:cs="宋体"/>
          <w:color w:val="000000"/>
          <w:kern w:val="0"/>
          <w:sz w:val="24"/>
          <w:szCs w:val="24"/>
        </w:rPr>
      </w:pPr>
      <w:r w:rsidRPr="00F95114" w:rsidR="008279EE">
        <w:rPr>
          <w:rFonts w:ascii="微软雅黑" w:eastAsia="微软雅黑" w:hAnsi="微软雅黑" w:cs="宋体"/>
          <w:color w:val="000000"/>
          <w:kern w:val="0"/>
          <w:sz w:val="24"/>
          <w:szCs w:val="24"/>
        </w:rPr>
        <w:t>2022年高级会计实务考题(二)</w:t>
      </w:r>
    </w:p>
    <w:p w:rsidR="00A900F2" w:rsidRPr="00C05B00" w:rsidP="00AD2E26" w14:textId="79A8E512">
      <w:pPr>
        <w:jc w:val="left"/>
        <w:rPr>
          <w:rFonts w:ascii="微软雅黑" w:eastAsia="微软雅黑" w:hAnsi="微软雅黑"/>
          <w:color w:val="7F7F7F" w:themeColor="text1" w:themeTint="80"/>
          <w:sz w:val="24"/>
          <w:szCs w:val="24"/>
        </w:rPr>
      </w:pPr>
      <w:r w:rsidRPr="00C05B00">
        <w:rPr>
          <w:rFonts w:ascii="微软雅黑" w:eastAsia="微软雅黑" w:hAnsi="微软雅黑" w:hint="eastAsia"/>
          <w:color w:val="7F7F7F" w:themeColor="text1" w:themeTint="80"/>
          <w:sz w:val="24"/>
          <w:szCs w:val="24"/>
        </w:rPr>
        <w:t>总分</w:t>
      </w:r>
      <w:r w:rsidRPr="00C05B00" w:rsidR="00AD2E26">
        <w:rPr>
          <w:rFonts w:ascii="微软雅黑" w:eastAsia="微软雅黑" w:hAnsi="微软雅黑" w:hint="eastAsia"/>
          <w:color w:val="7F7F7F" w:themeColor="text1" w:themeTint="80"/>
          <w:sz w:val="24"/>
          <w:szCs w:val="24"/>
        </w:rPr>
        <w:t>：</w:t>
      </w:r>
      <w:r w:rsidRPr="00C05B00" w:rsidR="00CD0BD1">
        <w:rPr>
          <w:rFonts w:ascii="微软雅黑" w:eastAsia="微软雅黑" w:hAnsi="微软雅黑"/>
          <w:color w:val="7F7F7F" w:themeColor="text1" w:themeTint="80"/>
          <w:sz w:val="24"/>
          <w:szCs w:val="24"/>
        </w:rPr>
        <w:t>100</w:t>
      </w:r>
      <w:r w:rsidRPr="00C05B00" w:rsidR="003C7C42">
        <w:rPr>
          <w:rFonts w:ascii="微软雅黑" w:eastAsia="微软雅黑" w:hAnsi="微软雅黑" w:hint="eastAsia"/>
          <w:color w:val="7F7F7F" w:themeColor="text1" w:themeTint="80"/>
          <w:sz w:val="24"/>
          <w:szCs w:val="24"/>
        </w:rPr>
        <w:t>分</w:t>
      </w:r>
      <w:r w:rsidRPr="00C05B00" w:rsidR="00EC0A6F">
        <w:rPr>
          <w:rFonts w:ascii="微软雅黑" w:eastAsia="微软雅黑" w:hAnsi="微软雅黑"/>
          <w:color w:val="7F7F7F" w:themeColor="text1" w:themeTint="80"/>
          <w:sz w:val="24"/>
          <w:szCs w:val="24"/>
        </w:rPr>
        <w:tab/>
      </w:r>
      <w:r w:rsidRPr="00C05B00" w:rsidR="00457843">
        <w:rPr>
          <w:rFonts w:ascii="微软雅黑" w:eastAsia="微软雅黑" w:hAnsi="微软雅黑"/>
          <w:color w:val="7F7F7F" w:themeColor="text1" w:themeTint="80"/>
          <w:sz w:val="24"/>
          <w:szCs w:val="24"/>
        </w:rPr>
        <w:t xml:space="preserve">      </w:t>
      </w:r>
      <w:r w:rsidRPr="00C05B00" w:rsidR="00457843">
        <w:rPr>
          <w:rFonts w:ascii="微软雅黑" w:eastAsia="微软雅黑" w:hAnsi="微软雅黑" w:hint="eastAsia"/>
          <w:color w:val="7F7F7F" w:themeColor="text1" w:themeTint="80"/>
          <w:sz w:val="24"/>
          <w:szCs w:val="24"/>
        </w:rPr>
        <w:t>考试时间：</w:t>
      </w:r>
      <w:r w:rsidRPr="00C05B00" w:rsidR="00457843">
        <w:rPr>
          <w:rFonts w:ascii="微软雅黑" w:eastAsia="微软雅黑" w:hAnsi="微软雅黑"/>
          <w:color w:val="7F7F7F" w:themeColor="text1" w:themeTint="80"/>
          <w:sz w:val="24"/>
          <w:szCs w:val="24"/>
        </w:rPr>
        <w:t>90</w:t>
      </w:r>
      <w:r w:rsidRPr="00C05B00" w:rsidR="00457843">
        <w:rPr>
          <w:rFonts w:ascii="微软雅黑" w:eastAsia="微软雅黑" w:hAnsi="微软雅黑" w:hint="eastAsia"/>
          <w:color w:val="7F7F7F" w:themeColor="text1" w:themeTint="80"/>
          <w:sz w:val="24"/>
          <w:szCs w:val="24"/>
        </w:rPr>
        <w:t>分钟</w:t>
      </w:r>
    </w:p>
    <w:p w:rsidR="000D00B8" w:rsidRPr="00C05B00" w:rsidP="00AD2E26" w14:textId="6D0CC4C0">
      <w:pPr>
        <w:jc w:val="left"/>
        <w:rPr>
          <w:rFonts w:ascii="微软雅黑" w:eastAsia="微软雅黑" w:hAnsi="微软雅黑"/>
          <w:color w:val="7F7F7F" w:themeColor="text1" w:themeTint="80"/>
          <w:sz w:val="24"/>
          <w:szCs w:val="24"/>
        </w:rPr>
      </w:pPr>
      <w:r w:rsidRPr="00C05B00">
        <w:rPr>
          <w:rFonts w:ascii="微软雅黑" w:eastAsia="微软雅黑" w:hAnsi="微软雅黑" w:hint="eastAsia"/>
          <w:color w:val="7F7F7F" w:themeColor="text1" w:themeTint="80"/>
          <w:sz w:val="24"/>
          <w:szCs w:val="24"/>
        </w:rPr>
        <w:t>注意事项：</w:t>
      </w:r>
    </w:p>
    <w:p w:rsidR="001D5875" w:rsidRPr="00C05B00" w:rsidP="00F7033B" w14:textId="520122F6">
      <w:pPr>
        <w:pStyle w:val="ListParagraph"/>
        <w:numPr>
          <w:ilvl w:val="0"/>
          <w:numId w:val="29"/>
        </w:numPr>
        <w:ind w:firstLineChars="0"/>
        <w:rPr>
          <w:rFonts w:ascii="微软雅黑" w:eastAsia="微软雅黑" w:hAnsi="微软雅黑" w:cs="宋体"/>
          <w:color w:val="404040" w:themeColor="text1" w:themeTint="BF"/>
          <w:kern w:val="0"/>
          <w:szCs w:val="21"/>
        </w:rPr>
      </w:pPr>
      <w:r w:rsidRPr="00C05B00">
        <w:rPr>
          <w:rFonts w:ascii="微软雅黑" w:eastAsia="微软雅黑" w:hAnsi="微软雅黑" w:hint="eastAsia"/>
          <w:color w:val="404040" w:themeColor="text1" w:themeTint="BF"/>
          <w:szCs w:val="21"/>
        </w:rPr>
        <w:t>考生应检查“答题卡”正反两面，如果发现“答题卡”字迹模糊，行列歪斜或单面缺印等现象，要及时向监考员报告。</w:t>
      </w:r>
    </w:p>
    <w:p w:rsidR="001D5875" w:rsidRPr="00C05B00" w:rsidP="00F7033B" w14:textId="520122F6">
      <w:pPr>
        <w:pStyle w:val="ListParagraph"/>
        <w:numPr>
          <w:ilvl w:val="0"/>
          <w:numId w:val="29"/>
        </w:numPr>
        <w:ind w:firstLineChars="0"/>
        <w:rPr>
          <w:rFonts w:ascii="微软雅黑" w:eastAsia="微软雅黑" w:hAnsi="微软雅黑" w:cs="宋体"/>
          <w:color w:val="404040" w:themeColor="text1" w:themeTint="BF"/>
          <w:kern w:val="0"/>
          <w:szCs w:val="21"/>
        </w:rPr>
      </w:pPr>
      <w:r w:rsidRPr="00C05B00">
        <w:rPr>
          <w:rFonts w:ascii="微软雅黑" w:eastAsia="微软雅黑" w:hAnsi="微软雅黑" w:hint="eastAsia"/>
          <w:color w:val="404040" w:themeColor="text1" w:themeTint="BF"/>
          <w:szCs w:val="21"/>
        </w:rPr>
        <w:t>考生必须在答题卡上与题号相对应的答题区域内答题，书写在试卷（题签）、草稿纸上或答题卡上非题号对应的答题区域的答案一律无效。</w:t>
      </w:r>
    </w:p>
    <w:p w:rsidR="001D5875" w:rsidRPr="00C05B00" w:rsidP="00F7033B" w14:textId="520122F6">
      <w:pPr>
        <w:pStyle w:val="ListParagraph"/>
        <w:numPr>
          <w:ilvl w:val="0"/>
          <w:numId w:val="29"/>
        </w:numPr>
        <w:ind w:firstLineChars="0"/>
        <w:rPr>
          <w:rFonts w:ascii="微软雅黑" w:eastAsia="微软雅黑" w:hAnsi="微软雅黑" w:cs="宋体"/>
          <w:color w:val="404040" w:themeColor="text1" w:themeTint="BF"/>
          <w:kern w:val="0"/>
          <w:szCs w:val="21"/>
        </w:rPr>
      </w:pPr>
      <w:r w:rsidRPr="00C05B00">
        <w:rPr>
          <w:rFonts w:ascii="微软雅黑" w:eastAsia="微软雅黑" w:hAnsi="微软雅黑" w:hint="eastAsia"/>
          <w:color w:val="404040" w:themeColor="text1" w:themeTint="BF"/>
          <w:szCs w:val="21"/>
        </w:rPr>
        <w:t>考试结束，考生要按照监考员的指令有序、错峰离开考场</w:t>
      </w:r>
    </w:p>
    <w:p w:rsidR="00513A70" w:rsidRPr="00C05B00" w:rsidP="00B841D5" w14:textId="66142440">
      <w:pPr>
        <w:pStyle w:val="Heading2"/>
        <w:spacing w:before="0" w:after="0"/>
        <w:rPr>
          <w:rFonts w:ascii="微软雅黑" w:eastAsia="微软雅黑" w:hAnsi="微软雅黑"/>
          <w:sz w:val="28"/>
          <w:szCs w:val="28"/>
        </w:rPr>
      </w:pPr>
      <w:r w:rsidRPr="00C05B00">
        <w:rPr>
          <w:rFonts w:ascii="微软雅黑" w:eastAsia="微软雅黑" w:hAnsi="微软雅黑" w:hint="eastAsia"/>
          <w:sz w:val="28"/>
          <w:szCs w:val="28"/>
        </w:rPr>
        <w:t>一</w:t>
      </w:r>
      <w:r w:rsidRPr="00C05B00">
        <w:rPr>
          <w:rFonts w:ascii="微软雅黑" w:eastAsia="微软雅黑" w:hAnsi="微软雅黑" w:hint="eastAsia"/>
          <w:sz w:val="28"/>
          <w:szCs w:val="28"/>
        </w:rPr>
        <w:t>、主观题</w:t>
      </w:r>
      <w:r w:rsidRPr="00C05B00">
        <w:rPr>
          <w:rFonts w:ascii="微软雅黑" w:eastAsia="微软雅黑" w:hAnsi="微软雅黑" w:hint="eastAsia"/>
          <w:b w:val="0"/>
          <w:bCs w:val="0"/>
          <w:sz w:val="28"/>
          <w:szCs w:val="28"/>
        </w:rPr>
        <w:t>（每小题</w:t>
      </w:r>
      <w:r w:rsidRPr="00C05B00">
        <w:rPr>
          <w:rFonts w:ascii="微软雅黑" w:eastAsia="微软雅黑" w:hAnsi="微软雅黑"/>
          <w:b w:val="0"/>
          <w:bCs w:val="0"/>
          <w:sz w:val="28"/>
          <w:szCs w:val="28"/>
        </w:rPr>
        <w:t xml:space="preserve">10 </w:t>
      </w:r>
      <w:r w:rsidRPr="00C05B00">
        <w:rPr>
          <w:rFonts w:ascii="微软雅黑" w:eastAsia="微软雅黑" w:hAnsi="微软雅黑" w:hint="eastAsia"/>
          <w:b w:val="0"/>
          <w:bCs w:val="0"/>
          <w:sz w:val="28"/>
          <w:szCs w:val="28"/>
        </w:rPr>
        <w:t xml:space="preserve">分，共 </w:t>
      </w:r>
      <w:r w:rsidRPr="00C05B00">
        <w:rPr>
          <w:rFonts w:ascii="微软雅黑" w:eastAsia="微软雅黑" w:hAnsi="微软雅黑"/>
          <w:b w:val="0"/>
          <w:bCs w:val="0"/>
          <w:sz w:val="28"/>
          <w:szCs w:val="28"/>
        </w:rPr>
        <w:t>100</w:t>
      </w:r>
      <w:r w:rsidRPr="00C05B00">
        <w:rPr>
          <w:rFonts w:ascii="微软雅黑" w:eastAsia="微软雅黑" w:hAnsi="微软雅黑" w:hint="eastAsia"/>
          <w:b w:val="0"/>
          <w:bCs w:val="0"/>
          <w:sz w:val="28"/>
          <w:szCs w:val="28"/>
        </w:rPr>
        <w:t>分）</w:t>
      </w:r>
      <w:r w:rsidRPr="00F95114">
        <w:rPr>
          <w:rFonts w:ascii="微软雅黑" w:eastAsia="微软雅黑" w:hAnsi="微软雅黑" w:hint="eastAsia"/>
          <w:sz w:val="24"/>
          <w:szCs w:val="24"/>
        </w:rPr>
        <w:t xml:space="preserve"> </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sectPr w:rsidSect="0066030B">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14"/>
          <w:cols w:space="425"/>
          <w:titlePg w:val="0"/>
          <w:docGrid w:type="lines" w:linePitch="312"/>
        </w:sectPr>
      </w:pPr>
      <w:r w:rsidRPr="00F95114">
        <w:rPr>
          <w:rFonts w:ascii="微软雅黑" w:eastAsia="微软雅黑" w:hAnsi="微软雅黑"/>
          <w:sz w:val="24"/>
          <w:szCs w:val="24"/>
        </w:rPr>
        <w:t>1、东富汽车股份有限公司（以下简称东富汽车或公司）是由东富汽车工业（集团）总公司（以下简称东富集团）独家发起设立的一家以整车制造为主的A股上市公司。2011年底，东富汽车董事会下设的战略委员会制定了未来五年的战略规划，具体如下：</w:t>
      </w:r>
      <w:r w:rsidRPr="00F95114">
        <w:rPr>
          <w:rFonts w:ascii="微软雅黑" w:eastAsia="微软雅黑" w:hAnsi="微软雅黑"/>
          <w:sz w:val="24"/>
          <w:szCs w:val="24"/>
        </w:rPr>
        <w:t xml:space="preserve"> </w:t>
        <w:br/>
        <w:t>　　1.自主品牌营销战略：加大三、四线城市等国内细分市场的营销力度及渠道布局；稳步实施自主品牌产品“走出去”战略，积极开拓以东南亚为主的海外市场，全力拓展自主品牌整车销量规模，进一步提升自主品牌形象。</w:t>
      </w:r>
      <w:r w:rsidRPr="00F95114">
        <w:rPr>
          <w:rFonts w:ascii="微软雅黑" w:eastAsia="微软雅黑" w:hAnsi="微软雅黑"/>
          <w:sz w:val="24"/>
          <w:szCs w:val="24"/>
        </w:rPr>
        <w:t xml:space="preserve"> </w:t>
      </w:r>
      <w:r w:rsidRPr="00F95114">
        <w:rPr>
          <w:rFonts w:ascii="微软雅黑" w:eastAsia="微软雅黑" w:hAnsi="微软雅黑"/>
          <w:sz w:val="24"/>
          <w:szCs w:val="24"/>
        </w:rPr>
        <w:t xml:space="preserve"> </w:t>
        <w:br/>
        <w:t>　　2.差异化产品战略：紧密跟踪市场形势，针对消费需求个性化、年轻化的趋势，利用技术创新和研发优势，加快市场响应速度，缩短新车型的推出速度，进一步充实产品系列，满足不同消费层次的需求。</w:t>
      </w:r>
      <w:r w:rsidRPr="00F95114">
        <w:rPr>
          <w:rFonts w:ascii="微软雅黑" w:eastAsia="微软雅黑" w:hAnsi="微软雅黑"/>
          <w:sz w:val="24"/>
          <w:szCs w:val="24"/>
        </w:rPr>
        <w:t xml:space="preserve"> </w:t>
      </w:r>
      <w:r w:rsidRPr="00F95114">
        <w:rPr>
          <w:rFonts w:ascii="微软雅黑" w:eastAsia="微软雅黑" w:hAnsi="微软雅黑"/>
          <w:sz w:val="24"/>
          <w:szCs w:val="24"/>
        </w:rPr>
        <w:t xml:space="preserve"> </w:t>
        <w:br/>
        <w:t>　　3.国际化并购战略：通过并购方式收购海外同行企业，旨在引入国际优质资源和领先技术，推动公司实现跨越式发展。</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sz w:val="24"/>
          <w:szCs w:val="24"/>
        </w:rPr>
        <w:t xml:space="preserve"> </w:t>
        <w:br/>
        <w:t>　　4.产业链协同战略：零部件、服务贸易、汽车金融板块要围绕整体战略，形成以整车制造为中心，涵盖上游的汽车研发、零部件和下游的汽车商贸服务、汽车金融、汽车物流等完整的产业链，不断加大资源整合力度，推动产业链协同发展，彰显高附加值的协同效应。</w:t>
      </w:r>
      <w:r w:rsidRPr="00F95114">
        <w:rPr>
          <w:rFonts w:ascii="微软雅黑" w:eastAsia="微软雅黑" w:hAnsi="微软雅黑"/>
          <w:sz w:val="24"/>
          <w:szCs w:val="24"/>
        </w:rPr>
        <w:t xml:space="preserve"> </w:t>
      </w:r>
      <w:r w:rsidRPr="00F95114">
        <w:rPr>
          <w:rFonts w:ascii="微软雅黑" w:eastAsia="微软雅黑" w:hAnsi="微软雅黑"/>
          <w:sz w:val="24"/>
          <w:szCs w:val="24"/>
        </w:rPr>
        <w:t xml:space="preserve"> </w:t>
        <w:br/>
        <w:t>　　5.新能源汽车战略：通过积极整合和获取新能源汽车关键技术和核心资源，以混合动力汽车作为现阶段产业化目标，努力探索商业应用模式，扎实做好基础设施以及市场营销渠道等配套建设。</w:t>
      </w:r>
      <w:r w:rsidRPr="00F95114">
        <w:rPr>
          <w:rFonts w:ascii="微软雅黑" w:eastAsia="微软雅黑" w:hAnsi="微软雅黑"/>
          <w:sz w:val="24"/>
          <w:szCs w:val="24"/>
        </w:rPr>
        <w:t xml:space="preserve"> </w:t>
      </w:r>
      <w:r w:rsidRPr="00F95114">
        <w:rPr>
          <w:rFonts w:ascii="微软雅黑" w:eastAsia="微软雅黑" w:hAnsi="微软雅黑"/>
          <w:sz w:val="24"/>
          <w:szCs w:val="24"/>
        </w:rPr>
        <w:t xml:space="preserve"> </w:t>
        <w:br/>
        <w:t>　　要求：</w:t>
      </w:r>
      <w:r w:rsidRPr="00F95114">
        <w:rPr>
          <w:rFonts w:ascii="微软雅黑" w:eastAsia="微软雅黑" w:hAnsi="微软雅黑"/>
          <w:sz w:val="24"/>
          <w:szCs w:val="24"/>
        </w:rPr>
        <w:t xml:space="preserve"> </w:t>
        <w:br/>
        <w:t>　　指出东富汽车战略委员会制定的五个发展战略分别属于何种细分战略类型，并简要说明理由（如战略类型可进一步细分，应将其细分）。</w:t>
      </w:r>
      <w:r w:rsidRPr="00F95114">
        <w:rPr>
          <w:rFonts w:ascii="微软雅黑" w:eastAsia="微软雅黑" w:hAnsi="微软雅黑"/>
          <w:sz w:val="24"/>
          <w:szCs w:val="24"/>
        </w:rPr>
        <w:t xml:space="preserve"> </w:t>
      </w:r>
      <w:r w:rsidRPr="00F95114">
        <w:rPr>
          <w:rFonts w:ascii="微软雅黑" w:eastAsia="微软雅黑" w:hAnsi="微软雅黑"/>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sectPr w:rsidSect="0066030B">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15"/>
          <w:cols w:space="425"/>
          <w:titlePg w:val="0"/>
          <w:docGrid w:type="lines" w:linePitch="312"/>
        </w:sect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战略1“自主品牌营销战略”属于发展战略中的密集型战略——市场开发（现有产品和新市场）。</w:t>
      </w:r>
      <w:r w:rsidRPr="00F95114">
        <w:rPr>
          <w:rFonts w:ascii="微软雅黑" w:eastAsia="微软雅黑" w:hAnsi="微软雅黑"/>
          <w:sz w:val="24"/>
          <w:szCs w:val="24"/>
          <w:highlight w:val="yellow"/>
        </w:rPr>
        <w:t xml:space="preserve"> </w:t>
        <w:br/>
        <w:t>　　理由：通过三四线城市、东南亚市场的营销开发，将现有自主品牌产品打入新市场。</w:t>
      </w:r>
      <w:r w:rsidRPr="00F95114">
        <w:rPr>
          <w:rFonts w:ascii="微软雅黑" w:eastAsia="微软雅黑" w:hAnsi="微软雅黑"/>
          <w:sz w:val="24"/>
          <w:szCs w:val="24"/>
          <w:highlight w:val="yellow"/>
        </w:rPr>
        <w:t xml:space="preserve"> </w:t>
        <w:br/>
        <w:t>　　战略2“差异化产品战略”属于发展战略中的密集型战略——产品开发（新产品和现有市场）。</w:t>
      </w:r>
      <w:r w:rsidRPr="00F95114">
        <w:rPr>
          <w:rFonts w:ascii="微软雅黑" w:eastAsia="微软雅黑" w:hAnsi="微软雅黑"/>
          <w:sz w:val="24"/>
          <w:szCs w:val="24"/>
          <w:highlight w:val="yellow"/>
        </w:rPr>
        <w:t xml:space="preserve"> </w:t>
        <w:br/>
        <w:t>　　理由：在原有市场上，针对消费者差异化需求而研制新车型。</w:t>
      </w:r>
      <w:r w:rsidRPr="00F95114">
        <w:rPr>
          <w:rFonts w:ascii="微软雅黑" w:eastAsia="微软雅黑" w:hAnsi="微软雅黑"/>
          <w:sz w:val="24"/>
          <w:szCs w:val="24"/>
          <w:highlight w:val="yellow"/>
        </w:rPr>
        <w:t xml:space="preserve"> </w:t>
        <w:br/>
        <w:t>　　战略3“国际化并购战略”属于发展战略中的一体化战略——横向一体化战略。</w:t>
      </w:r>
      <w:r w:rsidRPr="00F95114">
        <w:rPr>
          <w:rFonts w:ascii="微软雅黑" w:eastAsia="微软雅黑" w:hAnsi="微软雅黑"/>
          <w:sz w:val="24"/>
          <w:szCs w:val="24"/>
          <w:highlight w:val="yellow"/>
        </w:rPr>
        <w:t xml:space="preserve"> </w:t>
      </w:r>
      <w:r w:rsidRPr="00F95114">
        <w:rPr>
          <w:rFonts w:ascii="微软雅黑" w:eastAsia="微软雅黑" w:hAnsi="微软雅黑"/>
          <w:sz w:val="24"/>
          <w:szCs w:val="24"/>
          <w:highlight w:val="yellow"/>
        </w:rPr>
        <w:t xml:space="preserve"> </w:t>
        <w:br/>
        <w:t>　　理由：国际同行的收购能够引入国际优质资源和领先技术，从而实现规模经济，以增强自身实力。</w:t>
      </w:r>
      <w:r w:rsidRPr="00F95114">
        <w:rPr>
          <w:rFonts w:ascii="微软雅黑" w:eastAsia="微软雅黑" w:hAnsi="微软雅黑"/>
          <w:sz w:val="24"/>
          <w:szCs w:val="24"/>
          <w:highlight w:val="yellow"/>
        </w:rPr>
        <w:t xml:space="preserve"> </w:t>
      </w:r>
      <w:r w:rsidRPr="00F95114">
        <w:rPr>
          <w:rFonts w:ascii="微软雅黑" w:eastAsia="微软雅黑" w:hAnsi="微软雅黑"/>
          <w:sz w:val="24"/>
          <w:szCs w:val="24"/>
          <w:highlight w:val="yellow"/>
        </w:rPr>
        <w:t xml:space="preserve"> </w:t>
        <w:br/>
        <w:t>　　战略4“产业链协同战略”属于发展战略中的一体化战略——纵向一体化战略。</w:t>
      </w:r>
      <w:r w:rsidRPr="00F95114">
        <w:rPr>
          <w:rFonts w:ascii="微软雅黑" w:eastAsia="微软雅黑" w:hAnsi="微软雅黑"/>
          <w:sz w:val="24"/>
          <w:szCs w:val="24"/>
          <w:highlight w:val="yellow"/>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sz w:val="24"/>
          <w:szCs w:val="24"/>
          <w:highlight w:val="yellow"/>
        </w:rPr>
        <w:t xml:space="preserve"> </w:t>
        <w:br/>
        <w:t>　　理由：通过零部件、商贸服务等上下游的有效整合，保证关键投入的质量，有效控制交易成本。</w:t>
      </w:r>
      <w:r w:rsidRPr="00F95114">
        <w:rPr>
          <w:rFonts w:ascii="微软雅黑" w:eastAsia="微软雅黑" w:hAnsi="微软雅黑"/>
          <w:sz w:val="24"/>
          <w:szCs w:val="24"/>
          <w:highlight w:val="yellow"/>
        </w:rPr>
        <w:t xml:space="preserve"> </w:t>
      </w:r>
      <w:r w:rsidRPr="00F95114">
        <w:rPr>
          <w:rFonts w:ascii="微软雅黑" w:eastAsia="微软雅黑" w:hAnsi="微软雅黑"/>
          <w:sz w:val="24"/>
          <w:szCs w:val="24"/>
          <w:highlight w:val="yellow"/>
        </w:rPr>
        <w:t xml:space="preserve"> </w:t>
        <w:br/>
        <w:t>　　战略5“新能源汽车战略”属于发展战略中的多元化（新产品和新市场）（注：或者“多元化战略（相关多元化）”）。</w:t>
      </w:r>
      <w:r w:rsidRPr="00F95114">
        <w:rPr>
          <w:rFonts w:ascii="微软雅黑" w:eastAsia="微软雅黑" w:hAnsi="微软雅黑"/>
          <w:sz w:val="24"/>
          <w:szCs w:val="24"/>
          <w:highlight w:val="yellow"/>
        </w:rPr>
        <w:t xml:space="preserve"> </w:t>
      </w:r>
      <w:r w:rsidRPr="00F95114">
        <w:rPr>
          <w:rFonts w:ascii="微软雅黑" w:eastAsia="微软雅黑" w:hAnsi="微软雅黑"/>
          <w:sz w:val="24"/>
          <w:szCs w:val="24"/>
          <w:highlight w:val="yellow"/>
        </w:rPr>
        <w:t xml:space="preserve"> </w:t>
        <w:br/>
        <w:t>　　理由：新能源汽车有别于燃料传统汽车，与现有产品和市场分属不同领域。</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sz w:val="24"/>
          <w:szCs w:val="24"/>
        </w:rPr>
        <w:t xml:space="preserve">2、会议强调，内部监督是防止内部控制流于形式的重要保证。为此，公司应当强化内部监督制度，由审计委员会和内部审计机构全权负责内部控制的监督检查，合理保证内部控制目标的实现；审计委员会和内部审计机构在内部监督中发现重大问题，有权直接向董事会和监事会报告。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 xml:space="preserve">审计委员会和内部审计机构全权负责内部控制监督检查的观点不恰当。 </w:t>
        <w:br/>
        <w:t>　　理由：董事会负责内部控制的建立和有效实施；除内部审计机构之外，经理层及公司其他内部机构在内部监督中也须承担相应的职责。</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sz w:val="24"/>
          <w:szCs w:val="24"/>
        </w:rPr>
        <w:t xml:space="preserve">3、18年6月30日，甲公司决定进军银行业，其战略目的是在依托油气主业，进行产融结合，实现更好发展。2×18年8月1日，甲公司签定协议以160000万元的对价购入与其无关联关系的B银行90%的有表决权股份；2×18年11月30日，甲公司支付价款并取得实质控制权，B银行当日净资产账面价值为180000万元，可辨认净资产公允价值为190 000万元。  </w:t>
        <w:br/>
        <w:t xml:space="preserve">　　要求：计算甲公司合并成本与确认的可辨认净资产公允价值份额之间的差额，并简要说明该差额的会计处理方法。   </w:t>
      </w:r>
    </w:p>
    <w:p w:rsidR="001C6934" w:rsidRPr="00F95114" w:rsidP="00F95114" w14:textId="0479D136">
      <w:pPr>
        <w:pStyle w:val="NoSpacing"/>
        <w:jc w:val="left"/>
        <w:rPr>
          <w:rFonts w:ascii="微软雅黑" w:eastAsia="微软雅黑" w:hAnsi="微软雅黑"/>
          <w:sz w:val="24"/>
          <w:szCs w:val="24"/>
        </w:rPr>
        <w:sectPr w:rsidSect="0066030B">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16"/>
          <w:cols w:space="425"/>
          <w:titlePg w:val="0"/>
          <w:docGrid w:type="lines" w:linePitch="312"/>
        </w:sect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sz w:val="24"/>
          <w:szCs w:val="24"/>
          <w:highlight w:val="yellow"/>
        </w:rPr>
        <w:t>甲公司合并成本与确认的可辨认净资产公允价值份额之间的差额＝160000万元－190000万元×90%＝－11000万元。该差额应体现在购买日合并资产负债表的盈余公积和未分配利润中，并且，在当期期末时，体现在购买方编制的当期合并利润表中，计入合并当期的营业外收入，不影响购买方的个别利润表。</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sz w:val="24"/>
          <w:szCs w:val="24"/>
        </w:rPr>
        <w:t xml:space="preserve">4、甲公司是一家制造企业，自2015年起实施全面预算管理。2019年10月，甲公司召开预算管理专题会议，安排部署2020年度预算编制工作。会议决定2020年营业收入和销售利润率等主要预算项目的目标值确定之后，在执行过程中不得进行任何调整。 </w:t>
        <w:br/>
        <w:t xml:space="preserve">　　根据资料，指出甲公司预算专题会议的决定是否存在不当之处，并说明理由。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 xml:space="preserve">存在不当之处。 </w:t>
        <w:br/>
        <w:t xml:space="preserve">　　理由：当内外战略环境发生重大变化或突发重大事件等，导致预算编制的基本假设发生重大变化时，可进行预算调整。 </w:t>
        <w:br/>
        <w:t xml:space="preserve">　　或： </w:t>
        <w:br/>
        <w:t>　　违反了权变性原则，预算管理应刚性和柔性相结合，可根据内外部环境的重大变化调整预算，并针对例外事项进行特殊处理。</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sz w:val="24"/>
          <w:szCs w:val="24"/>
        </w:rPr>
        <w:t xml:space="preserve">5、甲单位为一中央级事业单位，在履行报批手续后对外转让一项股权投资，该投资系以单位开发拥有的专利权对外投资形成的。投资的账面成本40万元，转让此项股权投资获取的转让款60万元已存入银行。转让投资过程中发生的税金、评估费等相关费用合计5万元。计算甲单位应上缴中央国库的金额。   </w:t>
      </w:r>
    </w:p>
    <w:p w:rsidR="001C6934" w:rsidRPr="00F95114" w:rsidP="00F95114" w14:textId="0479D136">
      <w:pPr>
        <w:pStyle w:val="NoSpacing"/>
        <w:jc w:val="left"/>
        <w:rPr>
          <w:rFonts w:ascii="微软雅黑" w:eastAsia="微软雅黑" w:hAnsi="微软雅黑"/>
          <w:sz w:val="24"/>
          <w:szCs w:val="24"/>
        </w:rPr>
        <w:sectPr w:rsidSect="0066030B">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17"/>
          <w:cols w:space="425"/>
          <w:titlePg w:val="0"/>
          <w:docGrid w:type="lines" w:linePitch="312"/>
        </w:sect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sz w:val="24"/>
          <w:szCs w:val="24"/>
          <w:highlight w:val="yellow"/>
        </w:rPr>
        <w:t>甲单位转让此项股权投资获取的投资收益为20万元，收入为现金的，扣除投资收益以及税金、评估费等相关费用后，甲单位应上缴中央国库35万元。</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sz w:val="24"/>
          <w:szCs w:val="24"/>
        </w:rPr>
        <w:t xml:space="preserve">6、A公司是一家汽车配件生产商。公司2018年末资产负债表项目金额如下（单位：亿元）。 </w:t>
        <w:br/>
        <w:br/>
        <w:t xml:space="preserve">　公司营销部门预测，随着中国汽车行业的未来增长，2019年公司营业收入将在2018年20亿元的基础上增长30%。财务部门认为，2019年公司销售净利率能够保持在10%的水平；公司营业收入规模增长不会要求新增非流动资产投资，但流动资产、短期借款将随着营业收入的增长而相应增长。公司计划2019年外部筹资额全部通过长期借款解决。 </w:t>
        <w:br/>
        <w:t xml:space="preserve">　　公司经理层将上述2019年度有关经营计划、财务预算和筹资规划提交董事会审议。 </w:t>
        <w:br/>
        <w:t xml:space="preserve">　　根据董事会要求，为树立广大股东对公司信心，公司应当向股东提供持续的投资回报。每年现金股利支付率应当维持在当年净利润80%的水平。为控制财务风险，公司拟定的资产负债率“红线”为70%。 </w:t>
        <w:br/>
        <w:t xml:space="preserve">　　假定不考虑其他有关因素。 </w:t>
        <w:br/>
        <w:t xml:space="preserve">　　要求：1.根据资料，按照销售百分比法分别计算A公司2019年为满足营业收入30%的增长所需要的流动资产增量和外部筹资额。 </w:t>
        <w:br/>
        <w:t xml:space="preserve">要求：2.结合（1）问的结果，判断外部筹资额全部通过长期借款筹集的筹资战略规划是否可行，并说明理由。   </w:t>
      </w:r>
    </w:p>
    <w:p w:rsidR="001C6934" w:rsidRPr="00F95114" w:rsidP="00F95114" w14:textId="0479D136">
      <w:pPr>
        <w:pStyle w:val="NoSpacing"/>
        <w:jc w:val="left"/>
        <w:rPr>
          <w:rFonts w:ascii="微软雅黑" w:eastAsia="微软雅黑" w:hAnsi="微软雅黑"/>
          <w:sz w:val="24"/>
          <w:szCs w:val="24"/>
        </w:rPr>
        <w:sectPr w:rsidSect="0066030B">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18"/>
          <w:cols w:space="425"/>
          <w:titlePg w:val="0"/>
          <w:docGrid w:type="lines" w:linePitch="312"/>
        </w:sect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1.流动资产增量＝（2＋8＋6）÷20×（20×30%）＝4.8（亿元）</w:t>
      </w:r>
      <w:r w:rsidRPr="00F95114">
        <w:rPr>
          <w:rFonts w:ascii="微软雅黑" w:eastAsia="微软雅黑" w:hAnsi="微软雅黑"/>
          <w:sz w:val="24"/>
          <w:szCs w:val="24"/>
          <w:highlight w:val="yellow"/>
        </w:rPr>
        <w:t xml:space="preserve"> </w:t>
        <w:br/>
        <w:t>　　或：流动资产增量＝（2＋8＋6）×30%＝4.8（亿元）</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sz w:val="24"/>
          <w:szCs w:val="24"/>
          <w:highlight w:val="yellow"/>
        </w:rPr>
        <w:t xml:space="preserve"> </w:t>
        <w:br/>
        <w:t>　　外部筹资净额＝4.8－8÷20×（20×30%）－20×（1＋30%）×10%×（1－80%）＝1.88（亿元）</w:t>
      </w:r>
      <w:r w:rsidRPr="00F95114">
        <w:rPr>
          <w:rFonts w:ascii="微软雅黑" w:eastAsia="微软雅黑" w:hAnsi="微软雅黑"/>
          <w:sz w:val="24"/>
          <w:szCs w:val="24"/>
          <w:highlight w:val="yellow"/>
        </w:rPr>
        <w:t xml:space="preserve"> </w:t>
        <w:br/>
        <w:t>2.　公司长期借款筹资战略规划不可行。</w:t>
      </w:r>
      <w:r w:rsidRPr="00F95114">
        <w:rPr>
          <w:rFonts w:ascii="微软雅黑" w:eastAsia="微软雅黑" w:hAnsi="微软雅黑"/>
          <w:sz w:val="24"/>
          <w:szCs w:val="24"/>
          <w:highlight w:val="yellow"/>
        </w:rPr>
        <w:t xml:space="preserve"> </w:t>
        <w:br/>
        <w:t>　　理由：如果公司外部筹资净额均通过长期借款满足，将会使资产负债率超过70%的红线。</w:t>
      </w:r>
      <w:r w:rsidRPr="00F95114">
        <w:rPr>
          <w:rFonts w:ascii="微软雅黑" w:eastAsia="微软雅黑" w:hAnsi="微软雅黑"/>
          <w:sz w:val="24"/>
          <w:szCs w:val="24"/>
          <w:highlight w:val="yellow"/>
        </w:rPr>
        <w:t xml:space="preserve"> </w:t>
        <w:br/>
        <w:t>　　[（8×（1＋30%）＋12＋1.88</w:t>
      </w:r>
      <w:r w:rsidRPr="00F95114">
        <w:rPr>
          <w:rFonts w:ascii="微软雅黑" w:eastAsia="微软雅黑" w:hAnsi="微软雅黑"/>
          <w:sz w:val="24"/>
          <w:szCs w:val="24"/>
          <w:highlight w:val="yellow"/>
        </w:rPr>
        <w:t xml:space="preserve"> ]÷（29＋4.8）＝71.83%</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sz w:val="24"/>
          <w:szCs w:val="24"/>
        </w:rPr>
        <w:t xml:space="preserve">7、3月25日，甲公司将所持C公司100%有表决权的股份的30%对外转让，收到价款30000万元，并办妥了股权转让手续。C公司系甲公司于2013年1月3日通过企业合并取得，合并成本为60000万元；该合并属于非同一控制下的企业合并；该合并交易发生前，甲公司与C公司不存在关联方关系。C公司自2013年1月3日至2015年3月25日持续计算、应纳入甲公司合并财务报表的可辨认净资产总额为80000万元。至2015年12月31日，甲公司仍持有C公司70%有表决权的股份，能够对C公司实施控制。 </w:t>
        <w:br/>
        <w:t xml:space="preserve">　　要求：根据资料，计算甲公司转让C公司有表决权的股份时，在个别财务报表中应确认的投资收益；判断该股份转让是否影响甲公司2015年合并利润表中的净利润，并说明理由。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 xml:space="preserve">在个别报表中的投资收益为12000万元（价款30000－账面价值60000×30%）。该股份转让不影响甲公司2015年合并利润表中的净利润。 </w:t>
        <w:br/>
        <w:t>　　理由：甲公司收到的价款30000万元，与所处置股份相对应C公司的可辨认净资产24000万元（80000×30%）的差额，应当在合并资产负债表中调整增加资本公积6000万元。</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sectPr w:rsidSect="0066030B">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19"/>
          <w:cols w:space="425"/>
          <w:titlePg w:val="0"/>
          <w:docGrid w:type="lines" w:linePitch="312"/>
        </w:sectPr>
      </w:pP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sz w:val="24"/>
          <w:szCs w:val="24"/>
        </w:rPr>
        <w:t>8、某公司董事会议明确了公司应从以下三个方面强化控制措施：一是实施全面预算管理，将各类业务事项均纳入预算控制；二是将控制措施“嵌入”信息系统中，通过现代化手段实现自动控制；三是完善合同管理制度，所有对外发生的经济行为均应签订书面合同。</w:t>
      </w:r>
      <w:r w:rsidRPr="00F95114">
        <w:rPr>
          <w:rFonts w:ascii="微软雅黑" w:eastAsia="微软雅黑" w:hAnsi="微软雅黑"/>
          <w:sz w:val="24"/>
          <w:szCs w:val="24"/>
        </w:rPr>
        <w:t xml:space="preserve"> </w:t>
        <w:br/>
        <w:t>要求：根据《企业内部控制基本规范》及其配套指引，指出董事会会议提出控制活动要点有哪些不当之处，并简要说明理由。</w:t>
      </w:r>
      <w:r w:rsidRPr="00F95114">
        <w:rPr>
          <w:rFonts w:ascii="微软雅黑" w:eastAsia="微软雅黑" w:hAnsi="微软雅黑"/>
          <w:sz w:val="24"/>
          <w:szCs w:val="24"/>
        </w:rPr>
        <w:t xml:space="preserve"> </w:t>
      </w:r>
      <w:r w:rsidRPr="00F95114">
        <w:rPr>
          <w:rFonts w:ascii="微软雅黑" w:eastAsia="微软雅黑" w:hAnsi="微软雅黑"/>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 xml:space="preserve">（1）将各类业务事项均纳入预算控制的观点不恰当。 </w:t>
        <w:br/>
        <w:t xml:space="preserve">理由：预算控制措施一般不适用于不能量化的业务事项。 </w:t>
        <w:br/>
        <w:t xml:space="preserve">（2）所有对外发生的经济行为均须签订书面合同的观点不恰当。 </w:t>
        <w:br/>
        <w:t xml:space="preserve">理由：不符合成本效益原则的要求。 </w:t>
        <w:br/>
        <w:t>或：对于零星、即时清结等交易行为，可不签订书面合同。</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sz w:val="24"/>
          <w:szCs w:val="24"/>
        </w:rPr>
        <w:t xml:space="preserve">9、甲公司为一家境内上市的集团企业，主要从事能源电力建设与投资。2016年初，公司拟进行一个风能发电项目，初始投资额为5亿元。公司的加权平均资本成本为7%，该项目考虑风险后的加权平均资本成本为8%。经测算，该项目按公司加权平均资本成本7%折现计算的净现值等于0，说明该项目收益能够补偿公司投入的本金及所要求获得的投资收益。因此，该项目投资可行。  </w:t>
        <w:br/>
        <w:t xml:space="preserve">　　要求：根据上述资料，指出风能发电项目投资可行的判断是否恰当，并说明理由。   </w:t>
      </w:r>
    </w:p>
    <w:p w:rsidR="001C6934" w:rsidRPr="00F95114" w:rsidP="00F95114" w14:textId="0479D136">
      <w:pPr>
        <w:pStyle w:val="NoSpacing"/>
        <w:jc w:val="left"/>
        <w:rPr>
          <w:rFonts w:ascii="微软雅黑" w:eastAsia="微软雅黑" w:hAnsi="微软雅黑"/>
          <w:sz w:val="24"/>
          <w:szCs w:val="24"/>
        </w:rPr>
        <w:sectPr w:rsidSect="0066030B">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20"/>
          <w:cols w:space="425"/>
          <w:titlePg w:val="0"/>
          <w:docGrid w:type="lines" w:linePitch="312"/>
        </w:sect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 xml:space="preserve">不恰当。 </w:t>
        <w:br/>
        <w:t xml:space="preserve">　　理由：风能发电项目应当按照考虑风险后的加权平均资本成本8%折现计算净现值；由于按照7%折现计算的净现值等于0，因此，按照8%折现计算的净现值小于0，即项目不可行。  </w:t>
        <w:br/>
        <w:t>　　或：由于7%是该项目的内含报酬率，低于项目的资本成本8%，即项目不可行。</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sz w:val="24"/>
          <w:szCs w:val="24"/>
        </w:rPr>
        <w:t xml:space="preserve">10、K企业专门从事甲、乙两种产品的生产，有关这两种产品的基本资料如下（单位：元）： </w:t>
        <w:br/>
        <w:br/>
        <w:t xml:space="preserve">甲：1000×4=4000　　　5000　　　10000　　　　　  </w:t>
        <w:br/>
        <w:t xml:space="preserve">　　乙：4000×4=16000　　48000　　　16000 </w:t>
        <w:br/>
        <w:t xml:space="preserve">　　K企业每年制造费用总额20000元，甲乙两种产品复杂程度不一样，耗用的作业量也不一样。K企业与制造费用相关的作业有5个，为此设置了5个成本库。有关制造费用作业成本的资料如下（单位：元）： </w:t>
        <w:br/>
        <w:br/>
        <w:t xml:space="preserve">要求： </w:t>
        <w:br/>
        <w:t xml:space="preserve">　　分别用传统成本计算法和作业成本计算法计算上述两种产品的总成本和单位成本。   </w:t>
      </w:r>
    </w:p>
    <w:p w:rsidR="001C6934" w:rsidRPr="00F95114" w:rsidP="00F95114" w14:textId="0479D136">
      <w:pPr>
        <w:pStyle w:val="NoSpacing"/>
        <w:jc w:val="left"/>
        <w:rPr>
          <w:rFonts w:ascii="微软雅黑" w:eastAsia="微软雅黑" w:hAnsi="微软雅黑"/>
          <w:sz w:val="24"/>
          <w:szCs w:val="24"/>
        </w:rPr>
        <w:sectPr w:rsidSect="0066030B">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21"/>
          <w:cols w:space="425"/>
          <w:titlePg w:val="0"/>
          <w:docGrid w:type="lines" w:linePitch="312"/>
        </w:sect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（1）传统成本法下计算两种产品的制造费用（用机器小时数作为费用分配依据）</w:t>
      </w:r>
      <w:r w:rsidRPr="00F95114">
        <w:rPr>
          <w:rFonts w:ascii="微软雅黑" w:eastAsia="微软雅黑" w:hAnsi="微软雅黑"/>
          <w:sz w:val="24"/>
          <w:szCs w:val="24"/>
          <w:highlight w:val="yellow"/>
        </w:rPr>
        <w:t xml:space="preserve"> </w:t>
        <w:br/>
        <w:t>　　已知甲乙两种产品的机器小时总数分别为4000小时和16000小时，制造费用总额为20000元，则：</w:t>
      </w:r>
      <w:r w:rsidRPr="00F95114">
        <w:rPr>
          <w:rFonts w:ascii="微软雅黑" w:eastAsia="微软雅黑" w:hAnsi="微软雅黑"/>
          <w:sz w:val="24"/>
          <w:szCs w:val="24"/>
          <w:highlight w:val="yellow"/>
        </w:rPr>
        <w:t xml:space="preserve"> </w:t>
        <w:br/>
        <w:t>　　制造费用分配率＝20000/20000＝1（元/小时）</w:t>
      </w:r>
      <w:r w:rsidRPr="00F95114">
        <w:rPr>
          <w:rFonts w:ascii="微软雅黑" w:eastAsia="微软雅黑" w:hAnsi="微软雅黑"/>
          <w:sz w:val="24"/>
          <w:szCs w:val="24"/>
          <w:highlight w:val="yellow"/>
        </w:rPr>
        <w:t xml:space="preserve"> </w:t>
        <w:br/>
        <w:t>　　甲产品的制造费用＝4000×1＝4000（元）</w:t>
      </w:r>
      <w:r w:rsidRPr="00F95114">
        <w:rPr>
          <w:rFonts w:ascii="微软雅黑" w:eastAsia="微软雅黑" w:hAnsi="微软雅黑"/>
          <w:sz w:val="24"/>
          <w:szCs w:val="24"/>
          <w:highlight w:val="yellow"/>
        </w:rPr>
        <w:t xml:space="preserve"> </w:t>
        <w:br/>
        <w:t>　　乙产品的制造费用＝16000×10＝16000（元）</w:t>
      </w:r>
      <w:r w:rsidRPr="00F95114">
        <w:rPr>
          <w:rFonts w:ascii="微软雅黑" w:eastAsia="微软雅黑" w:hAnsi="微软雅黑"/>
          <w:sz w:val="24"/>
          <w:szCs w:val="24"/>
          <w:highlight w:val="yellow"/>
        </w:rPr>
        <w:t xml:space="preserve"> </w:t>
        <w:br/>
        <w:t>　　（2）作业成本法下计算两种产品的制造费用</w:t>
      </w:r>
      <w:r w:rsidRPr="00F95114">
        <w:rPr>
          <w:rFonts w:ascii="微软雅黑" w:eastAsia="微软雅黑" w:hAnsi="微软雅黑"/>
          <w:sz w:val="24"/>
          <w:szCs w:val="24"/>
          <w:highlight w:val="yellow"/>
        </w:rPr>
        <w:t xml:space="preserve"> </w:t>
        <w:br/>
        <w:t>　　首先计算各项作业的成本动因分配率，见下表：</w:t>
      </w:r>
    </w:p>
    <w:p w:rsidR="001C6934" w:rsidRPr="00F95114" w:rsidP="00F95114" w14:textId="0479D136">
      <w:pPr>
        <w:pStyle w:val="NoSpacing"/>
        <w:jc w:val="left"/>
        <w:rPr>
          <w:rFonts w:ascii="微软雅黑" w:eastAsia="微软雅黑" w:hAnsi="微软雅黑"/>
          <w:sz w:val="24"/>
          <w:szCs w:val="24"/>
        </w:rPr>
        <w:sectPr w:rsidSect="0066030B">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22"/>
          <w:cols w:space="425"/>
          <w:titlePg w:val="0"/>
          <w:docGrid w:type="lines" w:linePitch="312"/>
        </w:sectPr>
      </w:pPr>
      <w:r w:rsidRPr="00F95114">
        <w:rPr>
          <w:rFonts w:ascii="微软雅黑" w:eastAsia="微软雅黑" w:hAnsi="微软雅黑"/>
          <w:sz w:val="24"/>
          <w:szCs w:val="24"/>
          <w:highlight w:val="yellow"/>
        </w:rPr>
        <w:t xml:space="preserve"> </w:t>
        <w:br/>
        <w:br/>
        <w:t>　其次，利用作业成本法计算两种产品的制造费用。</w:t>
      </w:r>
      <w:r w:rsidRPr="00F95114">
        <w:rPr>
          <w:rFonts w:ascii="微软雅黑" w:eastAsia="微软雅黑" w:hAnsi="微软雅黑"/>
          <w:sz w:val="24"/>
          <w:szCs w:val="24"/>
          <w:highlight w:val="yellow"/>
        </w:rPr>
        <w:t xml:space="preserve"> </w:t>
        <w:br/>
        <w:t>　　甲产品制造费用＝8×600＋70×40＋30×90＋4000×0.2＋60×24＝12540（元）</w:t>
      </w:r>
      <w:r w:rsidRPr="00F95114">
        <w:rPr>
          <w:rFonts w:ascii="微软雅黑" w:eastAsia="微软雅黑" w:hAnsi="微软雅黑"/>
          <w:sz w:val="24"/>
          <w:szCs w:val="24"/>
          <w:highlight w:val="yellow"/>
        </w:rPr>
        <w:t xml:space="preserve"> </w:t>
        <w:br/>
        <w:t>　　乙产品制造费用＝2×600＋30×40＋10×90＋16000×0.2＋40×24＝7460（元）</w:t>
      </w:r>
      <w:r w:rsidRPr="00F95114">
        <w:rPr>
          <w:rFonts w:ascii="微软雅黑" w:eastAsia="微软雅黑" w:hAnsi="微软雅黑"/>
          <w:sz w:val="24"/>
          <w:szCs w:val="24"/>
          <w:highlight w:val="yellow"/>
        </w:rPr>
        <w:t xml:space="preserve"> </w:t>
        <w:br/>
        <w:t>　　（3）两种成本计算法计算的产品成本。</w:t>
      </w:r>
      <w:r w:rsidRPr="00F95114">
        <w:rPr>
          <w:rFonts w:ascii="微软雅黑" w:eastAsia="微软雅黑" w:hAnsi="微软雅黑"/>
          <w:sz w:val="24"/>
          <w:szCs w:val="24"/>
          <w:highlight w:val="yellow"/>
        </w:rPr>
        <w:t xml:space="preserve"> </w:t>
      </w:r>
      <w:r w:rsidRPr="00F95114">
        <w:rPr>
          <w:rFonts w:ascii="微软雅黑" w:eastAsia="微软雅黑" w:hAnsi="微软雅黑"/>
          <w:sz w:val="24"/>
          <w:szCs w:val="24"/>
          <w:highlight w:val="yellow"/>
        </w:rPr>
        <w:t xml:space="preserve"> </w:t>
      </w:r>
    </w:p>
    <w:p w:rsidR="00513A70" w:rsidRPr="00F95114" w:rsidP="00F95114" w14:textId="34432532">
      <w:pPr>
        <w:pStyle w:val="NoSpacing"/>
        <w:jc w:val="center"/>
        <w:rPr>
          <w:rFonts w:ascii="微软雅黑" w:eastAsia="微软雅黑" w:hAnsi="微软雅黑" w:cs="宋体"/>
          <w:color w:val="000000"/>
          <w:kern w:val="0"/>
          <w:sz w:val="24"/>
          <w:szCs w:val="24"/>
        </w:rPr>
      </w:pPr>
      <w:r w:rsidRPr="00F95114" w:rsidR="008279EE">
        <w:rPr>
          <w:rFonts w:ascii="微软雅黑" w:eastAsia="微软雅黑" w:hAnsi="微软雅黑" w:cs="宋体"/>
          <w:color w:val="000000"/>
          <w:kern w:val="0"/>
          <w:sz w:val="24"/>
          <w:szCs w:val="24"/>
        </w:rPr>
        <w:t>2022年高级会计实务考题(三)</w:t>
      </w:r>
    </w:p>
    <w:p w:rsidR="00A900F2" w:rsidRPr="00C05B00" w:rsidP="00AD2E26" w14:textId="79A8E512">
      <w:pPr>
        <w:jc w:val="left"/>
        <w:rPr>
          <w:rFonts w:ascii="微软雅黑" w:eastAsia="微软雅黑" w:hAnsi="微软雅黑"/>
          <w:color w:val="7F7F7F" w:themeColor="text1" w:themeTint="80"/>
          <w:sz w:val="24"/>
          <w:szCs w:val="24"/>
        </w:rPr>
      </w:pPr>
      <w:r w:rsidRPr="00C05B00">
        <w:rPr>
          <w:rFonts w:ascii="微软雅黑" w:eastAsia="微软雅黑" w:hAnsi="微软雅黑" w:hint="eastAsia"/>
          <w:color w:val="7F7F7F" w:themeColor="text1" w:themeTint="80"/>
          <w:sz w:val="24"/>
          <w:szCs w:val="24"/>
        </w:rPr>
        <w:t>总分</w:t>
      </w:r>
      <w:r w:rsidRPr="00C05B00" w:rsidR="00AD2E26">
        <w:rPr>
          <w:rFonts w:ascii="微软雅黑" w:eastAsia="微软雅黑" w:hAnsi="微软雅黑" w:hint="eastAsia"/>
          <w:color w:val="7F7F7F" w:themeColor="text1" w:themeTint="80"/>
          <w:sz w:val="24"/>
          <w:szCs w:val="24"/>
        </w:rPr>
        <w:t>：</w:t>
      </w:r>
      <w:r w:rsidRPr="00C05B00" w:rsidR="00CD0BD1">
        <w:rPr>
          <w:rFonts w:ascii="微软雅黑" w:eastAsia="微软雅黑" w:hAnsi="微软雅黑"/>
          <w:color w:val="7F7F7F" w:themeColor="text1" w:themeTint="80"/>
          <w:sz w:val="24"/>
          <w:szCs w:val="24"/>
        </w:rPr>
        <w:t>100</w:t>
      </w:r>
      <w:r w:rsidRPr="00C05B00" w:rsidR="003C7C42">
        <w:rPr>
          <w:rFonts w:ascii="微软雅黑" w:eastAsia="微软雅黑" w:hAnsi="微软雅黑" w:hint="eastAsia"/>
          <w:color w:val="7F7F7F" w:themeColor="text1" w:themeTint="80"/>
          <w:sz w:val="24"/>
          <w:szCs w:val="24"/>
        </w:rPr>
        <w:t>分</w:t>
      </w:r>
      <w:r w:rsidRPr="00C05B00" w:rsidR="00EC0A6F">
        <w:rPr>
          <w:rFonts w:ascii="微软雅黑" w:eastAsia="微软雅黑" w:hAnsi="微软雅黑"/>
          <w:color w:val="7F7F7F" w:themeColor="text1" w:themeTint="80"/>
          <w:sz w:val="24"/>
          <w:szCs w:val="24"/>
        </w:rPr>
        <w:tab/>
      </w:r>
      <w:r w:rsidRPr="00C05B00" w:rsidR="00457843">
        <w:rPr>
          <w:rFonts w:ascii="微软雅黑" w:eastAsia="微软雅黑" w:hAnsi="微软雅黑"/>
          <w:color w:val="7F7F7F" w:themeColor="text1" w:themeTint="80"/>
          <w:sz w:val="24"/>
          <w:szCs w:val="24"/>
        </w:rPr>
        <w:t xml:space="preserve">      </w:t>
      </w:r>
      <w:r w:rsidRPr="00C05B00" w:rsidR="00457843">
        <w:rPr>
          <w:rFonts w:ascii="微软雅黑" w:eastAsia="微软雅黑" w:hAnsi="微软雅黑" w:hint="eastAsia"/>
          <w:color w:val="7F7F7F" w:themeColor="text1" w:themeTint="80"/>
          <w:sz w:val="24"/>
          <w:szCs w:val="24"/>
        </w:rPr>
        <w:t>考试时间：</w:t>
      </w:r>
      <w:r w:rsidRPr="00C05B00" w:rsidR="00457843">
        <w:rPr>
          <w:rFonts w:ascii="微软雅黑" w:eastAsia="微软雅黑" w:hAnsi="微软雅黑"/>
          <w:color w:val="7F7F7F" w:themeColor="text1" w:themeTint="80"/>
          <w:sz w:val="24"/>
          <w:szCs w:val="24"/>
        </w:rPr>
        <w:t>90</w:t>
      </w:r>
      <w:r w:rsidRPr="00C05B00" w:rsidR="00457843">
        <w:rPr>
          <w:rFonts w:ascii="微软雅黑" w:eastAsia="微软雅黑" w:hAnsi="微软雅黑" w:hint="eastAsia"/>
          <w:color w:val="7F7F7F" w:themeColor="text1" w:themeTint="80"/>
          <w:sz w:val="24"/>
          <w:szCs w:val="24"/>
        </w:rPr>
        <w:t>分钟</w:t>
      </w:r>
    </w:p>
    <w:p w:rsidR="000D00B8" w:rsidRPr="00C05B00" w:rsidP="00AD2E26" w14:textId="6D0CC4C0">
      <w:pPr>
        <w:jc w:val="left"/>
        <w:rPr>
          <w:rFonts w:ascii="微软雅黑" w:eastAsia="微软雅黑" w:hAnsi="微软雅黑"/>
          <w:color w:val="7F7F7F" w:themeColor="text1" w:themeTint="80"/>
          <w:sz w:val="24"/>
          <w:szCs w:val="24"/>
        </w:rPr>
      </w:pPr>
      <w:r w:rsidRPr="00C05B00">
        <w:rPr>
          <w:rFonts w:ascii="微软雅黑" w:eastAsia="微软雅黑" w:hAnsi="微软雅黑" w:hint="eastAsia"/>
          <w:color w:val="7F7F7F" w:themeColor="text1" w:themeTint="80"/>
          <w:sz w:val="24"/>
          <w:szCs w:val="24"/>
        </w:rPr>
        <w:t>注意事项：</w:t>
      </w:r>
    </w:p>
    <w:p w:rsidR="001D5875" w:rsidRPr="00C05B00" w:rsidP="00F7033B" w14:textId="520122F6">
      <w:pPr>
        <w:pStyle w:val="ListParagraph"/>
        <w:numPr>
          <w:ilvl w:val="0"/>
          <w:numId w:val="29"/>
        </w:numPr>
        <w:ind w:firstLineChars="0"/>
        <w:rPr>
          <w:rFonts w:ascii="微软雅黑" w:eastAsia="微软雅黑" w:hAnsi="微软雅黑" w:cs="宋体"/>
          <w:color w:val="404040" w:themeColor="text1" w:themeTint="BF"/>
          <w:kern w:val="0"/>
          <w:szCs w:val="21"/>
        </w:rPr>
      </w:pPr>
      <w:r w:rsidRPr="00C05B00">
        <w:rPr>
          <w:rFonts w:ascii="微软雅黑" w:eastAsia="微软雅黑" w:hAnsi="微软雅黑" w:hint="eastAsia"/>
          <w:color w:val="404040" w:themeColor="text1" w:themeTint="BF"/>
          <w:szCs w:val="21"/>
        </w:rPr>
        <w:t>考生应检查“答题卡”正反两面，如果发现“答题卡”字迹模糊，行列歪斜或单面缺印等现象，要及时向监考员报告。</w:t>
      </w:r>
    </w:p>
    <w:p w:rsidR="001D5875" w:rsidRPr="00C05B00" w:rsidP="00F7033B" w14:textId="520122F6">
      <w:pPr>
        <w:pStyle w:val="ListParagraph"/>
        <w:numPr>
          <w:ilvl w:val="0"/>
          <w:numId w:val="29"/>
        </w:numPr>
        <w:ind w:firstLineChars="0"/>
        <w:rPr>
          <w:rFonts w:ascii="微软雅黑" w:eastAsia="微软雅黑" w:hAnsi="微软雅黑" w:cs="宋体"/>
          <w:color w:val="404040" w:themeColor="text1" w:themeTint="BF"/>
          <w:kern w:val="0"/>
          <w:szCs w:val="21"/>
        </w:rPr>
      </w:pPr>
      <w:r w:rsidRPr="00C05B00">
        <w:rPr>
          <w:rFonts w:ascii="微软雅黑" w:eastAsia="微软雅黑" w:hAnsi="微软雅黑" w:hint="eastAsia"/>
          <w:color w:val="404040" w:themeColor="text1" w:themeTint="BF"/>
          <w:szCs w:val="21"/>
        </w:rPr>
        <w:t>考生必须在答题卡上与题号相对应的答题区域内答题，书写在试卷（题签）、草稿纸上或答题卡上非题号对应的答题区域的答案一律无效。</w:t>
      </w:r>
    </w:p>
    <w:p w:rsidR="001D5875" w:rsidRPr="00C05B00" w:rsidP="00F7033B" w14:textId="520122F6">
      <w:pPr>
        <w:pStyle w:val="ListParagraph"/>
        <w:numPr>
          <w:ilvl w:val="0"/>
          <w:numId w:val="29"/>
        </w:numPr>
        <w:ind w:firstLineChars="0"/>
        <w:rPr>
          <w:rFonts w:ascii="微软雅黑" w:eastAsia="微软雅黑" w:hAnsi="微软雅黑" w:cs="宋体"/>
          <w:color w:val="404040" w:themeColor="text1" w:themeTint="BF"/>
          <w:kern w:val="0"/>
          <w:szCs w:val="21"/>
        </w:rPr>
      </w:pPr>
      <w:r w:rsidRPr="00C05B00">
        <w:rPr>
          <w:rFonts w:ascii="微软雅黑" w:eastAsia="微软雅黑" w:hAnsi="微软雅黑" w:hint="eastAsia"/>
          <w:color w:val="404040" w:themeColor="text1" w:themeTint="BF"/>
          <w:szCs w:val="21"/>
        </w:rPr>
        <w:t>考试结束，考生要按照监考员的指令有序、错峰离开考场</w:t>
      </w:r>
    </w:p>
    <w:p w:rsidR="00513A70" w:rsidRPr="00C05B00" w:rsidP="00B841D5" w14:textId="66142440">
      <w:pPr>
        <w:pStyle w:val="Heading2"/>
        <w:spacing w:before="0" w:after="0"/>
        <w:rPr>
          <w:rFonts w:ascii="微软雅黑" w:eastAsia="微软雅黑" w:hAnsi="微软雅黑"/>
          <w:sz w:val="28"/>
          <w:szCs w:val="28"/>
        </w:rPr>
      </w:pPr>
      <w:r w:rsidRPr="00C05B00">
        <w:rPr>
          <w:rFonts w:ascii="微软雅黑" w:eastAsia="微软雅黑" w:hAnsi="微软雅黑" w:hint="eastAsia"/>
          <w:sz w:val="28"/>
          <w:szCs w:val="28"/>
        </w:rPr>
        <w:t>一</w:t>
      </w:r>
      <w:r w:rsidRPr="00C05B00">
        <w:rPr>
          <w:rFonts w:ascii="微软雅黑" w:eastAsia="微软雅黑" w:hAnsi="微软雅黑" w:hint="eastAsia"/>
          <w:sz w:val="28"/>
          <w:szCs w:val="28"/>
        </w:rPr>
        <w:t>、主观题</w:t>
      </w:r>
      <w:r w:rsidRPr="00C05B00">
        <w:rPr>
          <w:rFonts w:ascii="微软雅黑" w:eastAsia="微软雅黑" w:hAnsi="微软雅黑" w:hint="eastAsia"/>
          <w:b w:val="0"/>
          <w:bCs w:val="0"/>
          <w:sz w:val="28"/>
          <w:szCs w:val="28"/>
        </w:rPr>
        <w:t>（每小题</w:t>
      </w:r>
      <w:r w:rsidRPr="00C05B00">
        <w:rPr>
          <w:rFonts w:ascii="微软雅黑" w:eastAsia="微软雅黑" w:hAnsi="微软雅黑"/>
          <w:b w:val="0"/>
          <w:bCs w:val="0"/>
          <w:sz w:val="28"/>
          <w:szCs w:val="28"/>
        </w:rPr>
        <w:t xml:space="preserve">10 </w:t>
      </w:r>
      <w:r w:rsidRPr="00C05B00">
        <w:rPr>
          <w:rFonts w:ascii="微软雅黑" w:eastAsia="微软雅黑" w:hAnsi="微软雅黑" w:hint="eastAsia"/>
          <w:b w:val="0"/>
          <w:bCs w:val="0"/>
          <w:sz w:val="28"/>
          <w:szCs w:val="28"/>
        </w:rPr>
        <w:t xml:space="preserve">分，共 </w:t>
      </w:r>
      <w:r w:rsidRPr="00C05B00">
        <w:rPr>
          <w:rFonts w:ascii="微软雅黑" w:eastAsia="微软雅黑" w:hAnsi="微软雅黑"/>
          <w:b w:val="0"/>
          <w:bCs w:val="0"/>
          <w:sz w:val="28"/>
          <w:szCs w:val="28"/>
        </w:rPr>
        <w:t>100</w:t>
      </w:r>
      <w:r w:rsidRPr="00C05B00">
        <w:rPr>
          <w:rFonts w:ascii="微软雅黑" w:eastAsia="微软雅黑" w:hAnsi="微软雅黑" w:hint="eastAsia"/>
          <w:b w:val="0"/>
          <w:bCs w:val="0"/>
          <w:sz w:val="28"/>
          <w:szCs w:val="28"/>
        </w:rPr>
        <w:t>分）</w:t>
      </w:r>
      <w:r w:rsidRPr="00F95114">
        <w:rPr>
          <w:rFonts w:ascii="微软雅黑" w:eastAsia="微软雅黑" w:hAnsi="微软雅黑" w:hint="eastAsia"/>
          <w:sz w:val="24"/>
          <w:szCs w:val="24"/>
        </w:rPr>
        <w:t xml:space="preserve"> </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sz w:val="24"/>
          <w:szCs w:val="24"/>
        </w:rPr>
        <w:t xml:space="preserve">1、甲公司为一家从事服装生产和销售业务的国有控股主板上市公司。没有涉足过国内销售业务，一直从事国外经营业务。由于受国际金融危机的持续影响，甲公司境外市场销售额和利润额急剧下降，董事会经审慎研究、集体决策并报股东大会审议通过后，决定调整发展战略，迅速启动“出口转内销”战略。由于国内信用环境尚不成熟，战略调整后可能导致销售账款无法收回的风险明显增大，财务部门提议将销售方式由赊销改为现销，并在批准后实施。 </w:t>
        <w:br/>
        <w:t xml:space="preserve">要求： </w:t>
        <w:br/>
        <w:t xml:space="preserve">根据上述资料说明财务部门提议采用的风险应对策略类型及其含义。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 xml:space="preserve">根据上述资料分析该公司采用的是风险规避策略。 </w:t>
        <w:br/>
        <w:t>风险规避是指企业主动回避、停止或退出某一风险的商业活动或商业环境，避免成为风险的承受者。</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sectPr w:rsidSect="0066030B">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23"/>
          <w:cols w:space="425"/>
          <w:titlePg w:val="0"/>
          <w:docGrid w:type="lines" w:linePitch="312"/>
        </w:sectPr>
      </w:pP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sz w:val="24"/>
          <w:szCs w:val="24"/>
        </w:rPr>
        <w:t>2、会议要求公司完善信息与沟通制度。及时收集、整理与内部控制相关的内外部信息，促进信息在企业内部各层级之间，企业与外部有关方面之间的有效沟通与反馈；同时建立反舞弊机制，实施举报投诉制度和举报人保护制度，及时传达至全体中层以上员工。确保举报、投诉成为公司有效掌握信息的重要途径。</w:t>
      </w:r>
      <w:r w:rsidRPr="00F95114">
        <w:rPr>
          <w:rFonts w:ascii="微软雅黑" w:eastAsia="微软雅黑" w:hAnsi="微软雅黑"/>
          <w:sz w:val="24"/>
          <w:szCs w:val="24"/>
        </w:rPr>
        <w:t xml:space="preserve"> </w:t>
      </w:r>
      <w:r w:rsidRPr="00F95114">
        <w:rPr>
          <w:rFonts w:ascii="微软雅黑" w:eastAsia="微软雅黑" w:hAnsi="微软雅黑"/>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 xml:space="preserve">举报投诉制度和举报人保护制度仅传达至全体中层以上员工的观点不恰当。 </w:t>
        <w:br/>
        <w:t>　　理由：举报投诉制度和举报人保护制度应传达至公司全体员工。</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sz w:val="24"/>
          <w:szCs w:val="24"/>
        </w:rPr>
        <w:t xml:space="preserve">3、物资采购环节。甲公司《企业内部控制手册》规定，生产或经营工作急需时，如，生产急需用维修急件、紧急委托外部维修，使用部门应当在请购部门同意后，由采购部门实施采购。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 xml:space="preserve">物资采购环节内部控制设计不恰当。 </w:t>
        <w:br/>
        <w:t>　　理由：生产或经营工作急需时，应规定使用部门可以直接实施采购，以免影响生产经营，但事后应补充履行请购程序，并详细记录。</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sz w:val="24"/>
          <w:szCs w:val="24"/>
        </w:rPr>
        <w:t xml:space="preserve">4、甲公司产品处于快速增长的市场中且占有较高的市场份额，但公司一直无法通过生产经营活动创造稳定的正现金流量。甲公司经过市场调研做出判断，决定进一步吸引投资并扩大生产规模。甲公司希望获取银行的资金支持，并向对方提出了2亿元的借款，该借款额度将使得甲公司资产负债率达到60%；此外，甲公司决定减少股利支付额度，通过大幅度消减股利的方式来获取内部资金。 </w:t>
        <w:br/>
        <w:t xml:space="preserve">　　要求：根据资料，判断甲公司的财务行为是否合适，并说明理由。   </w:t>
      </w:r>
    </w:p>
    <w:p w:rsidR="001C6934" w:rsidRPr="00F95114" w:rsidP="00F95114" w14:textId="0479D136">
      <w:pPr>
        <w:pStyle w:val="NoSpacing"/>
        <w:jc w:val="left"/>
        <w:rPr>
          <w:rFonts w:ascii="微软雅黑" w:eastAsia="微软雅黑" w:hAnsi="微软雅黑"/>
          <w:sz w:val="24"/>
          <w:szCs w:val="24"/>
        </w:rPr>
        <w:sectPr w:rsidSect="0066030B">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24"/>
          <w:cols w:space="425"/>
          <w:titlePg w:val="0"/>
          <w:docGrid w:type="lines" w:linePitch="312"/>
        </w:sect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甲公司通过大幅增加负债融资的行为不妥；而减少股利支付额度是正确的财务行为。</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sz w:val="24"/>
          <w:szCs w:val="24"/>
          <w:highlight w:val="yellow"/>
        </w:rPr>
        <w:t xml:space="preserve"> </w:t>
        <w:br/>
        <w:t>　　理由：甲公司产品属于成长阶段，市场处于上升的过程，此时经营风险仍然较大，资金主要来源应是权益融资，不适宜大量负债融资（负债率达到60%）。而通过减少股利支付，增加内部资金来源支撑企业发展符合成长阶段的要求。</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sz w:val="24"/>
          <w:szCs w:val="24"/>
        </w:rPr>
        <w:t xml:space="preserve">5、为更好的完成2015年事业发展各项工作任务，甲事业单位新建综合业务楼提前投入使用，预计下半年能源费用大幅增加，公用经费预算出现缺口。为应对能源费用大幅度增加带来的预算支出压力，会议决定直接动用上半年度非财政补助收入超收部分120万元弥补下半年公用经费不足，并责成财务处将此预算调整事项报主管部门和同级财政部门备案。 </w:t>
        <w:br/>
        <w:t xml:space="preserve">　　要求：请判断上述处理是否正确，并说明理由。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 xml:space="preserve">此事项的处理不正确。 </w:t>
        <w:br/>
        <w:t>　　理由：基本支出预算执行中发生的非财政补助收入超收部分，原则上不再安排当年的基本支出，可报同级财政部门批准后安排项目支出或结转下年使用。</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sectPr w:rsidSect="0066030B">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25"/>
          <w:cols w:space="425"/>
          <w:titlePg w:val="0"/>
          <w:docGrid w:type="lines" w:linePitch="312"/>
        </w:sectPr>
      </w:pPr>
      <w:r w:rsidRPr="00F95114">
        <w:rPr>
          <w:rFonts w:ascii="微软雅黑" w:eastAsia="微软雅黑" w:hAnsi="微软雅黑"/>
          <w:sz w:val="24"/>
          <w:szCs w:val="24"/>
        </w:rPr>
        <w:t>6、（2018年）甲公司为剥离辅业，于2017年5月19日与非关联方企业丙公司签订“一揽子”不可撤销股权转让协议，将全资子公司D转让给丙公司，转让价款为1.5亿元。根据协议，丙公司分两次支付股权转让款，第一次在2017年12月31日前支付0.5亿元，取得D公司20%有表决权的股份；第二次在2018年6月30日前支付1亿元，取得D公司80%有表决权的股份。2017年12月27日，甲公司收到丙公司支付的股权转让款0.5亿元，并将D公司20%有表决权的股份交割给丙公司，股权变更登记手续办理完毕。</w:t>
      </w:r>
      <w:r w:rsidRPr="00F95114">
        <w:rPr>
          <w:rFonts w:ascii="微软雅黑" w:eastAsia="微软雅黑" w:hAnsi="微软雅黑"/>
          <w:sz w:val="24"/>
          <w:szCs w:val="24"/>
        </w:rPr>
        <w:t xml:space="preserve"> </w:t>
        <w:br/>
        <w:t>　　据此，甲公司所作的部分会计处理如下：</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sz w:val="24"/>
          <w:szCs w:val="24"/>
        </w:rPr>
        <w:t xml:space="preserve"> </w:t>
        <w:br/>
        <w:t>　　在2017年度合并财务报表中，将处置价款与处置投资对应的享有D公司自购买日开始持续计算的净资产账在价值份额的差额确认为资本公积。</w:t>
      </w:r>
      <w:r w:rsidRPr="00F95114">
        <w:rPr>
          <w:rFonts w:ascii="微软雅黑" w:eastAsia="微软雅黑" w:hAnsi="微软雅黑"/>
          <w:sz w:val="24"/>
          <w:szCs w:val="24"/>
        </w:rPr>
        <w:t xml:space="preserve"> </w:t>
        <w:br/>
        <w:t>　　假定不考虑相关税费等其他因素。</w:t>
      </w:r>
      <w:r w:rsidRPr="00F95114">
        <w:rPr>
          <w:rFonts w:ascii="微软雅黑" w:eastAsia="微软雅黑" w:hAnsi="微软雅黑"/>
          <w:sz w:val="24"/>
          <w:szCs w:val="24"/>
        </w:rPr>
        <w:t xml:space="preserve"> </w:t>
        <w:br/>
        <w:t>　　要求：</w:t>
      </w:r>
      <w:r w:rsidRPr="00F95114">
        <w:rPr>
          <w:rFonts w:ascii="微软雅黑" w:eastAsia="微软雅黑" w:hAnsi="微软雅黑"/>
          <w:sz w:val="24"/>
          <w:szCs w:val="24"/>
        </w:rPr>
        <w:t xml:space="preserve"> </w:t>
        <w:br/>
        <w:t>　　根据资料，判断甲公司所作的会计处理是否正确；如不正确，指出正确的会计处理。</w:t>
      </w:r>
      <w:r w:rsidRPr="00F95114">
        <w:rPr>
          <w:rFonts w:ascii="微软雅黑" w:eastAsia="微软雅黑" w:hAnsi="微软雅黑"/>
          <w:sz w:val="24"/>
          <w:szCs w:val="24"/>
        </w:rPr>
        <w:t xml:space="preserve"> </w:t>
      </w:r>
      <w:r w:rsidRPr="00F95114">
        <w:rPr>
          <w:rFonts w:ascii="微软雅黑" w:eastAsia="微软雅黑" w:hAnsi="微软雅黑"/>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 xml:space="preserve">会计处理不正确。 </w:t>
        <w:br/>
        <w:t>　　正确的会计处理：因甲公司处置D公司的交易属于“一揽子”交易，处置价款与处置投资对应的享有D公司自购买日开始持续计算的净资产份额的差额，在合并财务报表中应确认为其他综合收益，在丧失控制权时一并转入丧失控制权当期的损益。</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sz w:val="24"/>
          <w:szCs w:val="24"/>
        </w:rPr>
        <w:t xml:space="preserve">7、假设某公司需要对A、B两个投资项目进行决策，现金流量及相关资料如下表： </w:t>
        <w:br/>
        <w:br/>
        <w:t xml:space="preserve">注：（1）假设项目A与项目B都具有相同的风险；（2）假定现金流量均在年末发生且初始投资以负号表示。 </w:t>
        <w:br/>
        <w:t xml:space="preserve">要求：计算两个项目的非折现回收期。   </w:t>
      </w:r>
    </w:p>
    <w:p w:rsidR="001C6934" w:rsidRPr="00F95114" w:rsidP="00F95114" w14:textId="0479D136">
      <w:pPr>
        <w:pStyle w:val="NoSpacing"/>
        <w:jc w:val="left"/>
        <w:rPr>
          <w:rFonts w:ascii="微软雅黑" w:eastAsia="微软雅黑" w:hAnsi="微软雅黑"/>
          <w:sz w:val="24"/>
          <w:szCs w:val="24"/>
        </w:rPr>
        <w:sectPr w:rsidSect="0066030B">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26"/>
          <w:cols w:space="425"/>
          <w:titlePg w:val="0"/>
          <w:docGrid w:type="lines" w:linePitch="312"/>
        </w:sect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（1）计算项目A的非折现回收期</w:t>
      </w:r>
      <w:r w:rsidRPr="00F95114">
        <w:rPr>
          <w:rFonts w:ascii="微软雅黑" w:eastAsia="微软雅黑" w:hAnsi="微软雅黑"/>
          <w:sz w:val="24"/>
          <w:szCs w:val="24"/>
          <w:highlight w:val="yellow"/>
        </w:rPr>
        <w:t xml:space="preserve"> </w:t>
        <w:br/>
        <w:br/>
        <w:t>非折现回收期=2＋100/300=2.33（年）</w:t>
      </w:r>
      <w:r w:rsidRPr="00F95114">
        <w:rPr>
          <w:rFonts w:ascii="微软雅黑" w:eastAsia="微软雅黑" w:hAnsi="微软雅黑"/>
          <w:sz w:val="24"/>
          <w:szCs w:val="24"/>
          <w:highlight w:val="yellow"/>
        </w:rPr>
        <w:t xml:space="preserve"> </w:t>
        <w:br/>
        <w:t>（2）计算项目B的非折现回收期</w:t>
      </w:r>
      <w:r w:rsidRPr="00F95114">
        <w:rPr>
          <w:rFonts w:ascii="微软雅黑" w:eastAsia="微软雅黑" w:hAnsi="微软雅黑"/>
          <w:sz w:val="24"/>
          <w:szCs w:val="24"/>
          <w:highlight w:val="yellow"/>
        </w:rPr>
        <w:t xml:space="preserve"> </w:t>
        <w:br/>
        <w:br/>
        <w:t>非折现回收期=3+200/600=3.33（年）</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sz w:val="24"/>
          <w:szCs w:val="24"/>
          <w:highlight w:val="yellow"/>
        </w:rPr>
        <w:t xml:space="preserve"> </w:t>
        <w:br/>
        <w:t>结论：如果A、B为独立项目，则A优于B；如果为互斥项目，则应选择A。</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sz w:val="24"/>
          <w:szCs w:val="24"/>
        </w:rPr>
        <w:t xml:space="preserve">8、某国际快餐连锁公司宣布在印度开设连锁店，经过对宏观环境的分析，该公司决定在该地区只出售猪肉汉堡、鸡肉汉堡和鱼肉汉堡，不出售牛肉汉堡。 </w:t>
        <w:br/>
        <w:t xml:space="preserve">　　要求：指出宏观环境分析中需要考虑的关键因素有哪些？该公司的决定是基于哪一个因素的考虑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 xml:space="preserve">宏观环境分析中关键因素包括：政治环境因素、经济环境因素、社会环境因素、技术环境因素、生态环境因素和法律环境因素。 </w:t>
        <w:br/>
        <w:t>　　该公司的决定是基于对社会环境因素的考虑。</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sectPr w:rsidSect="0066030B">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27"/>
          <w:cols w:space="425"/>
          <w:titlePg w:val="0"/>
          <w:docGrid w:type="lines" w:linePitch="312"/>
        </w:sectPr>
      </w:pPr>
      <w:r w:rsidRPr="00F95114">
        <w:rPr>
          <w:rFonts w:ascii="微软雅黑" w:eastAsia="微软雅黑" w:hAnsi="微软雅黑"/>
          <w:sz w:val="24"/>
          <w:szCs w:val="24"/>
        </w:rPr>
        <w:t>9、甲、乙公司为国内主要的笔记本电脑生产商。甲公司规模较大，市场占有率和知名度较高。乙公司通过3年前改组后，转产笔记本电脑，规模较小，资金上存在一定问题，销售渠道不畅。但是，乙公司拥有一项生产笔记本电脑的关键技术，而且属于未来笔记本电脑的发展方向。甲公司财务状况良好，资金充足，是金融机构比较信赖的企业，管理层的战略目标是将甲公司发展成为行业的主导企业，在市场份额和技术上取得绝对优势地位。2018年12月，甲公司开始积极筹备并购乙公司。</w:t>
      </w:r>
      <w:r w:rsidRPr="00F95114">
        <w:rPr>
          <w:rFonts w:ascii="微软雅黑" w:eastAsia="微软雅黑" w:hAnsi="微软雅黑"/>
          <w:sz w:val="24"/>
          <w:szCs w:val="24"/>
        </w:rPr>
        <w:t xml:space="preserve"> </w:t>
        <w:br/>
        <w:t>　　（1）乙公司最近3年每年税后利润分别为3000万元、3200万元和4000万元，其中4000万元税后利润中包含了处置长期闲置的生产设备的税前收益为1100万元。乙公司的所得税税率为25%，与乙公司有高度可比性的另一家笔记本电脑生产商的市盈率指标为20。</w:t>
      </w:r>
      <w:r w:rsidRPr="00F95114">
        <w:rPr>
          <w:rFonts w:ascii="微软雅黑" w:eastAsia="微软雅黑" w:hAnsi="微软雅黑"/>
          <w:sz w:val="24"/>
          <w:szCs w:val="24"/>
        </w:rPr>
        <w:t xml:space="preserve"> </w:t>
        <w:br/>
        <w:t>　　（2）甲公司欲以6亿元的价格收购乙公司100%的股权。甲公司的估计价值为12亿元，甲公司收购乙公司后，预计新公司的价值将达到19亿元。甲公司预计除收购价款外，还要支付收购审计费用等中介费用0.45亿元。</w:t>
      </w:r>
    </w:p>
    <w:p w:rsidR="00513A70" w:rsidRPr="00F95114" w:rsidP="00F95114" w14:textId="367312E3">
      <w:pPr>
        <w:pStyle w:val="NoSpacing"/>
        <w:jc w:val="left"/>
        <w:rPr>
          <w:rFonts w:ascii="微软雅黑" w:eastAsia="微软雅黑" w:hAnsi="微软雅黑"/>
          <w:sz w:val="24"/>
          <w:szCs w:val="24"/>
        </w:rPr>
      </w:pPr>
      <w:r w:rsidRPr="00F95114">
        <w:rPr>
          <w:rFonts w:ascii="微软雅黑" w:eastAsia="微软雅黑" w:hAnsi="微软雅黑"/>
          <w:sz w:val="24"/>
          <w:szCs w:val="24"/>
        </w:rPr>
        <w:t xml:space="preserve"> </w:t>
        <w:br/>
        <w:t>　　要求：</w:t>
      </w:r>
      <w:r w:rsidRPr="00F95114">
        <w:rPr>
          <w:rFonts w:ascii="微软雅黑" w:eastAsia="微软雅黑" w:hAnsi="微软雅黑"/>
          <w:sz w:val="24"/>
          <w:szCs w:val="24"/>
        </w:rPr>
        <w:t xml:space="preserve"> </w:t>
        <w:br/>
        <w:t>　　1.从行业相关性角度，判断甲公司并购乙公司的类型，并说明理由。</w:t>
      </w:r>
      <w:r w:rsidRPr="00F95114">
        <w:rPr>
          <w:rFonts w:ascii="微软雅黑" w:eastAsia="微软雅黑" w:hAnsi="微软雅黑"/>
          <w:sz w:val="24"/>
          <w:szCs w:val="24"/>
        </w:rPr>
        <w:t xml:space="preserve"> </w:t>
        <w:br/>
        <w:t>　　2.从经营协同效应的角度，指出甲公司并购乙公司的并购动机。</w:t>
      </w:r>
      <w:r w:rsidRPr="00F95114">
        <w:rPr>
          <w:rFonts w:ascii="微软雅黑" w:eastAsia="微软雅黑" w:hAnsi="微软雅黑"/>
          <w:sz w:val="24"/>
          <w:szCs w:val="24"/>
        </w:rPr>
        <w:t xml:space="preserve"> </w:t>
        <w:br/>
        <w:t>　　3.以市盈率为乘数，以近三年税后利润平均值为依据，运用可比企业分析法评估乙公司的价值，计算并购收益和并购净收益并作出并购决策。</w:t>
      </w:r>
      <w:r w:rsidRPr="00F95114">
        <w:rPr>
          <w:rFonts w:ascii="微软雅黑" w:eastAsia="微软雅黑" w:hAnsi="微软雅黑"/>
          <w:sz w:val="24"/>
          <w:szCs w:val="24"/>
        </w:rPr>
        <w:t xml:space="preserve"> </w:t>
      </w:r>
      <w:r w:rsidRPr="00F95114">
        <w:rPr>
          <w:rFonts w:ascii="微软雅黑" w:eastAsia="微软雅黑" w:hAnsi="微软雅黑"/>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 xml:space="preserve">1.该并购属于横向并购。 </w:t>
        <w:br/>
        <w:t xml:space="preserve">　　理由：双方均为笔记本电脑生产商，处于同一行业，属于横向并购。 </w:t>
        <w:br/>
        <w:t xml:space="preserve">　　2.并购动机：规模经济；获取市场力或垄断权；资源互补。 </w:t>
        <w:br/>
        <w:t xml:space="preserve">　　3.调整后的平均税后利润＝[3000＋3200＋4000－1100×（1－25%）]/3＝3125（万元） </w:t>
        <w:br/>
        <w:t xml:space="preserve">　　乙公司的价值=3125×20=62500（万元） </w:t>
        <w:br/>
        <w:t xml:space="preserve">　　并购收益＝19－（12＋6.25）＝0.75（亿元） </w:t>
        <w:br/>
        <w:t xml:space="preserve">　　并购溢价＝6－6.25＝－0.25（亿元） </w:t>
        <w:br/>
        <w:t xml:space="preserve">　　并购净收益＝0.75＋0.25－0.45＝0.55（亿元） </w:t>
        <w:br/>
        <w:t>　　甲公司并购乙公司后能够产生0.55亿元的并购净收益，从财务管理角度分析，此项并购交易是可行的。</w:t>
      </w:r>
      <w:r w:rsidRPr="00F95114">
        <w:rPr>
          <w:rFonts w:ascii="微软雅黑" w:eastAsia="微软雅黑" w:hAnsi="微软雅黑" w:hint="eastAsia"/>
          <w:sz w:val="24"/>
          <w:szCs w:val="24"/>
        </w:rPr>
        <w:t xml:space="preserve"> </w:t>
      </w:r>
    </w:p>
    <w:p w:rsidR="00513A70" w:rsidRPr="00F95114" w:rsidP="00F95114" w14:textId="367312E3">
      <w:pPr>
        <w:pStyle w:val="NoSpacing"/>
        <w:jc w:val="left"/>
        <w:rPr>
          <w:rFonts w:ascii="微软雅黑" w:eastAsia="微软雅黑" w:hAnsi="微软雅黑"/>
          <w:sz w:val="24"/>
          <w:szCs w:val="24"/>
        </w:rPr>
        <w:sectPr w:rsidSect="0066030B">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28"/>
          <w:cols w:space="425"/>
          <w:titlePg w:val="0"/>
          <w:docGrid w:type="lines" w:linePitch="312"/>
        </w:sectPr>
      </w:pPr>
      <w:r w:rsidRPr="00F95114">
        <w:rPr>
          <w:rFonts w:ascii="微软雅黑" w:eastAsia="微软雅黑" w:hAnsi="微软雅黑"/>
          <w:sz w:val="24"/>
          <w:szCs w:val="24"/>
        </w:rPr>
        <w:t>10、甲单位为一家省级事业单位，自2019年1月1日起执行政府会计准则制度，并按其所在省财政厅要求执行中央级事业单位部门预算管理规定。2019年年初，甲单位财务处组织了一次政府会计实务专题培训。在培训开始前，财务处要求全体学员结合本岗位工作提出需要讨论的业务及相应的处理建议。部分学员提交的业务内容及相应建议摘录如下：</w:t>
      </w:r>
    </w:p>
    <w:p w:rsidR="00513A70" w:rsidRPr="00F95114" w:rsidP="00F95114" w14:textId="367312E3">
      <w:pPr>
        <w:pStyle w:val="NoSpacing"/>
        <w:jc w:val="left"/>
        <w:rPr>
          <w:rFonts w:ascii="微软雅黑" w:eastAsia="微软雅黑" w:hAnsi="微软雅黑"/>
          <w:sz w:val="24"/>
          <w:szCs w:val="24"/>
        </w:rPr>
        <w:sectPr w:rsidSect="0066030B">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29"/>
          <w:cols w:space="425"/>
          <w:titlePg w:val="0"/>
          <w:docGrid w:type="lines" w:linePitch="312"/>
        </w:sectPr>
      </w:pPr>
      <w:r w:rsidRPr="00F95114">
        <w:rPr>
          <w:rFonts w:ascii="微软雅黑" w:eastAsia="微软雅黑" w:hAnsi="微软雅黑"/>
          <w:sz w:val="24"/>
          <w:szCs w:val="24"/>
        </w:rPr>
        <w:t xml:space="preserve"> </w:t>
        <w:br/>
        <w:t>（1）陈某：本单位经批准对因地震导致楼体严重受损的办公楼进行改建，并且改建完成后可延长办公楼使用年限。与施工方的合同约定，工程款按工程进度结算，在满足付款条件时施工方开具发票，甲单位当即足额支付。据此，本单位收到发票并支付工程款时，建议在财务会计中计入当期费用，在预算会计中计入当期预算支出。</w:t>
      </w:r>
      <w:r w:rsidRPr="00F95114">
        <w:rPr>
          <w:rFonts w:ascii="微软雅黑" w:eastAsia="微软雅黑" w:hAnsi="微软雅黑"/>
          <w:sz w:val="24"/>
          <w:szCs w:val="24"/>
        </w:rPr>
        <w:t xml:space="preserve"> </w:t>
        <w:br/>
        <w:t>（2）刘某：本单位因故将与聘期尚未届满的王某解除劳动关系。经双方协商，本单位需支付给王某一定数额的补偿款。根据本单位内部控制制度规定，因解除劳动关系给予的补偿金额需报经单位领导班子集体研究决定。据此，解除与王某劳动关系的补偿金额报经批准时，建议在财务会计中计入当期费用，在预算会计中计入当期预算支出。</w:t>
      </w:r>
      <w:r w:rsidRPr="00F95114">
        <w:rPr>
          <w:rFonts w:ascii="微软雅黑" w:eastAsia="微软雅黑" w:hAnsi="微软雅黑"/>
          <w:sz w:val="24"/>
          <w:szCs w:val="24"/>
        </w:rPr>
        <w:t xml:space="preserve"> </w:t>
        <w:br/>
        <w:t>（3）赵某：上级主管部门拟下发通知，要求本单位将已上报为财政拨款结余的财政资金，自接到通知之日起10个工作日内予以上缴，由上级主管部门统筹安排。据此，本单位接到通知并上缴资金时，建议在财务会计中减少净资产，在预算会计中减少预算结余。</w:t>
      </w:r>
      <w:r w:rsidRPr="00F95114">
        <w:rPr>
          <w:rFonts w:ascii="微软雅黑" w:eastAsia="微软雅黑" w:hAnsi="微软雅黑"/>
          <w:sz w:val="24"/>
          <w:szCs w:val="24"/>
        </w:rPr>
        <w:t xml:space="preserve"> </w:t>
        <w:br/>
        <w:t>假定不考虑其他因素。</w:t>
      </w:r>
      <w:r w:rsidRPr="00F95114">
        <w:rPr>
          <w:rFonts w:ascii="微软雅黑" w:eastAsia="微软雅黑" w:hAnsi="微软雅黑"/>
          <w:sz w:val="24"/>
          <w:szCs w:val="24"/>
        </w:rPr>
        <w:t xml:space="preserve"> </w:t>
        <w:br/>
        <w:t>要求：</w:t>
      </w:r>
      <w:r w:rsidRPr="00F95114">
        <w:rPr>
          <w:rFonts w:ascii="微软雅黑" w:eastAsia="微软雅黑" w:hAnsi="微软雅黑"/>
          <w:sz w:val="24"/>
          <w:szCs w:val="24"/>
        </w:rPr>
        <w:t xml:space="preserve"> </w:t>
        <w:br/>
        <w:t>根据政府会计准则制度有关规定，回答下列问题：</w:t>
      </w:r>
      <w:r w:rsidRPr="00F95114">
        <w:rPr>
          <w:rFonts w:ascii="微软雅黑" w:eastAsia="微软雅黑" w:hAnsi="微软雅黑"/>
          <w:sz w:val="24"/>
          <w:szCs w:val="24"/>
        </w:rPr>
        <w:t xml:space="preserve"> </w:t>
        <w:br/>
        <w:t>（1）分别判断事项（1）建议中财务会计、预算会计的处理是否正确；如不正确，说明理由。</w:t>
      </w:r>
      <w:r w:rsidRPr="00F95114">
        <w:rPr>
          <w:rFonts w:ascii="微软雅黑" w:eastAsia="微软雅黑" w:hAnsi="微软雅黑"/>
          <w:sz w:val="24"/>
          <w:szCs w:val="24"/>
        </w:rPr>
        <w:t xml:space="preserve"> </w:t>
        <w:br/>
        <w:t>（2）分别判断事项（2）建议中财务会计、预算会计的处理是否正确；如不正确，说明理由。</w:t>
      </w:r>
      <w:r w:rsidRPr="00F95114">
        <w:rPr>
          <w:rFonts w:ascii="微软雅黑" w:eastAsia="微软雅黑" w:hAnsi="微软雅黑"/>
          <w:sz w:val="24"/>
          <w:szCs w:val="24"/>
        </w:rPr>
        <w:t xml:space="preserve"> </w:t>
        <w:br/>
        <w:t>（3）分别判断事项（3）建议中财务会计、预算会计的处理是否正确；如不正确，说明理由。</w:t>
      </w:r>
      <w:r w:rsidRPr="00F95114">
        <w:rPr>
          <w:rFonts w:ascii="微软雅黑" w:eastAsia="微软雅黑" w:hAnsi="微软雅黑"/>
          <w:sz w:val="24"/>
          <w:szCs w:val="24"/>
        </w:rPr>
        <w:t xml:space="preserve"> </w:t>
      </w:r>
      <w:r w:rsidRPr="00F95114">
        <w:rPr>
          <w:rFonts w:ascii="微软雅黑" w:eastAsia="微软雅黑" w:hAnsi="微软雅黑"/>
          <w:sz w:val="24"/>
          <w:szCs w:val="24"/>
        </w:rPr>
        <w:t xml:space="preserve"> </w:t>
      </w:r>
      <w:r w:rsidRPr="00F95114">
        <w:rPr>
          <w:rFonts w:ascii="微软雅黑" w:eastAsia="微软雅黑" w:hAnsi="微软雅黑"/>
          <w:sz w:val="24"/>
          <w:szCs w:val="24"/>
        </w:rPr>
        <w:t xml:space="preserve"> </w:t>
      </w:r>
    </w:p>
    <w:p w:rsidR="001C6934" w:rsidRPr="00F95114" w:rsidP="00F95114" w14:textId="0479D136">
      <w:pPr>
        <w:pStyle w:val="NoSpacing"/>
        <w:jc w:val="left"/>
        <w:rPr>
          <w:rFonts w:ascii="微软雅黑" w:eastAsia="微软雅黑" w:hAnsi="微软雅黑"/>
          <w:sz w:val="24"/>
          <w:szCs w:val="24"/>
        </w:rPr>
      </w:pPr>
      <w:r w:rsidRPr="00F95114">
        <w:rPr>
          <w:rFonts w:ascii="微软雅黑" w:eastAsia="微软雅黑" w:hAnsi="微软雅黑" w:hint="eastAsia"/>
          <w:sz w:val="24"/>
          <w:szCs w:val="24"/>
          <w:highlight w:val="yellow"/>
        </w:rPr>
        <w:t>【</w:t>
      </w:r>
      <w:r w:rsidRPr="00F95114">
        <w:rPr>
          <w:rFonts w:ascii="微软雅黑" w:eastAsia="微软雅黑" w:hAnsi="微软雅黑" w:hint="eastAsia"/>
          <w:b/>
          <w:bCs/>
          <w:sz w:val="24"/>
          <w:szCs w:val="24"/>
          <w:highlight w:val="yellow"/>
        </w:rPr>
        <w:t>答</w:t>
      </w:r>
      <w:r w:rsidRPr="00F95114">
        <w:rPr>
          <w:rFonts w:ascii="微软雅黑" w:eastAsia="微软雅黑" w:hAnsi="微软雅黑" w:hint="eastAsia"/>
          <w:sz w:val="24"/>
          <w:szCs w:val="24"/>
          <w:highlight w:val="yellow"/>
        </w:rPr>
        <w:t>案】</w:t>
      </w:r>
      <w:r w:rsidRPr="00F95114">
        <w:rPr>
          <w:rFonts w:ascii="微软雅黑" w:eastAsia="微软雅黑" w:hAnsi="微软雅黑"/>
          <w:sz w:val="24"/>
          <w:szCs w:val="24"/>
          <w:highlight w:val="yellow"/>
        </w:rPr>
        <w:t xml:space="preserve">（1）事项（1）的建议中财务会计的处理不正确，预算会计的处理正确。 </w:t>
        <w:br/>
        <w:t xml:space="preserve">理由：在财务会计中确认为资产。 </w:t>
        <w:br/>
        <w:t xml:space="preserve">或：在财务会计中计入在建工程。 </w:t>
        <w:br/>
        <w:t xml:space="preserve">或：在财务会计中计入固定资产成本。 </w:t>
        <w:br/>
        <w:t xml:space="preserve">或：在财务会计中予以资本化。 </w:t>
        <w:br/>
        <w:t xml:space="preserve">（2）事项（2）的建议中财务会计的处理正确，预算会计的处理不正确。 </w:t>
        <w:br/>
        <w:t xml:space="preserve">理由：在预算会计中不需做相关会计处理。 </w:t>
        <w:br/>
        <w:t xml:space="preserve">（3）事项（3）的建议中财务会计的处理正确，预算会计的处理正确。  </w:t>
      </w:r>
      <w:r w:rsidRPr="00F95114">
        <w:rPr>
          <w:rFonts w:ascii="微软雅黑" w:eastAsia="微软雅黑" w:hAnsi="微软雅黑"/>
          <w:sz w:val="24"/>
          <w:szCs w:val="24"/>
        </w:rPr>
        <w:br/>
      </w:r>
      <w:r w:rsidRPr="00F95114">
        <w:rPr>
          <w:rFonts w:ascii="微软雅黑" w:eastAsia="微软雅黑" w:hAnsi="微软雅黑"/>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rPr>
          <w:t>https://d.book118.com/595142340314011114</w:t>
        </w:r>
      </w:hyperlink>
    </w:p>
    <w:p w:rsidR="001C6934" w:rsidRPr="00F95114" w:rsidP="00F95114">
      <w:pPr>
        <w:pStyle w:val="NoSpacing"/>
        <w:jc w:val="left"/>
        <w:rPr>
          <w:rFonts w:ascii="微软雅黑" w:eastAsia="微软雅黑" w:hAnsi="微软雅黑"/>
          <w:sz w:val="24"/>
          <w:szCs w:val="24"/>
        </w:rPr>
      </w:pPr>
    </w:p>
    <w:sectPr w:rsidSect="0066030B">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Borders w:offsetFrom="page">
        <w:top w:val="threeDEngrave" w:sz="24" w:space="24" w:color="auto"/>
        <w:left w:val="threeDEngrave" w:sz="24" w:space="24" w:color="auto"/>
        <w:bottom w:val="threeDEmboss" w:sz="24" w:space="24" w:color="auto"/>
        <w:right w:val="threeDEmboss" w:sz="24" w:space="24" w:color="auto"/>
      </w:pgBorders>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paraId="69935B4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01583165"/>
      <w:docPartObj>
        <w:docPartGallery w:val="Page Numbers (Bottom of Page)"/>
        <w:docPartUnique/>
      </w:docPartObj>
    </w:sdtPr>
    <w:sdtContent>
      <w:sdt>
        <w:sdtPr>
          <w:id w:val="-1705238520"/>
          <w:docPartObj>
            <w:docPartGallery w:val="Page Numbers (Top of Page)"/>
            <w:docPartUnique/>
          </w:docPartObj>
        </w:sdtPr>
        <w:sdtContent>
          <w:p w:rsidR="000D00B8" w14:paraId="050E1FBB"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48</w:t>
            </w:r>
            <w:r>
              <w:rPr>
                <w:b/>
                <w:bCs/>
                <w:sz w:val="24"/>
                <w:szCs w:val="24"/>
              </w:rPr>
              <w:fldChar w:fldCharType="end"/>
            </w:r>
          </w:p>
        </w:sdtContent>
      </w:sdt>
    </w:sdtContent>
  </w:sdt>
  <w:p w:rsidR="00250606" w14:paraId="04C8AA9F" w14:textId="2E155FE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paraId="186E0F7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76417068"/>
      <w:docPartObj>
        <w:docPartGallery w:val="Page Numbers (Bottom of Page)"/>
        <w:docPartUnique/>
      </w:docPartObj>
    </w:sdtPr>
    <w:sdtContent>
      <w:sdt>
        <w:sdtPr>
          <w:id w:val="507530026"/>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48</w:t>
            </w:r>
            <w:r>
              <w:rPr>
                <w:b/>
                <w:bCs/>
                <w:sz w:val="24"/>
                <w:szCs w:val="24"/>
              </w:rPr>
              <w:fldChar w:fldCharType="end"/>
            </w:r>
          </w:p>
        </w:sdtContent>
      </w:sdt>
    </w:sdtContent>
  </w:sdt>
  <w:p w:rsidR="00250606" w14:textId="2E155FE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50427988"/>
      <w:docPartObj>
        <w:docPartGallery w:val="Page Numbers (Bottom of Page)"/>
        <w:docPartUnique/>
      </w:docPartObj>
    </w:sdtPr>
    <w:sdtContent>
      <w:sdt>
        <w:sdtPr>
          <w:id w:val="1052506966"/>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48</w:t>
            </w:r>
            <w:r>
              <w:rPr>
                <w:b/>
                <w:bCs/>
                <w:sz w:val="24"/>
                <w:szCs w:val="24"/>
              </w:rPr>
              <w:fldChar w:fldCharType="end"/>
            </w:r>
          </w:p>
        </w:sdtContent>
      </w:sdt>
    </w:sdtContent>
  </w:sdt>
  <w:p w:rsidR="00250606" w14:textId="2E155FE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3577674"/>
      <w:docPartObj>
        <w:docPartGallery w:val="Page Numbers (Bottom of Page)"/>
        <w:docPartUnique/>
      </w:docPartObj>
    </w:sdtPr>
    <w:sdtContent>
      <w:sdt>
        <w:sdtPr>
          <w:id w:val="1834393288"/>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48</w:t>
            </w:r>
            <w:r>
              <w:rPr>
                <w:b/>
                <w:bCs/>
                <w:sz w:val="24"/>
                <w:szCs w:val="24"/>
              </w:rPr>
              <w:fldChar w:fldCharType="end"/>
            </w:r>
          </w:p>
        </w:sdtContent>
      </w:sdt>
    </w:sdtContent>
  </w:sdt>
  <w:p w:rsidR="00250606" w14:textId="2E155FE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76971121"/>
      <w:docPartObj>
        <w:docPartGallery w:val="Page Numbers (Bottom of Page)"/>
        <w:docPartUnique/>
      </w:docPartObj>
    </w:sdtPr>
    <w:sdtContent>
      <w:sdt>
        <w:sdtPr>
          <w:id w:val="57649757"/>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48</w:t>
            </w:r>
            <w:r>
              <w:rPr>
                <w:b/>
                <w:bCs/>
                <w:sz w:val="24"/>
                <w:szCs w:val="24"/>
              </w:rPr>
              <w:fldChar w:fldCharType="end"/>
            </w:r>
          </w:p>
        </w:sdtContent>
      </w:sdt>
    </w:sdtContent>
  </w:sdt>
  <w:p w:rsidR="00250606" w14:textId="2E155FE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12432084"/>
      <w:docPartObj>
        <w:docPartGallery w:val="Page Numbers (Bottom of Page)"/>
        <w:docPartUnique/>
      </w:docPartObj>
    </w:sdtPr>
    <w:sdtContent>
      <w:sdt>
        <w:sdtPr>
          <w:id w:val="338388717"/>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48</w:t>
            </w:r>
            <w:r>
              <w:rPr>
                <w:b/>
                <w:bCs/>
                <w:sz w:val="24"/>
                <w:szCs w:val="24"/>
              </w:rPr>
              <w:fldChar w:fldCharType="end"/>
            </w:r>
          </w:p>
        </w:sdtContent>
      </w:sdt>
    </w:sdtContent>
  </w:sdt>
  <w:p w:rsidR="00250606" w14:textId="2E155FE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11816206"/>
      <w:docPartObj>
        <w:docPartGallery w:val="Page Numbers (Bottom of Page)"/>
        <w:docPartUnique/>
      </w:docPartObj>
    </w:sdtPr>
    <w:sdtContent>
      <w:sdt>
        <w:sdtPr>
          <w:id w:val="9506271"/>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48</w:t>
            </w:r>
            <w:r>
              <w:rPr>
                <w:b/>
                <w:bCs/>
                <w:sz w:val="24"/>
                <w:szCs w:val="24"/>
              </w:rPr>
              <w:fldChar w:fldCharType="end"/>
            </w:r>
          </w:p>
        </w:sdtContent>
      </w:sdt>
    </w:sdtContent>
  </w:sdt>
  <w:p w:rsidR="00250606" w14:textId="2E155FE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70547612"/>
      <w:docPartObj>
        <w:docPartGallery w:val="Page Numbers (Bottom of Page)"/>
        <w:docPartUnique/>
      </w:docPartObj>
    </w:sdtPr>
    <w:sdtContent>
      <w:sdt>
        <w:sdtPr>
          <w:id w:val="1983226305"/>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48</w:t>
            </w:r>
            <w:r>
              <w:rPr>
                <w:b/>
                <w:bCs/>
                <w:sz w:val="24"/>
                <w:szCs w:val="24"/>
              </w:rPr>
              <w:fldChar w:fldCharType="end"/>
            </w:r>
          </w:p>
        </w:sdtContent>
      </w:sdt>
    </w:sdtContent>
  </w:sdt>
  <w:p w:rsidR="00250606" w14:textId="2E155FE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53541315"/>
      <w:docPartObj>
        <w:docPartGallery w:val="Page Numbers (Bottom of Page)"/>
        <w:docPartUnique/>
      </w:docPartObj>
    </w:sdtPr>
    <w:sdtContent>
      <w:sdt>
        <w:sdtPr>
          <w:id w:val="2114703921"/>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48</w:t>
            </w:r>
            <w:r>
              <w:rPr>
                <w:b/>
                <w:bCs/>
                <w:sz w:val="24"/>
                <w:szCs w:val="24"/>
              </w:rPr>
              <w:fldChar w:fldCharType="end"/>
            </w:r>
          </w:p>
        </w:sdtContent>
      </w:sdt>
    </w:sdtContent>
  </w:sdt>
  <w:p w:rsidR="00250606" w14:textId="2E155FE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51815872"/>
      <w:docPartObj>
        <w:docPartGallery w:val="Page Numbers (Bottom of Page)"/>
        <w:docPartUnique/>
      </w:docPartObj>
    </w:sdtPr>
    <w:sdtContent>
      <w:sdt>
        <w:sdtPr>
          <w:id w:val="2136396733"/>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48</w:t>
            </w:r>
            <w:r>
              <w:rPr>
                <w:b/>
                <w:bCs/>
                <w:sz w:val="24"/>
                <w:szCs w:val="24"/>
              </w:rPr>
              <w:fldChar w:fldCharType="end"/>
            </w:r>
          </w:p>
        </w:sdtContent>
      </w:sdt>
    </w:sdtContent>
  </w:sdt>
  <w:p w:rsidR="00250606" w14:textId="2E155FE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52328372"/>
      <w:docPartObj>
        <w:docPartGallery w:val="Page Numbers (Bottom of Page)"/>
        <w:docPartUnique/>
      </w:docPartObj>
    </w:sdtPr>
    <w:sdtContent>
      <w:sdt>
        <w:sdtPr>
          <w:id w:val="1385125630"/>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48</w:t>
            </w:r>
            <w:r>
              <w:rPr>
                <w:b/>
                <w:bCs/>
                <w:sz w:val="24"/>
                <w:szCs w:val="24"/>
              </w:rPr>
              <w:fldChar w:fldCharType="end"/>
            </w:r>
          </w:p>
        </w:sdtContent>
      </w:sdt>
    </w:sdtContent>
  </w:sdt>
  <w:p w:rsidR="00250606" w14:textId="2E155FE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24662979"/>
      <w:docPartObj>
        <w:docPartGallery w:val="Page Numbers (Bottom of Page)"/>
        <w:docPartUnique/>
      </w:docPartObj>
    </w:sdtPr>
    <w:sdtContent>
      <w:sdt>
        <w:sdtPr>
          <w:id w:val="378467705"/>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48</w:t>
            </w:r>
            <w:r>
              <w:rPr>
                <w:b/>
                <w:bCs/>
                <w:sz w:val="24"/>
                <w:szCs w:val="24"/>
              </w:rPr>
              <w:fldChar w:fldCharType="end"/>
            </w:r>
          </w:p>
        </w:sdtContent>
      </w:sdt>
    </w:sdtContent>
  </w:sdt>
  <w:p w:rsidR="00250606" w14:textId="2E155FE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44349258"/>
      <w:docPartObj>
        <w:docPartGallery w:val="Page Numbers (Bottom of Page)"/>
        <w:docPartUnique/>
      </w:docPartObj>
    </w:sdtPr>
    <w:sdtContent>
      <w:sdt>
        <w:sdtPr>
          <w:id w:val="1974568524"/>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48</w:t>
            </w:r>
            <w:r>
              <w:rPr>
                <w:b/>
                <w:bCs/>
                <w:sz w:val="24"/>
                <w:szCs w:val="24"/>
              </w:rPr>
              <w:fldChar w:fldCharType="end"/>
            </w:r>
          </w:p>
        </w:sdtContent>
      </w:sdt>
    </w:sdtContent>
  </w:sdt>
  <w:p w:rsidR="00250606" w14:textId="2E155FE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9811029"/>
      <w:docPartObj>
        <w:docPartGallery w:val="Page Numbers (Bottom of Page)"/>
        <w:docPartUnique/>
      </w:docPartObj>
    </w:sdtPr>
    <w:sdtContent>
      <w:sdt>
        <w:sdtPr>
          <w:id w:val="219263163"/>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48</w:t>
            </w:r>
            <w:r>
              <w:rPr>
                <w:b/>
                <w:bCs/>
                <w:sz w:val="24"/>
                <w:szCs w:val="24"/>
              </w:rPr>
              <w:fldChar w:fldCharType="end"/>
            </w:r>
          </w:p>
        </w:sdtContent>
      </w:sdt>
    </w:sdtContent>
  </w:sdt>
  <w:p w:rsidR="00250606" w14:textId="2E155FE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32691665"/>
      <w:docPartObj>
        <w:docPartGallery w:val="Page Numbers (Bottom of Page)"/>
        <w:docPartUnique/>
      </w:docPartObj>
    </w:sdtPr>
    <w:sdtContent>
      <w:sdt>
        <w:sdtPr>
          <w:id w:val="1276407909"/>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48</w:t>
            </w:r>
            <w:r>
              <w:rPr>
                <w:b/>
                <w:bCs/>
                <w:sz w:val="24"/>
                <w:szCs w:val="24"/>
              </w:rPr>
              <w:fldChar w:fldCharType="end"/>
            </w:r>
          </w:p>
        </w:sdtContent>
      </w:sdt>
    </w:sdtContent>
  </w:sdt>
  <w:p w:rsidR="00250606" w14:textId="2E155FE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42549993"/>
      <w:docPartObj>
        <w:docPartGallery w:val="Page Numbers (Bottom of Page)"/>
        <w:docPartUnique/>
      </w:docPartObj>
    </w:sdtPr>
    <w:sdtContent>
      <w:sdt>
        <w:sdtPr>
          <w:id w:val="1570833705"/>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48</w:t>
            </w:r>
            <w:r>
              <w:rPr>
                <w:b/>
                <w:bCs/>
                <w:sz w:val="24"/>
                <w:szCs w:val="24"/>
              </w:rPr>
              <w:fldChar w:fldCharType="end"/>
            </w:r>
          </w:p>
        </w:sdtContent>
      </w:sdt>
    </w:sdtContent>
  </w:sdt>
  <w:p w:rsidR="00250606" w14:textId="2E155FE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25647840"/>
      <w:docPartObj>
        <w:docPartGallery w:val="Page Numbers (Bottom of Page)"/>
        <w:docPartUnique/>
      </w:docPartObj>
    </w:sdtPr>
    <w:sdtContent>
      <w:sdt>
        <w:sdtPr>
          <w:id w:val="854932252"/>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48</w:t>
            </w:r>
            <w:r>
              <w:rPr>
                <w:b/>
                <w:bCs/>
                <w:sz w:val="24"/>
                <w:szCs w:val="24"/>
              </w:rPr>
              <w:fldChar w:fldCharType="end"/>
            </w:r>
          </w:p>
        </w:sdtContent>
      </w:sdt>
    </w:sdtContent>
  </w:sdt>
  <w:p w:rsidR="00250606" w14:textId="2E155FE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9084028"/>
      <w:docPartObj>
        <w:docPartGallery w:val="Page Numbers (Bottom of Page)"/>
        <w:docPartUnique/>
      </w:docPartObj>
    </w:sdtPr>
    <w:sdtContent>
      <w:sdt>
        <w:sdtPr>
          <w:id w:val="465427687"/>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48</w:t>
            </w:r>
            <w:r>
              <w:rPr>
                <w:b/>
                <w:bCs/>
                <w:sz w:val="24"/>
                <w:szCs w:val="24"/>
              </w:rPr>
              <w:fldChar w:fldCharType="end"/>
            </w:r>
          </w:p>
        </w:sdtContent>
      </w:sdt>
    </w:sdtContent>
  </w:sdt>
  <w:p w:rsidR="00250606" w14:textId="2E155FE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2667249"/>
      <w:docPartObj>
        <w:docPartGallery w:val="Page Numbers (Bottom of Page)"/>
        <w:docPartUnique/>
      </w:docPartObj>
    </w:sdtPr>
    <w:sdtContent>
      <w:sdt>
        <w:sdtPr>
          <w:id w:val="1518025476"/>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48</w:t>
            </w:r>
            <w:r>
              <w:rPr>
                <w:b/>
                <w:bCs/>
                <w:sz w:val="24"/>
                <w:szCs w:val="24"/>
              </w:rPr>
              <w:fldChar w:fldCharType="end"/>
            </w:r>
          </w:p>
        </w:sdtContent>
      </w:sdt>
    </w:sdtContent>
  </w:sdt>
  <w:p w:rsidR="00250606" w14:textId="2E155FE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217718"/>
      <w:docPartObj>
        <w:docPartGallery w:val="Page Numbers (Bottom of Page)"/>
        <w:docPartUnique/>
      </w:docPartObj>
    </w:sdtPr>
    <w:sdtContent>
      <w:sdt>
        <w:sdtPr>
          <w:id w:val="841170559"/>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48</w:t>
            </w:r>
            <w:r>
              <w:rPr>
                <w:b/>
                <w:bCs/>
                <w:sz w:val="24"/>
                <w:szCs w:val="24"/>
              </w:rPr>
              <w:fldChar w:fldCharType="end"/>
            </w:r>
          </w:p>
        </w:sdtContent>
      </w:sdt>
    </w:sdtContent>
  </w:sdt>
  <w:p w:rsidR="00250606" w14:textId="2E155FEF">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26454936"/>
      <w:docPartObj>
        <w:docPartGallery w:val="Page Numbers (Bottom of Page)"/>
        <w:docPartUnique/>
      </w:docPartObj>
    </w:sdtPr>
    <w:sdtContent>
      <w:sdt>
        <w:sdtPr>
          <w:id w:val="1608455564"/>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48</w:t>
            </w:r>
            <w:r>
              <w:rPr>
                <w:b/>
                <w:bCs/>
                <w:sz w:val="24"/>
                <w:szCs w:val="24"/>
              </w:rPr>
              <w:fldChar w:fldCharType="end"/>
            </w:r>
          </w:p>
        </w:sdtContent>
      </w:sdt>
    </w:sdtContent>
  </w:sdt>
  <w:p w:rsidR="00250606" w14:textId="2E155FEF">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37500436"/>
      <w:docPartObj>
        <w:docPartGallery w:val="Page Numbers (Bottom of Page)"/>
        <w:docPartUnique/>
      </w:docPartObj>
    </w:sdtPr>
    <w:sdtContent>
      <w:sdt>
        <w:sdtPr>
          <w:id w:val="1512319996"/>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48</w:t>
            </w:r>
            <w:r>
              <w:rPr>
                <w:b/>
                <w:bCs/>
                <w:sz w:val="24"/>
                <w:szCs w:val="24"/>
              </w:rPr>
              <w:fldChar w:fldCharType="end"/>
            </w:r>
          </w:p>
        </w:sdtContent>
      </w:sdt>
    </w:sdtContent>
  </w:sdt>
  <w:p w:rsidR="00250606" w14:textId="2E155FEF">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09541302"/>
      <w:docPartObj>
        <w:docPartGallery w:val="Page Numbers (Bottom of Page)"/>
        <w:docPartUnique/>
      </w:docPartObj>
    </w:sdtPr>
    <w:sdtContent>
      <w:sdt>
        <w:sdtPr>
          <w:id w:val="1647425013"/>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48</w:t>
            </w:r>
            <w:r>
              <w:rPr>
                <w:b/>
                <w:bCs/>
                <w:sz w:val="24"/>
                <w:szCs w:val="24"/>
              </w:rPr>
              <w:fldChar w:fldCharType="end"/>
            </w:r>
          </w:p>
        </w:sdtContent>
      </w:sdt>
    </w:sdtContent>
  </w:sdt>
  <w:p w:rsidR="00250606" w14:textId="2E155FEF">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32275074"/>
      <w:docPartObj>
        <w:docPartGallery w:val="Page Numbers (Bottom of Page)"/>
        <w:docPartUnique/>
      </w:docPartObj>
    </w:sdtPr>
    <w:sdtContent>
      <w:sdt>
        <w:sdtPr>
          <w:id w:val="1210145614"/>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48</w:t>
            </w:r>
            <w:r>
              <w:rPr>
                <w:b/>
                <w:bCs/>
                <w:sz w:val="24"/>
                <w:szCs w:val="24"/>
              </w:rPr>
              <w:fldChar w:fldCharType="end"/>
            </w:r>
          </w:p>
        </w:sdtContent>
      </w:sdt>
    </w:sdtContent>
  </w:sdt>
  <w:p w:rsidR="00250606" w14:textId="2E155FEF">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75781914"/>
      <w:docPartObj>
        <w:docPartGallery w:val="Page Numbers (Bottom of Page)"/>
        <w:docPartUnique/>
      </w:docPartObj>
    </w:sdtPr>
    <w:sdtContent>
      <w:sdt>
        <w:sdtPr>
          <w:id w:val="966485142"/>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48</w:t>
            </w:r>
            <w:r>
              <w:rPr>
                <w:b/>
                <w:bCs/>
                <w:sz w:val="24"/>
                <w:szCs w:val="24"/>
              </w:rPr>
              <w:fldChar w:fldCharType="end"/>
            </w:r>
          </w:p>
        </w:sdtContent>
      </w:sdt>
    </w:sdtContent>
  </w:sdt>
  <w:p w:rsidR="00250606" w14:textId="2E155FEF">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02626243"/>
      <w:docPartObj>
        <w:docPartGallery w:val="Page Numbers (Bottom of Page)"/>
        <w:docPartUnique/>
      </w:docPartObj>
    </w:sdtPr>
    <w:sdtContent>
      <w:sdt>
        <w:sdtPr>
          <w:id w:val="1859352328"/>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48</w:t>
            </w:r>
            <w:r>
              <w:rPr>
                <w:b/>
                <w:bCs/>
                <w:sz w:val="24"/>
                <w:szCs w:val="24"/>
              </w:rPr>
              <w:fldChar w:fldCharType="end"/>
            </w:r>
          </w:p>
        </w:sdtContent>
      </w:sdt>
    </w:sdtContent>
  </w:sdt>
  <w:p w:rsidR="00250606" w14:textId="2E155FEF">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56487729"/>
      <w:docPartObj>
        <w:docPartGallery w:val="Page Numbers (Bottom of Page)"/>
        <w:docPartUnique/>
      </w:docPartObj>
    </w:sdtPr>
    <w:sdtContent>
      <w:sdt>
        <w:sdtPr>
          <w:id w:val="288199598"/>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48</w:t>
            </w:r>
            <w:r>
              <w:rPr>
                <w:b/>
                <w:bCs/>
                <w:sz w:val="24"/>
                <w:szCs w:val="24"/>
              </w:rPr>
              <w:fldChar w:fldCharType="end"/>
            </w:r>
          </w:p>
        </w:sdtContent>
      </w:sdt>
    </w:sdtContent>
  </w:sdt>
  <w:p w:rsidR="00250606" w14:textId="2E155FEF">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3875259"/>
      <w:docPartObj>
        <w:docPartGallery w:val="Page Numbers (Bottom of Page)"/>
        <w:docPartUnique/>
      </w:docPartObj>
    </w:sdtPr>
    <w:sdtContent>
      <w:sdt>
        <w:sdtPr>
          <w:id w:val="1243057551"/>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48</w:t>
            </w:r>
            <w:r>
              <w:rPr>
                <w:b/>
                <w:bCs/>
                <w:sz w:val="24"/>
                <w:szCs w:val="24"/>
              </w:rPr>
              <w:fldChar w:fldCharType="end"/>
            </w:r>
          </w:p>
        </w:sdtContent>
      </w:sdt>
    </w:sdtContent>
  </w:sdt>
  <w:p w:rsidR="00250606" w14:textId="2E155FEF">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02105792"/>
      <w:docPartObj>
        <w:docPartGallery w:val="Page Numbers (Bottom of Page)"/>
        <w:docPartUnique/>
      </w:docPartObj>
    </w:sdtPr>
    <w:sdtContent>
      <w:sdt>
        <w:sdtPr>
          <w:id w:val="2042616082"/>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48</w:t>
            </w:r>
            <w:r>
              <w:rPr>
                <w:b/>
                <w:bCs/>
                <w:sz w:val="24"/>
                <w:szCs w:val="24"/>
              </w:rPr>
              <w:fldChar w:fldCharType="end"/>
            </w:r>
          </w:p>
        </w:sdtContent>
      </w:sdt>
    </w:sdtContent>
  </w:sdt>
  <w:p w:rsidR="00250606" w14:textId="2E155FEF">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43504542"/>
      <w:docPartObj>
        <w:docPartGallery w:val="Page Numbers (Bottom of Page)"/>
        <w:docPartUnique/>
      </w:docPartObj>
    </w:sdtPr>
    <w:sdtContent>
      <w:sdt>
        <w:sdtPr>
          <w:id w:val="1345451858"/>
          <w:docPartObj>
            <w:docPartGallery w:val="Page Numbers (Top of Page)"/>
            <w:docPartUnique/>
          </w:docPartObj>
        </w:sdtPr>
        <w:sdtContent>
          <w:p w:rsidR="000D00B8" w14:textId="64914D14">
            <w:pPr>
              <w:pStyle w:val="Footer"/>
            </w:pPr>
            <w:r>
              <w:ptab w:relativeTo="margin" w:alignment="right"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48</w:t>
            </w:r>
            <w:r>
              <w:rPr>
                <w:b/>
                <w:bCs/>
                <w:sz w:val="24"/>
                <w:szCs w:val="24"/>
              </w:rPr>
              <w:fldChar w:fldCharType="end"/>
            </w:r>
          </w:p>
        </w:sdtContent>
      </w:sdt>
    </w:sdtContent>
  </w:sdt>
  <w:p w:rsidR="00250606" w14:textId="2E155FEF">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paraId="7CA87A4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paraId="5A391C8D" w14:textId="426301F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paraId="22626C5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426301F6">
    <w:pPr>
      <w:pStyle w:val="Header"/>
    </w:pP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030B"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240B57"/>
    <w:multiLevelType w:val="hybridMultilevel"/>
    <w:tmpl w:val="56F42D5C"/>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
    <w:nsid w:val="021C2DD8"/>
    <w:multiLevelType w:val="hybridMultilevel"/>
    <w:tmpl w:val="C9647AE4"/>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
    <w:nsid w:val="030634CB"/>
    <w:multiLevelType w:val="hybridMultilevel"/>
    <w:tmpl w:val="FBC2E318"/>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3">
    <w:nsid w:val="050A7F7D"/>
    <w:multiLevelType w:val="hybridMultilevel"/>
    <w:tmpl w:val="6E72A44E"/>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4">
    <w:nsid w:val="17890991"/>
    <w:multiLevelType w:val="hybridMultilevel"/>
    <w:tmpl w:val="5854254E"/>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5">
    <w:nsid w:val="199A6372"/>
    <w:multiLevelType w:val="hybridMultilevel"/>
    <w:tmpl w:val="8BA6FF8C"/>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6">
    <w:nsid w:val="1C4E0EB2"/>
    <w:multiLevelType w:val="hybridMultilevel"/>
    <w:tmpl w:val="E17E3DC8"/>
    <w:lvl w:ilvl="0">
      <w:start w:val="1"/>
      <w:numFmt w:val="decimal"/>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
    <w:nsid w:val="1CAF2778"/>
    <w:multiLevelType w:val="hybridMultilevel"/>
    <w:tmpl w:val="C8C823A2"/>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8">
    <w:nsid w:val="244F2626"/>
    <w:multiLevelType w:val="hybridMultilevel"/>
    <w:tmpl w:val="E01E5D04"/>
    <w:lvl w:ilvl="0">
      <w:start w:val="1"/>
      <w:numFmt w:val="upperLetter"/>
      <w:lvlText w:val="%1)"/>
      <w:lvlJc w:val="left"/>
      <w:pPr>
        <w:ind w:left="720" w:hanging="360"/>
      </w:pPr>
      <w:rPr>
        <w:rFonts w:hint="default"/>
      </w:rPr>
    </w:lvl>
    <w:lvl w:ilvl="1" w:tentative="1">
      <w:start w:val="1"/>
      <w:numFmt w:val="lowerLetter"/>
      <w:lvlText w:val="%2)"/>
      <w:lvlJc w:val="left"/>
      <w:pPr>
        <w:ind w:left="1200" w:hanging="420"/>
      </w:pPr>
    </w:lvl>
    <w:lvl w:ilvl="2" w:tentative="1">
      <w:start w:val="1"/>
      <w:numFmt w:val="lowerRoman"/>
      <w:lvlText w:val="%3."/>
      <w:lvlJc w:val="right"/>
      <w:pPr>
        <w:ind w:left="1620" w:hanging="420"/>
      </w:pPr>
    </w:lvl>
    <w:lvl w:ilvl="3" w:tentative="1">
      <w:start w:val="1"/>
      <w:numFmt w:val="decimal"/>
      <w:lvlText w:val="%4."/>
      <w:lvlJc w:val="left"/>
      <w:pPr>
        <w:ind w:left="2040" w:hanging="420"/>
      </w:pPr>
    </w:lvl>
    <w:lvl w:ilvl="4" w:tentative="1">
      <w:start w:val="1"/>
      <w:numFmt w:val="lowerLetter"/>
      <w:lvlText w:val="%5)"/>
      <w:lvlJc w:val="left"/>
      <w:pPr>
        <w:ind w:left="2460" w:hanging="420"/>
      </w:pPr>
    </w:lvl>
    <w:lvl w:ilvl="5" w:tentative="1">
      <w:start w:val="1"/>
      <w:numFmt w:val="lowerRoman"/>
      <w:lvlText w:val="%6."/>
      <w:lvlJc w:val="right"/>
      <w:pPr>
        <w:ind w:left="2880" w:hanging="420"/>
      </w:pPr>
    </w:lvl>
    <w:lvl w:ilvl="6" w:tentative="1">
      <w:start w:val="1"/>
      <w:numFmt w:val="decimal"/>
      <w:lvlText w:val="%7."/>
      <w:lvlJc w:val="left"/>
      <w:pPr>
        <w:ind w:left="3300" w:hanging="420"/>
      </w:pPr>
    </w:lvl>
    <w:lvl w:ilvl="7" w:tentative="1">
      <w:start w:val="1"/>
      <w:numFmt w:val="lowerLetter"/>
      <w:lvlText w:val="%8)"/>
      <w:lvlJc w:val="left"/>
      <w:pPr>
        <w:ind w:left="3720" w:hanging="420"/>
      </w:pPr>
    </w:lvl>
    <w:lvl w:ilvl="8" w:tentative="1">
      <w:start w:val="1"/>
      <w:numFmt w:val="lowerRoman"/>
      <w:lvlText w:val="%9."/>
      <w:lvlJc w:val="right"/>
      <w:pPr>
        <w:ind w:left="4140" w:hanging="420"/>
      </w:pPr>
    </w:lvl>
  </w:abstractNum>
  <w:abstractNum w:abstractNumId="9">
    <w:nsid w:val="29F0082D"/>
    <w:multiLevelType w:val="hybridMultilevel"/>
    <w:tmpl w:val="8C74AD46"/>
    <w:lvl w:ilvl="0">
      <w:start w:val="1"/>
      <w:numFmt w:val="upperLetter"/>
      <w:lvlText w:val="%1)"/>
      <w:lvlJc w:val="left"/>
      <w:pPr>
        <w:ind w:left="717" w:hanging="360"/>
      </w:pPr>
      <w:rPr>
        <w:rFonts w:hint="default"/>
      </w:rPr>
    </w:lvl>
    <w:lvl w:ilvl="1" w:tentative="1">
      <w:start w:val="1"/>
      <w:numFmt w:val="lowerLetter"/>
      <w:lvlText w:val="%2."/>
      <w:lvlJc w:val="left"/>
      <w:pPr>
        <w:ind w:left="1437" w:hanging="360"/>
      </w:pPr>
    </w:lvl>
    <w:lvl w:ilvl="2" w:tentative="1">
      <w:start w:val="1"/>
      <w:numFmt w:val="lowerRoman"/>
      <w:lvlText w:val="%3."/>
      <w:lvlJc w:val="right"/>
      <w:pPr>
        <w:ind w:left="2157" w:hanging="180"/>
      </w:pPr>
    </w:lvl>
    <w:lvl w:ilvl="3" w:tentative="1">
      <w:start w:val="1"/>
      <w:numFmt w:val="decimal"/>
      <w:lvlText w:val="%4."/>
      <w:lvlJc w:val="left"/>
      <w:pPr>
        <w:ind w:left="2877" w:hanging="360"/>
      </w:pPr>
    </w:lvl>
    <w:lvl w:ilvl="4" w:tentative="1">
      <w:start w:val="1"/>
      <w:numFmt w:val="lowerLetter"/>
      <w:lvlText w:val="%5."/>
      <w:lvlJc w:val="left"/>
      <w:pPr>
        <w:ind w:left="3597" w:hanging="360"/>
      </w:pPr>
    </w:lvl>
    <w:lvl w:ilvl="5" w:tentative="1">
      <w:start w:val="1"/>
      <w:numFmt w:val="lowerRoman"/>
      <w:lvlText w:val="%6."/>
      <w:lvlJc w:val="right"/>
      <w:pPr>
        <w:ind w:left="4317" w:hanging="180"/>
      </w:pPr>
    </w:lvl>
    <w:lvl w:ilvl="6" w:tentative="1">
      <w:start w:val="1"/>
      <w:numFmt w:val="decimal"/>
      <w:lvlText w:val="%7."/>
      <w:lvlJc w:val="left"/>
      <w:pPr>
        <w:ind w:left="5037" w:hanging="360"/>
      </w:pPr>
    </w:lvl>
    <w:lvl w:ilvl="7" w:tentative="1">
      <w:start w:val="1"/>
      <w:numFmt w:val="lowerLetter"/>
      <w:lvlText w:val="%8."/>
      <w:lvlJc w:val="left"/>
      <w:pPr>
        <w:ind w:left="5757" w:hanging="360"/>
      </w:pPr>
    </w:lvl>
    <w:lvl w:ilvl="8" w:tentative="1">
      <w:start w:val="1"/>
      <w:numFmt w:val="lowerRoman"/>
      <w:lvlText w:val="%9."/>
      <w:lvlJc w:val="right"/>
      <w:pPr>
        <w:ind w:left="6477" w:hanging="180"/>
      </w:pPr>
    </w:lvl>
  </w:abstractNum>
  <w:abstractNum w:abstractNumId="10">
    <w:nsid w:val="29F13B1E"/>
    <w:multiLevelType w:val="hybridMultilevel"/>
    <w:tmpl w:val="470A9780"/>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1">
    <w:nsid w:val="3CE71C68"/>
    <w:multiLevelType w:val="hybridMultilevel"/>
    <w:tmpl w:val="1272FD4E"/>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2">
    <w:nsid w:val="3E404E42"/>
    <w:multiLevelType w:val="hybridMultilevel"/>
    <w:tmpl w:val="21FC1F82"/>
    <w:lvl w:ilvl="0">
      <w:start w:val="1"/>
      <w:numFmt w:val="decimal"/>
      <w:lvlText w:val="%1."/>
      <w:lvlJc w:val="left"/>
      <w:pPr>
        <w:ind w:left="420" w:hanging="420"/>
      </w:pPr>
    </w:lvl>
    <w:lvl w:ilvl="1">
      <w:start w:val="1"/>
      <w:numFmt w:val="upperLetter"/>
      <w:lvlText w:val="%2)"/>
      <w:lvlJc w:val="left"/>
      <w:pPr>
        <w:ind w:left="840" w:hanging="420"/>
      </w:pPr>
      <w:rPr>
        <w:rFonts w:hint="default"/>
      </w:r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3">
    <w:nsid w:val="45620C60"/>
    <w:multiLevelType w:val="hybridMultilevel"/>
    <w:tmpl w:val="CFD6D294"/>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4">
    <w:nsid w:val="46CB1E3F"/>
    <w:multiLevelType w:val="hybridMultilevel"/>
    <w:tmpl w:val="2B280B1A"/>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5">
    <w:nsid w:val="48AE6D74"/>
    <w:multiLevelType w:val="hybridMultilevel"/>
    <w:tmpl w:val="8EE2DD0C"/>
    <w:lvl w:ilvl="0">
      <w:start w:val="1"/>
      <w:numFmt w:val="upperLetter"/>
      <w:lvlText w:val="%1)"/>
      <w:lvlJc w:val="left"/>
      <w:pPr>
        <w:ind w:left="717" w:hanging="360"/>
      </w:pPr>
      <w:rPr>
        <w:rFonts w:hint="default"/>
      </w:rPr>
    </w:lvl>
    <w:lvl w:ilvl="1" w:tentative="1">
      <w:start w:val="1"/>
      <w:numFmt w:val="lowerLetter"/>
      <w:lvlText w:val="%2."/>
      <w:lvlJc w:val="left"/>
      <w:pPr>
        <w:ind w:left="1437" w:hanging="360"/>
      </w:pPr>
    </w:lvl>
    <w:lvl w:ilvl="2" w:tentative="1">
      <w:start w:val="1"/>
      <w:numFmt w:val="lowerRoman"/>
      <w:lvlText w:val="%3."/>
      <w:lvlJc w:val="right"/>
      <w:pPr>
        <w:ind w:left="2157" w:hanging="180"/>
      </w:pPr>
    </w:lvl>
    <w:lvl w:ilvl="3" w:tentative="1">
      <w:start w:val="1"/>
      <w:numFmt w:val="decimal"/>
      <w:lvlText w:val="%4."/>
      <w:lvlJc w:val="left"/>
      <w:pPr>
        <w:ind w:left="2877" w:hanging="360"/>
      </w:pPr>
    </w:lvl>
    <w:lvl w:ilvl="4" w:tentative="1">
      <w:start w:val="1"/>
      <w:numFmt w:val="lowerLetter"/>
      <w:lvlText w:val="%5."/>
      <w:lvlJc w:val="left"/>
      <w:pPr>
        <w:ind w:left="3597" w:hanging="360"/>
      </w:pPr>
    </w:lvl>
    <w:lvl w:ilvl="5" w:tentative="1">
      <w:start w:val="1"/>
      <w:numFmt w:val="lowerRoman"/>
      <w:lvlText w:val="%6."/>
      <w:lvlJc w:val="right"/>
      <w:pPr>
        <w:ind w:left="4317" w:hanging="180"/>
      </w:pPr>
    </w:lvl>
    <w:lvl w:ilvl="6" w:tentative="1">
      <w:start w:val="1"/>
      <w:numFmt w:val="decimal"/>
      <w:lvlText w:val="%7."/>
      <w:lvlJc w:val="left"/>
      <w:pPr>
        <w:ind w:left="5037" w:hanging="360"/>
      </w:pPr>
    </w:lvl>
    <w:lvl w:ilvl="7" w:tentative="1">
      <w:start w:val="1"/>
      <w:numFmt w:val="lowerLetter"/>
      <w:lvlText w:val="%8."/>
      <w:lvlJc w:val="left"/>
      <w:pPr>
        <w:ind w:left="5757" w:hanging="360"/>
      </w:pPr>
    </w:lvl>
    <w:lvl w:ilvl="8" w:tentative="1">
      <w:start w:val="1"/>
      <w:numFmt w:val="lowerRoman"/>
      <w:lvlText w:val="%9."/>
      <w:lvlJc w:val="right"/>
      <w:pPr>
        <w:ind w:left="6477" w:hanging="180"/>
      </w:pPr>
    </w:lvl>
  </w:abstractNum>
  <w:abstractNum w:abstractNumId="16">
    <w:nsid w:val="4B5B300C"/>
    <w:multiLevelType w:val="hybridMultilevel"/>
    <w:tmpl w:val="F62EEE12"/>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7">
    <w:nsid w:val="50477467"/>
    <w:multiLevelType w:val="hybridMultilevel"/>
    <w:tmpl w:val="B0FC4348"/>
    <w:lvl w:ilvl="0">
      <w:start w:val="1"/>
      <w:numFmt w:val="japaneseCounting"/>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8">
    <w:nsid w:val="56B773A3"/>
    <w:multiLevelType w:val="hybridMultilevel"/>
    <w:tmpl w:val="7DA6B73E"/>
    <w:lvl w:ilvl="0">
      <w:start w:val="1"/>
      <w:numFmt w:val="upperLetter"/>
      <w:lvlText w:val="%1)"/>
      <w:lvlJc w:val="left"/>
      <w:pPr>
        <w:ind w:left="-225" w:hanging="360"/>
      </w:pPr>
      <w:rPr>
        <w:rFonts w:hint="default"/>
      </w:rPr>
    </w:lvl>
    <w:lvl w:ilvl="1" w:tentative="1">
      <w:start w:val="1"/>
      <w:numFmt w:val="lowerLetter"/>
      <w:lvlText w:val="%2)"/>
      <w:lvlJc w:val="left"/>
      <w:pPr>
        <w:ind w:left="255" w:hanging="420"/>
      </w:pPr>
    </w:lvl>
    <w:lvl w:ilvl="2" w:tentative="1">
      <w:start w:val="1"/>
      <w:numFmt w:val="lowerRoman"/>
      <w:lvlText w:val="%3."/>
      <w:lvlJc w:val="right"/>
      <w:pPr>
        <w:ind w:left="675" w:hanging="420"/>
      </w:pPr>
    </w:lvl>
    <w:lvl w:ilvl="3" w:tentative="1">
      <w:start w:val="1"/>
      <w:numFmt w:val="decimal"/>
      <w:lvlText w:val="%4."/>
      <w:lvlJc w:val="left"/>
      <w:pPr>
        <w:ind w:left="1095" w:hanging="420"/>
      </w:pPr>
    </w:lvl>
    <w:lvl w:ilvl="4" w:tentative="1">
      <w:start w:val="1"/>
      <w:numFmt w:val="lowerLetter"/>
      <w:lvlText w:val="%5)"/>
      <w:lvlJc w:val="left"/>
      <w:pPr>
        <w:ind w:left="1515" w:hanging="420"/>
      </w:pPr>
    </w:lvl>
    <w:lvl w:ilvl="5" w:tentative="1">
      <w:start w:val="1"/>
      <w:numFmt w:val="lowerRoman"/>
      <w:lvlText w:val="%6."/>
      <w:lvlJc w:val="right"/>
      <w:pPr>
        <w:ind w:left="1935" w:hanging="420"/>
      </w:pPr>
    </w:lvl>
    <w:lvl w:ilvl="6" w:tentative="1">
      <w:start w:val="1"/>
      <w:numFmt w:val="decimal"/>
      <w:lvlText w:val="%7."/>
      <w:lvlJc w:val="left"/>
      <w:pPr>
        <w:ind w:left="2355" w:hanging="420"/>
      </w:pPr>
    </w:lvl>
    <w:lvl w:ilvl="7" w:tentative="1">
      <w:start w:val="1"/>
      <w:numFmt w:val="lowerLetter"/>
      <w:lvlText w:val="%8)"/>
      <w:lvlJc w:val="left"/>
      <w:pPr>
        <w:ind w:left="2775" w:hanging="420"/>
      </w:pPr>
    </w:lvl>
    <w:lvl w:ilvl="8" w:tentative="1">
      <w:start w:val="1"/>
      <w:numFmt w:val="lowerRoman"/>
      <w:lvlText w:val="%9."/>
      <w:lvlJc w:val="right"/>
      <w:pPr>
        <w:ind w:left="3195" w:hanging="420"/>
      </w:pPr>
    </w:lvl>
  </w:abstractNum>
  <w:abstractNum w:abstractNumId="19">
    <w:nsid w:val="614B4C5A"/>
    <w:multiLevelType w:val="hybridMultilevel"/>
    <w:tmpl w:val="D3667370"/>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20">
    <w:nsid w:val="69506332"/>
    <w:multiLevelType w:val="hybridMultilevel"/>
    <w:tmpl w:val="5EB23778"/>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21">
    <w:nsid w:val="6DA46D6B"/>
    <w:multiLevelType w:val="hybridMultilevel"/>
    <w:tmpl w:val="EAE05C8A"/>
    <w:lvl w:ilvl="0">
      <w:start w:val="1"/>
      <w:numFmt w:val="decimal"/>
      <w:lvlText w:val="%1."/>
      <w:lvlJc w:val="left"/>
      <w:pPr>
        <w:ind w:left="420" w:hanging="420"/>
      </w:pPr>
    </w:lvl>
    <w:lvl w:ilvl="1">
      <w:start w:val="1"/>
      <w:numFmt w:val="upperLetter"/>
      <w:lvlText w:val="%2)"/>
      <w:lvlJc w:val="left"/>
      <w:pPr>
        <w:ind w:left="840" w:hanging="420"/>
      </w:pPr>
      <w:rPr>
        <w:rFonts w:hint="default"/>
      </w:r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2">
    <w:nsid w:val="6DBE4F4F"/>
    <w:multiLevelType w:val="hybridMultilevel"/>
    <w:tmpl w:val="C6123874"/>
    <w:lvl w:ilvl="0">
      <w:start w:val="1"/>
      <w:numFmt w:val="decimal"/>
      <w:lvlText w:val="%1."/>
      <w:lvlJc w:val="left"/>
      <w:pPr>
        <w:ind w:left="1080" w:hanging="360"/>
      </w:pPr>
      <w:rPr>
        <w:rFonts w:hint="default"/>
      </w:rPr>
    </w:lvl>
    <w:lvl w:ilvl="1" w:tentative="1">
      <w:start w:val="1"/>
      <w:numFmt w:val="lowerLetter"/>
      <w:lvlText w:val="%2)"/>
      <w:lvlJc w:val="left"/>
      <w:pPr>
        <w:ind w:left="1560" w:hanging="420"/>
      </w:pPr>
    </w:lvl>
    <w:lvl w:ilvl="2" w:tentative="1">
      <w:start w:val="1"/>
      <w:numFmt w:val="lowerRoman"/>
      <w:lvlText w:val="%3."/>
      <w:lvlJc w:val="right"/>
      <w:pPr>
        <w:ind w:left="1980" w:hanging="420"/>
      </w:pPr>
    </w:lvl>
    <w:lvl w:ilvl="3" w:tentative="1">
      <w:start w:val="1"/>
      <w:numFmt w:val="decimal"/>
      <w:lvlText w:val="%4."/>
      <w:lvlJc w:val="left"/>
      <w:pPr>
        <w:ind w:left="2400" w:hanging="420"/>
      </w:pPr>
    </w:lvl>
    <w:lvl w:ilvl="4" w:tentative="1">
      <w:start w:val="1"/>
      <w:numFmt w:val="lowerLetter"/>
      <w:lvlText w:val="%5)"/>
      <w:lvlJc w:val="left"/>
      <w:pPr>
        <w:ind w:left="2820" w:hanging="420"/>
      </w:pPr>
    </w:lvl>
    <w:lvl w:ilvl="5" w:tentative="1">
      <w:start w:val="1"/>
      <w:numFmt w:val="lowerRoman"/>
      <w:lvlText w:val="%6."/>
      <w:lvlJc w:val="right"/>
      <w:pPr>
        <w:ind w:left="3240" w:hanging="420"/>
      </w:pPr>
    </w:lvl>
    <w:lvl w:ilvl="6" w:tentative="1">
      <w:start w:val="1"/>
      <w:numFmt w:val="decimal"/>
      <w:lvlText w:val="%7."/>
      <w:lvlJc w:val="left"/>
      <w:pPr>
        <w:ind w:left="3660" w:hanging="420"/>
      </w:pPr>
    </w:lvl>
    <w:lvl w:ilvl="7" w:tentative="1">
      <w:start w:val="1"/>
      <w:numFmt w:val="lowerLetter"/>
      <w:lvlText w:val="%8)"/>
      <w:lvlJc w:val="left"/>
      <w:pPr>
        <w:ind w:left="4080" w:hanging="420"/>
      </w:pPr>
    </w:lvl>
    <w:lvl w:ilvl="8" w:tentative="1">
      <w:start w:val="1"/>
      <w:numFmt w:val="lowerRoman"/>
      <w:lvlText w:val="%9."/>
      <w:lvlJc w:val="right"/>
      <w:pPr>
        <w:ind w:left="4500" w:hanging="420"/>
      </w:pPr>
    </w:lvl>
  </w:abstractNum>
  <w:abstractNum w:abstractNumId="23">
    <w:nsid w:val="6EAF0DB0"/>
    <w:multiLevelType w:val="hybridMultilevel"/>
    <w:tmpl w:val="A3F800C0"/>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4">
    <w:nsid w:val="72C41317"/>
    <w:multiLevelType w:val="hybridMultilevel"/>
    <w:tmpl w:val="FE0E17B6"/>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5">
    <w:nsid w:val="736833D6"/>
    <w:multiLevelType w:val="hybridMultilevel"/>
    <w:tmpl w:val="D2C8CA40"/>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26">
    <w:nsid w:val="75B45112"/>
    <w:multiLevelType w:val="hybridMultilevel"/>
    <w:tmpl w:val="B11E5434"/>
    <w:lvl w:ilvl="0">
      <w:start w:val="1"/>
      <w:numFmt w:val="decimal"/>
      <w:lvlText w:val="%1."/>
      <w:lvlJc w:val="left"/>
      <w:pPr>
        <w:ind w:left="420" w:hanging="420"/>
      </w:pPr>
    </w:lvl>
    <w:lvl w:ilvl="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7">
    <w:nsid w:val="7875681E"/>
    <w:multiLevelType w:val="hybridMultilevel"/>
    <w:tmpl w:val="22CC3B0C"/>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28">
    <w:nsid w:val="7C9A6EF3"/>
    <w:multiLevelType w:val="hybridMultilevel"/>
    <w:tmpl w:val="7904F024"/>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num w:numId="1" w16cid:durableId="1237017193">
    <w:abstractNumId w:val="1"/>
  </w:num>
  <w:num w:numId="2" w16cid:durableId="1990674642">
    <w:abstractNumId w:val="17"/>
  </w:num>
  <w:num w:numId="3" w16cid:durableId="398552210">
    <w:abstractNumId w:val="18"/>
  </w:num>
  <w:num w:numId="4" w16cid:durableId="1633290822">
    <w:abstractNumId w:val="26"/>
  </w:num>
  <w:num w:numId="5" w16cid:durableId="464809240">
    <w:abstractNumId w:val="8"/>
  </w:num>
  <w:num w:numId="6" w16cid:durableId="48386365">
    <w:abstractNumId w:val="0"/>
  </w:num>
  <w:num w:numId="7" w16cid:durableId="1956789373">
    <w:abstractNumId w:val="22"/>
  </w:num>
  <w:num w:numId="8" w16cid:durableId="1678193480">
    <w:abstractNumId w:val="6"/>
  </w:num>
  <w:num w:numId="9" w16cid:durableId="23555093">
    <w:abstractNumId w:val="23"/>
  </w:num>
  <w:num w:numId="10" w16cid:durableId="775633407">
    <w:abstractNumId w:val="9"/>
  </w:num>
  <w:num w:numId="11" w16cid:durableId="316342430">
    <w:abstractNumId w:val="7"/>
  </w:num>
  <w:num w:numId="12" w16cid:durableId="505828143">
    <w:abstractNumId w:val="11"/>
  </w:num>
  <w:num w:numId="13" w16cid:durableId="978615114">
    <w:abstractNumId w:val="27"/>
  </w:num>
  <w:num w:numId="14" w16cid:durableId="1703552593">
    <w:abstractNumId w:val="12"/>
  </w:num>
  <w:num w:numId="15" w16cid:durableId="2005467824">
    <w:abstractNumId w:val="16"/>
  </w:num>
  <w:num w:numId="16" w16cid:durableId="521211827">
    <w:abstractNumId w:val="20"/>
  </w:num>
  <w:num w:numId="17" w16cid:durableId="440682958">
    <w:abstractNumId w:val="4"/>
  </w:num>
  <w:num w:numId="18" w16cid:durableId="1216700490">
    <w:abstractNumId w:val="14"/>
  </w:num>
  <w:num w:numId="19" w16cid:durableId="1347900645">
    <w:abstractNumId w:val="15"/>
  </w:num>
  <w:num w:numId="20" w16cid:durableId="1342470147">
    <w:abstractNumId w:val="3"/>
  </w:num>
  <w:num w:numId="21" w16cid:durableId="1635599725">
    <w:abstractNumId w:val="2"/>
  </w:num>
  <w:num w:numId="22" w16cid:durableId="1495797416">
    <w:abstractNumId w:val="28"/>
  </w:num>
  <w:num w:numId="23" w16cid:durableId="925069389">
    <w:abstractNumId w:val="13"/>
  </w:num>
  <w:num w:numId="24" w16cid:durableId="10957594">
    <w:abstractNumId w:val="21"/>
  </w:num>
  <w:num w:numId="25" w16cid:durableId="1139030762">
    <w:abstractNumId w:val="25"/>
  </w:num>
  <w:num w:numId="26" w16cid:durableId="261230349">
    <w:abstractNumId w:val="10"/>
  </w:num>
  <w:num w:numId="27" w16cid:durableId="1980649658">
    <w:abstractNumId w:val="19"/>
  </w:num>
  <w:num w:numId="28" w16cid:durableId="2053528581">
    <w:abstractNumId w:val="5"/>
  </w:num>
  <w:num w:numId="29" w16cid:durableId="1272780156">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0DB8"/>
    <w:rsid w:val="00022984"/>
    <w:rsid w:val="000352AA"/>
    <w:rsid w:val="00044F9C"/>
    <w:rsid w:val="00046117"/>
    <w:rsid w:val="00046776"/>
    <w:rsid w:val="000553BA"/>
    <w:rsid w:val="00055762"/>
    <w:rsid w:val="000D00B8"/>
    <w:rsid w:val="000F504C"/>
    <w:rsid w:val="0010736A"/>
    <w:rsid w:val="0011261D"/>
    <w:rsid w:val="00122761"/>
    <w:rsid w:val="0014009E"/>
    <w:rsid w:val="00143C51"/>
    <w:rsid w:val="00145D7C"/>
    <w:rsid w:val="00167DA2"/>
    <w:rsid w:val="001B150B"/>
    <w:rsid w:val="001C6934"/>
    <w:rsid w:val="001D5875"/>
    <w:rsid w:val="001E42FD"/>
    <w:rsid w:val="0021111D"/>
    <w:rsid w:val="00234AAF"/>
    <w:rsid w:val="00250606"/>
    <w:rsid w:val="00260D6E"/>
    <w:rsid w:val="002A77C1"/>
    <w:rsid w:val="002B0666"/>
    <w:rsid w:val="002F1864"/>
    <w:rsid w:val="00314A71"/>
    <w:rsid w:val="00316A17"/>
    <w:rsid w:val="00326919"/>
    <w:rsid w:val="003303AF"/>
    <w:rsid w:val="00354481"/>
    <w:rsid w:val="00375E57"/>
    <w:rsid w:val="00390954"/>
    <w:rsid w:val="003C6C85"/>
    <w:rsid w:val="003C7C42"/>
    <w:rsid w:val="003F000F"/>
    <w:rsid w:val="003F2834"/>
    <w:rsid w:val="003F7C1D"/>
    <w:rsid w:val="00440F48"/>
    <w:rsid w:val="00451109"/>
    <w:rsid w:val="00454405"/>
    <w:rsid w:val="00457843"/>
    <w:rsid w:val="004B0EF8"/>
    <w:rsid w:val="004C1EDC"/>
    <w:rsid w:val="004C270A"/>
    <w:rsid w:val="004C3D1C"/>
    <w:rsid w:val="00505907"/>
    <w:rsid w:val="005123C7"/>
    <w:rsid w:val="00513A70"/>
    <w:rsid w:val="005421DC"/>
    <w:rsid w:val="00560AD8"/>
    <w:rsid w:val="00571177"/>
    <w:rsid w:val="005D0B95"/>
    <w:rsid w:val="005D54AB"/>
    <w:rsid w:val="005D6335"/>
    <w:rsid w:val="005D6700"/>
    <w:rsid w:val="00614FBC"/>
    <w:rsid w:val="00624903"/>
    <w:rsid w:val="006500CE"/>
    <w:rsid w:val="0066030B"/>
    <w:rsid w:val="006658A5"/>
    <w:rsid w:val="006711F4"/>
    <w:rsid w:val="00684D34"/>
    <w:rsid w:val="006A3950"/>
    <w:rsid w:val="006C632C"/>
    <w:rsid w:val="006D6D4D"/>
    <w:rsid w:val="00710AE0"/>
    <w:rsid w:val="00721340"/>
    <w:rsid w:val="0077637A"/>
    <w:rsid w:val="007C3840"/>
    <w:rsid w:val="00825F29"/>
    <w:rsid w:val="008279EE"/>
    <w:rsid w:val="00835844"/>
    <w:rsid w:val="008544B3"/>
    <w:rsid w:val="00893E51"/>
    <w:rsid w:val="008A6CEB"/>
    <w:rsid w:val="008B7176"/>
    <w:rsid w:val="008C2F17"/>
    <w:rsid w:val="008E030A"/>
    <w:rsid w:val="008E0515"/>
    <w:rsid w:val="008E4B3F"/>
    <w:rsid w:val="0093489E"/>
    <w:rsid w:val="0095276C"/>
    <w:rsid w:val="009748F9"/>
    <w:rsid w:val="009C436C"/>
    <w:rsid w:val="00A0324B"/>
    <w:rsid w:val="00A05F1B"/>
    <w:rsid w:val="00A16AAA"/>
    <w:rsid w:val="00A26DBE"/>
    <w:rsid w:val="00A349D3"/>
    <w:rsid w:val="00A459EE"/>
    <w:rsid w:val="00A50FD0"/>
    <w:rsid w:val="00A57FAC"/>
    <w:rsid w:val="00A80113"/>
    <w:rsid w:val="00A8677D"/>
    <w:rsid w:val="00A900F2"/>
    <w:rsid w:val="00AD2E26"/>
    <w:rsid w:val="00AF66A2"/>
    <w:rsid w:val="00B05324"/>
    <w:rsid w:val="00B326D0"/>
    <w:rsid w:val="00B33799"/>
    <w:rsid w:val="00B60604"/>
    <w:rsid w:val="00B60719"/>
    <w:rsid w:val="00B62CE2"/>
    <w:rsid w:val="00B742C1"/>
    <w:rsid w:val="00B816BF"/>
    <w:rsid w:val="00B841D5"/>
    <w:rsid w:val="00B95272"/>
    <w:rsid w:val="00B976CC"/>
    <w:rsid w:val="00BC26C6"/>
    <w:rsid w:val="00BD2569"/>
    <w:rsid w:val="00BD59F0"/>
    <w:rsid w:val="00BD6A29"/>
    <w:rsid w:val="00C05B00"/>
    <w:rsid w:val="00C153BE"/>
    <w:rsid w:val="00C34403"/>
    <w:rsid w:val="00C51FCB"/>
    <w:rsid w:val="00C550A1"/>
    <w:rsid w:val="00C6314B"/>
    <w:rsid w:val="00C66BFE"/>
    <w:rsid w:val="00C93FEB"/>
    <w:rsid w:val="00CA061C"/>
    <w:rsid w:val="00CA0C7F"/>
    <w:rsid w:val="00CA2ED2"/>
    <w:rsid w:val="00CD0BD1"/>
    <w:rsid w:val="00CF742C"/>
    <w:rsid w:val="00D11ABE"/>
    <w:rsid w:val="00D40A34"/>
    <w:rsid w:val="00E00DB8"/>
    <w:rsid w:val="00E130E5"/>
    <w:rsid w:val="00E25C7C"/>
    <w:rsid w:val="00E318C8"/>
    <w:rsid w:val="00E33B41"/>
    <w:rsid w:val="00E42BC7"/>
    <w:rsid w:val="00E457C7"/>
    <w:rsid w:val="00E5645D"/>
    <w:rsid w:val="00E5793C"/>
    <w:rsid w:val="00E85CA0"/>
    <w:rsid w:val="00E924D9"/>
    <w:rsid w:val="00EA5B94"/>
    <w:rsid w:val="00EB0881"/>
    <w:rsid w:val="00EB14D1"/>
    <w:rsid w:val="00EC0A6F"/>
    <w:rsid w:val="00ED031F"/>
    <w:rsid w:val="00EE4700"/>
    <w:rsid w:val="00EF0083"/>
    <w:rsid w:val="00F30C90"/>
    <w:rsid w:val="00F32540"/>
    <w:rsid w:val="00F365EB"/>
    <w:rsid w:val="00F500CE"/>
    <w:rsid w:val="00F7033B"/>
    <w:rsid w:val="00F74547"/>
    <w:rsid w:val="00F927C1"/>
    <w:rsid w:val="00F93560"/>
    <w:rsid w:val="00F95114"/>
    <w:rsid w:val="00FA2859"/>
    <w:rsid w:val="00FB2C4D"/>
    <w:rsid w:val="00FB3511"/>
    <w:rsid w:val="00FC77D3"/>
    <w:rsid w:val="00FD09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766DA72"/>
  <w15:chartTrackingRefBased/>
  <w15:docId w15:val="{28740C0A-1AC4-4B4B-A010-739BD4C49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F66A2"/>
    <w:pPr>
      <w:widowControl w:val="0"/>
      <w:jc w:val="both"/>
    </w:pPr>
  </w:style>
  <w:style w:type="paragraph" w:styleId="Heading1">
    <w:name w:val="heading 1"/>
    <w:basedOn w:val="Normal"/>
    <w:next w:val="Normal"/>
    <w:link w:val="1"/>
    <w:uiPriority w:val="9"/>
    <w:qFormat/>
    <w:rsid w:val="00AF66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841D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F66A2"/>
    <w:rPr>
      <w:color w:val="808080"/>
    </w:rPr>
  </w:style>
  <w:style w:type="character" w:customStyle="1" w:styleId="1">
    <w:name w:val="标题 1 字符"/>
    <w:basedOn w:val="DefaultParagraphFont"/>
    <w:link w:val="Heading1"/>
    <w:uiPriority w:val="9"/>
    <w:rsid w:val="00AF66A2"/>
    <w:rPr>
      <w:b/>
      <w:bCs/>
      <w:kern w:val="44"/>
      <w:sz w:val="44"/>
      <w:szCs w:val="44"/>
    </w:rPr>
  </w:style>
  <w:style w:type="paragraph" w:styleId="TOCHeading">
    <w:name w:val="TOC Heading"/>
    <w:basedOn w:val="Heading1"/>
    <w:next w:val="Normal"/>
    <w:uiPriority w:val="39"/>
    <w:unhideWhenUsed/>
    <w:qFormat/>
    <w:rsid w:val="00AF66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table" w:styleId="TableGrid">
    <w:name w:val="Table Grid"/>
    <w:basedOn w:val="TableNormal"/>
    <w:uiPriority w:val="39"/>
    <w:rsid w:val="00AD2E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C2F17"/>
    <w:pPr>
      <w:ind w:firstLine="420" w:firstLineChars="200"/>
    </w:pPr>
  </w:style>
  <w:style w:type="paragraph" w:styleId="Header">
    <w:name w:val="header"/>
    <w:basedOn w:val="Normal"/>
    <w:link w:val="a"/>
    <w:uiPriority w:val="99"/>
    <w:unhideWhenUsed/>
    <w:rsid w:val="00B05324"/>
    <w:pPr>
      <w:tabs>
        <w:tab w:val="center" w:pos="4680"/>
        <w:tab w:val="right" w:pos="9360"/>
      </w:tabs>
    </w:pPr>
  </w:style>
  <w:style w:type="character" w:customStyle="1" w:styleId="a">
    <w:name w:val="页眉 字符"/>
    <w:basedOn w:val="DefaultParagraphFont"/>
    <w:link w:val="Header"/>
    <w:uiPriority w:val="99"/>
    <w:rsid w:val="00B05324"/>
  </w:style>
  <w:style w:type="paragraph" w:styleId="Footer">
    <w:name w:val="footer"/>
    <w:basedOn w:val="Normal"/>
    <w:link w:val="a0"/>
    <w:uiPriority w:val="99"/>
    <w:unhideWhenUsed/>
    <w:rsid w:val="00B05324"/>
    <w:pPr>
      <w:tabs>
        <w:tab w:val="center" w:pos="4680"/>
        <w:tab w:val="right" w:pos="9360"/>
      </w:tabs>
    </w:pPr>
  </w:style>
  <w:style w:type="character" w:customStyle="1" w:styleId="a0">
    <w:name w:val="页脚 字符"/>
    <w:basedOn w:val="DefaultParagraphFont"/>
    <w:link w:val="Footer"/>
    <w:uiPriority w:val="99"/>
    <w:rsid w:val="00B05324"/>
  </w:style>
  <w:style w:type="character" w:customStyle="1" w:styleId="2">
    <w:name w:val="标题 2 字符"/>
    <w:basedOn w:val="DefaultParagraphFont"/>
    <w:link w:val="Heading2"/>
    <w:uiPriority w:val="9"/>
    <w:rsid w:val="00B841D5"/>
    <w:rPr>
      <w:rFonts w:asciiTheme="majorHAnsi" w:eastAsiaTheme="majorEastAsia" w:hAnsiTheme="majorHAnsi" w:cstheme="majorBidi"/>
      <w:b/>
      <w:bCs/>
      <w:sz w:val="32"/>
      <w:szCs w:val="32"/>
    </w:rPr>
  </w:style>
  <w:style w:type="paragraph" w:styleId="NoSpacing">
    <w:name w:val="No Spacing"/>
    <w:uiPriority w:val="1"/>
    <w:qFormat/>
    <w:rsid w:val="00F95114"/>
    <w:pPr>
      <w:widowControl w:val="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595142340314011114"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numbering" Target="numbering.xml" /><Relationship Id="rId187"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283</TotalTime>
  <Pages>48</Pages>
  <Words>281</Words>
  <Characters>1608</Characters>
  <Application>Microsoft Office Word</Application>
  <DocSecurity>0</DocSecurity>
  <Lines>13</Lines>
  <Paragraphs>3</Paragraphs>
  <ScaleCrop>false</ScaleCrop>
  <Company/>
  <LinksUpToDate>false</LinksUpToDate>
  <CharactersWithSpaces>1886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高 峰</cp:lastModifiedBy>
  <cp:revision>94</cp:revision>
  <dcterms:created xsi:type="dcterms:W3CDTF">2021-03-09T15:13:00Z</dcterms:created>
  <dcterms:modified xsi:type="dcterms:W3CDTF">2023-03-16T12:24:00Z</dcterms:modified>
</cp:coreProperties>
</file>